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footer6.xml" ContentType="application/vnd.openxmlformats-officedocument.wordprocessingml.footer+xml"/>
  <Default Extension="jpeg" ContentType="image/jpeg"/>
  <Override PartName="/word/footer7.xml" ContentType="application/vnd.openxmlformats-officedocument.wordprocessingml.footer+xml"/>
  <Default Extension="wmf" ContentType="image/x-wmf"/>
  <Override PartName="/word/header14.xml" ContentType="application/vnd.openxmlformats-officedocument.wordprocessingml.header+xml"/>
  <Default Extension="emf" ContentType="image/x-emf"/>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Default Extension="bin" ContentType="application/vnd.openxmlformats-officedocument.oleObject"/>
  <Override PartName="/word/header19.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D5820" w:rsidRDefault="00F64314">
      <w:pPr>
        <w:ind w:firstLineChars="0" w:firstLine="0"/>
        <w:jc w:val="center"/>
        <w:rPr>
          <w:rFonts w:ascii="Times New Roman" w:cs="Times New Roman"/>
          <w:b/>
        </w:rPr>
      </w:pPr>
      <w:r>
        <w:rPr>
          <w:rFonts w:ascii="Times New Roman" w:cs="Times New Roman" w:hint="eastAsia"/>
          <w:b/>
        </w:rPr>
        <w:t xml:space="preserve"> </w:t>
      </w:r>
    </w:p>
    <w:p w:rsidR="00BD5820" w:rsidRDefault="00BD5820">
      <w:pPr>
        <w:ind w:firstLineChars="0" w:firstLine="0"/>
        <w:jc w:val="center"/>
        <w:rPr>
          <w:rFonts w:ascii="Times New Roman" w:cs="Times New Roman"/>
          <w:b/>
        </w:rPr>
      </w:pPr>
    </w:p>
    <w:p w:rsidR="00BD5820" w:rsidRDefault="00BD5820">
      <w:pPr>
        <w:ind w:firstLineChars="0" w:firstLine="0"/>
        <w:jc w:val="center"/>
        <w:rPr>
          <w:rFonts w:ascii="Times New Roman" w:cs="Times New Roman"/>
          <w:b/>
        </w:rPr>
      </w:pPr>
    </w:p>
    <w:p w:rsidR="00BD5820" w:rsidRDefault="00F64314">
      <w:pPr>
        <w:ind w:firstLineChars="0" w:firstLine="0"/>
        <w:jc w:val="center"/>
        <w:rPr>
          <w:rFonts w:ascii="Times New Roman" w:cs="Times New Roman"/>
          <w:b/>
          <w:sz w:val="52"/>
          <w:szCs w:val="52"/>
        </w:rPr>
      </w:pPr>
      <w:r>
        <w:rPr>
          <w:rFonts w:ascii="Times New Roman" w:cs="Times New Roman"/>
          <w:b/>
          <w:sz w:val="52"/>
          <w:szCs w:val="52"/>
        </w:rPr>
        <w:t>普光气田主体湿气增压工程</w:t>
      </w:r>
    </w:p>
    <w:p w:rsidR="00BD5820" w:rsidRDefault="00F64314">
      <w:pPr>
        <w:ind w:firstLineChars="0" w:firstLine="0"/>
        <w:jc w:val="center"/>
        <w:rPr>
          <w:rFonts w:ascii="Times New Roman" w:cs="Times New Roman"/>
          <w:b/>
          <w:sz w:val="52"/>
          <w:szCs w:val="52"/>
        </w:rPr>
      </w:pPr>
      <w:r>
        <w:rPr>
          <w:rFonts w:ascii="Times New Roman" w:cs="Times New Roman"/>
          <w:b/>
          <w:sz w:val="52"/>
          <w:szCs w:val="52"/>
        </w:rPr>
        <w:t>环境影响报告书</w:t>
      </w:r>
    </w:p>
    <w:p w:rsidR="00BD5820" w:rsidRDefault="00F64314">
      <w:pPr>
        <w:ind w:firstLineChars="0" w:firstLine="0"/>
        <w:jc w:val="center"/>
        <w:rPr>
          <w:rFonts w:ascii="Times New Roman" w:cs="Times New Roman"/>
          <w:sz w:val="36"/>
          <w:szCs w:val="36"/>
        </w:rPr>
      </w:pPr>
      <w:r>
        <w:rPr>
          <w:rFonts w:ascii="Times New Roman" w:cs="Times New Roman"/>
          <w:sz w:val="36"/>
          <w:szCs w:val="36"/>
        </w:rPr>
        <w:t>（</w:t>
      </w:r>
      <w:r>
        <w:rPr>
          <w:rFonts w:ascii="Times New Roman" w:cs="Times New Roman" w:hint="eastAsia"/>
          <w:sz w:val="36"/>
          <w:szCs w:val="36"/>
        </w:rPr>
        <w:t>报审版</w:t>
      </w:r>
      <w:r>
        <w:rPr>
          <w:rFonts w:ascii="Times New Roman" w:cs="Times New Roman"/>
          <w:sz w:val="36"/>
          <w:szCs w:val="36"/>
        </w:rPr>
        <w:t>）</w:t>
      </w:r>
    </w:p>
    <w:p w:rsidR="00BD5820" w:rsidRDefault="00BD5820">
      <w:pPr>
        <w:ind w:firstLineChars="0" w:firstLine="0"/>
        <w:jc w:val="center"/>
        <w:rPr>
          <w:rFonts w:ascii="Times New Roman" w:cs="Times New Roman"/>
          <w:b/>
        </w:rPr>
      </w:pPr>
    </w:p>
    <w:p w:rsidR="00BD5820" w:rsidRDefault="00BD5820">
      <w:pPr>
        <w:ind w:firstLineChars="0" w:firstLine="0"/>
        <w:jc w:val="center"/>
        <w:rPr>
          <w:rFonts w:ascii="Times New Roman" w:cs="Times New Roman"/>
          <w:b/>
        </w:rPr>
      </w:pPr>
    </w:p>
    <w:p w:rsidR="00BD5820" w:rsidRDefault="00BD5820">
      <w:pPr>
        <w:ind w:firstLineChars="0" w:firstLine="0"/>
        <w:jc w:val="center"/>
        <w:rPr>
          <w:rFonts w:ascii="Times New Roman" w:cs="Times New Roman"/>
          <w:b/>
        </w:rPr>
      </w:pPr>
    </w:p>
    <w:p w:rsidR="00BD5820" w:rsidRDefault="00BD5820">
      <w:pPr>
        <w:ind w:firstLineChars="0" w:firstLine="0"/>
        <w:jc w:val="center"/>
        <w:rPr>
          <w:rFonts w:ascii="Times New Roman" w:cs="Times New Roman"/>
          <w:b/>
        </w:rPr>
      </w:pPr>
    </w:p>
    <w:p w:rsidR="00BD5820" w:rsidRDefault="00BD5820">
      <w:pPr>
        <w:ind w:firstLineChars="0" w:firstLine="0"/>
        <w:jc w:val="center"/>
        <w:rPr>
          <w:rFonts w:ascii="Times New Roman" w:cs="Times New Roman"/>
          <w:b/>
        </w:rPr>
      </w:pPr>
    </w:p>
    <w:p w:rsidR="00BD5820" w:rsidRDefault="00BD5820">
      <w:pPr>
        <w:ind w:firstLineChars="0" w:firstLine="0"/>
        <w:jc w:val="center"/>
        <w:rPr>
          <w:rFonts w:ascii="Times New Roman" w:cs="Times New Roman"/>
          <w:b/>
        </w:rPr>
      </w:pPr>
    </w:p>
    <w:p w:rsidR="00BD5820" w:rsidRDefault="00BD5820">
      <w:pPr>
        <w:ind w:firstLineChars="0" w:firstLine="0"/>
        <w:jc w:val="center"/>
        <w:rPr>
          <w:rFonts w:ascii="Times New Roman" w:cs="Times New Roman"/>
          <w:b/>
        </w:rPr>
      </w:pPr>
    </w:p>
    <w:p w:rsidR="00BD5820" w:rsidRDefault="00BD5820">
      <w:pPr>
        <w:ind w:firstLineChars="0" w:firstLine="0"/>
        <w:jc w:val="center"/>
        <w:rPr>
          <w:rFonts w:ascii="Times New Roman" w:cs="Times New Roman"/>
          <w:b/>
        </w:rPr>
      </w:pPr>
    </w:p>
    <w:p w:rsidR="00BD5820" w:rsidRDefault="00BD5820">
      <w:pPr>
        <w:ind w:firstLineChars="0" w:firstLine="0"/>
        <w:jc w:val="center"/>
        <w:rPr>
          <w:rFonts w:ascii="Times New Roman" w:cs="Times New Roman"/>
          <w:b/>
        </w:rPr>
      </w:pPr>
    </w:p>
    <w:p w:rsidR="00BD5820" w:rsidRDefault="00BD5820">
      <w:pPr>
        <w:ind w:firstLineChars="0" w:firstLine="0"/>
        <w:jc w:val="center"/>
        <w:rPr>
          <w:rFonts w:ascii="Times New Roman" w:cs="Times New Roman"/>
          <w:b/>
        </w:rPr>
      </w:pPr>
    </w:p>
    <w:p w:rsidR="00BD5820" w:rsidRDefault="00BD5820">
      <w:pPr>
        <w:ind w:firstLineChars="0" w:firstLine="0"/>
        <w:jc w:val="center"/>
        <w:rPr>
          <w:rFonts w:ascii="Times New Roman" w:cs="Times New Roman"/>
          <w:b/>
        </w:rPr>
      </w:pPr>
    </w:p>
    <w:p w:rsidR="00BD5820" w:rsidRDefault="00BD5820">
      <w:pPr>
        <w:ind w:firstLineChars="0" w:firstLine="0"/>
        <w:jc w:val="center"/>
        <w:rPr>
          <w:rFonts w:ascii="Times New Roman" w:cs="Times New Roman"/>
          <w:b/>
        </w:rPr>
      </w:pPr>
    </w:p>
    <w:p w:rsidR="00BD5820" w:rsidRDefault="00BD5820">
      <w:pPr>
        <w:ind w:firstLineChars="0" w:firstLine="0"/>
        <w:jc w:val="center"/>
        <w:rPr>
          <w:rFonts w:ascii="Times New Roman" w:cs="Times New Roman"/>
          <w:b/>
        </w:rPr>
      </w:pPr>
    </w:p>
    <w:p w:rsidR="00BD5820" w:rsidRDefault="00BD5820">
      <w:pPr>
        <w:ind w:firstLineChars="0" w:firstLine="0"/>
        <w:jc w:val="center"/>
        <w:rPr>
          <w:rFonts w:ascii="Times New Roman" w:cs="Times New Roman"/>
          <w:b/>
        </w:rPr>
      </w:pPr>
    </w:p>
    <w:p w:rsidR="00BD5820" w:rsidRDefault="00BD5820">
      <w:pPr>
        <w:ind w:firstLineChars="0" w:firstLine="0"/>
        <w:jc w:val="center"/>
        <w:rPr>
          <w:rFonts w:ascii="Times New Roman" w:cs="Times New Roman"/>
          <w:b/>
        </w:rPr>
      </w:pPr>
    </w:p>
    <w:p w:rsidR="00BD5820" w:rsidRDefault="00BD5820">
      <w:pPr>
        <w:ind w:firstLineChars="0" w:firstLine="0"/>
        <w:jc w:val="center"/>
        <w:rPr>
          <w:rFonts w:ascii="Times New Roman" w:cs="Times New Roman"/>
          <w:b/>
        </w:rPr>
      </w:pPr>
    </w:p>
    <w:p w:rsidR="00BD5820" w:rsidRDefault="00BD5820">
      <w:pPr>
        <w:ind w:firstLineChars="0" w:firstLine="0"/>
        <w:jc w:val="center"/>
        <w:rPr>
          <w:rFonts w:ascii="Times New Roman" w:cs="Times New Roman"/>
          <w:b/>
        </w:rPr>
      </w:pPr>
    </w:p>
    <w:p w:rsidR="00BD5820" w:rsidRDefault="00BD5820">
      <w:pPr>
        <w:ind w:firstLineChars="0" w:firstLine="0"/>
        <w:jc w:val="center"/>
        <w:rPr>
          <w:rFonts w:ascii="Times New Roman" w:cs="Times New Roman"/>
          <w:b/>
        </w:rPr>
      </w:pPr>
    </w:p>
    <w:p w:rsidR="00BD5820" w:rsidRDefault="00F64314">
      <w:pPr>
        <w:ind w:firstLineChars="0" w:firstLine="0"/>
        <w:jc w:val="center"/>
        <w:rPr>
          <w:rFonts w:ascii="Times New Roman" w:cs="Times New Roman"/>
          <w:b/>
          <w:bCs/>
          <w:sz w:val="32"/>
          <w:szCs w:val="32"/>
        </w:rPr>
      </w:pPr>
      <w:r>
        <w:rPr>
          <w:rFonts w:ascii="Times New Roman" w:cs="Times New Roman"/>
          <w:b/>
          <w:bCs/>
          <w:sz w:val="32"/>
          <w:szCs w:val="32"/>
        </w:rPr>
        <w:t>建设单位：中国石油化工股份有限公司中原油田普光分公司</w:t>
      </w:r>
    </w:p>
    <w:p w:rsidR="00BD5820" w:rsidRDefault="00F64314">
      <w:pPr>
        <w:ind w:firstLineChars="62" w:firstLine="199"/>
        <w:jc w:val="center"/>
        <w:rPr>
          <w:rFonts w:ascii="Times New Roman" w:cs="Times New Roman"/>
          <w:b/>
          <w:bCs/>
          <w:sz w:val="32"/>
          <w:szCs w:val="32"/>
        </w:rPr>
      </w:pPr>
      <w:r>
        <w:rPr>
          <w:rFonts w:ascii="Times New Roman" w:cs="Times New Roman"/>
          <w:b/>
          <w:bCs/>
          <w:sz w:val="32"/>
          <w:szCs w:val="32"/>
        </w:rPr>
        <w:t>评价单位：</w:t>
      </w:r>
      <w:r>
        <w:rPr>
          <w:rFonts w:ascii="Times New Roman" w:cs="Times New Roman" w:hint="eastAsia"/>
          <w:b/>
          <w:bCs/>
          <w:sz w:val="32"/>
          <w:szCs w:val="32"/>
        </w:rPr>
        <w:t>重庆后科环保有限责任公司</w:t>
      </w:r>
    </w:p>
    <w:p w:rsidR="00BD5820" w:rsidRDefault="00F64314">
      <w:pPr>
        <w:ind w:firstLineChars="0" w:firstLine="0"/>
        <w:jc w:val="center"/>
        <w:rPr>
          <w:rFonts w:ascii="Times New Roman" w:cs="Times New Roman"/>
          <w:b/>
          <w:bCs/>
          <w:sz w:val="32"/>
          <w:szCs w:val="32"/>
        </w:rPr>
      </w:pPr>
      <w:r>
        <w:rPr>
          <w:rFonts w:ascii="Times New Roman" w:cs="Times New Roman"/>
          <w:b/>
          <w:bCs/>
          <w:sz w:val="32"/>
          <w:szCs w:val="32"/>
        </w:rPr>
        <w:t>二〇二</w:t>
      </w:r>
      <w:r>
        <w:rPr>
          <w:rFonts w:ascii="Times New Roman" w:cs="Times New Roman" w:hint="eastAsia"/>
          <w:b/>
          <w:bCs/>
          <w:sz w:val="32"/>
          <w:szCs w:val="32"/>
        </w:rPr>
        <w:t>三</w:t>
      </w:r>
      <w:r>
        <w:rPr>
          <w:rFonts w:ascii="Times New Roman" w:cs="Times New Roman"/>
          <w:b/>
          <w:bCs/>
          <w:sz w:val="32"/>
          <w:szCs w:val="32"/>
        </w:rPr>
        <w:t>年</w:t>
      </w:r>
      <w:r>
        <w:rPr>
          <w:rFonts w:ascii="Times New Roman" w:cs="Times New Roman" w:hint="eastAsia"/>
          <w:b/>
          <w:bCs/>
          <w:sz w:val="32"/>
          <w:szCs w:val="32"/>
        </w:rPr>
        <w:t>七</w:t>
      </w:r>
      <w:r>
        <w:rPr>
          <w:rFonts w:ascii="Times New Roman" w:cs="Times New Roman"/>
          <w:b/>
          <w:bCs/>
          <w:sz w:val="32"/>
          <w:szCs w:val="32"/>
        </w:rPr>
        <w:t>月</w:t>
      </w:r>
    </w:p>
    <w:p w:rsidR="00BD5820" w:rsidRDefault="00BD5820">
      <w:pPr>
        <w:ind w:firstLineChars="0" w:firstLine="0"/>
        <w:jc w:val="center"/>
        <w:rPr>
          <w:rFonts w:ascii="Times New Roman" w:cs="Times New Roman"/>
          <w:sz w:val="32"/>
          <w:szCs w:val="32"/>
        </w:rPr>
      </w:pPr>
    </w:p>
    <w:p w:rsidR="00BD5820" w:rsidRDefault="00BD5820">
      <w:pPr>
        <w:widowControl/>
        <w:topLinePunct w:val="0"/>
        <w:adjustRightInd/>
        <w:ind w:firstLineChars="0" w:firstLine="0"/>
        <w:jc w:val="left"/>
        <w:rPr>
          <w:rFonts w:ascii="Times New Roman" w:cs="Times New Roman"/>
          <w:sz w:val="32"/>
          <w:szCs w:val="32"/>
        </w:rPr>
        <w:sectPr w:rsidR="00BD5820">
          <w:headerReference w:type="even" r:id="rId8"/>
          <w:headerReference w:type="default" r:id="rId9"/>
          <w:footerReference w:type="even" r:id="rId10"/>
          <w:footerReference w:type="default" r:id="rId11"/>
          <w:headerReference w:type="first" r:id="rId12"/>
          <w:footerReference w:type="first" r:id="rId13"/>
          <w:pgSz w:w="11910" w:h="16840"/>
          <w:pgMar w:top="1400" w:right="1680" w:bottom="280" w:left="1340" w:header="720" w:footer="720" w:gutter="0"/>
          <w:pgNumType w:fmt="upperRoman" w:start="1"/>
          <w:cols w:space="720"/>
        </w:sectPr>
      </w:pPr>
    </w:p>
    <w:p w:rsidR="00BD5820" w:rsidRDefault="00F64314">
      <w:pPr>
        <w:pStyle w:val="TOC1"/>
        <w:spacing w:before="0" w:line="360" w:lineRule="auto"/>
        <w:jc w:val="center"/>
        <w:rPr>
          <w:rFonts w:ascii="Times New Roman" w:hAnsi="Times New Roman"/>
          <w:b/>
          <w:bCs w:val="0"/>
          <w:color w:val="auto"/>
          <w:sz w:val="24"/>
          <w:szCs w:val="24"/>
        </w:rPr>
      </w:pPr>
      <w:bookmarkStart w:id="0" w:name="_Toc19815912"/>
      <w:r>
        <w:rPr>
          <w:rFonts w:ascii="Times New Roman" w:hAnsi="Times New Roman"/>
          <w:b/>
          <w:bCs w:val="0"/>
          <w:color w:val="auto"/>
          <w:sz w:val="36"/>
          <w:szCs w:val="36"/>
          <w:lang w:val="zh-CN"/>
        </w:rPr>
        <w:lastRenderedPageBreak/>
        <w:t>目</w:t>
      </w:r>
      <w:r>
        <w:rPr>
          <w:rFonts w:ascii="Times New Roman" w:hAnsi="Times New Roman"/>
          <w:b/>
          <w:bCs w:val="0"/>
          <w:color w:val="auto"/>
          <w:sz w:val="36"/>
          <w:szCs w:val="36"/>
          <w:lang w:val="zh-CN"/>
        </w:rPr>
        <w:t xml:space="preserve">  </w:t>
      </w:r>
      <w:r>
        <w:rPr>
          <w:rFonts w:ascii="Times New Roman" w:hAnsi="Times New Roman"/>
          <w:b/>
          <w:bCs w:val="0"/>
          <w:color w:val="auto"/>
          <w:sz w:val="36"/>
          <w:szCs w:val="36"/>
          <w:lang w:val="zh-CN"/>
        </w:rPr>
        <w:t>录</w:t>
      </w:r>
    </w:p>
    <w:p w:rsidR="00BD5820" w:rsidRDefault="00EA3750">
      <w:pPr>
        <w:pStyle w:val="10"/>
        <w:tabs>
          <w:tab w:val="right" w:leader="dot" w:pos="9350"/>
        </w:tabs>
        <w:rPr>
          <w:rFonts w:cs="Times New Roman"/>
          <w:noProof/>
        </w:rPr>
      </w:pPr>
      <w:r>
        <w:rPr>
          <w:rFonts w:cs="Times New Roman"/>
          <w:b w:val="0"/>
          <w:sz w:val="24"/>
        </w:rPr>
        <w:fldChar w:fldCharType="begin"/>
      </w:r>
      <w:r w:rsidR="00F64314">
        <w:rPr>
          <w:rFonts w:cs="Times New Roman"/>
          <w:b w:val="0"/>
          <w:sz w:val="24"/>
        </w:rPr>
        <w:instrText xml:space="preserve"> TOC \o "1-2" \h \z \u </w:instrText>
      </w:r>
      <w:r>
        <w:rPr>
          <w:rFonts w:cs="Times New Roman"/>
          <w:b w:val="0"/>
          <w:sz w:val="24"/>
        </w:rPr>
        <w:fldChar w:fldCharType="separate"/>
      </w:r>
      <w:hyperlink w:anchor="_Toc3537" w:history="1">
        <w:r w:rsidR="00F64314">
          <w:rPr>
            <w:rFonts w:cs="Times New Roman"/>
            <w:noProof/>
            <w:kern w:val="44"/>
            <w:szCs w:val="44"/>
          </w:rPr>
          <w:t>概述</w:t>
        </w:r>
        <w:r w:rsidR="00F64314">
          <w:rPr>
            <w:rFonts w:cs="Times New Roman"/>
            <w:noProof/>
          </w:rPr>
          <w:tab/>
        </w:r>
        <w:r>
          <w:rPr>
            <w:rFonts w:cs="Times New Roman"/>
            <w:noProof/>
          </w:rPr>
          <w:fldChar w:fldCharType="begin"/>
        </w:r>
        <w:r w:rsidR="00F64314">
          <w:rPr>
            <w:rFonts w:cs="Times New Roman"/>
            <w:noProof/>
          </w:rPr>
          <w:instrText xml:space="preserve"> PAGEREF _Toc3537 \h </w:instrText>
        </w:r>
        <w:r>
          <w:rPr>
            <w:rFonts w:cs="Times New Roman"/>
            <w:noProof/>
          </w:rPr>
        </w:r>
        <w:r>
          <w:rPr>
            <w:rFonts w:cs="Times New Roman"/>
            <w:noProof/>
          </w:rPr>
          <w:fldChar w:fldCharType="separate"/>
        </w:r>
        <w:r w:rsidR="00EC0676">
          <w:rPr>
            <w:rFonts w:cs="Times New Roman"/>
            <w:noProof/>
          </w:rPr>
          <w:t>1</w:t>
        </w:r>
        <w:r>
          <w:rPr>
            <w:rFonts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28081" w:history="1">
        <w:r w:rsidR="00F64314">
          <w:rPr>
            <w:rFonts w:ascii="Times New Roman" w:cs="Times New Roman"/>
            <w:bCs/>
            <w:noProof/>
            <w:szCs w:val="32"/>
          </w:rPr>
          <w:t>一、项目由来</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_Toc28081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1</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22279" w:history="1">
        <w:r w:rsidR="00F64314">
          <w:rPr>
            <w:rFonts w:ascii="Times New Roman" w:cs="Times New Roman"/>
            <w:bCs/>
            <w:noProof/>
            <w:szCs w:val="32"/>
          </w:rPr>
          <w:t>二、项目特点</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_Toc22279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2</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20564" w:history="1">
        <w:r w:rsidR="00F64314">
          <w:rPr>
            <w:rFonts w:ascii="Times New Roman" w:cs="Times New Roman"/>
            <w:bCs/>
            <w:noProof/>
            <w:szCs w:val="32"/>
          </w:rPr>
          <w:t>三、环境影响评价工作过程</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_Toc20564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2</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5109" w:history="1">
        <w:r w:rsidR="00F64314">
          <w:rPr>
            <w:rFonts w:ascii="Times New Roman" w:cs="Times New Roman"/>
            <w:bCs/>
            <w:noProof/>
            <w:szCs w:val="32"/>
          </w:rPr>
          <w:t>四、分析判定相关情况</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_Toc5109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3</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3111" w:history="1">
        <w:r w:rsidR="00F64314">
          <w:rPr>
            <w:rFonts w:ascii="Times New Roman" w:cs="Times New Roman"/>
            <w:bCs/>
            <w:noProof/>
            <w:szCs w:val="32"/>
          </w:rPr>
          <w:t>五、项目关注的主要环境问题及环境影响</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_Toc3111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3</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9536" w:history="1">
        <w:r w:rsidR="00F64314">
          <w:rPr>
            <w:rFonts w:ascii="Times New Roman" w:cs="Times New Roman"/>
            <w:bCs/>
            <w:noProof/>
            <w:szCs w:val="32"/>
          </w:rPr>
          <w:t>六、主要环境影响结论</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_Toc9536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4</w:t>
        </w:r>
        <w:r>
          <w:rPr>
            <w:rFonts w:ascii="Times New Roman" w:cs="Times New Roman"/>
            <w:noProof/>
          </w:rPr>
          <w:fldChar w:fldCharType="end"/>
        </w:r>
      </w:hyperlink>
    </w:p>
    <w:p w:rsidR="00BD5820" w:rsidRDefault="00EA3750">
      <w:pPr>
        <w:pStyle w:val="10"/>
        <w:tabs>
          <w:tab w:val="right" w:leader="dot" w:pos="9350"/>
        </w:tabs>
        <w:rPr>
          <w:rFonts w:cs="Times New Roman"/>
          <w:noProof/>
        </w:rPr>
      </w:pPr>
      <w:hyperlink w:anchor="_Toc13338" w:history="1">
        <w:r w:rsidR="00F64314">
          <w:rPr>
            <w:rFonts w:cs="Times New Roman"/>
            <w:noProof/>
            <w:kern w:val="44"/>
            <w:szCs w:val="44"/>
          </w:rPr>
          <w:t xml:space="preserve">1 </w:t>
        </w:r>
        <w:r w:rsidR="00F64314">
          <w:rPr>
            <w:rFonts w:cs="Times New Roman"/>
            <w:noProof/>
            <w:kern w:val="44"/>
            <w:szCs w:val="44"/>
          </w:rPr>
          <w:t>总则</w:t>
        </w:r>
        <w:r w:rsidR="00F64314">
          <w:rPr>
            <w:rFonts w:cs="Times New Roman"/>
            <w:noProof/>
          </w:rPr>
          <w:tab/>
        </w:r>
        <w:r>
          <w:rPr>
            <w:rFonts w:cs="Times New Roman"/>
            <w:noProof/>
          </w:rPr>
          <w:fldChar w:fldCharType="begin"/>
        </w:r>
        <w:r w:rsidR="00F64314">
          <w:rPr>
            <w:rFonts w:cs="Times New Roman"/>
            <w:noProof/>
          </w:rPr>
          <w:instrText xml:space="preserve"> PAGEREF _Toc13338 \h </w:instrText>
        </w:r>
        <w:r>
          <w:rPr>
            <w:rFonts w:cs="Times New Roman"/>
            <w:noProof/>
          </w:rPr>
        </w:r>
        <w:r>
          <w:rPr>
            <w:rFonts w:cs="Times New Roman"/>
            <w:noProof/>
          </w:rPr>
          <w:fldChar w:fldCharType="separate"/>
        </w:r>
        <w:r w:rsidR="00EC0676">
          <w:rPr>
            <w:rFonts w:cs="Times New Roman"/>
            <w:noProof/>
          </w:rPr>
          <w:t>5</w:t>
        </w:r>
        <w:r>
          <w:rPr>
            <w:rFonts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7050" w:history="1">
        <w:r w:rsidR="00F64314">
          <w:rPr>
            <w:rFonts w:ascii="Times New Roman" w:cs="Times New Roman"/>
            <w:bCs/>
            <w:noProof/>
            <w:szCs w:val="32"/>
          </w:rPr>
          <w:t xml:space="preserve">1.1 </w:t>
        </w:r>
        <w:r w:rsidR="00F64314">
          <w:rPr>
            <w:rFonts w:ascii="Times New Roman" w:cs="Times New Roman"/>
            <w:bCs/>
            <w:noProof/>
            <w:szCs w:val="32"/>
          </w:rPr>
          <w:t>编制依据</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_Toc7050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5</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495" w:history="1">
        <w:r w:rsidR="00F64314">
          <w:rPr>
            <w:rFonts w:ascii="Times New Roman" w:cs="Times New Roman"/>
            <w:bCs/>
            <w:noProof/>
            <w:szCs w:val="32"/>
          </w:rPr>
          <w:t xml:space="preserve">1.2 </w:t>
        </w:r>
        <w:r w:rsidR="00F64314">
          <w:rPr>
            <w:rFonts w:ascii="Times New Roman" w:cs="Times New Roman"/>
            <w:bCs/>
            <w:noProof/>
            <w:szCs w:val="32"/>
          </w:rPr>
          <w:t>评价目的、原则与评价重点</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_Toc495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10</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11921" w:history="1">
        <w:r w:rsidR="00F64314">
          <w:rPr>
            <w:rFonts w:ascii="Times New Roman" w:cs="Times New Roman"/>
            <w:bCs/>
            <w:noProof/>
            <w:szCs w:val="32"/>
          </w:rPr>
          <w:t xml:space="preserve">1.3 </w:t>
        </w:r>
        <w:r w:rsidR="00F64314">
          <w:rPr>
            <w:rFonts w:ascii="Times New Roman" w:cs="Times New Roman"/>
            <w:bCs/>
            <w:noProof/>
            <w:szCs w:val="32"/>
          </w:rPr>
          <w:t>环境影响要素识别和评价因子筛选</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_Toc11921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11</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10086" w:history="1">
        <w:r w:rsidR="00F64314">
          <w:rPr>
            <w:rFonts w:ascii="Times New Roman" w:cs="Times New Roman"/>
            <w:bCs/>
            <w:noProof/>
            <w:szCs w:val="32"/>
          </w:rPr>
          <w:t xml:space="preserve">1.4 </w:t>
        </w:r>
        <w:r w:rsidR="00F64314">
          <w:rPr>
            <w:rFonts w:ascii="Times New Roman" w:cs="Times New Roman"/>
            <w:bCs/>
            <w:noProof/>
            <w:szCs w:val="32"/>
          </w:rPr>
          <w:t>环境功能区划</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_Toc10086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16</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9767" w:history="1">
        <w:r w:rsidR="00F64314">
          <w:rPr>
            <w:rFonts w:ascii="Times New Roman" w:cs="Times New Roman"/>
            <w:bCs/>
            <w:noProof/>
            <w:szCs w:val="32"/>
          </w:rPr>
          <w:t xml:space="preserve">1.5 </w:t>
        </w:r>
        <w:r w:rsidR="00F64314">
          <w:rPr>
            <w:rFonts w:ascii="Times New Roman" w:cs="Times New Roman"/>
            <w:bCs/>
            <w:noProof/>
            <w:szCs w:val="32"/>
          </w:rPr>
          <w:t>评价标准</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_Toc9767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17</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32212" w:history="1">
        <w:r w:rsidR="00F64314">
          <w:rPr>
            <w:rFonts w:ascii="Times New Roman" w:cs="Times New Roman"/>
            <w:bCs/>
            <w:noProof/>
            <w:szCs w:val="32"/>
          </w:rPr>
          <w:t xml:space="preserve">1.6 </w:t>
        </w:r>
        <w:r w:rsidR="00F64314">
          <w:rPr>
            <w:rFonts w:ascii="Times New Roman" w:cs="Times New Roman"/>
            <w:bCs/>
            <w:noProof/>
            <w:szCs w:val="32"/>
          </w:rPr>
          <w:t>评价等级及评价范围</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_Toc32212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22</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3055" w:history="1">
        <w:r w:rsidR="00F64314">
          <w:rPr>
            <w:rFonts w:ascii="Times New Roman" w:cs="Times New Roman"/>
            <w:bCs/>
            <w:noProof/>
            <w:szCs w:val="32"/>
          </w:rPr>
          <w:t xml:space="preserve">1.7 </w:t>
        </w:r>
        <w:r w:rsidR="00F64314">
          <w:rPr>
            <w:rFonts w:ascii="Times New Roman" w:cs="Times New Roman"/>
            <w:bCs/>
            <w:noProof/>
            <w:szCs w:val="32"/>
          </w:rPr>
          <w:t>选址符合性分析</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_Toc3055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29</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12138" w:history="1">
        <w:r w:rsidR="00F64314">
          <w:rPr>
            <w:rFonts w:ascii="Times New Roman" w:cs="Times New Roman"/>
            <w:bCs/>
            <w:noProof/>
            <w:szCs w:val="32"/>
          </w:rPr>
          <w:t xml:space="preserve">1.8 </w:t>
        </w:r>
        <w:r w:rsidR="00F64314">
          <w:rPr>
            <w:rFonts w:ascii="Times New Roman" w:cs="Times New Roman"/>
            <w:bCs/>
            <w:noProof/>
            <w:szCs w:val="32"/>
          </w:rPr>
          <w:t>项目与相关符合性分析</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_Toc12138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34</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29703" w:history="1">
        <w:r w:rsidR="00F64314">
          <w:rPr>
            <w:rFonts w:ascii="Times New Roman" w:cs="Times New Roman"/>
            <w:bCs/>
            <w:noProof/>
            <w:szCs w:val="32"/>
          </w:rPr>
          <w:t xml:space="preserve">1.9 </w:t>
        </w:r>
        <w:r w:rsidR="00F64314">
          <w:rPr>
            <w:rFonts w:ascii="Times New Roman" w:cs="Times New Roman"/>
            <w:bCs/>
            <w:noProof/>
            <w:szCs w:val="32"/>
          </w:rPr>
          <w:t>污染控制与环境保护目标</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_Toc29703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56</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4020" w:history="1">
        <w:r w:rsidR="00F64314">
          <w:rPr>
            <w:rFonts w:ascii="Times New Roman" w:cs="Times New Roman"/>
            <w:bCs/>
            <w:noProof/>
            <w:szCs w:val="32"/>
          </w:rPr>
          <w:t xml:space="preserve">1.10 </w:t>
        </w:r>
        <w:r w:rsidR="00F64314">
          <w:rPr>
            <w:rFonts w:ascii="Times New Roman" w:cs="Times New Roman"/>
            <w:bCs/>
            <w:noProof/>
            <w:szCs w:val="32"/>
          </w:rPr>
          <w:t>评价方法和工作程序</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_Toc4020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71</w:t>
        </w:r>
        <w:r>
          <w:rPr>
            <w:rFonts w:ascii="Times New Roman" w:cs="Times New Roman"/>
            <w:noProof/>
          </w:rPr>
          <w:fldChar w:fldCharType="end"/>
        </w:r>
      </w:hyperlink>
    </w:p>
    <w:p w:rsidR="00BD5820" w:rsidRDefault="00EA3750">
      <w:pPr>
        <w:pStyle w:val="10"/>
        <w:tabs>
          <w:tab w:val="right" w:leader="dot" w:pos="9350"/>
        </w:tabs>
        <w:rPr>
          <w:rFonts w:cs="Times New Roman"/>
          <w:noProof/>
        </w:rPr>
      </w:pPr>
      <w:hyperlink w:anchor="_Toc23563" w:history="1">
        <w:r w:rsidR="00F64314">
          <w:rPr>
            <w:rFonts w:cs="Times New Roman"/>
            <w:noProof/>
            <w:kern w:val="44"/>
            <w:szCs w:val="44"/>
          </w:rPr>
          <w:t xml:space="preserve">2 </w:t>
        </w:r>
        <w:r w:rsidR="00F64314">
          <w:rPr>
            <w:rFonts w:cs="Times New Roman"/>
            <w:noProof/>
            <w:kern w:val="44"/>
            <w:szCs w:val="44"/>
          </w:rPr>
          <w:t>现有工程依托可行性分析</w:t>
        </w:r>
        <w:r w:rsidR="00F64314">
          <w:rPr>
            <w:rFonts w:cs="Times New Roman"/>
            <w:noProof/>
          </w:rPr>
          <w:tab/>
        </w:r>
        <w:r>
          <w:rPr>
            <w:rFonts w:cs="Times New Roman"/>
            <w:noProof/>
          </w:rPr>
          <w:fldChar w:fldCharType="begin"/>
        </w:r>
        <w:r w:rsidR="00F64314">
          <w:rPr>
            <w:rFonts w:cs="Times New Roman"/>
            <w:noProof/>
          </w:rPr>
          <w:instrText xml:space="preserve"> PAGEREF _Toc23563 \h </w:instrText>
        </w:r>
        <w:r>
          <w:rPr>
            <w:rFonts w:cs="Times New Roman"/>
            <w:noProof/>
          </w:rPr>
        </w:r>
        <w:r>
          <w:rPr>
            <w:rFonts w:cs="Times New Roman"/>
            <w:noProof/>
          </w:rPr>
          <w:fldChar w:fldCharType="separate"/>
        </w:r>
        <w:r w:rsidR="00EC0676">
          <w:rPr>
            <w:rFonts w:cs="Times New Roman"/>
            <w:noProof/>
          </w:rPr>
          <w:t>73</w:t>
        </w:r>
        <w:r>
          <w:rPr>
            <w:rFonts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17694" w:history="1">
        <w:r w:rsidR="00F64314">
          <w:rPr>
            <w:rFonts w:ascii="Times New Roman" w:cs="Times New Roman"/>
            <w:noProof/>
          </w:rPr>
          <w:t>2.1 P102</w:t>
        </w:r>
        <w:r w:rsidR="00F64314">
          <w:rPr>
            <w:rFonts w:ascii="Times New Roman" w:cs="Times New Roman"/>
            <w:noProof/>
          </w:rPr>
          <w:t>集气站现状及依托可行性</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_Toc17694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73</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23309" w:history="1">
        <w:r w:rsidR="00F64314">
          <w:rPr>
            <w:rFonts w:ascii="Times New Roman" w:cs="Times New Roman"/>
            <w:noProof/>
          </w:rPr>
          <w:t>2.2 P104</w:t>
        </w:r>
        <w:r w:rsidR="00F64314">
          <w:rPr>
            <w:rFonts w:ascii="Times New Roman" w:cs="Times New Roman"/>
            <w:noProof/>
          </w:rPr>
          <w:t>集气站现状及依托可行性</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_Toc23309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74</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13177" w:history="1">
        <w:r w:rsidR="00F64314">
          <w:rPr>
            <w:rFonts w:ascii="Times New Roman" w:cs="Times New Roman"/>
            <w:noProof/>
          </w:rPr>
          <w:t>2.3 P106</w:t>
        </w:r>
        <w:r w:rsidR="00F64314">
          <w:rPr>
            <w:rFonts w:ascii="Times New Roman" w:cs="Times New Roman"/>
            <w:noProof/>
          </w:rPr>
          <w:t>集气站现状及依托可行性</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_Toc13177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75</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29305" w:history="1">
        <w:r w:rsidR="00F64314">
          <w:rPr>
            <w:rFonts w:ascii="Times New Roman" w:cs="Times New Roman"/>
            <w:noProof/>
          </w:rPr>
          <w:t xml:space="preserve">2.4 </w:t>
        </w:r>
        <w:r w:rsidR="00F64314">
          <w:rPr>
            <w:rFonts w:ascii="Times New Roman" w:cs="Times New Roman"/>
            <w:noProof/>
          </w:rPr>
          <w:t>净化厂东侧料仓现状及依托可行性</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_Toc29305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76</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22490" w:history="1">
        <w:r w:rsidR="00F64314">
          <w:rPr>
            <w:rFonts w:ascii="Times New Roman" w:cs="Times New Roman"/>
            <w:noProof/>
          </w:rPr>
          <w:t xml:space="preserve">2.5 </w:t>
        </w:r>
        <w:r w:rsidR="00F64314">
          <w:rPr>
            <w:rFonts w:ascii="Times New Roman" w:cs="Times New Roman"/>
            <w:noProof/>
          </w:rPr>
          <w:t>现有环保工程依托可行性</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_Toc22490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77</w:t>
        </w:r>
        <w:r>
          <w:rPr>
            <w:rFonts w:ascii="Times New Roman" w:cs="Times New Roman"/>
            <w:noProof/>
          </w:rPr>
          <w:fldChar w:fldCharType="end"/>
        </w:r>
      </w:hyperlink>
    </w:p>
    <w:p w:rsidR="00BD5820" w:rsidRDefault="00EA3750">
      <w:pPr>
        <w:pStyle w:val="10"/>
        <w:tabs>
          <w:tab w:val="right" w:leader="dot" w:pos="9350"/>
        </w:tabs>
        <w:rPr>
          <w:rFonts w:cs="Times New Roman"/>
          <w:noProof/>
        </w:rPr>
      </w:pPr>
      <w:hyperlink w:anchor="_Toc3845" w:history="1">
        <w:r w:rsidR="00F64314">
          <w:rPr>
            <w:rFonts w:cs="Times New Roman"/>
            <w:noProof/>
          </w:rPr>
          <w:t xml:space="preserve">3 </w:t>
        </w:r>
        <w:r w:rsidR="00F64314">
          <w:rPr>
            <w:rFonts w:cs="Times New Roman"/>
            <w:noProof/>
          </w:rPr>
          <w:t>项目概况</w:t>
        </w:r>
        <w:r w:rsidR="00F64314">
          <w:rPr>
            <w:rFonts w:cs="Times New Roman"/>
            <w:noProof/>
          </w:rPr>
          <w:tab/>
        </w:r>
        <w:r>
          <w:rPr>
            <w:rFonts w:cs="Times New Roman"/>
            <w:noProof/>
          </w:rPr>
          <w:fldChar w:fldCharType="begin"/>
        </w:r>
        <w:r w:rsidR="00F64314">
          <w:rPr>
            <w:rFonts w:cs="Times New Roman"/>
            <w:noProof/>
          </w:rPr>
          <w:instrText xml:space="preserve"> PAGEREF _Toc3845 \h </w:instrText>
        </w:r>
        <w:r>
          <w:rPr>
            <w:rFonts w:cs="Times New Roman"/>
            <w:noProof/>
          </w:rPr>
        </w:r>
        <w:r>
          <w:rPr>
            <w:rFonts w:cs="Times New Roman"/>
            <w:noProof/>
          </w:rPr>
          <w:fldChar w:fldCharType="separate"/>
        </w:r>
        <w:r w:rsidR="00EC0676">
          <w:rPr>
            <w:rFonts w:cs="Times New Roman"/>
            <w:noProof/>
          </w:rPr>
          <w:t>79</w:t>
        </w:r>
        <w:r>
          <w:rPr>
            <w:rFonts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2123" w:history="1">
        <w:r w:rsidR="00F64314">
          <w:rPr>
            <w:rFonts w:ascii="Times New Roman" w:cs="Times New Roman"/>
            <w:noProof/>
          </w:rPr>
          <w:t xml:space="preserve">3.1 </w:t>
        </w:r>
        <w:r w:rsidR="00F64314">
          <w:rPr>
            <w:rFonts w:ascii="Times New Roman" w:cs="Times New Roman"/>
            <w:noProof/>
          </w:rPr>
          <w:t>基本情况</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_Toc2123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79</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530" w:history="1">
        <w:r w:rsidR="00F64314">
          <w:rPr>
            <w:rFonts w:ascii="Times New Roman" w:cs="Times New Roman"/>
            <w:noProof/>
          </w:rPr>
          <w:t xml:space="preserve">3.2 </w:t>
        </w:r>
        <w:r w:rsidR="00F64314">
          <w:rPr>
            <w:rFonts w:ascii="Times New Roman" w:cs="Times New Roman"/>
            <w:noProof/>
          </w:rPr>
          <w:t>工程规模及项目组成</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_Toc530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79</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24100" w:history="1">
        <w:r w:rsidR="00F64314">
          <w:rPr>
            <w:rFonts w:ascii="Times New Roman" w:cs="Times New Roman"/>
            <w:noProof/>
          </w:rPr>
          <w:t xml:space="preserve">3.3 </w:t>
        </w:r>
        <w:r w:rsidR="00F64314">
          <w:rPr>
            <w:rFonts w:ascii="Times New Roman" w:cs="Times New Roman"/>
            <w:noProof/>
          </w:rPr>
          <w:t>输送介质情况</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_Toc24100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83</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16173" w:history="1">
        <w:r w:rsidR="00F64314">
          <w:rPr>
            <w:rFonts w:ascii="Times New Roman" w:cs="Times New Roman"/>
            <w:noProof/>
          </w:rPr>
          <w:t xml:space="preserve">3.4 </w:t>
        </w:r>
        <w:r w:rsidR="00F64314">
          <w:rPr>
            <w:rFonts w:ascii="Times New Roman" w:cs="Times New Roman"/>
            <w:noProof/>
          </w:rPr>
          <w:t>场站工程、管线</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_Toc16173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83</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2053" w:history="1">
        <w:r w:rsidR="00F64314">
          <w:rPr>
            <w:rFonts w:ascii="Times New Roman" w:cs="Times New Roman"/>
            <w:noProof/>
          </w:rPr>
          <w:t xml:space="preserve">3.5 </w:t>
        </w:r>
        <w:r w:rsidR="00F64314">
          <w:rPr>
            <w:rFonts w:ascii="Times New Roman" w:cs="Times New Roman"/>
            <w:noProof/>
          </w:rPr>
          <w:t>线路工程</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_Toc2053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86</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18071" w:history="1">
        <w:r w:rsidR="00F64314">
          <w:rPr>
            <w:rFonts w:ascii="Times New Roman" w:cs="Times New Roman"/>
            <w:noProof/>
          </w:rPr>
          <w:t xml:space="preserve">3.6 </w:t>
        </w:r>
        <w:r w:rsidR="00F64314">
          <w:rPr>
            <w:rFonts w:ascii="Times New Roman" w:cs="Times New Roman"/>
            <w:noProof/>
          </w:rPr>
          <w:t>辅助工程</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_Toc18071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87</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26823" w:history="1">
        <w:r w:rsidR="00F64314">
          <w:rPr>
            <w:rFonts w:ascii="Times New Roman" w:cs="Times New Roman"/>
            <w:noProof/>
          </w:rPr>
          <w:t xml:space="preserve">3.7 </w:t>
        </w:r>
        <w:r w:rsidR="00F64314">
          <w:rPr>
            <w:rFonts w:ascii="Times New Roman" w:cs="Times New Roman"/>
            <w:noProof/>
          </w:rPr>
          <w:t>公用工程</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_Toc26823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89</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11508" w:history="1">
        <w:r w:rsidR="00F64314">
          <w:rPr>
            <w:rFonts w:ascii="Times New Roman" w:cs="Times New Roman"/>
            <w:noProof/>
          </w:rPr>
          <w:t xml:space="preserve">3.8 </w:t>
        </w:r>
        <w:r w:rsidR="00F64314">
          <w:rPr>
            <w:rFonts w:ascii="Times New Roman" w:cs="Times New Roman"/>
            <w:noProof/>
          </w:rPr>
          <w:t>其他工程</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_Toc11508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90</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21221" w:history="1">
        <w:r w:rsidR="00F64314">
          <w:rPr>
            <w:rFonts w:ascii="Times New Roman" w:cs="Times New Roman"/>
            <w:noProof/>
          </w:rPr>
          <w:t xml:space="preserve">3.9 </w:t>
        </w:r>
        <w:r w:rsidR="00F64314">
          <w:rPr>
            <w:rFonts w:ascii="Times New Roman" w:cs="Times New Roman"/>
            <w:noProof/>
          </w:rPr>
          <w:t>劳动定员、建设进度</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_Toc21221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91</w:t>
        </w:r>
        <w:r>
          <w:rPr>
            <w:rFonts w:ascii="Times New Roman" w:cs="Times New Roman"/>
            <w:noProof/>
          </w:rPr>
          <w:fldChar w:fldCharType="end"/>
        </w:r>
      </w:hyperlink>
    </w:p>
    <w:p w:rsidR="00BD5820" w:rsidRDefault="00EA3750">
      <w:pPr>
        <w:pStyle w:val="10"/>
        <w:tabs>
          <w:tab w:val="right" w:leader="dot" w:pos="9350"/>
        </w:tabs>
        <w:rPr>
          <w:rFonts w:cs="Times New Roman"/>
          <w:noProof/>
        </w:rPr>
      </w:pPr>
      <w:hyperlink w:anchor="_Toc29079" w:history="1">
        <w:r w:rsidR="00F64314">
          <w:rPr>
            <w:rFonts w:cs="Times New Roman"/>
            <w:noProof/>
          </w:rPr>
          <w:t xml:space="preserve">4 </w:t>
        </w:r>
        <w:r w:rsidR="00F64314">
          <w:rPr>
            <w:rFonts w:cs="Times New Roman"/>
            <w:noProof/>
          </w:rPr>
          <w:t>工程分析</w:t>
        </w:r>
        <w:r w:rsidR="00F64314">
          <w:rPr>
            <w:rFonts w:cs="Times New Roman"/>
            <w:noProof/>
          </w:rPr>
          <w:tab/>
        </w:r>
        <w:r>
          <w:rPr>
            <w:rFonts w:cs="Times New Roman"/>
            <w:noProof/>
          </w:rPr>
          <w:fldChar w:fldCharType="begin"/>
        </w:r>
        <w:r w:rsidR="00F64314">
          <w:rPr>
            <w:rFonts w:cs="Times New Roman"/>
            <w:noProof/>
          </w:rPr>
          <w:instrText xml:space="preserve"> PAGEREF _Toc29079 \h </w:instrText>
        </w:r>
        <w:r>
          <w:rPr>
            <w:rFonts w:cs="Times New Roman"/>
            <w:noProof/>
          </w:rPr>
        </w:r>
        <w:r>
          <w:rPr>
            <w:rFonts w:cs="Times New Roman"/>
            <w:noProof/>
          </w:rPr>
          <w:fldChar w:fldCharType="separate"/>
        </w:r>
        <w:r w:rsidR="00EC0676">
          <w:rPr>
            <w:rFonts w:cs="Times New Roman"/>
            <w:noProof/>
          </w:rPr>
          <w:t>93</w:t>
        </w:r>
        <w:r>
          <w:rPr>
            <w:rFonts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27685" w:history="1">
        <w:r w:rsidR="00F64314">
          <w:rPr>
            <w:rFonts w:ascii="Times New Roman" w:cs="Times New Roman"/>
            <w:noProof/>
          </w:rPr>
          <w:t xml:space="preserve">4.1 </w:t>
        </w:r>
        <w:r w:rsidR="00F64314">
          <w:rPr>
            <w:rFonts w:ascii="Times New Roman" w:cs="Times New Roman"/>
            <w:noProof/>
          </w:rPr>
          <w:t>施工期工程分析</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_Toc27685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93</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8193" w:history="1">
        <w:r w:rsidR="00F64314">
          <w:rPr>
            <w:rFonts w:ascii="Times New Roman" w:cs="Times New Roman"/>
            <w:noProof/>
          </w:rPr>
          <w:t xml:space="preserve">4.2 </w:t>
        </w:r>
        <w:r w:rsidR="00F64314">
          <w:rPr>
            <w:rFonts w:ascii="Times New Roman" w:cs="Times New Roman"/>
            <w:noProof/>
          </w:rPr>
          <w:t>运营期工程分析</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_Toc8193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108</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25479" w:history="1">
        <w:r w:rsidR="00F64314">
          <w:rPr>
            <w:rFonts w:ascii="Times New Roman" w:cs="Times New Roman"/>
            <w:noProof/>
          </w:rPr>
          <w:t xml:space="preserve">4.3 </w:t>
        </w:r>
        <w:r w:rsidR="00F64314">
          <w:rPr>
            <w:rFonts w:ascii="Times New Roman" w:cs="Times New Roman"/>
            <w:noProof/>
          </w:rPr>
          <w:t>项目清洁生产分析</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_Toc25479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115</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24210" w:history="1">
        <w:r w:rsidR="00F64314">
          <w:rPr>
            <w:rFonts w:ascii="Times New Roman" w:cs="Times New Roman"/>
            <w:noProof/>
          </w:rPr>
          <w:t xml:space="preserve">4.4 </w:t>
        </w:r>
        <w:r w:rsidR="00F64314">
          <w:rPr>
            <w:rFonts w:ascii="Times New Roman" w:cs="Times New Roman"/>
            <w:noProof/>
          </w:rPr>
          <w:t>总量控制</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_Toc24210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116</w:t>
        </w:r>
        <w:r>
          <w:rPr>
            <w:rFonts w:ascii="Times New Roman" w:cs="Times New Roman"/>
            <w:noProof/>
          </w:rPr>
          <w:fldChar w:fldCharType="end"/>
        </w:r>
      </w:hyperlink>
    </w:p>
    <w:p w:rsidR="00BD5820" w:rsidRDefault="00EA3750">
      <w:pPr>
        <w:pStyle w:val="10"/>
        <w:tabs>
          <w:tab w:val="right" w:leader="dot" w:pos="9350"/>
        </w:tabs>
        <w:rPr>
          <w:rFonts w:cs="Times New Roman"/>
          <w:noProof/>
        </w:rPr>
      </w:pPr>
      <w:hyperlink w:anchor="_Toc13261" w:history="1">
        <w:r w:rsidR="00F64314">
          <w:rPr>
            <w:rFonts w:cs="Times New Roman"/>
            <w:noProof/>
          </w:rPr>
          <w:t xml:space="preserve">5 </w:t>
        </w:r>
        <w:r w:rsidR="00F64314">
          <w:rPr>
            <w:rFonts w:cs="Times New Roman"/>
            <w:noProof/>
          </w:rPr>
          <w:t>环境质量现状调查与评价</w:t>
        </w:r>
        <w:r w:rsidR="00F64314">
          <w:rPr>
            <w:rFonts w:cs="Times New Roman"/>
            <w:noProof/>
          </w:rPr>
          <w:tab/>
        </w:r>
        <w:r>
          <w:rPr>
            <w:rFonts w:cs="Times New Roman"/>
            <w:noProof/>
          </w:rPr>
          <w:fldChar w:fldCharType="begin"/>
        </w:r>
        <w:r w:rsidR="00F64314">
          <w:rPr>
            <w:rFonts w:cs="Times New Roman"/>
            <w:noProof/>
          </w:rPr>
          <w:instrText xml:space="preserve"> PAGEREF _Toc13261 \h </w:instrText>
        </w:r>
        <w:r>
          <w:rPr>
            <w:rFonts w:cs="Times New Roman"/>
            <w:noProof/>
          </w:rPr>
        </w:r>
        <w:r>
          <w:rPr>
            <w:rFonts w:cs="Times New Roman"/>
            <w:noProof/>
          </w:rPr>
          <w:fldChar w:fldCharType="separate"/>
        </w:r>
        <w:r w:rsidR="00EC0676">
          <w:rPr>
            <w:rFonts w:cs="Times New Roman"/>
            <w:noProof/>
          </w:rPr>
          <w:t>117</w:t>
        </w:r>
        <w:r>
          <w:rPr>
            <w:rFonts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23415" w:history="1">
        <w:r w:rsidR="00F64314">
          <w:rPr>
            <w:rFonts w:ascii="Times New Roman" w:cs="Times New Roman"/>
            <w:noProof/>
          </w:rPr>
          <w:t xml:space="preserve">5.1 </w:t>
        </w:r>
        <w:r w:rsidR="00F64314">
          <w:rPr>
            <w:rFonts w:ascii="Times New Roman" w:cs="Times New Roman"/>
            <w:noProof/>
          </w:rPr>
          <w:t>自然环境概况</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_Toc23415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117</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16148" w:history="1">
        <w:r w:rsidR="00F64314">
          <w:rPr>
            <w:rFonts w:ascii="Times New Roman" w:cs="Times New Roman"/>
            <w:noProof/>
          </w:rPr>
          <w:t xml:space="preserve">5.2 </w:t>
        </w:r>
        <w:r w:rsidR="00F64314">
          <w:rPr>
            <w:rFonts w:ascii="Times New Roman" w:cs="Times New Roman"/>
            <w:noProof/>
          </w:rPr>
          <w:t>生态环境调查与评价</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_Toc16148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122</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21086" w:history="1">
        <w:r w:rsidR="00F64314">
          <w:rPr>
            <w:rFonts w:ascii="Times New Roman" w:cs="Times New Roman"/>
            <w:noProof/>
          </w:rPr>
          <w:t xml:space="preserve">5.3 </w:t>
        </w:r>
        <w:r w:rsidR="00F64314">
          <w:rPr>
            <w:rFonts w:ascii="Times New Roman" w:cs="Times New Roman"/>
            <w:noProof/>
          </w:rPr>
          <w:t>环境空气质量现状与评价</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_Toc21086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159</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13392" w:history="1">
        <w:r w:rsidR="00F64314">
          <w:rPr>
            <w:rFonts w:ascii="Times New Roman" w:cs="Times New Roman"/>
            <w:noProof/>
          </w:rPr>
          <w:t xml:space="preserve">5.4 </w:t>
        </w:r>
        <w:r w:rsidR="00F64314">
          <w:rPr>
            <w:rFonts w:ascii="Times New Roman" w:cs="Times New Roman"/>
            <w:noProof/>
          </w:rPr>
          <w:t>地表水环境质量现状与评价</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_Toc13392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162</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30840" w:history="1">
        <w:r w:rsidR="00F64314">
          <w:rPr>
            <w:rFonts w:ascii="Times New Roman" w:cs="Times New Roman"/>
            <w:noProof/>
          </w:rPr>
          <w:t xml:space="preserve">5.5 </w:t>
        </w:r>
        <w:r w:rsidR="00F64314">
          <w:rPr>
            <w:rFonts w:ascii="Times New Roman" w:cs="Times New Roman"/>
            <w:noProof/>
          </w:rPr>
          <w:t>地下水环境质量现状与评价</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_Toc30840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162</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30135" w:history="1">
        <w:r w:rsidR="00F64314">
          <w:rPr>
            <w:rFonts w:ascii="Times New Roman" w:cs="Times New Roman"/>
            <w:noProof/>
          </w:rPr>
          <w:t xml:space="preserve">5.6 </w:t>
        </w:r>
        <w:r w:rsidR="00F64314">
          <w:rPr>
            <w:rFonts w:ascii="Times New Roman" w:cs="Times New Roman"/>
            <w:noProof/>
          </w:rPr>
          <w:t>声环境质量现状与评价</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_Toc30135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169</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18890" w:history="1">
        <w:r w:rsidR="00F64314">
          <w:rPr>
            <w:rFonts w:ascii="Times New Roman" w:cs="Times New Roman"/>
            <w:noProof/>
          </w:rPr>
          <w:t xml:space="preserve">5.7 </w:t>
        </w:r>
        <w:r w:rsidR="00F64314">
          <w:rPr>
            <w:rFonts w:ascii="Times New Roman" w:cs="Times New Roman"/>
            <w:noProof/>
          </w:rPr>
          <w:t>土壤环境质量现状与评价</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_Toc18890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170</w:t>
        </w:r>
        <w:r>
          <w:rPr>
            <w:rFonts w:ascii="Times New Roman" w:cs="Times New Roman"/>
            <w:noProof/>
          </w:rPr>
          <w:fldChar w:fldCharType="end"/>
        </w:r>
      </w:hyperlink>
    </w:p>
    <w:p w:rsidR="00BD5820" w:rsidRDefault="00EA3750">
      <w:pPr>
        <w:pStyle w:val="10"/>
        <w:tabs>
          <w:tab w:val="right" w:leader="dot" w:pos="9350"/>
        </w:tabs>
        <w:rPr>
          <w:rFonts w:cs="Times New Roman"/>
          <w:noProof/>
        </w:rPr>
      </w:pPr>
      <w:hyperlink w:anchor="_Toc12113" w:history="1">
        <w:r w:rsidR="00F64314">
          <w:rPr>
            <w:rFonts w:cs="Times New Roman"/>
            <w:noProof/>
          </w:rPr>
          <w:t xml:space="preserve">6 </w:t>
        </w:r>
        <w:r w:rsidR="00F64314">
          <w:rPr>
            <w:rFonts w:cs="Times New Roman"/>
            <w:noProof/>
          </w:rPr>
          <w:t>环境影响预测与评价</w:t>
        </w:r>
        <w:r w:rsidR="00F64314">
          <w:rPr>
            <w:rFonts w:cs="Times New Roman"/>
            <w:noProof/>
          </w:rPr>
          <w:tab/>
        </w:r>
        <w:r>
          <w:rPr>
            <w:rFonts w:cs="Times New Roman"/>
            <w:noProof/>
          </w:rPr>
          <w:fldChar w:fldCharType="begin"/>
        </w:r>
        <w:r w:rsidR="00F64314">
          <w:rPr>
            <w:rFonts w:cs="Times New Roman"/>
            <w:noProof/>
          </w:rPr>
          <w:instrText xml:space="preserve"> PAGEREF _Toc12113 \h </w:instrText>
        </w:r>
        <w:r>
          <w:rPr>
            <w:rFonts w:cs="Times New Roman"/>
            <w:noProof/>
          </w:rPr>
        </w:r>
        <w:r>
          <w:rPr>
            <w:rFonts w:cs="Times New Roman"/>
            <w:noProof/>
          </w:rPr>
          <w:fldChar w:fldCharType="separate"/>
        </w:r>
        <w:r w:rsidR="00EC0676">
          <w:rPr>
            <w:rFonts w:cs="Times New Roman"/>
            <w:noProof/>
          </w:rPr>
          <w:t>176</w:t>
        </w:r>
        <w:r>
          <w:rPr>
            <w:rFonts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18920" w:history="1">
        <w:r w:rsidR="00F64314">
          <w:rPr>
            <w:rFonts w:ascii="Times New Roman" w:cs="Times New Roman"/>
            <w:noProof/>
          </w:rPr>
          <w:t xml:space="preserve">6.1 </w:t>
        </w:r>
        <w:r w:rsidR="00F64314">
          <w:rPr>
            <w:rFonts w:ascii="Times New Roman" w:cs="Times New Roman"/>
            <w:noProof/>
          </w:rPr>
          <w:t>施工期环境影响预测及评价</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_Toc18920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176</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1872" w:history="1">
        <w:r w:rsidR="00F64314">
          <w:rPr>
            <w:rFonts w:ascii="Times New Roman" w:cs="Times New Roman"/>
            <w:noProof/>
          </w:rPr>
          <w:t xml:space="preserve">6.2 </w:t>
        </w:r>
        <w:r w:rsidR="00F64314">
          <w:rPr>
            <w:rFonts w:ascii="Times New Roman" w:cs="Times New Roman"/>
            <w:noProof/>
          </w:rPr>
          <w:t>运营期环境影响预测及评价</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_Toc1872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190</w:t>
        </w:r>
        <w:r>
          <w:rPr>
            <w:rFonts w:ascii="Times New Roman" w:cs="Times New Roman"/>
            <w:noProof/>
          </w:rPr>
          <w:fldChar w:fldCharType="end"/>
        </w:r>
      </w:hyperlink>
    </w:p>
    <w:p w:rsidR="00BD5820" w:rsidRDefault="00EA3750">
      <w:pPr>
        <w:pStyle w:val="10"/>
        <w:tabs>
          <w:tab w:val="right" w:leader="dot" w:pos="9350"/>
        </w:tabs>
        <w:rPr>
          <w:rFonts w:cs="Times New Roman"/>
          <w:noProof/>
        </w:rPr>
      </w:pPr>
      <w:hyperlink w:anchor="_Toc7042" w:history="1">
        <w:r w:rsidR="00F64314">
          <w:rPr>
            <w:rFonts w:cs="Times New Roman"/>
            <w:bCs/>
            <w:noProof/>
          </w:rPr>
          <w:t xml:space="preserve">7 </w:t>
        </w:r>
        <w:r w:rsidR="00F64314">
          <w:rPr>
            <w:rFonts w:cs="Times New Roman"/>
            <w:bCs/>
            <w:noProof/>
          </w:rPr>
          <w:t>环境风险分析</w:t>
        </w:r>
        <w:r w:rsidR="00F64314">
          <w:rPr>
            <w:rFonts w:cs="Times New Roman"/>
            <w:noProof/>
          </w:rPr>
          <w:tab/>
        </w:r>
        <w:r>
          <w:rPr>
            <w:rFonts w:cs="Times New Roman"/>
            <w:noProof/>
          </w:rPr>
          <w:fldChar w:fldCharType="begin"/>
        </w:r>
        <w:r w:rsidR="00F64314">
          <w:rPr>
            <w:rFonts w:cs="Times New Roman"/>
            <w:noProof/>
          </w:rPr>
          <w:instrText xml:space="preserve"> PAGEREF _Toc7042 \h </w:instrText>
        </w:r>
        <w:r>
          <w:rPr>
            <w:rFonts w:cs="Times New Roman"/>
            <w:noProof/>
          </w:rPr>
        </w:r>
        <w:r>
          <w:rPr>
            <w:rFonts w:cs="Times New Roman"/>
            <w:noProof/>
          </w:rPr>
          <w:fldChar w:fldCharType="separate"/>
        </w:r>
        <w:r w:rsidR="00EC0676">
          <w:rPr>
            <w:rFonts w:cs="Times New Roman"/>
            <w:noProof/>
          </w:rPr>
          <w:t>209</w:t>
        </w:r>
        <w:r>
          <w:rPr>
            <w:rFonts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24028" w:history="1">
        <w:r w:rsidR="00F64314">
          <w:rPr>
            <w:rFonts w:ascii="Times New Roman" w:cs="Times New Roman"/>
            <w:noProof/>
          </w:rPr>
          <w:t xml:space="preserve">7.1 </w:t>
        </w:r>
        <w:r w:rsidR="00F64314">
          <w:rPr>
            <w:rFonts w:ascii="Times New Roman" w:cs="Times New Roman"/>
            <w:noProof/>
          </w:rPr>
          <w:t>评价依据</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_Toc24028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209</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11635" w:history="1">
        <w:r w:rsidR="00F64314">
          <w:rPr>
            <w:rFonts w:ascii="Times New Roman" w:cs="Times New Roman"/>
            <w:noProof/>
          </w:rPr>
          <w:t xml:space="preserve">7.2 </w:t>
        </w:r>
        <w:r w:rsidR="00F64314">
          <w:rPr>
            <w:rFonts w:ascii="Times New Roman" w:cs="Times New Roman"/>
            <w:noProof/>
          </w:rPr>
          <w:t>一般性原则</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_Toc11635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209</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109" w:history="1">
        <w:r w:rsidR="00F64314">
          <w:rPr>
            <w:rFonts w:ascii="Times New Roman" w:cs="Times New Roman"/>
            <w:noProof/>
          </w:rPr>
          <w:t xml:space="preserve">7.3 </w:t>
        </w:r>
        <w:r w:rsidR="00F64314">
          <w:rPr>
            <w:rFonts w:ascii="Times New Roman" w:cs="Times New Roman"/>
            <w:noProof/>
          </w:rPr>
          <w:t>评价目的及重点</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_Toc109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209</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28978" w:history="1">
        <w:r w:rsidR="00F64314">
          <w:rPr>
            <w:rFonts w:ascii="Times New Roman" w:cs="Times New Roman"/>
            <w:noProof/>
          </w:rPr>
          <w:t xml:space="preserve">7.4 </w:t>
        </w:r>
        <w:r w:rsidR="00F64314">
          <w:rPr>
            <w:rFonts w:ascii="Times New Roman" w:cs="Times New Roman"/>
            <w:noProof/>
          </w:rPr>
          <w:t>风险调查</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_Toc28978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209</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5369" w:history="1">
        <w:r w:rsidR="00F64314">
          <w:rPr>
            <w:rFonts w:ascii="Times New Roman" w:cs="Times New Roman"/>
            <w:noProof/>
          </w:rPr>
          <w:t>7.4</w:t>
        </w:r>
        <w:r w:rsidR="00F64314">
          <w:rPr>
            <w:rFonts w:ascii="Times New Roman" w:cs="Times New Roman"/>
            <w:noProof/>
          </w:rPr>
          <w:t>环境风险潜势判定</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_Toc5369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210</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28113" w:history="1">
        <w:r w:rsidR="00F64314">
          <w:rPr>
            <w:rFonts w:ascii="Times New Roman" w:cs="Times New Roman"/>
            <w:noProof/>
          </w:rPr>
          <w:t xml:space="preserve">7.5 </w:t>
        </w:r>
        <w:r w:rsidR="00F64314">
          <w:rPr>
            <w:rFonts w:ascii="Times New Roman" w:cs="Times New Roman"/>
            <w:noProof/>
          </w:rPr>
          <w:t>评价等级及评价范围</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_Toc28113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213</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25462" w:history="1">
        <w:r w:rsidR="00F64314">
          <w:rPr>
            <w:rFonts w:ascii="Times New Roman" w:cs="Times New Roman"/>
            <w:noProof/>
          </w:rPr>
          <w:t xml:space="preserve">7.6 </w:t>
        </w:r>
        <w:r w:rsidR="00F64314">
          <w:rPr>
            <w:rFonts w:ascii="Times New Roman" w:cs="Times New Roman"/>
            <w:noProof/>
          </w:rPr>
          <w:t>风险识别</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_Toc25462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213</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23534" w:history="1">
        <w:r w:rsidR="00F64314">
          <w:rPr>
            <w:rFonts w:ascii="Times New Roman" w:cs="Times New Roman"/>
            <w:noProof/>
          </w:rPr>
          <w:t xml:space="preserve">7.7 </w:t>
        </w:r>
        <w:r w:rsidR="00F64314">
          <w:rPr>
            <w:rFonts w:ascii="Times New Roman" w:cs="Times New Roman"/>
            <w:noProof/>
          </w:rPr>
          <w:t>风险事故情形分析</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_Toc23534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221</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6272" w:history="1">
        <w:r w:rsidR="00F64314">
          <w:rPr>
            <w:rFonts w:ascii="Times New Roman" w:cs="Times New Roman"/>
            <w:noProof/>
          </w:rPr>
          <w:t xml:space="preserve">7.8 </w:t>
        </w:r>
        <w:r w:rsidR="00F64314">
          <w:rPr>
            <w:rFonts w:ascii="Times New Roman" w:cs="Times New Roman"/>
            <w:noProof/>
          </w:rPr>
          <w:t>环境风险分析</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_Toc6272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225</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6728" w:history="1">
        <w:r w:rsidR="00F64314">
          <w:rPr>
            <w:rFonts w:ascii="Times New Roman" w:cs="Times New Roman"/>
            <w:noProof/>
          </w:rPr>
          <w:t xml:space="preserve">7.9 </w:t>
        </w:r>
        <w:r w:rsidR="00F64314">
          <w:rPr>
            <w:rFonts w:ascii="Times New Roman" w:cs="Times New Roman"/>
            <w:noProof/>
          </w:rPr>
          <w:t>环境风险管理</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_Toc6728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235</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12839" w:history="1">
        <w:r w:rsidR="00F64314">
          <w:rPr>
            <w:rFonts w:ascii="Times New Roman" w:cs="Times New Roman"/>
            <w:noProof/>
          </w:rPr>
          <w:t xml:space="preserve">7.10 </w:t>
        </w:r>
        <w:r w:rsidR="00F64314">
          <w:rPr>
            <w:rFonts w:ascii="Times New Roman" w:cs="Times New Roman"/>
            <w:noProof/>
          </w:rPr>
          <w:t>事故应急预案</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_Toc12839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242</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2002" w:history="1">
        <w:r w:rsidR="00F64314">
          <w:rPr>
            <w:rFonts w:ascii="Times New Roman" w:cs="Times New Roman"/>
            <w:noProof/>
          </w:rPr>
          <w:t xml:space="preserve">7.11 </w:t>
        </w:r>
        <w:r w:rsidR="00F64314">
          <w:rPr>
            <w:rFonts w:ascii="Times New Roman" w:cs="Times New Roman"/>
            <w:noProof/>
          </w:rPr>
          <w:t>环境风险评价结论与建议</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_Toc2002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259</w:t>
        </w:r>
        <w:r>
          <w:rPr>
            <w:rFonts w:ascii="Times New Roman" w:cs="Times New Roman"/>
            <w:noProof/>
          </w:rPr>
          <w:fldChar w:fldCharType="end"/>
        </w:r>
      </w:hyperlink>
    </w:p>
    <w:p w:rsidR="00BD5820" w:rsidRDefault="00EA3750">
      <w:pPr>
        <w:pStyle w:val="10"/>
        <w:tabs>
          <w:tab w:val="right" w:leader="dot" w:pos="9350"/>
        </w:tabs>
        <w:rPr>
          <w:rFonts w:cs="Times New Roman"/>
          <w:noProof/>
        </w:rPr>
      </w:pPr>
      <w:hyperlink w:anchor="_Toc4142" w:history="1">
        <w:r w:rsidR="00F64314">
          <w:rPr>
            <w:rFonts w:cs="Times New Roman"/>
            <w:noProof/>
          </w:rPr>
          <w:t xml:space="preserve">8 </w:t>
        </w:r>
        <w:r w:rsidR="00F64314">
          <w:rPr>
            <w:rFonts w:cs="Times New Roman"/>
            <w:noProof/>
          </w:rPr>
          <w:t>环保措施及其经济技术论证</w:t>
        </w:r>
        <w:r w:rsidR="00F64314">
          <w:rPr>
            <w:rFonts w:cs="Times New Roman"/>
            <w:noProof/>
          </w:rPr>
          <w:tab/>
        </w:r>
        <w:r>
          <w:rPr>
            <w:rFonts w:cs="Times New Roman"/>
            <w:noProof/>
          </w:rPr>
          <w:fldChar w:fldCharType="begin"/>
        </w:r>
        <w:r w:rsidR="00F64314">
          <w:rPr>
            <w:rFonts w:cs="Times New Roman"/>
            <w:noProof/>
          </w:rPr>
          <w:instrText xml:space="preserve"> PAGEREF _Toc4142 \h </w:instrText>
        </w:r>
        <w:r>
          <w:rPr>
            <w:rFonts w:cs="Times New Roman"/>
            <w:noProof/>
          </w:rPr>
        </w:r>
        <w:r>
          <w:rPr>
            <w:rFonts w:cs="Times New Roman"/>
            <w:noProof/>
          </w:rPr>
          <w:fldChar w:fldCharType="separate"/>
        </w:r>
        <w:r w:rsidR="00EC0676">
          <w:rPr>
            <w:rFonts w:cs="Times New Roman"/>
            <w:noProof/>
          </w:rPr>
          <w:t>260</w:t>
        </w:r>
        <w:r>
          <w:rPr>
            <w:rFonts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30579" w:history="1">
        <w:r w:rsidR="00F64314">
          <w:rPr>
            <w:rFonts w:ascii="Times New Roman" w:cs="Times New Roman"/>
            <w:noProof/>
          </w:rPr>
          <w:t xml:space="preserve">8.1 </w:t>
        </w:r>
        <w:r w:rsidR="00F64314">
          <w:rPr>
            <w:rFonts w:ascii="Times New Roman" w:cs="Times New Roman"/>
            <w:noProof/>
          </w:rPr>
          <w:t>施工期的环境保护措施</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_Toc30579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260</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11075" w:history="1">
        <w:r w:rsidR="00F64314">
          <w:rPr>
            <w:rFonts w:ascii="Times New Roman" w:cs="Times New Roman"/>
            <w:noProof/>
          </w:rPr>
          <w:t xml:space="preserve">8.2 </w:t>
        </w:r>
        <w:r w:rsidR="00F64314">
          <w:rPr>
            <w:rFonts w:ascii="Times New Roman" w:cs="Times New Roman"/>
            <w:noProof/>
          </w:rPr>
          <w:t>营运期的环境保护措施</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_Toc11075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278</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21241" w:history="1">
        <w:r w:rsidR="00F64314">
          <w:rPr>
            <w:rFonts w:ascii="Times New Roman" w:cs="Times New Roman"/>
            <w:noProof/>
          </w:rPr>
          <w:t xml:space="preserve">8.3 </w:t>
        </w:r>
        <w:r w:rsidR="00F64314">
          <w:rPr>
            <w:rFonts w:ascii="Times New Roman" w:cs="Times New Roman"/>
            <w:noProof/>
          </w:rPr>
          <w:t>本项目</w:t>
        </w:r>
        <w:r w:rsidR="00F64314">
          <w:rPr>
            <w:rFonts w:ascii="Times New Roman" w:cs="Times New Roman"/>
            <w:noProof/>
          </w:rPr>
          <w:t>“</w:t>
        </w:r>
        <w:r w:rsidR="00F64314">
          <w:rPr>
            <w:rFonts w:ascii="Times New Roman" w:cs="Times New Roman"/>
            <w:noProof/>
          </w:rPr>
          <w:t>三同时</w:t>
        </w:r>
        <w:r w:rsidR="00F64314">
          <w:rPr>
            <w:rFonts w:ascii="Times New Roman" w:cs="Times New Roman"/>
            <w:noProof/>
          </w:rPr>
          <w:t>”</w:t>
        </w:r>
        <w:r w:rsidR="00F64314">
          <w:rPr>
            <w:rFonts w:ascii="Times New Roman" w:cs="Times New Roman"/>
            <w:noProof/>
          </w:rPr>
          <w:t>验收</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_Toc21241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280</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27971" w:history="1">
        <w:r w:rsidR="00F64314">
          <w:rPr>
            <w:rFonts w:ascii="Times New Roman" w:cs="Times New Roman"/>
            <w:noProof/>
          </w:rPr>
          <w:t xml:space="preserve">8.4 </w:t>
        </w:r>
        <w:r w:rsidR="00F64314">
          <w:rPr>
            <w:rFonts w:ascii="Times New Roman" w:cs="Times New Roman"/>
            <w:noProof/>
          </w:rPr>
          <w:t>环保投资估算</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_Toc27971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283</w:t>
        </w:r>
        <w:r>
          <w:rPr>
            <w:rFonts w:ascii="Times New Roman" w:cs="Times New Roman"/>
            <w:noProof/>
          </w:rPr>
          <w:fldChar w:fldCharType="end"/>
        </w:r>
      </w:hyperlink>
    </w:p>
    <w:p w:rsidR="00BD5820" w:rsidRDefault="00EA3750">
      <w:pPr>
        <w:pStyle w:val="10"/>
        <w:tabs>
          <w:tab w:val="right" w:leader="dot" w:pos="9350"/>
        </w:tabs>
        <w:rPr>
          <w:rFonts w:cs="Times New Roman"/>
          <w:noProof/>
        </w:rPr>
      </w:pPr>
      <w:hyperlink w:anchor="_Toc4231" w:history="1">
        <w:r w:rsidR="00F64314">
          <w:rPr>
            <w:rFonts w:cs="Times New Roman"/>
            <w:noProof/>
          </w:rPr>
          <w:t xml:space="preserve">9 </w:t>
        </w:r>
        <w:r w:rsidR="00F64314">
          <w:rPr>
            <w:rFonts w:cs="Times New Roman"/>
            <w:noProof/>
          </w:rPr>
          <w:t>环境影响经济损益分析</w:t>
        </w:r>
        <w:r w:rsidR="00F64314">
          <w:rPr>
            <w:rFonts w:cs="Times New Roman"/>
            <w:noProof/>
          </w:rPr>
          <w:tab/>
        </w:r>
        <w:r>
          <w:rPr>
            <w:rFonts w:cs="Times New Roman"/>
            <w:noProof/>
          </w:rPr>
          <w:fldChar w:fldCharType="begin"/>
        </w:r>
        <w:r w:rsidR="00F64314">
          <w:rPr>
            <w:rFonts w:cs="Times New Roman"/>
            <w:noProof/>
          </w:rPr>
          <w:instrText xml:space="preserve"> PAGEREF _Toc4231 \h </w:instrText>
        </w:r>
        <w:r>
          <w:rPr>
            <w:rFonts w:cs="Times New Roman"/>
            <w:noProof/>
          </w:rPr>
        </w:r>
        <w:r>
          <w:rPr>
            <w:rFonts w:cs="Times New Roman"/>
            <w:noProof/>
          </w:rPr>
          <w:fldChar w:fldCharType="separate"/>
        </w:r>
        <w:r w:rsidR="00EC0676">
          <w:rPr>
            <w:rFonts w:cs="Times New Roman"/>
            <w:noProof/>
          </w:rPr>
          <w:t>286</w:t>
        </w:r>
        <w:r>
          <w:rPr>
            <w:rFonts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19267" w:history="1">
        <w:r w:rsidR="00F64314">
          <w:rPr>
            <w:rFonts w:ascii="Times New Roman" w:cs="Times New Roman"/>
            <w:noProof/>
          </w:rPr>
          <w:t xml:space="preserve">9.1 </w:t>
        </w:r>
        <w:r w:rsidR="00F64314">
          <w:rPr>
            <w:rFonts w:ascii="Times New Roman" w:cs="Times New Roman"/>
            <w:noProof/>
          </w:rPr>
          <w:t>工程经济、社会效益分析</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_Toc19267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286</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31905" w:history="1">
        <w:r w:rsidR="00F64314">
          <w:rPr>
            <w:rFonts w:ascii="Times New Roman" w:cs="Times New Roman"/>
            <w:noProof/>
          </w:rPr>
          <w:t xml:space="preserve">9.2 </w:t>
        </w:r>
        <w:r w:rsidR="00F64314">
          <w:rPr>
            <w:rFonts w:ascii="Times New Roman" w:cs="Times New Roman"/>
            <w:noProof/>
          </w:rPr>
          <w:t>环境损益分析</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_Toc31905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286</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5699" w:history="1">
        <w:r w:rsidR="00F64314">
          <w:rPr>
            <w:rFonts w:ascii="Times New Roman" w:cs="Times New Roman"/>
            <w:noProof/>
          </w:rPr>
          <w:t xml:space="preserve">9.3 </w:t>
        </w:r>
        <w:r w:rsidR="00F64314">
          <w:rPr>
            <w:rFonts w:ascii="Times New Roman" w:cs="Times New Roman"/>
            <w:noProof/>
          </w:rPr>
          <w:t>结论</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_Toc5699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287</w:t>
        </w:r>
        <w:r>
          <w:rPr>
            <w:rFonts w:ascii="Times New Roman" w:cs="Times New Roman"/>
            <w:noProof/>
          </w:rPr>
          <w:fldChar w:fldCharType="end"/>
        </w:r>
      </w:hyperlink>
    </w:p>
    <w:p w:rsidR="00BD5820" w:rsidRDefault="00EA3750">
      <w:pPr>
        <w:pStyle w:val="10"/>
        <w:tabs>
          <w:tab w:val="right" w:leader="dot" w:pos="9350"/>
        </w:tabs>
        <w:rPr>
          <w:rFonts w:cs="Times New Roman"/>
          <w:noProof/>
        </w:rPr>
      </w:pPr>
      <w:hyperlink w:anchor="_Toc2269" w:history="1">
        <w:r w:rsidR="00F64314">
          <w:rPr>
            <w:rFonts w:cs="Times New Roman"/>
            <w:noProof/>
          </w:rPr>
          <w:t xml:space="preserve">10 </w:t>
        </w:r>
        <w:r w:rsidR="00F64314">
          <w:rPr>
            <w:rFonts w:cs="Times New Roman"/>
            <w:noProof/>
          </w:rPr>
          <w:t>环境管理与监测计划</w:t>
        </w:r>
        <w:r w:rsidR="00F64314">
          <w:rPr>
            <w:rFonts w:cs="Times New Roman"/>
            <w:noProof/>
          </w:rPr>
          <w:tab/>
        </w:r>
        <w:r>
          <w:rPr>
            <w:rFonts w:cs="Times New Roman"/>
            <w:noProof/>
          </w:rPr>
          <w:fldChar w:fldCharType="begin"/>
        </w:r>
        <w:r w:rsidR="00F64314">
          <w:rPr>
            <w:rFonts w:cs="Times New Roman"/>
            <w:noProof/>
          </w:rPr>
          <w:instrText xml:space="preserve"> PAGEREF _Toc2269 \h </w:instrText>
        </w:r>
        <w:r>
          <w:rPr>
            <w:rFonts w:cs="Times New Roman"/>
            <w:noProof/>
          </w:rPr>
        </w:r>
        <w:r>
          <w:rPr>
            <w:rFonts w:cs="Times New Roman"/>
            <w:noProof/>
          </w:rPr>
          <w:fldChar w:fldCharType="separate"/>
        </w:r>
        <w:r w:rsidR="00EC0676">
          <w:rPr>
            <w:rFonts w:cs="Times New Roman"/>
            <w:noProof/>
          </w:rPr>
          <w:t>288</w:t>
        </w:r>
        <w:r>
          <w:rPr>
            <w:rFonts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22652" w:history="1">
        <w:r w:rsidR="00F64314">
          <w:rPr>
            <w:rFonts w:ascii="Times New Roman" w:cs="Times New Roman"/>
            <w:noProof/>
          </w:rPr>
          <w:t xml:space="preserve">10.1 </w:t>
        </w:r>
        <w:r w:rsidR="00F64314">
          <w:rPr>
            <w:rFonts w:ascii="Times New Roman" w:cs="Times New Roman"/>
            <w:noProof/>
          </w:rPr>
          <w:t>施工期环境管理</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_Toc22652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288</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392" w:history="1">
        <w:r w:rsidR="00F64314">
          <w:rPr>
            <w:rFonts w:ascii="Times New Roman" w:cs="Times New Roman"/>
            <w:noProof/>
          </w:rPr>
          <w:t xml:space="preserve">10.2 </w:t>
        </w:r>
        <w:r w:rsidR="00F64314">
          <w:rPr>
            <w:rFonts w:ascii="Times New Roman" w:cs="Times New Roman"/>
            <w:noProof/>
          </w:rPr>
          <w:t>运营期环境管理</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_Toc392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290</w:t>
        </w:r>
        <w:r>
          <w:rPr>
            <w:rFonts w:ascii="Times New Roman" w:cs="Times New Roman"/>
            <w:noProof/>
          </w:rPr>
          <w:fldChar w:fldCharType="end"/>
        </w:r>
      </w:hyperlink>
    </w:p>
    <w:p w:rsidR="00BD5820" w:rsidRDefault="00EA3750">
      <w:pPr>
        <w:pStyle w:val="10"/>
        <w:tabs>
          <w:tab w:val="right" w:leader="dot" w:pos="9350"/>
        </w:tabs>
        <w:rPr>
          <w:rFonts w:cs="Times New Roman"/>
          <w:noProof/>
        </w:rPr>
      </w:pPr>
      <w:hyperlink w:anchor="_Toc21536" w:history="1">
        <w:r w:rsidR="00F64314">
          <w:rPr>
            <w:rFonts w:cs="Times New Roman"/>
            <w:noProof/>
          </w:rPr>
          <w:t xml:space="preserve">11 </w:t>
        </w:r>
        <w:r w:rsidR="00F64314">
          <w:rPr>
            <w:rFonts w:cs="Times New Roman"/>
            <w:noProof/>
          </w:rPr>
          <w:t>结论与建议</w:t>
        </w:r>
        <w:r w:rsidR="00F64314">
          <w:rPr>
            <w:rFonts w:cs="Times New Roman"/>
            <w:noProof/>
          </w:rPr>
          <w:tab/>
        </w:r>
        <w:r>
          <w:rPr>
            <w:rFonts w:cs="Times New Roman"/>
            <w:noProof/>
          </w:rPr>
          <w:fldChar w:fldCharType="begin"/>
        </w:r>
        <w:r w:rsidR="00F64314">
          <w:rPr>
            <w:rFonts w:cs="Times New Roman"/>
            <w:noProof/>
          </w:rPr>
          <w:instrText xml:space="preserve"> PAGEREF _Toc21536 \h </w:instrText>
        </w:r>
        <w:r>
          <w:rPr>
            <w:rFonts w:cs="Times New Roman"/>
            <w:noProof/>
          </w:rPr>
        </w:r>
        <w:r>
          <w:rPr>
            <w:rFonts w:cs="Times New Roman"/>
            <w:noProof/>
          </w:rPr>
          <w:fldChar w:fldCharType="separate"/>
        </w:r>
        <w:r w:rsidR="00EC0676">
          <w:rPr>
            <w:rFonts w:cs="Times New Roman"/>
            <w:noProof/>
          </w:rPr>
          <w:t>292</w:t>
        </w:r>
        <w:r>
          <w:rPr>
            <w:rFonts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29395" w:history="1">
        <w:r w:rsidR="00F64314">
          <w:rPr>
            <w:rFonts w:ascii="Times New Roman" w:cs="Times New Roman"/>
            <w:noProof/>
          </w:rPr>
          <w:t xml:space="preserve">11.1 </w:t>
        </w:r>
        <w:r w:rsidR="00F64314">
          <w:rPr>
            <w:rFonts w:ascii="Times New Roman" w:cs="Times New Roman"/>
            <w:noProof/>
          </w:rPr>
          <w:t>项目基本情况</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_Toc29395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292</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5175" w:history="1">
        <w:r w:rsidR="00F64314">
          <w:rPr>
            <w:rFonts w:ascii="Times New Roman" w:cs="Times New Roman"/>
            <w:noProof/>
          </w:rPr>
          <w:t xml:space="preserve">11.2 </w:t>
        </w:r>
        <w:r w:rsidR="00F64314">
          <w:rPr>
            <w:rFonts w:ascii="Times New Roman" w:cs="Times New Roman"/>
            <w:noProof/>
          </w:rPr>
          <w:t>产业政策符合性分析</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_Toc5175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292</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13507" w:history="1">
        <w:r w:rsidR="00F64314">
          <w:rPr>
            <w:rFonts w:ascii="Times New Roman" w:cs="Times New Roman"/>
            <w:noProof/>
          </w:rPr>
          <w:t xml:space="preserve">11.3 </w:t>
        </w:r>
        <w:r w:rsidR="00F64314">
          <w:rPr>
            <w:rFonts w:ascii="Times New Roman" w:cs="Times New Roman"/>
            <w:noProof/>
          </w:rPr>
          <w:t>清洁生产</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_Toc13507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292</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3432" w:history="1">
        <w:r w:rsidR="00F64314">
          <w:rPr>
            <w:rFonts w:ascii="Times New Roman" w:cs="Times New Roman"/>
            <w:noProof/>
          </w:rPr>
          <w:t xml:space="preserve">11.4 </w:t>
        </w:r>
        <w:r w:rsidR="00F64314">
          <w:rPr>
            <w:rFonts w:ascii="Times New Roman" w:cs="Times New Roman"/>
            <w:noProof/>
          </w:rPr>
          <w:t>总量控制</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_Toc3432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293</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15179" w:history="1">
        <w:r w:rsidR="00F64314">
          <w:rPr>
            <w:rFonts w:ascii="Times New Roman" w:cs="Times New Roman"/>
            <w:noProof/>
          </w:rPr>
          <w:t xml:space="preserve">11.5 </w:t>
        </w:r>
        <w:r w:rsidR="00F64314">
          <w:rPr>
            <w:rFonts w:ascii="Times New Roman" w:cs="Times New Roman"/>
            <w:noProof/>
          </w:rPr>
          <w:t>环境现状评价结论</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_Toc15179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293</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5659" w:history="1">
        <w:r w:rsidR="00F64314">
          <w:rPr>
            <w:rFonts w:ascii="Times New Roman" w:cs="Times New Roman"/>
            <w:noProof/>
          </w:rPr>
          <w:t xml:space="preserve">11.6 </w:t>
        </w:r>
        <w:r w:rsidR="00F64314">
          <w:rPr>
            <w:rFonts w:ascii="Times New Roman" w:cs="Times New Roman"/>
            <w:noProof/>
          </w:rPr>
          <w:t>环境影响评价结论</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_Toc5659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294</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29809" w:history="1">
        <w:r w:rsidR="00F64314">
          <w:rPr>
            <w:rFonts w:ascii="Times New Roman" w:cs="Times New Roman"/>
            <w:noProof/>
          </w:rPr>
          <w:t xml:space="preserve">11.7 </w:t>
        </w:r>
        <w:r w:rsidR="00F64314">
          <w:rPr>
            <w:rFonts w:ascii="Times New Roman" w:cs="Times New Roman"/>
            <w:noProof/>
          </w:rPr>
          <w:t>环保措施及经济技术论证</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_Toc29809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295</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30866" w:history="1">
        <w:r w:rsidR="00F64314">
          <w:rPr>
            <w:rFonts w:ascii="Times New Roman" w:cs="Times New Roman"/>
            <w:noProof/>
          </w:rPr>
          <w:t xml:space="preserve">11.8 </w:t>
        </w:r>
        <w:r w:rsidR="00F64314">
          <w:rPr>
            <w:rFonts w:ascii="Times New Roman" w:cs="Times New Roman"/>
            <w:noProof/>
          </w:rPr>
          <w:t>环境风险评价结论</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_Toc30866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296</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3188" w:history="1">
        <w:r w:rsidR="00F64314">
          <w:rPr>
            <w:rFonts w:ascii="Times New Roman" w:cs="Times New Roman"/>
            <w:noProof/>
          </w:rPr>
          <w:t xml:space="preserve">11.9 </w:t>
        </w:r>
        <w:r w:rsidR="00F64314">
          <w:rPr>
            <w:rFonts w:ascii="Times New Roman" w:cs="Times New Roman"/>
            <w:noProof/>
          </w:rPr>
          <w:t>选线、选址的环境可行性</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_Toc3188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296</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14063" w:history="1">
        <w:r w:rsidR="00F64314">
          <w:rPr>
            <w:rFonts w:ascii="Times New Roman" w:cs="Times New Roman"/>
            <w:noProof/>
          </w:rPr>
          <w:t xml:space="preserve">11.10 </w:t>
        </w:r>
        <w:r w:rsidR="00F64314">
          <w:rPr>
            <w:rFonts w:ascii="Times New Roman" w:cs="Times New Roman"/>
            <w:noProof/>
          </w:rPr>
          <w:t>环境影响经济损益分析</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_Toc14063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296</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28747" w:history="1">
        <w:r w:rsidR="00F64314">
          <w:rPr>
            <w:rFonts w:ascii="Times New Roman" w:cs="Times New Roman"/>
            <w:noProof/>
          </w:rPr>
          <w:t xml:space="preserve">11.11 </w:t>
        </w:r>
        <w:r w:rsidR="00F64314">
          <w:rPr>
            <w:rFonts w:ascii="Times New Roman" w:cs="Times New Roman"/>
            <w:noProof/>
          </w:rPr>
          <w:t>公众参与调查</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_Toc28747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296</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6207" w:history="1">
        <w:r w:rsidR="00F64314">
          <w:rPr>
            <w:rFonts w:ascii="Times New Roman" w:cs="Times New Roman"/>
            <w:noProof/>
          </w:rPr>
          <w:t xml:space="preserve">11.12 </w:t>
        </w:r>
        <w:r w:rsidR="00F64314">
          <w:rPr>
            <w:rFonts w:ascii="Times New Roman" w:cs="Times New Roman"/>
            <w:noProof/>
          </w:rPr>
          <w:t>评价结论</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_Toc6207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297</w:t>
        </w:r>
        <w:r>
          <w:rPr>
            <w:rFonts w:ascii="Times New Roman" w:cs="Times New Roman"/>
            <w:noProof/>
          </w:rPr>
          <w:fldChar w:fldCharType="end"/>
        </w:r>
      </w:hyperlink>
    </w:p>
    <w:p w:rsidR="00BD5820" w:rsidRDefault="00EA3750" w:rsidP="00C74272">
      <w:pPr>
        <w:pStyle w:val="22"/>
        <w:tabs>
          <w:tab w:val="right" w:leader="dot" w:pos="9350"/>
        </w:tabs>
        <w:ind w:left="480" w:firstLine="480"/>
        <w:rPr>
          <w:rFonts w:ascii="Times New Roman" w:cs="Times New Roman"/>
          <w:noProof/>
        </w:rPr>
      </w:pPr>
      <w:hyperlink w:anchor="_Toc26873" w:history="1">
        <w:r w:rsidR="00F64314">
          <w:rPr>
            <w:rFonts w:ascii="Times New Roman" w:cs="Times New Roman"/>
            <w:noProof/>
          </w:rPr>
          <w:t xml:space="preserve">11.13 </w:t>
        </w:r>
        <w:r w:rsidR="00F64314">
          <w:rPr>
            <w:rFonts w:ascii="Times New Roman" w:cs="Times New Roman"/>
            <w:noProof/>
          </w:rPr>
          <w:t>建议</w:t>
        </w:r>
        <w:r w:rsidR="00F64314">
          <w:rPr>
            <w:rFonts w:ascii="Times New Roman" w:cs="Times New Roman"/>
            <w:noProof/>
          </w:rPr>
          <w:tab/>
        </w:r>
        <w:r>
          <w:rPr>
            <w:rFonts w:ascii="Times New Roman" w:cs="Times New Roman"/>
            <w:noProof/>
          </w:rPr>
          <w:fldChar w:fldCharType="begin"/>
        </w:r>
        <w:r w:rsidR="00F64314">
          <w:rPr>
            <w:rFonts w:ascii="Times New Roman" w:cs="Times New Roman"/>
            <w:noProof/>
          </w:rPr>
          <w:instrText xml:space="preserve"> PAGEREF _Toc26873 \h </w:instrText>
        </w:r>
        <w:r>
          <w:rPr>
            <w:rFonts w:ascii="Times New Roman" w:cs="Times New Roman"/>
            <w:noProof/>
          </w:rPr>
        </w:r>
        <w:r>
          <w:rPr>
            <w:rFonts w:ascii="Times New Roman" w:cs="Times New Roman"/>
            <w:noProof/>
          </w:rPr>
          <w:fldChar w:fldCharType="separate"/>
        </w:r>
        <w:r w:rsidR="00EC0676">
          <w:rPr>
            <w:rFonts w:ascii="Times New Roman" w:cs="Times New Roman"/>
            <w:noProof/>
          </w:rPr>
          <w:t>297</w:t>
        </w:r>
        <w:r>
          <w:rPr>
            <w:rFonts w:ascii="Times New Roman" w:cs="Times New Roman"/>
            <w:noProof/>
          </w:rPr>
          <w:fldChar w:fldCharType="end"/>
        </w:r>
      </w:hyperlink>
    </w:p>
    <w:p w:rsidR="00BD5820" w:rsidRDefault="00EA3750" w:rsidP="00566186">
      <w:pPr>
        <w:pStyle w:val="22"/>
        <w:tabs>
          <w:tab w:val="right" w:leader="dot" w:pos="9340"/>
        </w:tabs>
        <w:ind w:leftChars="0" w:left="0" w:firstLine="480"/>
      </w:pPr>
      <w:r>
        <w:rPr>
          <w:rFonts w:ascii="Times New Roman" w:cs="Times New Roman"/>
        </w:rPr>
        <w:lastRenderedPageBreak/>
        <w:fldChar w:fldCharType="end"/>
      </w:r>
    </w:p>
    <w:p w:rsidR="00BD5820" w:rsidRDefault="00F64314">
      <w:pPr>
        <w:ind w:firstLineChars="0" w:firstLine="0"/>
        <w:rPr>
          <w:rFonts w:ascii="Times New Roman" w:cs="Times New Roman"/>
          <w:b/>
          <w:bCs/>
        </w:rPr>
      </w:pPr>
      <w:r>
        <w:rPr>
          <w:rFonts w:ascii="Times New Roman" w:cs="Times New Roman"/>
          <w:b/>
          <w:bCs/>
        </w:rPr>
        <w:t>附</w:t>
      </w:r>
      <w:r>
        <w:rPr>
          <w:rFonts w:ascii="Times New Roman" w:cs="Times New Roman" w:hint="eastAsia"/>
          <w:b/>
          <w:bCs/>
        </w:rPr>
        <w:t xml:space="preserve"> </w:t>
      </w:r>
      <w:r>
        <w:rPr>
          <w:rFonts w:ascii="Times New Roman" w:cs="Times New Roman"/>
          <w:b/>
          <w:bCs/>
        </w:rPr>
        <w:t xml:space="preserve"> </w:t>
      </w:r>
      <w:r>
        <w:rPr>
          <w:rFonts w:ascii="Times New Roman" w:cs="Times New Roman"/>
          <w:b/>
          <w:bCs/>
        </w:rPr>
        <w:t>图：</w:t>
      </w:r>
    </w:p>
    <w:p w:rsidR="00BD5820" w:rsidRDefault="00F64314">
      <w:pPr>
        <w:ind w:firstLineChars="450" w:firstLine="1080"/>
        <w:rPr>
          <w:rFonts w:ascii="Times New Roman" w:cs="Times New Roman"/>
        </w:rPr>
      </w:pPr>
      <w:r>
        <w:rPr>
          <w:rFonts w:ascii="Times New Roman" w:cs="Times New Roman"/>
        </w:rPr>
        <w:t>附图</w:t>
      </w:r>
      <w:r>
        <w:rPr>
          <w:rFonts w:ascii="Times New Roman" w:cs="Times New Roman"/>
        </w:rPr>
        <w:t xml:space="preserve">1 </w:t>
      </w:r>
      <w:r>
        <w:rPr>
          <w:rFonts w:ascii="Times New Roman" w:cs="Times New Roman"/>
        </w:rPr>
        <w:t>项目地理位置图</w:t>
      </w:r>
    </w:p>
    <w:p w:rsidR="00BD5820" w:rsidRDefault="00F64314">
      <w:pPr>
        <w:ind w:firstLineChars="450" w:firstLine="1080"/>
        <w:rPr>
          <w:rFonts w:ascii="Times New Roman" w:cs="Times New Roman"/>
        </w:rPr>
      </w:pPr>
      <w:r>
        <w:rPr>
          <w:rFonts w:ascii="Times New Roman" w:cs="Times New Roman" w:hint="eastAsia"/>
        </w:rPr>
        <w:t>附图</w:t>
      </w:r>
      <w:r>
        <w:rPr>
          <w:rFonts w:ascii="Times New Roman" w:cs="Times New Roman" w:hint="eastAsia"/>
        </w:rPr>
        <w:t xml:space="preserve">2 </w:t>
      </w:r>
      <w:r>
        <w:rPr>
          <w:rFonts w:ascii="Times New Roman" w:cs="Times New Roman" w:hint="eastAsia"/>
        </w:rPr>
        <w:t>项目所在区域水系图</w:t>
      </w:r>
    </w:p>
    <w:p w:rsidR="00BD5820" w:rsidRPr="004F5975" w:rsidRDefault="00F64314">
      <w:pPr>
        <w:ind w:firstLineChars="450" w:firstLine="1080"/>
        <w:rPr>
          <w:rFonts w:ascii="Times New Roman" w:cs="Times New Roman"/>
        </w:rPr>
      </w:pPr>
      <w:r>
        <w:rPr>
          <w:rFonts w:ascii="Times New Roman" w:cs="Times New Roman" w:hint="eastAsia"/>
        </w:rPr>
        <w:t>附图</w:t>
      </w:r>
      <w:r>
        <w:rPr>
          <w:rFonts w:ascii="Times New Roman" w:cs="Times New Roman" w:hint="eastAsia"/>
        </w:rPr>
        <w:t xml:space="preserve">3 </w:t>
      </w:r>
      <w:bookmarkStart w:id="1" w:name="_Ref495759037"/>
      <w:bookmarkStart w:id="2" w:name="_Toc11834"/>
      <w:bookmarkStart w:id="3" w:name="_Toc500315313"/>
      <w:bookmarkStart w:id="4" w:name="_Toc524531004"/>
      <w:r>
        <w:rPr>
          <w:rFonts w:ascii="Times New Roman" w:cs="Times New Roman" w:hint="eastAsia"/>
        </w:rPr>
        <w:t>监测布点图</w:t>
      </w:r>
      <w:bookmarkEnd w:id="1"/>
      <w:bookmarkEnd w:id="2"/>
      <w:bookmarkEnd w:id="3"/>
      <w:bookmarkEnd w:id="4"/>
      <w:r>
        <w:rPr>
          <w:rFonts w:ascii="Times New Roman" w:cs="Times New Roman" w:hint="eastAsia"/>
        </w:rPr>
        <w:t>（大气、声环境、声环境、土壤环境）</w:t>
      </w:r>
      <w:r w:rsidR="004F5975">
        <w:rPr>
          <w:rFonts w:ascii="Times New Roman" w:cs="Times New Roman" w:hint="eastAsia"/>
        </w:rPr>
        <w:t>及</w:t>
      </w:r>
      <w:r w:rsidR="004F5975" w:rsidRPr="004F5975">
        <w:rPr>
          <w:rFonts w:ascii="Times New Roman" w:cs="Times New Roman" w:hint="eastAsia"/>
        </w:rPr>
        <w:t>地下水环境敏感点分布</w:t>
      </w:r>
      <w:r w:rsidR="004F5975">
        <w:rPr>
          <w:rFonts w:ascii="Times New Roman" w:cs="Times New Roman" w:hint="eastAsia"/>
        </w:rPr>
        <w:t>图</w:t>
      </w:r>
    </w:p>
    <w:p w:rsidR="00BD5820" w:rsidRDefault="00F64314">
      <w:pPr>
        <w:ind w:firstLineChars="450" w:firstLine="1080"/>
        <w:rPr>
          <w:rFonts w:ascii="Times New Roman" w:cs="Times New Roman"/>
        </w:rPr>
      </w:pPr>
      <w:r>
        <w:rPr>
          <w:rFonts w:ascii="Times New Roman" w:cs="Times New Roman" w:hint="eastAsia"/>
        </w:rPr>
        <w:t>附图</w:t>
      </w:r>
      <w:r>
        <w:rPr>
          <w:rFonts w:ascii="Times New Roman" w:cs="Times New Roman" w:hint="eastAsia"/>
        </w:rPr>
        <w:t xml:space="preserve">4 </w:t>
      </w:r>
      <w:r>
        <w:rPr>
          <w:rFonts w:ascii="Times New Roman" w:cs="Times New Roman" w:hint="eastAsia"/>
          <w:bCs/>
        </w:rPr>
        <w:t>普光气田</w:t>
      </w:r>
      <w:r>
        <w:rPr>
          <w:rFonts w:ascii="Times New Roman" w:cs="Times New Roman"/>
          <w:bCs/>
        </w:rPr>
        <w:t>1#</w:t>
      </w:r>
      <w:r>
        <w:rPr>
          <w:rFonts w:ascii="Times New Roman" w:cs="Times New Roman" w:hint="eastAsia"/>
          <w:bCs/>
        </w:rPr>
        <w:t>增压站</w:t>
      </w:r>
      <w:r>
        <w:rPr>
          <w:rFonts w:ascii="Times New Roman" w:cs="Times New Roman" w:hint="eastAsia"/>
        </w:rPr>
        <w:t>5000m</w:t>
      </w:r>
      <w:r>
        <w:rPr>
          <w:rFonts w:ascii="Times New Roman" w:cs="Times New Roman" w:hint="eastAsia"/>
        </w:rPr>
        <w:t>范围内人居及外环境关系图</w:t>
      </w:r>
    </w:p>
    <w:p w:rsidR="00BD5820" w:rsidRDefault="00F64314">
      <w:pPr>
        <w:ind w:firstLineChars="450" w:firstLine="1080"/>
        <w:rPr>
          <w:rFonts w:ascii="Times New Roman" w:cs="Times New Roman"/>
        </w:rPr>
      </w:pPr>
      <w:r>
        <w:rPr>
          <w:rFonts w:ascii="Times New Roman" w:cs="Times New Roman" w:hint="eastAsia"/>
        </w:rPr>
        <w:t>附图</w:t>
      </w:r>
      <w:r>
        <w:rPr>
          <w:rFonts w:ascii="Times New Roman" w:cs="Times New Roman" w:hint="eastAsia"/>
        </w:rPr>
        <w:t>5</w:t>
      </w:r>
      <w:r w:rsidR="004F5975" w:rsidRPr="004F5975">
        <w:rPr>
          <w:rFonts w:ascii="Times New Roman" w:cs="Times New Roman"/>
          <w:bCs/>
        </w:rPr>
        <w:t xml:space="preserve"> </w:t>
      </w:r>
      <w:r w:rsidR="004F5975">
        <w:rPr>
          <w:rFonts w:ascii="Times New Roman" w:cs="Times New Roman"/>
          <w:bCs/>
        </w:rPr>
        <w:t>P106-</w:t>
      </w:r>
      <w:bookmarkStart w:id="5" w:name="_GoBack"/>
      <w:bookmarkEnd w:id="5"/>
      <w:r w:rsidR="004F5975">
        <w:rPr>
          <w:rFonts w:ascii="Times New Roman" w:cs="Times New Roman"/>
          <w:bCs/>
        </w:rPr>
        <w:t>P104-</w:t>
      </w:r>
      <w:r w:rsidR="004F5975">
        <w:rPr>
          <w:rFonts w:ascii="Times New Roman" w:cs="Times New Roman" w:hint="eastAsia"/>
          <w:bCs/>
        </w:rPr>
        <w:t>1</w:t>
      </w:r>
      <w:r w:rsidR="004F5975">
        <w:rPr>
          <w:rFonts w:ascii="Times New Roman" w:cs="Times New Roman"/>
          <w:bCs/>
        </w:rPr>
        <w:t>#</w:t>
      </w:r>
      <w:r w:rsidR="004F5975">
        <w:rPr>
          <w:rFonts w:ascii="Times New Roman" w:cs="Times New Roman" w:hint="eastAsia"/>
          <w:bCs/>
        </w:rPr>
        <w:t>增压站集输管道</w:t>
      </w:r>
      <w:r w:rsidR="004F5975">
        <w:rPr>
          <w:rFonts w:ascii="Times New Roman" w:cs="Times New Roman" w:hint="eastAsia"/>
        </w:rPr>
        <w:t>200m</w:t>
      </w:r>
      <w:r w:rsidR="004F5975">
        <w:rPr>
          <w:rFonts w:ascii="Times New Roman" w:cs="Times New Roman" w:hint="eastAsia"/>
        </w:rPr>
        <w:t>范围内人居及外环境关系图</w:t>
      </w:r>
    </w:p>
    <w:p w:rsidR="00BD5820" w:rsidRDefault="00F64314">
      <w:pPr>
        <w:ind w:firstLineChars="450" w:firstLine="1080"/>
        <w:rPr>
          <w:rFonts w:ascii="Times New Roman" w:cs="Times New Roman"/>
        </w:rPr>
      </w:pPr>
      <w:r>
        <w:rPr>
          <w:rFonts w:ascii="Times New Roman" w:cs="Times New Roman" w:hint="eastAsia"/>
        </w:rPr>
        <w:t>附图</w:t>
      </w:r>
      <w:r>
        <w:rPr>
          <w:rFonts w:ascii="Times New Roman" w:cs="Times New Roman" w:hint="eastAsia"/>
        </w:rPr>
        <w:t xml:space="preserve">6 </w:t>
      </w:r>
      <w:r w:rsidR="004F5975">
        <w:rPr>
          <w:rFonts w:ascii="Times New Roman" w:cs="Times New Roman" w:hint="eastAsia"/>
          <w:bCs/>
        </w:rPr>
        <w:t>普光气田</w:t>
      </w:r>
      <w:r w:rsidR="004F5975">
        <w:rPr>
          <w:rFonts w:ascii="Times New Roman" w:cs="Times New Roman" w:hint="eastAsia"/>
          <w:bCs/>
        </w:rPr>
        <w:t>2</w:t>
      </w:r>
      <w:r w:rsidR="004F5975">
        <w:rPr>
          <w:rFonts w:ascii="Times New Roman" w:cs="Times New Roman"/>
          <w:bCs/>
        </w:rPr>
        <w:t>#</w:t>
      </w:r>
      <w:r w:rsidR="004F5975">
        <w:rPr>
          <w:rFonts w:ascii="Times New Roman" w:cs="Times New Roman" w:hint="eastAsia"/>
          <w:bCs/>
        </w:rPr>
        <w:t>增压站</w:t>
      </w:r>
      <w:r w:rsidR="004F5975">
        <w:rPr>
          <w:rFonts w:ascii="Times New Roman" w:cs="Times New Roman" w:hint="eastAsia"/>
        </w:rPr>
        <w:t>5000m</w:t>
      </w:r>
      <w:r w:rsidR="004F5975">
        <w:rPr>
          <w:rFonts w:ascii="Times New Roman" w:cs="Times New Roman" w:hint="eastAsia"/>
        </w:rPr>
        <w:t>范围内人居及外环境关系图</w:t>
      </w:r>
    </w:p>
    <w:p w:rsidR="00BD5820" w:rsidRDefault="00F64314">
      <w:pPr>
        <w:ind w:firstLineChars="450" w:firstLine="1080"/>
        <w:rPr>
          <w:rFonts w:ascii="Times New Roman" w:cs="Times New Roman"/>
        </w:rPr>
      </w:pPr>
      <w:r>
        <w:rPr>
          <w:rFonts w:ascii="Times New Roman" w:cs="Times New Roman" w:hint="eastAsia"/>
        </w:rPr>
        <w:t>附图</w:t>
      </w:r>
      <w:bookmarkStart w:id="6" w:name="_Toc500315314"/>
      <w:bookmarkStart w:id="7" w:name="_Ref502991641"/>
      <w:bookmarkStart w:id="8" w:name="_Toc9099"/>
      <w:bookmarkStart w:id="9" w:name="_Toc524531005"/>
      <w:r>
        <w:rPr>
          <w:rFonts w:ascii="Times New Roman" w:cs="Times New Roman" w:hint="eastAsia"/>
        </w:rPr>
        <w:t>7</w:t>
      </w:r>
      <w:bookmarkEnd w:id="6"/>
      <w:bookmarkEnd w:id="7"/>
      <w:bookmarkEnd w:id="8"/>
      <w:bookmarkEnd w:id="9"/>
      <w:r w:rsidR="004F5975" w:rsidRPr="004F5975">
        <w:rPr>
          <w:rFonts w:hint="eastAsia"/>
        </w:rPr>
        <w:t>项目总体布局图</w:t>
      </w:r>
    </w:p>
    <w:p w:rsidR="00BD5820" w:rsidRDefault="00F64314">
      <w:pPr>
        <w:ind w:firstLineChars="450" w:firstLine="1080"/>
        <w:rPr>
          <w:rFonts w:ascii="Times New Roman" w:cs="Times New Roman"/>
        </w:rPr>
      </w:pPr>
      <w:r>
        <w:rPr>
          <w:rFonts w:ascii="Times New Roman" w:cs="Times New Roman" w:hint="eastAsia"/>
        </w:rPr>
        <w:t>附图</w:t>
      </w:r>
      <w:r>
        <w:rPr>
          <w:rFonts w:ascii="Times New Roman" w:cs="Times New Roman" w:hint="eastAsia"/>
        </w:rPr>
        <w:t xml:space="preserve">8 </w:t>
      </w:r>
      <w:r>
        <w:rPr>
          <w:rFonts w:ascii="Times New Roman" w:cs="Times New Roman" w:hint="eastAsia"/>
          <w:bCs/>
        </w:rPr>
        <w:t>普光气田</w:t>
      </w:r>
      <w:r>
        <w:rPr>
          <w:rFonts w:ascii="Times New Roman" w:cs="Times New Roman"/>
          <w:bCs/>
        </w:rPr>
        <w:t>1#</w:t>
      </w:r>
      <w:r>
        <w:rPr>
          <w:rFonts w:ascii="Times New Roman" w:cs="Times New Roman" w:hint="eastAsia"/>
          <w:bCs/>
        </w:rPr>
        <w:t>增压站</w:t>
      </w:r>
      <w:r>
        <w:rPr>
          <w:rFonts w:ascii="Times New Roman" w:cs="Times New Roman" w:hint="eastAsia"/>
        </w:rPr>
        <w:t>平面布置图</w:t>
      </w:r>
    </w:p>
    <w:p w:rsidR="00BD5820" w:rsidRDefault="00F64314">
      <w:pPr>
        <w:ind w:firstLineChars="450" w:firstLine="1080"/>
        <w:rPr>
          <w:rFonts w:ascii="Times New Roman" w:cs="Times New Roman"/>
        </w:rPr>
      </w:pPr>
      <w:r>
        <w:rPr>
          <w:rFonts w:ascii="Times New Roman" w:cs="Times New Roman" w:hint="eastAsia"/>
        </w:rPr>
        <w:t>附图</w:t>
      </w:r>
      <w:r>
        <w:rPr>
          <w:rFonts w:ascii="Times New Roman" w:cs="Times New Roman" w:hint="eastAsia"/>
        </w:rPr>
        <w:t xml:space="preserve">9 </w:t>
      </w:r>
      <w:r>
        <w:rPr>
          <w:rFonts w:ascii="Times New Roman" w:cs="Times New Roman" w:hint="eastAsia"/>
          <w:bCs/>
        </w:rPr>
        <w:t>普光气田</w:t>
      </w:r>
      <w:r>
        <w:rPr>
          <w:rFonts w:ascii="Times New Roman" w:cs="Times New Roman" w:hint="eastAsia"/>
          <w:bCs/>
        </w:rPr>
        <w:t>2</w:t>
      </w:r>
      <w:r>
        <w:rPr>
          <w:rFonts w:ascii="Times New Roman" w:cs="Times New Roman"/>
          <w:bCs/>
        </w:rPr>
        <w:t>#</w:t>
      </w:r>
      <w:r>
        <w:rPr>
          <w:rFonts w:ascii="Times New Roman" w:cs="Times New Roman" w:hint="eastAsia"/>
          <w:bCs/>
        </w:rPr>
        <w:t>增压站</w:t>
      </w:r>
      <w:r>
        <w:rPr>
          <w:rFonts w:ascii="Times New Roman" w:cs="Times New Roman" w:hint="eastAsia"/>
        </w:rPr>
        <w:t>平面布置图</w:t>
      </w:r>
    </w:p>
    <w:p w:rsidR="00BD5820" w:rsidRDefault="00F64314">
      <w:pPr>
        <w:ind w:firstLineChars="450" w:firstLine="1080"/>
        <w:rPr>
          <w:rFonts w:ascii="Times New Roman" w:cs="Times New Roman"/>
        </w:rPr>
      </w:pPr>
      <w:r>
        <w:rPr>
          <w:rFonts w:ascii="Times New Roman" w:cs="Times New Roman" w:hint="eastAsia"/>
        </w:rPr>
        <w:t>附图</w:t>
      </w:r>
      <w:r>
        <w:rPr>
          <w:rFonts w:ascii="Times New Roman" w:cs="Times New Roman" w:hint="eastAsia"/>
        </w:rPr>
        <w:t>10</w:t>
      </w:r>
      <w:r w:rsidR="004F5975">
        <w:rPr>
          <w:rFonts w:ascii="Times New Roman" w:cs="Times New Roman" w:hint="eastAsia"/>
        </w:rPr>
        <w:t>本项目天然气管线图</w:t>
      </w:r>
    </w:p>
    <w:p w:rsidR="00BD5820" w:rsidRDefault="00F64314">
      <w:pPr>
        <w:ind w:firstLineChars="450" w:firstLine="1080"/>
        <w:rPr>
          <w:rFonts w:ascii="Times New Roman" w:cs="Times New Roman"/>
        </w:rPr>
      </w:pPr>
      <w:r>
        <w:rPr>
          <w:rFonts w:ascii="Times New Roman" w:cs="Times New Roman" w:hint="eastAsia"/>
        </w:rPr>
        <w:t>附图</w:t>
      </w:r>
      <w:r>
        <w:rPr>
          <w:rFonts w:ascii="Times New Roman" w:cs="Times New Roman" w:hint="eastAsia"/>
        </w:rPr>
        <w:t>11</w:t>
      </w:r>
      <w:r w:rsidR="004F5975">
        <w:rPr>
          <w:rFonts w:ascii="Times New Roman" w:cs="Times New Roman"/>
        </w:rPr>
        <w:t xml:space="preserve"> </w:t>
      </w:r>
      <w:r w:rsidR="004F5975">
        <w:rPr>
          <w:rFonts w:ascii="Times New Roman" w:cs="Times New Roman"/>
          <w:bCs/>
        </w:rPr>
        <w:t>P106-P104-</w:t>
      </w:r>
      <w:r w:rsidR="004F5975">
        <w:rPr>
          <w:rFonts w:ascii="Times New Roman" w:cs="Times New Roman" w:hint="eastAsia"/>
          <w:bCs/>
        </w:rPr>
        <w:t>1</w:t>
      </w:r>
      <w:r w:rsidR="004F5975">
        <w:rPr>
          <w:rFonts w:ascii="Times New Roman" w:cs="Times New Roman"/>
          <w:bCs/>
        </w:rPr>
        <w:t>#</w:t>
      </w:r>
      <w:r w:rsidR="004F5975">
        <w:rPr>
          <w:rFonts w:ascii="Times New Roman" w:cs="Times New Roman" w:hint="eastAsia"/>
          <w:bCs/>
        </w:rPr>
        <w:t>增压站集输管道</w:t>
      </w:r>
      <w:r w:rsidR="004F5975">
        <w:rPr>
          <w:rFonts w:ascii="Times New Roman" w:cs="Times New Roman" w:hint="eastAsia"/>
        </w:rPr>
        <w:t>环境风险应急疏散线路图</w:t>
      </w:r>
    </w:p>
    <w:p w:rsidR="00BD5820" w:rsidRDefault="00F64314">
      <w:pPr>
        <w:ind w:firstLineChars="450" w:firstLine="1080"/>
        <w:rPr>
          <w:rFonts w:ascii="Times New Roman" w:cs="Times New Roman"/>
        </w:rPr>
      </w:pPr>
      <w:r>
        <w:rPr>
          <w:rFonts w:ascii="Times New Roman" w:cs="Times New Roman" w:hint="eastAsia"/>
        </w:rPr>
        <w:t>附图</w:t>
      </w:r>
      <w:r>
        <w:rPr>
          <w:rFonts w:ascii="Times New Roman" w:cs="Times New Roman" w:hint="eastAsia"/>
        </w:rPr>
        <w:t>12</w:t>
      </w:r>
      <w:r>
        <w:rPr>
          <w:rFonts w:ascii="Times New Roman" w:cs="Times New Roman" w:hint="eastAsia"/>
        </w:rPr>
        <w:t>普光</w:t>
      </w:r>
      <w:r>
        <w:rPr>
          <w:rFonts w:ascii="Times New Roman" w:cs="Times New Roman" w:hint="eastAsia"/>
        </w:rPr>
        <w:t>1#</w:t>
      </w:r>
      <w:r>
        <w:rPr>
          <w:rFonts w:ascii="Times New Roman" w:cs="Times New Roman" w:hint="eastAsia"/>
        </w:rPr>
        <w:t>污水处理站工艺流程图</w:t>
      </w:r>
    </w:p>
    <w:p w:rsidR="00BD5820" w:rsidRDefault="00F64314">
      <w:pPr>
        <w:ind w:firstLineChars="450" w:firstLine="1080"/>
        <w:rPr>
          <w:rFonts w:ascii="Times New Roman" w:cs="Times New Roman"/>
        </w:rPr>
      </w:pPr>
      <w:r>
        <w:rPr>
          <w:rFonts w:ascii="Times New Roman" w:cs="Times New Roman" w:hint="eastAsia"/>
        </w:rPr>
        <w:t>附图</w:t>
      </w:r>
      <w:r>
        <w:rPr>
          <w:rFonts w:ascii="Times New Roman" w:cs="Times New Roman" w:hint="eastAsia"/>
        </w:rPr>
        <w:t>13</w:t>
      </w:r>
      <w:r w:rsidR="004F5975">
        <w:rPr>
          <w:rFonts w:ascii="Times New Roman" w:cs="Times New Roman" w:hint="eastAsia"/>
        </w:rPr>
        <w:t>普光</w:t>
      </w:r>
      <w:r w:rsidR="004F5975">
        <w:rPr>
          <w:rFonts w:ascii="Times New Roman" w:cs="Times New Roman" w:hint="eastAsia"/>
        </w:rPr>
        <w:t>3#</w:t>
      </w:r>
      <w:r w:rsidR="004F5975">
        <w:rPr>
          <w:rFonts w:ascii="Times New Roman" w:cs="Times New Roman" w:hint="eastAsia"/>
        </w:rPr>
        <w:t>污水处理站工艺流程图</w:t>
      </w:r>
    </w:p>
    <w:p w:rsidR="004F5975" w:rsidRDefault="004F5975">
      <w:pPr>
        <w:ind w:firstLineChars="450" w:firstLine="1080"/>
        <w:rPr>
          <w:rFonts w:ascii="Times New Roman" w:cs="Times New Roman"/>
        </w:rPr>
      </w:pPr>
      <w:r>
        <w:rPr>
          <w:rFonts w:ascii="Times New Roman" w:cs="Times New Roman" w:hint="eastAsia"/>
        </w:rPr>
        <w:t>附图</w:t>
      </w:r>
      <w:r>
        <w:rPr>
          <w:rFonts w:ascii="Times New Roman" w:cs="Times New Roman" w:hint="eastAsia"/>
        </w:rPr>
        <w:t>14</w:t>
      </w:r>
      <w:r w:rsidRPr="004F5975">
        <w:rPr>
          <w:rFonts w:ascii="Times New Roman" w:cs="Times New Roman" w:hint="eastAsia"/>
        </w:rPr>
        <w:t>采出水深度处理站工艺流程图</w:t>
      </w:r>
    </w:p>
    <w:p w:rsidR="004F5975" w:rsidRDefault="00F64314">
      <w:pPr>
        <w:ind w:firstLineChars="450" w:firstLine="1080"/>
        <w:rPr>
          <w:rFonts w:ascii="Times New Roman" w:cs="Times New Roman"/>
        </w:rPr>
      </w:pPr>
      <w:r>
        <w:rPr>
          <w:rFonts w:ascii="Times New Roman" w:cs="Times New Roman" w:hint="eastAsia"/>
        </w:rPr>
        <w:t>附图</w:t>
      </w:r>
      <w:r>
        <w:rPr>
          <w:rFonts w:ascii="Times New Roman" w:cs="Times New Roman" w:hint="eastAsia"/>
        </w:rPr>
        <w:t>1</w:t>
      </w:r>
      <w:r w:rsidR="004F5975">
        <w:rPr>
          <w:rFonts w:ascii="Times New Roman" w:cs="Times New Roman" w:hint="eastAsia"/>
        </w:rPr>
        <w:t>5</w:t>
      </w:r>
      <w:r w:rsidR="004F5975" w:rsidRPr="004F5975">
        <w:rPr>
          <w:rFonts w:ascii="Times New Roman" w:cs="Times New Roman" w:hint="eastAsia"/>
        </w:rPr>
        <w:t>运营期污水及注水管线和污水处理站总体布局图</w:t>
      </w:r>
    </w:p>
    <w:p w:rsidR="00666EF9" w:rsidRPr="00575903" w:rsidRDefault="004F5975">
      <w:pPr>
        <w:ind w:firstLineChars="450" w:firstLine="1080"/>
        <w:rPr>
          <w:rFonts w:ascii="Times New Roman" w:cs="Times New Roman"/>
          <w:color w:val="FF0000"/>
        </w:rPr>
      </w:pPr>
      <w:r w:rsidRPr="00575903">
        <w:rPr>
          <w:rFonts w:ascii="Times New Roman" w:cs="Times New Roman" w:hint="eastAsia"/>
          <w:color w:val="FF0000"/>
        </w:rPr>
        <w:t>附图</w:t>
      </w:r>
      <w:r w:rsidRPr="00575903">
        <w:rPr>
          <w:rFonts w:ascii="Times New Roman" w:cs="Times New Roman" w:hint="eastAsia"/>
          <w:color w:val="FF0000"/>
        </w:rPr>
        <w:t>16</w:t>
      </w:r>
      <w:r w:rsidR="00666EF9" w:rsidRPr="00575903">
        <w:rPr>
          <w:rFonts w:hint="eastAsia"/>
          <w:color w:val="FF0000"/>
        </w:rPr>
        <w:t>运营期</w:t>
      </w:r>
      <w:r w:rsidR="00575903" w:rsidRPr="00575903">
        <w:rPr>
          <w:rFonts w:hint="eastAsia"/>
          <w:color w:val="FF0000"/>
        </w:rPr>
        <w:t>危险废物</w:t>
      </w:r>
      <w:r w:rsidR="00666EF9" w:rsidRPr="00575903">
        <w:rPr>
          <w:rFonts w:hint="eastAsia"/>
          <w:color w:val="FF0000"/>
        </w:rPr>
        <w:t>转运路线图</w:t>
      </w:r>
    </w:p>
    <w:p w:rsidR="00BD5820" w:rsidRDefault="00666EF9">
      <w:pPr>
        <w:ind w:firstLineChars="450" w:firstLine="1080"/>
        <w:rPr>
          <w:rFonts w:ascii="Times New Roman" w:cs="Times New Roman"/>
        </w:rPr>
      </w:pPr>
      <w:r>
        <w:rPr>
          <w:rFonts w:ascii="Times New Roman" w:cs="Times New Roman" w:hint="eastAsia"/>
        </w:rPr>
        <w:t>附图</w:t>
      </w:r>
      <w:r>
        <w:rPr>
          <w:rFonts w:ascii="Times New Roman" w:cs="Times New Roman" w:hint="eastAsia"/>
        </w:rPr>
        <w:t>17</w:t>
      </w:r>
      <w:r w:rsidR="00F64314">
        <w:rPr>
          <w:rFonts w:ascii="Times New Roman" w:cs="Times New Roman" w:hint="eastAsia"/>
        </w:rPr>
        <w:t>水文地质图</w:t>
      </w:r>
    </w:p>
    <w:p w:rsidR="00BD5820" w:rsidRDefault="00F64314">
      <w:pPr>
        <w:ind w:firstLineChars="450" w:firstLine="1080"/>
        <w:rPr>
          <w:rFonts w:ascii="Times New Roman" w:cs="Times New Roman"/>
        </w:rPr>
      </w:pPr>
      <w:r>
        <w:rPr>
          <w:rFonts w:ascii="Times New Roman" w:cs="Times New Roman" w:hint="eastAsia"/>
        </w:rPr>
        <w:t>附图</w:t>
      </w:r>
      <w:r>
        <w:rPr>
          <w:rFonts w:ascii="Times New Roman" w:cs="Times New Roman" w:hint="eastAsia"/>
        </w:rPr>
        <w:t>1</w:t>
      </w:r>
      <w:r w:rsidR="00666EF9">
        <w:rPr>
          <w:rFonts w:ascii="Times New Roman" w:cs="Times New Roman" w:hint="eastAsia"/>
        </w:rPr>
        <w:t>8</w:t>
      </w:r>
      <w:r w:rsidR="004F5975" w:rsidRPr="004F5975">
        <w:rPr>
          <w:rFonts w:ascii="Times New Roman" w:cs="Times New Roman" w:hint="eastAsia"/>
        </w:rPr>
        <w:t>与区域生态红线位置关系图</w:t>
      </w:r>
    </w:p>
    <w:p w:rsidR="00BD5820" w:rsidRDefault="00F64314">
      <w:pPr>
        <w:ind w:firstLineChars="450" w:firstLine="1080"/>
        <w:rPr>
          <w:rFonts w:ascii="Times New Roman" w:cs="Times New Roman"/>
        </w:rPr>
      </w:pPr>
      <w:r>
        <w:rPr>
          <w:rFonts w:ascii="Times New Roman" w:cs="Times New Roman" w:hint="eastAsia"/>
        </w:rPr>
        <w:t>附图</w:t>
      </w:r>
      <w:r>
        <w:rPr>
          <w:rFonts w:ascii="Times New Roman" w:cs="Times New Roman" w:hint="eastAsia"/>
        </w:rPr>
        <w:t>1</w:t>
      </w:r>
      <w:r w:rsidR="00666EF9">
        <w:rPr>
          <w:rFonts w:ascii="Times New Roman" w:cs="Times New Roman" w:hint="eastAsia"/>
        </w:rPr>
        <w:t>9</w:t>
      </w:r>
      <w:r>
        <w:rPr>
          <w:rFonts w:ascii="Times New Roman" w:cs="Times New Roman" w:hint="eastAsia"/>
        </w:rPr>
        <w:t>项目所在地土地利用现状图</w:t>
      </w:r>
    </w:p>
    <w:p w:rsidR="00BD5820" w:rsidRDefault="00F64314">
      <w:pPr>
        <w:ind w:firstLineChars="450" w:firstLine="1080"/>
        <w:rPr>
          <w:rFonts w:ascii="Times New Roman" w:cs="Times New Roman"/>
        </w:rPr>
      </w:pPr>
      <w:r>
        <w:rPr>
          <w:rFonts w:ascii="Times New Roman" w:cs="Times New Roman" w:hint="eastAsia"/>
        </w:rPr>
        <w:t>附图</w:t>
      </w:r>
      <w:r w:rsidR="00666EF9">
        <w:rPr>
          <w:rFonts w:ascii="Times New Roman" w:cs="Times New Roman" w:hint="eastAsia"/>
        </w:rPr>
        <w:t>20</w:t>
      </w:r>
      <w:r>
        <w:rPr>
          <w:rFonts w:ascii="Times New Roman" w:cs="Times New Roman" w:hint="eastAsia"/>
        </w:rPr>
        <w:t>项目所在地土壤侵蚀分布图</w:t>
      </w:r>
    </w:p>
    <w:p w:rsidR="00BD5820" w:rsidRDefault="00F64314">
      <w:pPr>
        <w:ind w:firstLineChars="450" w:firstLine="1080"/>
        <w:rPr>
          <w:rFonts w:ascii="Times New Roman" w:cs="Times New Roman"/>
        </w:rPr>
      </w:pPr>
      <w:bookmarkStart w:id="10" w:name="OLE_LINK233"/>
      <w:bookmarkStart w:id="11" w:name="OLE_LINK234"/>
      <w:r>
        <w:rPr>
          <w:rFonts w:ascii="Times New Roman" w:cs="Times New Roman" w:hint="eastAsia"/>
        </w:rPr>
        <w:t>附图</w:t>
      </w:r>
      <w:bookmarkEnd w:id="10"/>
      <w:bookmarkEnd w:id="11"/>
      <w:r w:rsidR="004F5975">
        <w:rPr>
          <w:rFonts w:ascii="Times New Roman" w:cs="Times New Roman" w:hint="eastAsia"/>
        </w:rPr>
        <w:t>2</w:t>
      </w:r>
      <w:r w:rsidR="00666EF9">
        <w:rPr>
          <w:rFonts w:ascii="Times New Roman" w:cs="Times New Roman" w:hint="eastAsia"/>
        </w:rPr>
        <w:t>1</w:t>
      </w:r>
      <w:r>
        <w:rPr>
          <w:rFonts w:ascii="Times New Roman" w:cs="Times New Roman" w:hint="eastAsia"/>
        </w:rPr>
        <w:t>宣汉县水土重点防治区分区图</w:t>
      </w:r>
    </w:p>
    <w:p w:rsidR="00BD5820" w:rsidRDefault="00F64314">
      <w:pPr>
        <w:ind w:firstLineChars="450" w:firstLine="1080"/>
        <w:rPr>
          <w:rFonts w:ascii="Times New Roman" w:cs="Times New Roman"/>
        </w:rPr>
      </w:pPr>
      <w:r>
        <w:rPr>
          <w:rFonts w:ascii="Times New Roman" w:cs="Times New Roman" w:hint="eastAsia"/>
        </w:rPr>
        <w:t>附图</w:t>
      </w:r>
      <w:r w:rsidR="004F5975">
        <w:rPr>
          <w:rFonts w:ascii="Times New Roman" w:cs="Times New Roman" w:hint="eastAsia"/>
        </w:rPr>
        <w:t>2</w:t>
      </w:r>
      <w:r w:rsidR="00666EF9">
        <w:rPr>
          <w:rFonts w:ascii="Times New Roman" w:cs="Times New Roman" w:hint="eastAsia"/>
        </w:rPr>
        <w:t>2</w:t>
      </w:r>
      <w:r w:rsidR="004F5975" w:rsidRPr="004F5975">
        <w:rPr>
          <w:rFonts w:ascii="Times New Roman" w:cs="Times New Roman" w:hint="eastAsia"/>
        </w:rPr>
        <w:t>项目</w:t>
      </w:r>
      <w:r w:rsidR="004F5975" w:rsidRPr="004F5975">
        <w:rPr>
          <w:rFonts w:ascii="Times New Roman" w:cs="Times New Roman" w:hint="eastAsia"/>
          <w:bCs/>
        </w:rPr>
        <w:t>普光气田</w:t>
      </w:r>
      <w:r w:rsidR="004F5975" w:rsidRPr="004F5975">
        <w:rPr>
          <w:rFonts w:ascii="Times New Roman" w:cs="Times New Roman"/>
          <w:bCs/>
        </w:rPr>
        <w:t>1#</w:t>
      </w:r>
      <w:r w:rsidR="004F5975" w:rsidRPr="004F5975">
        <w:rPr>
          <w:rFonts w:ascii="Times New Roman" w:cs="Times New Roman" w:hint="eastAsia"/>
          <w:bCs/>
        </w:rPr>
        <w:t>增压站</w:t>
      </w:r>
      <w:r w:rsidR="004F5975" w:rsidRPr="004F5975">
        <w:rPr>
          <w:rFonts w:ascii="Times New Roman" w:cs="Times New Roman" w:hint="eastAsia"/>
        </w:rPr>
        <w:t>影响范围内公益林情况</w:t>
      </w:r>
    </w:p>
    <w:p w:rsidR="00BD5820" w:rsidRDefault="00F64314">
      <w:pPr>
        <w:ind w:firstLineChars="450" w:firstLine="1080"/>
        <w:rPr>
          <w:rFonts w:ascii="Times New Roman" w:cs="Times New Roman"/>
        </w:rPr>
      </w:pPr>
      <w:r>
        <w:rPr>
          <w:rFonts w:ascii="Times New Roman" w:cs="Times New Roman" w:hint="eastAsia"/>
        </w:rPr>
        <w:t>附图</w:t>
      </w:r>
      <w:r w:rsidR="004F5975" w:rsidRPr="004F5975">
        <w:rPr>
          <w:rFonts w:ascii="Times New Roman" w:cs="Times New Roman" w:hint="eastAsia"/>
        </w:rPr>
        <w:t>2</w:t>
      </w:r>
      <w:r w:rsidR="00666EF9">
        <w:rPr>
          <w:rFonts w:ascii="Times New Roman" w:cs="Times New Roman" w:hint="eastAsia"/>
        </w:rPr>
        <w:t>3</w:t>
      </w:r>
      <w:r w:rsidR="004F5975" w:rsidRPr="004F5975">
        <w:rPr>
          <w:rFonts w:ascii="Times New Roman" w:cs="Times New Roman" w:hint="eastAsia"/>
        </w:rPr>
        <w:t xml:space="preserve"> </w:t>
      </w:r>
      <w:r w:rsidR="004F5975" w:rsidRPr="004F5975">
        <w:rPr>
          <w:rFonts w:ascii="Times New Roman" w:cs="Times New Roman" w:hint="eastAsia"/>
        </w:rPr>
        <w:t>项目</w:t>
      </w:r>
      <w:r w:rsidR="004F5975" w:rsidRPr="004F5975">
        <w:rPr>
          <w:rFonts w:ascii="Times New Roman" w:cs="Times New Roman" w:hint="eastAsia"/>
          <w:bCs/>
        </w:rPr>
        <w:t>普光气田</w:t>
      </w:r>
      <w:r w:rsidR="004F5975" w:rsidRPr="004F5975">
        <w:rPr>
          <w:rFonts w:ascii="Times New Roman" w:cs="Times New Roman"/>
          <w:bCs/>
        </w:rPr>
        <w:t>1#</w:t>
      </w:r>
      <w:r w:rsidR="004F5975" w:rsidRPr="004F5975">
        <w:rPr>
          <w:rFonts w:ascii="Times New Roman" w:cs="Times New Roman" w:hint="eastAsia"/>
          <w:bCs/>
        </w:rPr>
        <w:t>增压站</w:t>
      </w:r>
      <w:r w:rsidR="004F5975" w:rsidRPr="004F5975">
        <w:rPr>
          <w:rFonts w:ascii="Times New Roman" w:cs="Times New Roman" w:hint="eastAsia"/>
        </w:rPr>
        <w:t>地下水评价范围图</w:t>
      </w:r>
    </w:p>
    <w:p w:rsidR="004F5975" w:rsidRPr="004F5975" w:rsidRDefault="004F5975">
      <w:pPr>
        <w:ind w:firstLineChars="450" w:firstLine="1080"/>
        <w:rPr>
          <w:rFonts w:ascii="Times New Roman" w:cs="Times New Roman"/>
        </w:rPr>
      </w:pPr>
      <w:r>
        <w:rPr>
          <w:rFonts w:ascii="Times New Roman" w:cs="Times New Roman" w:hint="eastAsia"/>
        </w:rPr>
        <w:t>附图</w:t>
      </w:r>
      <w:r w:rsidRPr="004F5975">
        <w:rPr>
          <w:rFonts w:ascii="Times New Roman" w:cs="Times New Roman" w:hint="eastAsia"/>
        </w:rPr>
        <w:t>2</w:t>
      </w:r>
      <w:r w:rsidR="00666EF9">
        <w:rPr>
          <w:rFonts w:ascii="Times New Roman" w:cs="Times New Roman" w:hint="eastAsia"/>
        </w:rPr>
        <w:t>4</w:t>
      </w:r>
      <w:r w:rsidRPr="004F5975">
        <w:rPr>
          <w:rFonts w:ascii="Times New Roman" w:cs="Times New Roman" w:hint="eastAsia"/>
        </w:rPr>
        <w:t xml:space="preserve"> </w:t>
      </w:r>
      <w:r w:rsidRPr="004F5975">
        <w:rPr>
          <w:rFonts w:ascii="Times New Roman" w:cs="Times New Roman" w:hint="eastAsia"/>
        </w:rPr>
        <w:t>项目</w:t>
      </w:r>
      <w:r w:rsidRPr="004F5975">
        <w:rPr>
          <w:rFonts w:ascii="Times New Roman" w:cs="Times New Roman" w:hint="eastAsia"/>
          <w:bCs/>
        </w:rPr>
        <w:t>普光气田</w:t>
      </w:r>
      <w:r>
        <w:rPr>
          <w:rFonts w:ascii="Times New Roman" w:cs="Times New Roman" w:hint="eastAsia"/>
          <w:bCs/>
        </w:rPr>
        <w:t>2</w:t>
      </w:r>
      <w:r w:rsidRPr="004F5975">
        <w:rPr>
          <w:rFonts w:ascii="Times New Roman" w:cs="Times New Roman"/>
          <w:bCs/>
        </w:rPr>
        <w:t>#</w:t>
      </w:r>
      <w:r w:rsidRPr="004F5975">
        <w:rPr>
          <w:rFonts w:ascii="Times New Roman" w:cs="Times New Roman" w:hint="eastAsia"/>
          <w:bCs/>
        </w:rPr>
        <w:t>增压站</w:t>
      </w:r>
      <w:r w:rsidRPr="004F5975">
        <w:rPr>
          <w:rFonts w:ascii="Times New Roman" w:cs="Times New Roman" w:hint="eastAsia"/>
        </w:rPr>
        <w:t>地下水评价范围图</w:t>
      </w:r>
    </w:p>
    <w:p w:rsidR="00BD5820" w:rsidRDefault="00F64314" w:rsidP="004F5975">
      <w:pPr>
        <w:ind w:firstLineChars="450" w:firstLine="1080"/>
        <w:rPr>
          <w:rFonts w:ascii="Times New Roman" w:cs="Times New Roman"/>
        </w:rPr>
      </w:pPr>
      <w:r>
        <w:rPr>
          <w:rFonts w:ascii="Times New Roman" w:cs="Times New Roman" w:hint="eastAsia"/>
        </w:rPr>
        <w:t>附图</w:t>
      </w:r>
      <w:r>
        <w:rPr>
          <w:rFonts w:ascii="Times New Roman" w:cs="Times New Roman" w:hint="eastAsia"/>
        </w:rPr>
        <w:t>2</w:t>
      </w:r>
      <w:r w:rsidR="00666EF9">
        <w:rPr>
          <w:rFonts w:ascii="Times New Roman" w:cs="Times New Roman" w:hint="eastAsia"/>
        </w:rPr>
        <w:t>5</w:t>
      </w:r>
      <w:r>
        <w:rPr>
          <w:rFonts w:ascii="Times New Roman" w:cs="Times New Roman" w:hint="eastAsia"/>
        </w:rPr>
        <w:t xml:space="preserve"> </w:t>
      </w:r>
      <w:r>
        <w:rPr>
          <w:rFonts w:ascii="Times New Roman" w:cs="Times New Roman" w:hint="eastAsia"/>
        </w:rPr>
        <w:t>现场影像资料图</w:t>
      </w:r>
    </w:p>
    <w:p w:rsidR="004F5975" w:rsidRDefault="004F5975" w:rsidP="004F5975">
      <w:pPr>
        <w:ind w:firstLineChars="450" w:firstLine="1080"/>
        <w:rPr>
          <w:rFonts w:ascii="Times New Roman" w:cs="Times New Roman"/>
        </w:rPr>
      </w:pPr>
    </w:p>
    <w:p w:rsidR="00566186" w:rsidRDefault="00566186" w:rsidP="004F5975">
      <w:pPr>
        <w:ind w:firstLineChars="450" w:firstLine="1080"/>
        <w:rPr>
          <w:rFonts w:ascii="Times New Roman" w:cs="Times New Roman"/>
        </w:rPr>
      </w:pPr>
    </w:p>
    <w:p w:rsidR="00566186" w:rsidRDefault="00566186" w:rsidP="004F5975">
      <w:pPr>
        <w:ind w:firstLineChars="450" w:firstLine="1080"/>
        <w:rPr>
          <w:rFonts w:ascii="Times New Roman" w:cs="Times New Roman"/>
        </w:rPr>
      </w:pPr>
    </w:p>
    <w:p w:rsidR="00BD5820" w:rsidRDefault="00F64314">
      <w:pPr>
        <w:ind w:firstLineChars="0" w:firstLine="0"/>
        <w:rPr>
          <w:rFonts w:ascii="Times New Roman" w:cs="Times New Roman"/>
          <w:b/>
          <w:bCs/>
        </w:rPr>
      </w:pPr>
      <w:r>
        <w:rPr>
          <w:rFonts w:ascii="Times New Roman" w:cs="Times New Roman" w:hint="eastAsia"/>
          <w:b/>
          <w:bCs/>
        </w:rPr>
        <w:t>生态图件</w:t>
      </w:r>
      <w:r>
        <w:rPr>
          <w:rFonts w:ascii="Times New Roman" w:cs="Times New Roman"/>
          <w:b/>
          <w:bCs/>
        </w:rPr>
        <w:t>：</w:t>
      </w:r>
    </w:p>
    <w:p w:rsidR="00BD5820" w:rsidRDefault="00F64314">
      <w:pPr>
        <w:ind w:firstLineChars="0" w:firstLine="0"/>
        <w:rPr>
          <w:rFonts w:ascii="Times New Roman" w:cs="Times New Roman"/>
        </w:rPr>
      </w:pPr>
      <w:r>
        <w:rPr>
          <w:rFonts w:ascii="Times New Roman" w:cs="Times New Roman" w:hint="eastAsia"/>
          <w:b/>
          <w:bCs/>
        </w:rPr>
        <w:t xml:space="preserve">        </w:t>
      </w:r>
      <w:r>
        <w:rPr>
          <w:rFonts w:ascii="Times New Roman" w:cs="Times New Roman" w:hint="eastAsia"/>
          <w:bCs/>
        </w:rPr>
        <w:t>生态调查图</w:t>
      </w:r>
      <w:r>
        <w:rPr>
          <w:rFonts w:ascii="Times New Roman" w:cs="Times New Roman" w:hint="eastAsia"/>
        </w:rPr>
        <w:t xml:space="preserve">1 </w:t>
      </w:r>
      <w:r>
        <w:rPr>
          <w:rFonts w:ascii="Times New Roman" w:cs="Times New Roman" w:hint="eastAsia"/>
        </w:rPr>
        <w:t>土地利用现状图</w:t>
      </w:r>
    </w:p>
    <w:p w:rsidR="00BD5820" w:rsidRDefault="00F64314">
      <w:pPr>
        <w:ind w:firstLineChars="0" w:firstLine="0"/>
        <w:rPr>
          <w:rFonts w:ascii="Times New Roman" w:cs="Times New Roman"/>
        </w:rPr>
      </w:pPr>
      <w:r>
        <w:rPr>
          <w:rFonts w:ascii="Times New Roman" w:cs="Times New Roman" w:hint="eastAsia"/>
        </w:rPr>
        <w:t xml:space="preserve">       </w:t>
      </w:r>
      <w:r>
        <w:rPr>
          <w:rFonts w:ascii="Times New Roman" w:cs="Times New Roman" w:hint="eastAsia"/>
          <w:b/>
          <w:bCs/>
        </w:rPr>
        <w:t xml:space="preserve"> </w:t>
      </w:r>
      <w:r>
        <w:rPr>
          <w:rFonts w:ascii="Times New Roman" w:cs="Times New Roman" w:hint="eastAsia"/>
          <w:bCs/>
        </w:rPr>
        <w:t>生态调查图</w:t>
      </w:r>
      <w:r>
        <w:rPr>
          <w:rFonts w:ascii="Times New Roman" w:cs="Times New Roman" w:hint="eastAsia"/>
        </w:rPr>
        <w:t xml:space="preserve">2 </w:t>
      </w:r>
      <w:r>
        <w:rPr>
          <w:rFonts w:ascii="Times New Roman" w:cs="Times New Roman" w:hint="eastAsia"/>
        </w:rPr>
        <w:t>土壤侵蚀现状图</w:t>
      </w:r>
    </w:p>
    <w:p w:rsidR="00BD5820" w:rsidRDefault="00F64314">
      <w:pPr>
        <w:ind w:firstLineChars="0" w:firstLine="0"/>
        <w:rPr>
          <w:rFonts w:ascii="Times New Roman" w:cs="Times New Roman"/>
        </w:rPr>
      </w:pPr>
      <w:r>
        <w:rPr>
          <w:rFonts w:ascii="Times New Roman" w:cs="Times New Roman" w:hint="eastAsia"/>
        </w:rPr>
        <w:t xml:space="preserve">        </w:t>
      </w:r>
      <w:r>
        <w:rPr>
          <w:rFonts w:ascii="Times New Roman" w:cs="Times New Roman" w:hint="eastAsia"/>
          <w:bCs/>
        </w:rPr>
        <w:t>生态调查图</w:t>
      </w:r>
      <w:r>
        <w:rPr>
          <w:rFonts w:ascii="Times New Roman" w:cs="Times New Roman" w:hint="eastAsia"/>
        </w:rPr>
        <w:t xml:space="preserve">3 </w:t>
      </w:r>
      <w:r>
        <w:rPr>
          <w:rFonts w:ascii="Times New Roman" w:cs="Times New Roman" w:hint="eastAsia"/>
        </w:rPr>
        <w:t>植被类型现状图</w:t>
      </w:r>
    </w:p>
    <w:p w:rsidR="00BD5820" w:rsidRDefault="00F64314">
      <w:pPr>
        <w:ind w:firstLineChars="0" w:firstLine="0"/>
        <w:rPr>
          <w:rFonts w:ascii="Times New Roman" w:cs="Times New Roman"/>
        </w:rPr>
      </w:pPr>
      <w:r>
        <w:rPr>
          <w:rFonts w:ascii="Times New Roman" w:cs="Times New Roman" w:hint="eastAsia"/>
          <w:b/>
          <w:bCs/>
        </w:rPr>
        <w:t xml:space="preserve">        </w:t>
      </w:r>
      <w:r>
        <w:rPr>
          <w:rFonts w:ascii="Times New Roman" w:cs="Times New Roman" w:hint="eastAsia"/>
          <w:bCs/>
        </w:rPr>
        <w:t>生态调查图</w:t>
      </w:r>
      <w:r>
        <w:rPr>
          <w:rFonts w:ascii="Times New Roman" w:cs="Times New Roman" w:hint="eastAsia"/>
        </w:rPr>
        <w:t xml:space="preserve">4 </w:t>
      </w:r>
      <w:r>
        <w:rPr>
          <w:rFonts w:ascii="Times New Roman" w:cs="Times New Roman" w:hint="eastAsia"/>
        </w:rPr>
        <w:t>植被覆盖度现状图</w:t>
      </w:r>
    </w:p>
    <w:p w:rsidR="00BD5820" w:rsidRDefault="00F64314">
      <w:pPr>
        <w:ind w:firstLineChars="0" w:firstLine="0"/>
        <w:rPr>
          <w:rFonts w:ascii="Times New Roman" w:cs="Times New Roman"/>
        </w:rPr>
      </w:pPr>
      <w:r>
        <w:rPr>
          <w:rFonts w:ascii="Times New Roman" w:cs="Times New Roman" w:hint="eastAsia"/>
        </w:rPr>
        <w:t xml:space="preserve">        </w:t>
      </w:r>
      <w:r>
        <w:rPr>
          <w:rFonts w:ascii="Times New Roman" w:cs="Times New Roman" w:hint="eastAsia"/>
          <w:bCs/>
        </w:rPr>
        <w:t>生态调查图</w:t>
      </w:r>
      <w:r>
        <w:rPr>
          <w:rFonts w:ascii="Times New Roman" w:cs="Times New Roman" w:hint="eastAsia"/>
        </w:rPr>
        <w:t xml:space="preserve">5 </w:t>
      </w:r>
      <w:r>
        <w:rPr>
          <w:rFonts w:ascii="Times New Roman" w:cs="Times New Roman" w:hint="eastAsia"/>
        </w:rPr>
        <w:t>生态系统现状图</w:t>
      </w:r>
    </w:p>
    <w:p w:rsidR="00BD5820" w:rsidRDefault="00F64314">
      <w:pPr>
        <w:ind w:firstLineChars="0" w:firstLine="0"/>
        <w:rPr>
          <w:rFonts w:ascii="Times New Roman" w:cs="Times New Roman"/>
        </w:rPr>
      </w:pPr>
      <w:r>
        <w:rPr>
          <w:rFonts w:ascii="Times New Roman" w:cs="Times New Roman" w:hint="eastAsia"/>
        </w:rPr>
        <w:t xml:space="preserve">        </w:t>
      </w:r>
      <w:r>
        <w:rPr>
          <w:rFonts w:ascii="Times New Roman" w:cs="Times New Roman" w:hint="eastAsia"/>
          <w:bCs/>
        </w:rPr>
        <w:t>生态调查图</w:t>
      </w:r>
      <w:r>
        <w:rPr>
          <w:rFonts w:ascii="Times New Roman" w:cs="Times New Roman" w:hint="eastAsia"/>
        </w:rPr>
        <w:t xml:space="preserve">6 </w:t>
      </w:r>
      <w:r>
        <w:rPr>
          <w:rFonts w:ascii="Times New Roman" w:cs="Times New Roman" w:hint="eastAsia"/>
        </w:rPr>
        <w:t>生物量现状图</w:t>
      </w:r>
    </w:p>
    <w:p w:rsidR="00BD5820" w:rsidRDefault="00F64314">
      <w:pPr>
        <w:ind w:firstLineChars="0" w:firstLine="0"/>
        <w:rPr>
          <w:rFonts w:ascii="Times New Roman" w:cs="Times New Roman"/>
        </w:rPr>
      </w:pPr>
      <w:r>
        <w:rPr>
          <w:rFonts w:ascii="Times New Roman" w:cs="Times New Roman" w:hint="eastAsia"/>
        </w:rPr>
        <w:t xml:space="preserve">        </w:t>
      </w:r>
      <w:r>
        <w:rPr>
          <w:rFonts w:ascii="Times New Roman" w:cs="Times New Roman" w:hint="eastAsia"/>
          <w:bCs/>
        </w:rPr>
        <w:t>生态调查图</w:t>
      </w:r>
      <w:r>
        <w:rPr>
          <w:rFonts w:ascii="Times New Roman" w:cs="Times New Roman" w:hint="eastAsia"/>
        </w:rPr>
        <w:t xml:space="preserve">7 </w:t>
      </w:r>
      <w:r>
        <w:rPr>
          <w:rFonts w:ascii="Times New Roman" w:cs="Times New Roman" w:hint="eastAsia"/>
        </w:rPr>
        <w:t>植被样方及野生动物样线调查分布图</w:t>
      </w:r>
    </w:p>
    <w:p w:rsidR="00BD5820" w:rsidRDefault="00F64314">
      <w:pPr>
        <w:ind w:firstLineChars="400" w:firstLine="960"/>
        <w:rPr>
          <w:rFonts w:ascii="Times New Roman" w:cs="Times New Roman"/>
        </w:rPr>
      </w:pPr>
      <w:r>
        <w:rPr>
          <w:rFonts w:ascii="Times New Roman" w:cs="Times New Roman" w:hint="eastAsia"/>
          <w:bCs/>
        </w:rPr>
        <w:t>生态调查图</w:t>
      </w:r>
      <w:r>
        <w:rPr>
          <w:rFonts w:ascii="Times New Roman" w:cs="Times New Roman" w:hint="eastAsia"/>
        </w:rPr>
        <w:t xml:space="preserve">8 </w:t>
      </w:r>
      <w:r>
        <w:rPr>
          <w:rFonts w:ascii="Times New Roman" w:cs="Times New Roman" w:hint="eastAsia"/>
        </w:rPr>
        <w:t>重点保护野生动物分布图</w:t>
      </w:r>
    </w:p>
    <w:p w:rsidR="00BD5820" w:rsidRDefault="00F64314">
      <w:pPr>
        <w:ind w:firstLineChars="450" w:firstLine="1080"/>
        <w:rPr>
          <w:rFonts w:ascii="Times New Roman" w:cs="Times New Roman"/>
        </w:rPr>
      </w:pPr>
      <w:r>
        <w:rPr>
          <w:rFonts w:ascii="Times New Roman" w:cs="Times New Roman" w:hint="eastAsia"/>
        </w:rPr>
        <w:t xml:space="preserve"> </w:t>
      </w:r>
    </w:p>
    <w:p w:rsidR="00BD5820" w:rsidRDefault="00F64314">
      <w:pPr>
        <w:ind w:firstLineChars="0" w:firstLine="0"/>
        <w:rPr>
          <w:rFonts w:ascii="Times New Roman" w:cs="Times New Roman"/>
          <w:b/>
          <w:bCs/>
        </w:rPr>
      </w:pPr>
      <w:r>
        <w:rPr>
          <w:rFonts w:ascii="Times New Roman" w:cs="Times New Roman"/>
          <w:b/>
          <w:bCs/>
        </w:rPr>
        <w:t>附</w:t>
      </w:r>
      <w:r>
        <w:rPr>
          <w:rFonts w:ascii="Times New Roman" w:cs="Times New Roman" w:hint="eastAsia"/>
          <w:b/>
          <w:bCs/>
        </w:rPr>
        <w:t xml:space="preserve"> </w:t>
      </w:r>
      <w:r>
        <w:rPr>
          <w:rFonts w:ascii="Times New Roman" w:cs="Times New Roman"/>
          <w:b/>
          <w:bCs/>
        </w:rPr>
        <w:t xml:space="preserve"> </w:t>
      </w:r>
      <w:r>
        <w:rPr>
          <w:rFonts w:ascii="Times New Roman" w:cs="Times New Roman"/>
          <w:b/>
          <w:bCs/>
        </w:rPr>
        <w:t>件：</w:t>
      </w:r>
    </w:p>
    <w:p w:rsidR="00BD5820" w:rsidRDefault="00F64314">
      <w:pPr>
        <w:ind w:firstLineChars="450" w:firstLine="1080"/>
        <w:rPr>
          <w:rFonts w:ascii="Times New Roman" w:cs="Times New Roman"/>
        </w:rPr>
      </w:pPr>
      <w:r>
        <w:rPr>
          <w:rFonts w:ascii="Times New Roman" w:cs="Times New Roman"/>
        </w:rPr>
        <w:t>附件</w:t>
      </w:r>
      <w:r>
        <w:rPr>
          <w:rFonts w:ascii="Times New Roman" w:cs="Times New Roman"/>
        </w:rPr>
        <w:t>1</w:t>
      </w:r>
      <w:r>
        <w:rPr>
          <w:rFonts w:ascii="Times New Roman" w:cs="Times New Roman" w:hint="eastAsia"/>
        </w:rPr>
        <w:t>环境影响评价委托书</w:t>
      </w:r>
    </w:p>
    <w:p w:rsidR="00BD5820" w:rsidRDefault="00F64314">
      <w:pPr>
        <w:ind w:firstLineChars="450" w:firstLine="1080"/>
        <w:rPr>
          <w:rFonts w:ascii="Times New Roman" w:cs="Times New Roman"/>
        </w:rPr>
      </w:pPr>
      <w:r>
        <w:rPr>
          <w:rFonts w:ascii="Times New Roman" w:cs="Times New Roman"/>
        </w:rPr>
        <w:t>附件</w:t>
      </w:r>
      <w:r>
        <w:rPr>
          <w:rFonts w:ascii="Times New Roman" w:cs="Times New Roman" w:hint="eastAsia"/>
        </w:rPr>
        <w:t>2</w:t>
      </w:r>
      <w:r>
        <w:rPr>
          <w:rFonts w:ascii="Times New Roman" w:cs="Times New Roman"/>
        </w:rPr>
        <w:t>可研批复</w:t>
      </w:r>
    </w:p>
    <w:p w:rsidR="00BD5820" w:rsidRDefault="00F64314">
      <w:pPr>
        <w:ind w:firstLineChars="450" w:firstLine="1080"/>
        <w:rPr>
          <w:rFonts w:ascii="Times New Roman" w:cs="Times New Roman"/>
        </w:rPr>
      </w:pPr>
      <w:r>
        <w:rPr>
          <w:rFonts w:ascii="Times New Roman" w:cs="Times New Roman"/>
        </w:rPr>
        <w:t>附件</w:t>
      </w:r>
      <w:r>
        <w:rPr>
          <w:rFonts w:ascii="Times New Roman" w:cs="Times New Roman" w:hint="eastAsia"/>
        </w:rPr>
        <w:t>3</w:t>
      </w:r>
      <w:r>
        <w:rPr>
          <w:rFonts w:ascii="Times New Roman" w:cs="Times New Roman" w:hint="eastAsia"/>
        </w:rPr>
        <w:t>普光气田原国家环保总局环评批复文件</w:t>
      </w:r>
    </w:p>
    <w:p w:rsidR="00103CA0" w:rsidRDefault="00103CA0">
      <w:pPr>
        <w:ind w:firstLineChars="450" w:firstLine="1080"/>
        <w:rPr>
          <w:rFonts w:ascii="Times New Roman" w:cs="Times New Roman"/>
        </w:rPr>
      </w:pPr>
      <w:r>
        <w:rPr>
          <w:rFonts w:ascii="Times New Roman" w:cs="Times New Roman"/>
        </w:rPr>
        <w:t>附件</w:t>
      </w:r>
      <w:r>
        <w:rPr>
          <w:rFonts w:ascii="Times New Roman" w:cs="Times New Roman" w:hint="eastAsia"/>
        </w:rPr>
        <w:t>4</w:t>
      </w:r>
      <w:r w:rsidRPr="00103CA0">
        <w:rPr>
          <w:rFonts w:ascii="Times New Roman" w:cs="Times New Roman" w:hint="eastAsia"/>
        </w:rPr>
        <w:t>普光气田开发及川气东送环保验收意见</w:t>
      </w:r>
    </w:p>
    <w:p w:rsidR="00BD5820" w:rsidRDefault="00F64314">
      <w:pPr>
        <w:ind w:firstLineChars="450" w:firstLine="1080"/>
        <w:rPr>
          <w:rFonts w:ascii="Times New Roman" w:cs="Times New Roman"/>
        </w:rPr>
      </w:pPr>
      <w:r>
        <w:rPr>
          <w:rFonts w:ascii="Times New Roman" w:cs="Times New Roman" w:hint="eastAsia"/>
        </w:rPr>
        <w:t>附件</w:t>
      </w:r>
      <w:r w:rsidR="00103CA0">
        <w:rPr>
          <w:rFonts w:ascii="Times New Roman" w:cs="Times New Roman" w:hint="eastAsia"/>
        </w:rPr>
        <w:t>5</w:t>
      </w:r>
      <w:r>
        <w:rPr>
          <w:rFonts w:ascii="Times New Roman" w:cs="Times New Roman" w:hint="eastAsia"/>
        </w:rPr>
        <w:t>引用</w:t>
      </w:r>
      <w:r w:rsidR="004F5975">
        <w:rPr>
          <w:rFonts w:ascii="Times New Roman" w:cs="Times New Roman" w:hint="eastAsia"/>
        </w:rPr>
        <w:t>地下水</w:t>
      </w:r>
      <w:r>
        <w:rPr>
          <w:rFonts w:ascii="Times New Roman" w:cs="Times New Roman" w:hint="eastAsia"/>
        </w:rPr>
        <w:t>监测报告</w:t>
      </w:r>
    </w:p>
    <w:p w:rsidR="00BD5820" w:rsidRDefault="00F64314">
      <w:pPr>
        <w:ind w:firstLineChars="450" w:firstLine="1080"/>
        <w:rPr>
          <w:rFonts w:ascii="Times New Roman" w:cs="Times New Roman"/>
        </w:rPr>
      </w:pPr>
      <w:r>
        <w:rPr>
          <w:rFonts w:ascii="Times New Roman" w:cs="Times New Roman" w:hint="eastAsia"/>
        </w:rPr>
        <w:t>附件</w:t>
      </w:r>
      <w:r w:rsidR="00103CA0">
        <w:rPr>
          <w:rFonts w:ascii="Times New Roman" w:cs="Times New Roman" w:hint="eastAsia"/>
        </w:rPr>
        <w:t>6</w:t>
      </w:r>
      <w:r>
        <w:rPr>
          <w:rFonts w:ascii="Times New Roman" w:cs="Times New Roman" w:hint="eastAsia"/>
        </w:rPr>
        <w:t>监测报告</w:t>
      </w:r>
    </w:p>
    <w:p w:rsidR="00BD5820" w:rsidRDefault="00F64314">
      <w:pPr>
        <w:ind w:firstLineChars="450" w:firstLine="1080"/>
        <w:rPr>
          <w:rFonts w:ascii="Times New Roman" w:cs="Times New Roman"/>
        </w:rPr>
      </w:pPr>
      <w:r>
        <w:rPr>
          <w:rFonts w:ascii="Times New Roman" w:cs="Times New Roman" w:hint="eastAsia"/>
        </w:rPr>
        <w:t>附件</w:t>
      </w:r>
      <w:r w:rsidR="00103CA0">
        <w:rPr>
          <w:rFonts w:ascii="Times New Roman" w:cs="Times New Roman" w:hint="eastAsia"/>
        </w:rPr>
        <w:t>7</w:t>
      </w:r>
      <w:r>
        <w:rPr>
          <w:rFonts w:ascii="Times New Roman" w:cs="Times New Roman" w:hint="eastAsia"/>
        </w:rPr>
        <w:t>普光分公司危险化学品与危险废物贮存改造工程环评批复</w:t>
      </w:r>
    </w:p>
    <w:p w:rsidR="00BD5820" w:rsidRDefault="00F64314">
      <w:pPr>
        <w:ind w:firstLineChars="450" w:firstLine="1080"/>
        <w:rPr>
          <w:rFonts w:ascii="Times New Roman" w:cs="Times New Roman"/>
        </w:rPr>
      </w:pPr>
      <w:r>
        <w:rPr>
          <w:rFonts w:ascii="Times New Roman" w:cs="Times New Roman" w:hint="eastAsia"/>
        </w:rPr>
        <w:t>附件</w:t>
      </w:r>
      <w:r w:rsidR="00103CA0">
        <w:rPr>
          <w:rFonts w:ascii="Times New Roman" w:cs="Times New Roman" w:hint="eastAsia"/>
        </w:rPr>
        <w:t>8</w:t>
      </w:r>
      <w:r>
        <w:rPr>
          <w:rFonts w:ascii="Times New Roman" w:cs="Times New Roman" w:hint="eastAsia"/>
        </w:rPr>
        <w:t>公司危险化学品与危险废物贮存改造工程竣工环境保护验收公示</w:t>
      </w:r>
    </w:p>
    <w:p w:rsidR="00BD5820" w:rsidRDefault="00F64314">
      <w:pPr>
        <w:ind w:firstLineChars="450" w:firstLine="1080"/>
        <w:rPr>
          <w:rFonts w:ascii="Times New Roman" w:cs="Times New Roman"/>
        </w:rPr>
      </w:pPr>
      <w:r>
        <w:rPr>
          <w:rFonts w:ascii="Times New Roman" w:cs="Times New Roman" w:hint="eastAsia"/>
        </w:rPr>
        <w:t>附件</w:t>
      </w:r>
      <w:r w:rsidR="00103CA0">
        <w:rPr>
          <w:rFonts w:ascii="Times New Roman" w:cs="Times New Roman" w:hint="eastAsia"/>
        </w:rPr>
        <w:t>9</w:t>
      </w:r>
      <w:r>
        <w:rPr>
          <w:rFonts w:ascii="Times New Roman" w:cs="Times New Roman" w:hint="eastAsia"/>
        </w:rPr>
        <w:t>应急预案备案文件</w:t>
      </w:r>
    </w:p>
    <w:p w:rsidR="00BD5820" w:rsidRDefault="00F64314">
      <w:pPr>
        <w:ind w:firstLineChars="450" w:firstLine="1080"/>
        <w:rPr>
          <w:rFonts w:ascii="Times New Roman" w:cs="Times New Roman"/>
        </w:rPr>
      </w:pPr>
      <w:r>
        <w:rPr>
          <w:rFonts w:ascii="Times New Roman" w:cs="Times New Roman" w:hint="eastAsia"/>
        </w:rPr>
        <w:t>附件</w:t>
      </w:r>
      <w:r w:rsidR="00103CA0">
        <w:rPr>
          <w:rFonts w:ascii="Times New Roman" w:cs="Times New Roman" w:hint="eastAsia"/>
        </w:rPr>
        <w:t>10</w:t>
      </w:r>
      <w:r>
        <w:rPr>
          <w:rFonts w:ascii="Times New Roman" w:cs="Times New Roman" w:hint="eastAsia"/>
        </w:rPr>
        <w:t>达市环办发〔</w:t>
      </w:r>
      <w:r>
        <w:rPr>
          <w:rFonts w:ascii="Times New Roman" w:cs="Times New Roman" w:hint="eastAsia"/>
        </w:rPr>
        <w:t>2021</w:t>
      </w:r>
      <w:r>
        <w:rPr>
          <w:rFonts w:ascii="Times New Roman" w:cs="Times New Roman" w:hint="eastAsia"/>
        </w:rPr>
        <w:t>〕</w:t>
      </w:r>
      <w:r>
        <w:rPr>
          <w:rFonts w:ascii="Times New Roman" w:cs="Times New Roman" w:hint="eastAsia"/>
        </w:rPr>
        <w:t>24</w:t>
      </w:r>
      <w:r>
        <w:rPr>
          <w:rFonts w:ascii="Times New Roman" w:cs="Times New Roman" w:hint="eastAsia"/>
        </w:rPr>
        <w:t>号</w:t>
      </w:r>
      <w:r>
        <w:rPr>
          <w:rFonts w:ascii="Times New Roman" w:cs="Times New Roman" w:hint="eastAsia"/>
        </w:rPr>
        <w:t xml:space="preserve"> </w:t>
      </w:r>
      <w:r>
        <w:rPr>
          <w:rFonts w:ascii="Times New Roman" w:cs="Times New Roman" w:hint="eastAsia"/>
        </w:rPr>
        <w:t>关于进一步加强固体废物污染防治工作的通知</w:t>
      </w:r>
    </w:p>
    <w:p w:rsidR="00BD5820" w:rsidRDefault="00F64314">
      <w:pPr>
        <w:ind w:firstLineChars="450" w:firstLine="1080"/>
        <w:rPr>
          <w:rFonts w:ascii="Times New Roman" w:cs="Times New Roman"/>
        </w:rPr>
      </w:pPr>
      <w:r>
        <w:rPr>
          <w:rFonts w:ascii="Times New Roman" w:cs="Times New Roman" w:hint="eastAsia"/>
        </w:rPr>
        <w:t>附件</w:t>
      </w:r>
      <w:r>
        <w:rPr>
          <w:rFonts w:ascii="Times New Roman" w:cs="Times New Roman" w:hint="eastAsia"/>
        </w:rPr>
        <w:t>1</w:t>
      </w:r>
      <w:r w:rsidR="00103CA0">
        <w:rPr>
          <w:rFonts w:ascii="Times New Roman" w:cs="Times New Roman" w:hint="eastAsia"/>
        </w:rPr>
        <w:t>1</w:t>
      </w:r>
      <w:r>
        <w:rPr>
          <w:rFonts w:ascii="Times New Roman" w:cs="Times New Roman" w:hint="eastAsia"/>
        </w:rPr>
        <w:t>达市府发〔</w:t>
      </w:r>
      <w:r>
        <w:rPr>
          <w:rFonts w:ascii="Times New Roman" w:cs="Times New Roman" w:hint="eastAsia"/>
        </w:rPr>
        <w:t>2021</w:t>
      </w:r>
      <w:r>
        <w:rPr>
          <w:rFonts w:ascii="Times New Roman" w:cs="Times New Roman" w:hint="eastAsia"/>
        </w:rPr>
        <w:t>〕</w:t>
      </w:r>
      <w:r>
        <w:rPr>
          <w:rFonts w:ascii="Times New Roman" w:cs="Times New Roman" w:hint="eastAsia"/>
        </w:rPr>
        <w:t>17</w:t>
      </w:r>
      <w:r>
        <w:rPr>
          <w:rFonts w:ascii="Times New Roman" w:cs="Times New Roman" w:hint="eastAsia"/>
        </w:rPr>
        <w:t>号</w:t>
      </w:r>
    </w:p>
    <w:p w:rsidR="00BD5820" w:rsidRDefault="00F64314">
      <w:pPr>
        <w:ind w:firstLineChars="450" w:firstLine="1080"/>
        <w:rPr>
          <w:rFonts w:ascii="Times New Roman" w:cs="Times New Roman"/>
        </w:rPr>
      </w:pPr>
      <w:r>
        <w:rPr>
          <w:rFonts w:ascii="Times New Roman" w:cs="Times New Roman" w:hint="eastAsia"/>
        </w:rPr>
        <w:t>附件</w:t>
      </w:r>
      <w:r>
        <w:rPr>
          <w:rFonts w:ascii="Times New Roman" w:cs="Times New Roman" w:hint="eastAsia"/>
        </w:rPr>
        <w:t>1</w:t>
      </w:r>
      <w:r w:rsidR="00103CA0">
        <w:rPr>
          <w:rFonts w:ascii="Times New Roman" w:cs="Times New Roman" w:hint="eastAsia"/>
        </w:rPr>
        <w:t>2</w:t>
      </w:r>
      <w:r>
        <w:rPr>
          <w:rFonts w:ascii="Times New Roman" w:cs="Times New Roman" w:hint="eastAsia"/>
        </w:rPr>
        <w:t>水土流失重点保护区川水函</w:t>
      </w:r>
      <w:r>
        <w:rPr>
          <w:rFonts w:ascii="Times New Roman" w:cs="Times New Roman" w:hint="eastAsia"/>
        </w:rPr>
        <w:t>[2017]482</w:t>
      </w:r>
      <w:r>
        <w:rPr>
          <w:rFonts w:ascii="Times New Roman" w:cs="Times New Roman" w:hint="eastAsia"/>
        </w:rPr>
        <w:t>号</w:t>
      </w:r>
    </w:p>
    <w:p w:rsidR="00BD5820" w:rsidRDefault="00BD5820">
      <w:pPr>
        <w:ind w:firstLineChars="450" w:firstLine="1080"/>
        <w:rPr>
          <w:rFonts w:ascii="Times New Roman" w:cs="Times New Roman"/>
        </w:rPr>
      </w:pPr>
    </w:p>
    <w:p w:rsidR="00BD5820" w:rsidRDefault="00F64314">
      <w:pPr>
        <w:ind w:firstLineChars="450" w:firstLine="1080"/>
        <w:rPr>
          <w:rFonts w:ascii="Times New Roman" w:cs="Times New Roman"/>
        </w:rPr>
      </w:pPr>
      <w:r>
        <w:rPr>
          <w:rFonts w:ascii="Times New Roman" w:cs="Times New Roman"/>
        </w:rPr>
        <w:t xml:space="preserve"> </w:t>
      </w:r>
    </w:p>
    <w:p w:rsidR="00BD5820" w:rsidRDefault="00F64314">
      <w:pPr>
        <w:ind w:firstLineChars="0" w:firstLine="0"/>
        <w:rPr>
          <w:rFonts w:ascii="Times New Roman" w:cs="Times New Roman"/>
          <w:b/>
          <w:bCs/>
        </w:rPr>
      </w:pPr>
      <w:r>
        <w:rPr>
          <w:rFonts w:ascii="Times New Roman" w:cs="Times New Roman"/>
          <w:b/>
          <w:bCs/>
        </w:rPr>
        <w:t>附</w:t>
      </w:r>
      <w:r>
        <w:rPr>
          <w:rFonts w:ascii="Times New Roman" w:cs="Times New Roman" w:hint="eastAsia"/>
          <w:b/>
          <w:bCs/>
        </w:rPr>
        <w:t xml:space="preserve"> </w:t>
      </w:r>
      <w:r>
        <w:rPr>
          <w:rFonts w:ascii="Times New Roman" w:cs="Times New Roman"/>
          <w:b/>
          <w:bCs/>
        </w:rPr>
        <w:t xml:space="preserve"> </w:t>
      </w:r>
      <w:r>
        <w:rPr>
          <w:rFonts w:ascii="Times New Roman" w:cs="Times New Roman"/>
          <w:b/>
          <w:bCs/>
        </w:rPr>
        <w:t>表：</w:t>
      </w:r>
    </w:p>
    <w:p w:rsidR="00BD5820" w:rsidRDefault="00F64314">
      <w:pPr>
        <w:ind w:firstLineChars="450" w:firstLine="1080"/>
        <w:rPr>
          <w:rFonts w:ascii="Times New Roman" w:cs="Times New Roman"/>
        </w:rPr>
      </w:pPr>
      <w:r>
        <w:rPr>
          <w:rFonts w:ascii="Times New Roman" w:cs="Times New Roman"/>
        </w:rPr>
        <w:t>附表</w:t>
      </w:r>
      <w:r>
        <w:rPr>
          <w:rFonts w:ascii="Times New Roman" w:cs="Times New Roman"/>
        </w:rPr>
        <w:t xml:space="preserve"> </w:t>
      </w:r>
      <w:r>
        <w:rPr>
          <w:rFonts w:ascii="Times New Roman" w:cs="Times New Roman"/>
        </w:rPr>
        <w:t>建设项目环评审批基础信息表</w:t>
      </w:r>
    </w:p>
    <w:p w:rsidR="00BD5820" w:rsidRDefault="00BD5820">
      <w:pPr>
        <w:ind w:firstLineChars="450" w:firstLine="1080"/>
        <w:rPr>
          <w:rFonts w:ascii="Times New Roman" w:cs="Times New Roman"/>
        </w:rPr>
        <w:sectPr w:rsidR="00BD5820">
          <w:headerReference w:type="even" r:id="rId14"/>
          <w:headerReference w:type="default" r:id="rId15"/>
          <w:footerReference w:type="even" r:id="rId16"/>
          <w:footerReference w:type="default" r:id="rId17"/>
          <w:headerReference w:type="first" r:id="rId18"/>
          <w:footerReference w:type="first" r:id="rId19"/>
          <w:pgSz w:w="11910" w:h="16840"/>
          <w:pgMar w:top="1280" w:right="1280" w:bottom="1300" w:left="1280" w:header="885" w:footer="1097" w:gutter="0"/>
          <w:pgNumType w:fmt="upperRoman" w:start="1"/>
          <w:cols w:space="720"/>
        </w:sectPr>
      </w:pPr>
    </w:p>
    <w:p w:rsidR="00BD5820" w:rsidRDefault="00F64314">
      <w:pPr>
        <w:keepNext/>
        <w:keepLines/>
        <w:ind w:firstLineChars="0" w:firstLine="0"/>
        <w:jc w:val="left"/>
        <w:outlineLvl w:val="0"/>
        <w:rPr>
          <w:rFonts w:ascii="Times New Roman" w:cs="Times New Roman"/>
          <w:kern w:val="44"/>
          <w:sz w:val="32"/>
          <w:szCs w:val="44"/>
        </w:rPr>
      </w:pPr>
      <w:bookmarkStart w:id="12" w:name="_Toc3537"/>
      <w:r>
        <w:rPr>
          <w:rFonts w:ascii="Times New Roman" w:cs="Times New Roman"/>
          <w:b/>
          <w:kern w:val="44"/>
          <w:sz w:val="32"/>
          <w:szCs w:val="44"/>
        </w:rPr>
        <w:lastRenderedPageBreak/>
        <w:t>概述</w:t>
      </w:r>
      <w:bookmarkEnd w:id="0"/>
      <w:bookmarkEnd w:id="12"/>
    </w:p>
    <w:p w:rsidR="00BD5820" w:rsidRDefault="00F64314">
      <w:pPr>
        <w:keepNext/>
        <w:keepLines/>
        <w:spacing w:before="120"/>
        <w:ind w:firstLineChars="0" w:firstLine="0"/>
        <w:outlineLvl w:val="1"/>
        <w:rPr>
          <w:rFonts w:ascii="Times New Roman" w:cs="Times New Roman"/>
          <w:b/>
          <w:bCs/>
          <w:sz w:val="28"/>
          <w:szCs w:val="32"/>
        </w:rPr>
      </w:pPr>
      <w:bookmarkStart w:id="13" w:name="_Toc19815913"/>
      <w:bookmarkStart w:id="14" w:name="_Toc28081"/>
      <w:r>
        <w:rPr>
          <w:rFonts w:ascii="Times New Roman" w:cs="Times New Roman"/>
          <w:b/>
          <w:bCs/>
          <w:sz w:val="28"/>
          <w:szCs w:val="32"/>
        </w:rPr>
        <w:t>一、项目由来</w:t>
      </w:r>
      <w:bookmarkEnd w:id="13"/>
      <w:bookmarkEnd w:id="14"/>
    </w:p>
    <w:p w:rsidR="00BD5820" w:rsidRDefault="00FA2D39">
      <w:pPr>
        <w:pStyle w:val="affa"/>
        <w:ind w:firstLine="480"/>
      </w:pPr>
      <w:bookmarkStart w:id="15" w:name="_Hlk81418990"/>
      <w:bookmarkStart w:id="16" w:name="_Hlk52829788"/>
      <w:r w:rsidRPr="00FA2D39">
        <w:rPr>
          <w:rFonts w:hint="eastAsia"/>
          <w:color w:val="FF0000"/>
        </w:rPr>
        <w:t>普光气田位于四川省达州市宣汉县境内</w:t>
      </w:r>
      <w:r w:rsidR="00F64314" w:rsidRPr="00FA2D39">
        <w:rPr>
          <w:rFonts w:hint="eastAsia"/>
          <w:color w:val="FF0000"/>
        </w:rPr>
        <w:t>，</w:t>
      </w:r>
      <w:r w:rsidR="00F64314">
        <w:rPr>
          <w:rFonts w:hint="eastAsia"/>
        </w:rPr>
        <w:t>是国内首个成功开发的高含硫千亿方大型气田，也是川气东送工程气源主产地。气田动用普光主体、大湾、毛坝、老君等气藏。</w:t>
      </w:r>
      <w:r w:rsidR="00F64314">
        <w:t>2005</w:t>
      </w:r>
      <w:r w:rsidR="00F64314">
        <w:rPr>
          <w:rFonts w:hint="eastAsia"/>
        </w:rPr>
        <w:t>年开始开发，</w:t>
      </w:r>
      <w:r w:rsidR="00F64314">
        <w:t>2009</w:t>
      </w:r>
      <w:r w:rsidR="00F64314">
        <w:rPr>
          <w:rFonts w:hint="eastAsia"/>
        </w:rPr>
        <w:t>年普光主体投产，已安全平稳高效运行</w:t>
      </w:r>
      <w:r w:rsidR="00F64314">
        <w:t>13</w:t>
      </w:r>
      <w:r w:rsidR="00F64314">
        <w:rPr>
          <w:rFonts w:hint="eastAsia"/>
        </w:rPr>
        <w:t>年，截至</w:t>
      </w:r>
      <w:r w:rsidR="00F64314">
        <w:t>2023</w:t>
      </w:r>
      <w:r w:rsidR="00F64314">
        <w:rPr>
          <w:rFonts w:hint="eastAsia"/>
        </w:rPr>
        <w:t>年</w:t>
      </w:r>
      <w:r w:rsidR="00F64314">
        <w:t>5</w:t>
      </w:r>
      <w:r w:rsidR="00F64314">
        <w:rPr>
          <w:rFonts w:hint="eastAsia"/>
        </w:rPr>
        <w:t>月底气田累计生产井口气</w:t>
      </w:r>
      <w:r w:rsidR="00F64314">
        <w:t>1118</w:t>
      </w:r>
      <w:r w:rsidR="00F64314">
        <w:rPr>
          <w:rFonts w:hint="eastAsia"/>
        </w:rPr>
        <w:t>亿方，累计投资</w:t>
      </w:r>
      <w:r w:rsidR="00F64314">
        <w:t>471.21</w:t>
      </w:r>
      <w:r w:rsidR="00F64314">
        <w:rPr>
          <w:rFonts w:hint="eastAsia"/>
        </w:rPr>
        <w:t>亿元。</w:t>
      </w:r>
    </w:p>
    <w:p w:rsidR="00BD5820" w:rsidRDefault="00F64314">
      <w:pPr>
        <w:pStyle w:val="affa"/>
        <w:ind w:firstLine="480"/>
      </w:pPr>
      <w:r>
        <w:rPr>
          <w:rFonts w:hint="eastAsia"/>
        </w:rPr>
        <w:t>普光主体区块于</w:t>
      </w:r>
      <w:r>
        <w:t>2009</w:t>
      </w:r>
      <w:r>
        <w:rPr>
          <w:rFonts w:hint="eastAsia"/>
        </w:rPr>
        <w:t>年投入生产，截止目前开井数</w:t>
      </w:r>
      <w:r>
        <w:t>32</w:t>
      </w:r>
      <w:r>
        <w:rPr>
          <w:rFonts w:hint="eastAsia"/>
        </w:rPr>
        <w:t>口，已全面进入递减阶段，日产气主要在</w:t>
      </w:r>
      <w:r>
        <w:t>20-60×10</w:t>
      </w:r>
      <w:r>
        <w:rPr>
          <w:vertAlign w:val="superscript"/>
        </w:rPr>
        <w:t>4</w:t>
      </w:r>
      <w:r>
        <w:t>m</w:t>
      </w:r>
      <w:r>
        <w:rPr>
          <w:vertAlign w:val="superscript"/>
        </w:rPr>
        <w:t>3</w:t>
      </w:r>
      <w:r>
        <w:t xml:space="preserve">/d </w:t>
      </w:r>
      <w:r>
        <w:rPr>
          <w:rFonts w:hint="eastAsia"/>
        </w:rPr>
        <w:t>之间，平均</w:t>
      </w:r>
      <w:r>
        <w:t>33.8×10</w:t>
      </w:r>
      <w:r>
        <w:rPr>
          <w:vertAlign w:val="superscript"/>
        </w:rPr>
        <w:t>4</w:t>
      </w:r>
      <w:r>
        <w:t>m</w:t>
      </w:r>
      <w:r>
        <w:rPr>
          <w:vertAlign w:val="superscript"/>
        </w:rPr>
        <w:t>3</w:t>
      </w:r>
      <w:r>
        <w:t>/d</w:t>
      </w:r>
      <w:r>
        <w:rPr>
          <w:rFonts w:hint="eastAsia"/>
        </w:rPr>
        <w:t>，较投产初期下降</w:t>
      </w:r>
      <w:r>
        <w:t>59.8%</w:t>
      </w:r>
      <w:r>
        <w:rPr>
          <w:rFonts w:hint="eastAsia"/>
        </w:rPr>
        <w:t>。油压主要在</w:t>
      </w:r>
      <w:r>
        <w:t xml:space="preserve">9.5MPa </w:t>
      </w:r>
      <w:r>
        <w:rPr>
          <w:rFonts w:hint="eastAsia"/>
        </w:rPr>
        <w:t>以下，平均</w:t>
      </w:r>
      <w:r>
        <w:t>8.4MPa</w:t>
      </w:r>
      <w:r>
        <w:rPr>
          <w:rFonts w:hint="eastAsia"/>
        </w:rPr>
        <w:t>，较投产初期下降</w:t>
      </w:r>
      <w:r>
        <w:t>30.5MPa</w:t>
      </w:r>
      <w:r>
        <w:rPr>
          <w:rFonts w:hint="eastAsia"/>
        </w:rPr>
        <w:t>，降幅</w:t>
      </w:r>
      <w:r>
        <w:t>78.4%</w:t>
      </w:r>
      <w:r>
        <w:rPr>
          <w:rFonts w:hint="eastAsia"/>
        </w:rPr>
        <w:t>。大湾区块于</w:t>
      </w:r>
      <w:r>
        <w:t>2012</w:t>
      </w:r>
      <w:r>
        <w:rPr>
          <w:rFonts w:hint="eastAsia"/>
        </w:rPr>
        <w:t>年陆续投产，截止目前开井</w:t>
      </w:r>
      <w:r>
        <w:t>21</w:t>
      </w:r>
      <w:r>
        <w:rPr>
          <w:rFonts w:hint="eastAsia"/>
        </w:rPr>
        <w:t>口，日产气主要在</w:t>
      </w:r>
      <w:r>
        <w:t>16-84×10</w:t>
      </w:r>
      <w:r>
        <w:rPr>
          <w:vertAlign w:val="superscript"/>
        </w:rPr>
        <w:t>4</w:t>
      </w:r>
      <w:r>
        <w:t>m</w:t>
      </w:r>
      <w:r>
        <w:rPr>
          <w:vertAlign w:val="superscript"/>
        </w:rPr>
        <w:t>3</w:t>
      </w:r>
      <w:r>
        <w:t>/d</w:t>
      </w:r>
      <w:r>
        <w:rPr>
          <w:rFonts w:hint="eastAsia"/>
        </w:rPr>
        <w:t>之间，单井平均产量由</w:t>
      </w:r>
      <w:r>
        <w:t>76×10</w:t>
      </w:r>
      <w:r>
        <w:rPr>
          <w:vertAlign w:val="superscript"/>
        </w:rPr>
        <w:t>4</w:t>
      </w:r>
      <w:r>
        <w:t>m</w:t>
      </w:r>
      <w:r>
        <w:rPr>
          <w:vertAlign w:val="superscript"/>
        </w:rPr>
        <w:t>3</w:t>
      </w:r>
      <w:r>
        <w:t>/d</w:t>
      </w:r>
      <w:r>
        <w:rPr>
          <w:rFonts w:hint="eastAsia"/>
        </w:rPr>
        <w:t>降至</w:t>
      </w:r>
      <w:r>
        <w:t>60×10</w:t>
      </w:r>
      <w:r>
        <w:rPr>
          <w:vertAlign w:val="superscript"/>
        </w:rPr>
        <w:t>4</w:t>
      </w:r>
      <w:r>
        <w:t>m</w:t>
      </w:r>
      <w:r>
        <w:rPr>
          <w:vertAlign w:val="superscript"/>
        </w:rPr>
        <w:t>3</w:t>
      </w:r>
      <w:r>
        <w:t>/d</w:t>
      </w:r>
      <w:r>
        <w:rPr>
          <w:rFonts w:hint="eastAsia"/>
        </w:rPr>
        <w:t>，生产油压由</w:t>
      </w:r>
      <w:r>
        <w:t>31.9MPa</w:t>
      </w:r>
      <w:r>
        <w:rPr>
          <w:rFonts w:hint="eastAsia"/>
        </w:rPr>
        <w:t>降至</w:t>
      </w:r>
      <w:r>
        <w:t>10.8MPa</w:t>
      </w:r>
      <w:r>
        <w:rPr>
          <w:rFonts w:hint="eastAsia"/>
        </w:rPr>
        <w:t>，预测到</w:t>
      </w:r>
      <w:r>
        <w:t>2023</w:t>
      </w:r>
      <w:r>
        <w:rPr>
          <w:rFonts w:hint="eastAsia"/>
        </w:rPr>
        <w:t>年三季度进入全面递减阶段，届时气藏进入全面递减阶段，年递减率</w:t>
      </w:r>
      <w:r>
        <w:t>14%</w:t>
      </w:r>
      <w:r>
        <w:rPr>
          <w:rFonts w:hint="eastAsia"/>
        </w:rPr>
        <w:t>；考虑</w:t>
      </w:r>
      <w:r>
        <w:t>2023</w:t>
      </w:r>
      <w:r>
        <w:rPr>
          <w:rFonts w:hint="eastAsia"/>
        </w:rPr>
        <w:t>年</w:t>
      </w:r>
      <w:r>
        <w:t>3</w:t>
      </w:r>
      <w:r>
        <w:rPr>
          <w:rFonts w:hint="eastAsia"/>
        </w:rPr>
        <w:t>月铁山坡投产，气藏自然递减加大到</w:t>
      </w:r>
      <w:r>
        <w:t>16.0%</w:t>
      </w:r>
      <w:r>
        <w:rPr>
          <w:rFonts w:hint="eastAsia"/>
        </w:rPr>
        <w:t>。</w:t>
      </w:r>
    </w:p>
    <w:p w:rsidR="00BD5820" w:rsidRDefault="00F64314">
      <w:pPr>
        <w:pStyle w:val="affa"/>
        <w:ind w:firstLine="480"/>
      </w:pPr>
      <w:r>
        <w:rPr>
          <w:rFonts w:hint="eastAsia"/>
        </w:rPr>
        <w:t>随着普光主体、大湾区块全面递减，产量将快速下降，预测“十四五</w:t>
      </w:r>
      <w:r>
        <w:t>”</w:t>
      </w:r>
      <w:r>
        <w:rPr>
          <w:rFonts w:hint="eastAsia"/>
        </w:rPr>
        <w:t>末气田年产气量降至</w:t>
      </w:r>
      <w:r>
        <w:t xml:space="preserve">53.09 </w:t>
      </w:r>
      <w:r>
        <w:rPr>
          <w:rFonts w:hint="eastAsia"/>
        </w:rPr>
        <w:t>亿方，“十五五”末降至</w:t>
      </w:r>
      <w:r>
        <w:t>24.14</w:t>
      </w:r>
      <w:r>
        <w:rPr>
          <w:rFonts w:hint="eastAsia"/>
        </w:rPr>
        <w:t>亿方，严重影响</w:t>
      </w:r>
      <w:r>
        <w:t xml:space="preserve"> </w:t>
      </w:r>
      <w:r>
        <w:rPr>
          <w:rFonts w:hint="eastAsia"/>
        </w:rPr>
        <w:t>“七年行动计划”和“十四五规划”保供目标和生产任务的完成。为延长气田稳产期、提高采收率，落实集团公司天然气“七年行动计划”产量目标，保障中原油田高质量发展，</w:t>
      </w:r>
      <w:r>
        <w:t>中国石油化工股份有限公司中原油田普光分公司</w:t>
      </w:r>
      <w:r>
        <w:rPr>
          <w:rFonts w:hint="eastAsia"/>
        </w:rPr>
        <w:t>拟</w:t>
      </w:r>
      <w:r>
        <w:t>实施普光气田主体湿气增压工程</w:t>
      </w:r>
      <w:bookmarkStart w:id="17" w:name="OLE_LINK23"/>
      <w:bookmarkStart w:id="18" w:name="OLE_LINK24"/>
      <w:r>
        <w:rPr>
          <w:rFonts w:hint="eastAsia"/>
        </w:rPr>
        <w:t>，通过高含硫湿气增压技术，</w:t>
      </w:r>
      <w:r>
        <w:rPr>
          <w:rFonts w:hint="eastAsia"/>
          <w:bCs/>
        </w:rPr>
        <w:t>是延长稳产期，提升气田稳产能力的重要举措，是增加可采储量、提高采收率，提升气田综合开发效益的有效措施，是提高气井携液能力，实现产水井连续生产、激活气井潜能的重要手段</w:t>
      </w:r>
      <w:r>
        <w:rPr>
          <w:rFonts w:hint="eastAsia"/>
        </w:rPr>
        <w:t>。</w:t>
      </w:r>
      <w:bookmarkStart w:id="19" w:name="_Hlk80477079"/>
      <w:bookmarkEnd w:id="17"/>
      <w:bookmarkEnd w:id="18"/>
    </w:p>
    <w:p w:rsidR="00BD5820" w:rsidRDefault="00F64314">
      <w:pPr>
        <w:pStyle w:val="affa"/>
        <w:ind w:firstLine="480"/>
      </w:pPr>
      <w:bookmarkStart w:id="20" w:name="OLE_LINK40"/>
      <w:r>
        <w:t>本项目具体建设内容为：</w:t>
      </w:r>
      <w:r>
        <w:rPr>
          <w:rFonts w:hint="eastAsia"/>
        </w:rPr>
        <w:t>依托普光气田主体现有集输系统，新建</w:t>
      </w:r>
      <w:r>
        <w:t>2</w:t>
      </w:r>
      <w:r>
        <w:rPr>
          <w:rFonts w:hint="eastAsia"/>
        </w:rPr>
        <w:t>座增压站，其中：</w:t>
      </w:r>
      <w:r>
        <w:t>1#</w:t>
      </w:r>
      <w:r>
        <w:rPr>
          <w:rFonts w:hint="eastAsia"/>
        </w:rPr>
        <w:t>增压站依托</w:t>
      </w:r>
      <w:r>
        <w:t>P102</w:t>
      </w:r>
      <w:r>
        <w:rPr>
          <w:rFonts w:hint="eastAsia"/>
        </w:rPr>
        <w:t>集气站改造扩建，站内建设高含硫压缩机组</w:t>
      </w:r>
      <w:r>
        <w:t>3</w:t>
      </w:r>
      <w:r>
        <w:rPr>
          <w:rFonts w:hint="eastAsia"/>
        </w:rPr>
        <w:t>套（每套</w:t>
      </w:r>
      <w:r>
        <w:t>50</w:t>
      </w:r>
      <w:r>
        <w:rPr>
          <w:rFonts w:hint="eastAsia"/>
        </w:rPr>
        <w:t>万方</w:t>
      </w:r>
      <w:r>
        <w:t>/</w:t>
      </w:r>
      <w:r>
        <w:rPr>
          <w:rFonts w:hint="eastAsia"/>
        </w:rPr>
        <w:t>天），主要对</w:t>
      </w:r>
      <w:r>
        <w:t>1#</w:t>
      </w:r>
      <w:r>
        <w:rPr>
          <w:rFonts w:hint="eastAsia"/>
        </w:rPr>
        <w:t>线集气站所辖气井来气增压，站外配套新建集输管线</w:t>
      </w:r>
      <w:r>
        <w:t>4.1</w:t>
      </w:r>
      <w:r>
        <w:rPr>
          <w:rFonts w:hint="eastAsia"/>
        </w:rPr>
        <w:t>千米；</w:t>
      </w:r>
      <w:r>
        <w:t>2#</w:t>
      </w:r>
      <w:r>
        <w:rPr>
          <w:rFonts w:hint="eastAsia"/>
        </w:rPr>
        <w:t>增压站依托净化厂东侧料仓改造扩建，站内建设高含硫压缩机组</w:t>
      </w:r>
      <w:r>
        <w:t>4</w:t>
      </w:r>
      <w:r>
        <w:rPr>
          <w:rFonts w:hint="eastAsia"/>
        </w:rPr>
        <w:t>套（每套</w:t>
      </w:r>
      <w:r>
        <w:t>150</w:t>
      </w:r>
      <w:r>
        <w:rPr>
          <w:rFonts w:hint="eastAsia"/>
        </w:rPr>
        <w:t>万方</w:t>
      </w:r>
      <w:r>
        <w:t>/</w:t>
      </w:r>
      <w:r>
        <w:rPr>
          <w:rFonts w:hint="eastAsia"/>
        </w:rPr>
        <w:t>天），主要对</w:t>
      </w:r>
      <w:r>
        <w:t>2#</w:t>
      </w:r>
      <w:r>
        <w:rPr>
          <w:rFonts w:hint="eastAsia"/>
        </w:rPr>
        <w:t>线和</w:t>
      </w:r>
      <w:r>
        <w:t>3#</w:t>
      </w:r>
      <w:r>
        <w:rPr>
          <w:rFonts w:hint="eastAsia"/>
        </w:rPr>
        <w:t>线集气站所辖气井来气增压。</w:t>
      </w:r>
    </w:p>
    <w:p w:rsidR="00BD5820" w:rsidRDefault="00F64314">
      <w:pPr>
        <w:pStyle w:val="affa"/>
        <w:ind w:firstLine="480"/>
      </w:pPr>
      <w:bookmarkStart w:id="21" w:name="_Hlk80437017"/>
      <w:bookmarkEnd w:id="20"/>
      <w:r>
        <w:rPr>
          <w:rFonts w:hint="eastAsia"/>
        </w:rPr>
        <w:t>本</w:t>
      </w:r>
      <w:r>
        <w:t>项目总投资</w:t>
      </w:r>
      <w:r>
        <w:rPr>
          <w:rFonts w:hint="eastAsia"/>
        </w:rPr>
        <w:t>85368</w:t>
      </w:r>
      <w:r>
        <w:t>万元，其中环保投资</w:t>
      </w:r>
      <w:r>
        <w:rPr>
          <w:rFonts w:hint="eastAsia"/>
        </w:rPr>
        <w:t>150</w:t>
      </w:r>
      <w:r>
        <w:rPr>
          <w:rFonts w:hint="eastAsia"/>
        </w:rPr>
        <w:t>万元</w:t>
      </w:r>
      <w:r>
        <w:t>，占项目总投资的</w:t>
      </w:r>
      <w:r>
        <w:rPr>
          <w:rFonts w:hint="eastAsia"/>
        </w:rPr>
        <w:t>0.18%</w:t>
      </w:r>
      <w:r>
        <w:rPr>
          <w:rFonts w:hint="eastAsia"/>
        </w:rPr>
        <w:t>。</w:t>
      </w:r>
    </w:p>
    <w:bookmarkEnd w:id="19"/>
    <w:bookmarkEnd w:id="21"/>
    <w:p w:rsidR="00BD5820" w:rsidRDefault="00F64314">
      <w:pPr>
        <w:pStyle w:val="affa"/>
        <w:ind w:firstLine="480"/>
      </w:pPr>
      <w:r>
        <w:t>根据《中华人民共和国环境保护法》（</w:t>
      </w:r>
      <w:r>
        <w:t>2015</w:t>
      </w:r>
      <w:r>
        <w:t>年</w:t>
      </w:r>
      <w:r>
        <w:t>1</w:t>
      </w:r>
      <w:r>
        <w:t>月</w:t>
      </w:r>
      <w:r>
        <w:t>1</w:t>
      </w:r>
      <w:r>
        <w:t>日实施）、《中华人民共和国环境影响评价法》（</w:t>
      </w:r>
      <w:r>
        <w:t>2018</w:t>
      </w:r>
      <w:r>
        <w:t>年</w:t>
      </w:r>
      <w:r>
        <w:t>12</w:t>
      </w:r>
      <w:r>
        <w:t>月</w:t>
      </w:r>
      <w:r>
        <w:t>29</w:t>
      </w:r>
      <w:r>
        <w:t>日实施）、《建设项目环境影响评价分类管理名录》（</w:t>
      </w:r>
      <w:r>
        <w:t>2021</w:t>
      </w:r>
      <w:r>
        <w:lastRenderedPageBreak/>
        <w:t>年版）等的有关规定，建设过程中或者建成投产后可能对环境产生影响的新建、扩建、改建、迁建项目及区域开发建设项目，必须执行环境影响评价制度。根据国家生态环境部制定的《建设项目环境影响评价分类管理名录》（</w:t>
      </w:r>
      <w:r>
        <w:t>2021</w:t>
      </w:r>
      <w:r>
        <w:t>年版）中的相关要求，本项目属于</w:t>
      </w:r>
      <w:r>
        <w:t>“</w:t>
      </w:r>
      <w:r>
        <w:t>五、石油和天然气开采业</w:t>
      </w:r>
      <w:r>
        <w:t>07-8</w:t>
      </w:r>
      <w:r>
        <w:t>、陆地天然气开采</w:t>
      </w:r>
      <w:r>
        <w:rPr>
          <w:rFonts w:hint="eastAsia"/>
        </w:rPr>
        <w:t>0721-</w:t>
      </w:r>
      <w:r>
        <w:t>涉及环境敏感区的（含内部集输管线建设）</w:t>
      </w:r>
      <w:r>
        <w:t>”</w:t>
      </w:r>
      <w:r>
        <w:t>。本项目涉及</w:t>
      </w:r>
      <w:r>
        <w:rPr>
          <w:rFonts w:hint="eastAsia"/>
        </w:rPr>
        <w:t>嘉陵江及沱江中下游国家级水土流失重点治理区（宣汉县水土保持重点防治分区图见附图</w:t>
      </w:r>
      <w:r>
        <w:rPr>
          <w:rFonts w:hint="eastAsia"/>
        </w:rPr>
        <w:t>20</w:t>
      </w:r>
      <w:r>
        <w:rPr>
          <w:rFonts w:hint="eastAsia"/>
        </w:rPr>
        <w:t>）</w:t>
      </w:r>
      <w:r>
        <w:t>，故应当编制环境影响报告书。</w:t>
      </w:r>
    </w:p>
    <w:bookmarkEnd w:id="15"/>
    <w:p w:rsidR="00BD5820" w:rsidRDefault="00F64314">
      <w:pPr>
        <w:pStyle w:val="affa"/>
        <w:ind w:firstLine="480"/>
      </w:pPr>
      <w:r>
        <w:t>中国石油化工股份有限公司中原油田普光分公司委托</w:t>
      </w:r>
      <w:r>
        <w:rPr>
          <w:rFonts w:hint="eastAsia"/>
        </w:rPr>
        <w:t>重庆后科环保有限责任公司</w:t>
      </w:r>
      <w:r>
        <w:t>承担本项目环境影响评价工作。接受委托后，我公司立即成立项目组，并随即对该项目建设沿线及其周边的自然环境进行踏勘调查，并收集了与项目有关的建设及技术资料，根据建设项目环境影响评价导则、规范及要求，编制</w:t>
      </w:r>
      <w:r w:rsidR="00FA2D39" w:rsidRPr="00FA2D39">
        <w:rPr>
          <w:color w:val="FF0000"/>
        </w:rPr>
        <w:t>完成了</w:t>
      </w:r>
      <w:r>
        <w:t>《普光气田主体湿气增压工程环境影响报告书》。</w:t>
      </w:r>
    </w:p>
    <w:p w:rsidR="00BD5820" w:rsidRDefault="00F64314">
      <w:pPr>
        <w:keepNext/>
        <w:keepLines/>
        <w:spacing w:before="120"/>
        <w:ind w:firstLineChars="0" w:firstLine="0"/>
        <w:outlineLvl w:val="1"/>
        <w:rPr>
          <w:rFonts w:ascii="Times New Roman" w:cs="Times New Roman"/>
          <w:b/>
          <w:bCs/>
          <w:sz w:val="28"/>
          <w:szCs w:val="32"/>
        </w:rPr>
      </w:pPr>
      <w:bookmarkStart w:id="22" w:name="_Toc19815914"/>
      <w:bookmarkStart w:id="23" w:name="_Toc22279"/>
      <w:r>
        <w:rPr>
          <w:rFonts w:ascii="Times New Roman" w:cs="Times New Roman"/>
          <w:b/>
          <w:bCs/>
          <w:sz w:val="28"/>
          <w:szCs w:val="32"/>
        </w:rPr>
        <w:t>二、项目特点</w:t>
      </w:r>
      <w:bookmarkEnd w:id="22"/>
      <w:bookmarkEnd w:id="23"/>
    </w:p>
    <w:p w:rsidR="00BD5820" w:rsidRDefault="00F64314">
      <w:pPr>
        <w:pStyle w:val="affa"/>
        <w:ind w:firstLine="480"/>
      </w:pPr>
      <w:r>
        <w:t>本项目为天然气</w:t>
      </w:r>
      <w:r>
        <w:rPr>
          <w:rFonts w:hint="eastAsia"/>
        </w:rPr>
        <w:t>湿气增压和</w:t>
      </w:r>
      <w:r>
        <w:t>内部集输工程，具有如下特点：</w:t>
      </w:r>
    </w:p>
    <w:p w:rsidR="00BD5820" w:rsidRDefault="00F64314">
      <w:pPr>
        <w:pStyle w:val="affa"/>
        <w:ind w:firstLine="480"/>
      </w:pPr>
      <w:r>
        <w:rPr>
          <w:rFonts w:hint="eastAsia"/>
        </w:rPr>
        <w:t>（</w:t>
      </w:r>
      <w:r>
        <w:rPr>
          <w:rFonts w:hint="eastAsia"/>
        </w:rPr>
        <w:t>1</w:t>
      </w:r>
      <w:r w:rsidR="00C44465">
        <w:rPr>
          <w:rFonts w:hint="eastAsia"/>
        </w:rPr>
        <w:t>）本项目</w:t>
      </w:r>
      <w:r w:rsidR="00C44465" w:rsidRPr="00C44465">
        <w:rPr>
          <w:rFonts w:hint="eastAsia"/>
          <w:color w:val="FF0000"/>
        </w:rPr>
        <w:t>涉及</w:t>
      </w:r>
      <w:r w:rsidRPr="00C44465">
        <w:rPr>
          <w:rFonts w:hint="eastAsia"/>
          <w:color w:val="FF0000"/>
        </w:rPr>
        <w:t>新建</w:t>
      </w:r>
      <w:r>
        <w:t>2</w:t>
      </w:r>
      <w:r>
        <w:rPr>
          <w:rFonts w:hint="eastAsia"/>
        </w:rPr>
        <w:t>座增压站</w:t>
      </w:r>
      <w:r>
        <w:rPr>
          <w:rFonts w:hint="eastAsia"/>
          <w:bCs/>
        </w:rPr>
        <w:t>，施工期和运营期主要为污染影响，</w:t>
      </w:r>
      <w:bookmarkStart w:id="24" w:name="OLE_LINK139"/>
      <w:bookmarkStart w:id="25" w:name="OLE_LINK140"/>
      <w:r>
        <w:rPr>
          <w:rFonts w:hint="eastAsia"/>
          <w:bCs/>
        </w:rPr>
        <w:t>主要体现在</w:t>
      </w:r>
      <w:bookmarkStart w:id="26" w:name="OLE_LINK138"/>
      <w:r>
        <w:rPr>
          <w:rFonts w:hint="eastAsia"/>
          <w:bCs/>
        </w:rPr>
        <w:t>增压站</w:t>
      </w:r>
      <w:r>
        <w:rPr>
          <w:bCs/>
        </w:rPr>
        <w:t>施工过程中会产生废气、废水、噪声</w:t>
      </w:r>
      <w:r>
        <w:rPr>
          <w:rFonts w:hint="eastAsia"/>
          <w:bCs/>
        </w:rPr>
        <w:t>、固废，以及运营期产生的废气、废水、噪声、</w:t>
      </w:r>
      <w:r>
        <w:rPr>
          <w:bCs/>
        </w:rPr>
        <w:t>环境风险等</w:t>
      </w:r>
      <w:r>
        <w:rPr>
          <w:rFonts w:hint="eastAsia"/>
          <w:bCs/>
        </w:rPr>
        <w:t>以及</w:t>
      </w:r>
      <w:r>
        <w:rPr>
          <w:bCs/>
        </w:rPr>
        <w:t>可能造成地下水的污染</w:t>
      </w:r>
      <w:bookmarkEnd w:id="24"/>
      <w:bookmarkEnd w:id="25"/>
      <w:bookmarkEnd w:id="26"/>
      <w:r>
        <w:rPr>
          <w:rFonts w:hint="eastAsia"/>
          <w:bCs/>
        </w:rPr>
        <w:t>。</w:t>
      </w:r>
    </w:p>
    <w:p w:rsidR="00BD5820" w:rsidRDefault="00F64314">
      <w:pPr>
        <w:pStyle w:val="affa"/>
        <w:ind w:firstLine="480"/>
      </w:pPr>
      <w:r>
        <w:t>（</w:t>
      </w:r>
      <w:r>
        <w:rPr>
          <w:rFonts w:hint="eastAsia"/>
        </w:rPr>
        <w:t>2</w:t>
      </w:r>
      <w:r>
        <w:t>）天然气内部集输工程主要为生态影响，主要体现在施工期管线管沟开挖对沿线植被、土壤造成的破坏，同时会产生一定的水土流失影响。</w:t>
      </w:r>
    </w:p>
    <w:p w:rsidR="00BD5820" w:rsidRDefault="00F64314">
      <w:pPr>
        <w:pStyle w:val="affa"/>
        <w:ind w:firstLine="480"/>
      </w:pPr>
      <w:r>
        <w:t>（</w:t>
      </w:r>
      <w:r>
        <w:rPr>
          <w:rFonts w:hint="eastAsia"/>
        </w:rPr>
        <w:t>3</w:t>
      </w:r>
      <w:r>
        <w:t>）本项目输送介质为</w:t>
      </w:r>
      <w:r w:rsidR="00FA2D39" w:rsidRPr="00FA2D39">
        <w:rPr>
          <w:rFonts w:hint="eastAsia"/>
          <w:color w:val="FF0000"/>
        </w:rPr>
        <w:t>高含硫、高压</w:t>
      </w:r>
      <w:r>
        <w:t>天然气，运营期需考虑环境风险影响。</w:t>
      </w:r>
    </w:p>
    <w:p w:rsidR="00BD5820" w:rsidRDefault="00F64314">
      <w:pPr>
        <w:keepNext/>
        <w:keepLines/>
        <w:spacing w:before="120"/>
        <w:ind w:firstLineChars="0" w:firstLine="0"/>
        <w:outlineLvl w:val="1"/>
        <w:rPr>
          <w:rFonts w:ascii="Times New Roman" w:cs="Times New Roman"/>
          <w:b/>
          <w:bCs/>
          <w:sz w:val="28"/>
          <w:szCs w:val="32"/>
        </w:rPr>
      </w:pPr>
      <w:bookmarkStart w:id="27" w:name="_Toc20564"/>
      <w:r>
        <w:rPr>
          <w:rFonts w:ascii="Times New Roman" w:cs="Times New Roman"/>
          <w:b/>
          <w:bCs/>
          <w:sz w:val="28"/>
          <w:szCs w:val="32"/>
        </w:rPr>
        <w:t>三、环境影响评价工作过程</w:t>
      </w:r>
      <w:bookmarkEnd w:id="27"/>
    </w:p>
    <w:p w:rsidR="00BD5820" w:rsidRDefault="00F64314">
      <w:pPr>
        <w:pStyle w:val="affa"/>
        <w:ind w:firstLine="482"/>
        <w:rPr>
          <w:b/>
          <w:bCs/>
        </w:rPr>
      </w:pPr>
      <w:r>
        <w:rPr>
          <w:b/>
          <w:bCs/>
        </w:rPr>
        <w:t>1</w:t>
      </w:r>
      <w:r>
        <w:rPr>
          <w:b/>
          <w:bCs/>
        </w:rPr>
        <w:t>、准备阶段</w:t>
      </w:r>
    </w:p>
    <w:p w:rsidR="00BD5820" w:rsidRDefault="00F64314">
      <w:pPr>
        <w:pStyle w:val="affa"/>
        <w:ind w:firstLine="480"/>
      </w:pPr>
      <w:r>
        <w:t>我公司承担本项目环评工作后，根据建设单位提供的项目资料，确立了如下环评工作思路：</w:t>
      </w:r>
    </w:p>
    <w:p w:rsidR="00BD5820" w:rsidRDefault="00F64314">
      <w:pPr>
        <w:pStyle w:val="affa"/>
        <w:ind w:firstLine="480"/>
      </w:pPr>
      <w:r>
        <w:rPr>
          <w:rFonts w:ascii="宋体" w:hAnsi="宋体" w:hint="eastAsia"/>
        </w:rPr>
        <w:t>①</w:t>
      </w:r>
      <w:r>
        <w:rPr>
          <w:rFonts w:hint="eastAsia"/>
        </w:rPr>
        <w:t xml:space="preserve"> </w:t>
      </w:r>
      <w:r>
        <w:t>编制环境影响评价工作方案；</w:t>
      </w:r>
    </w:p>
    <w:p w:rsidR="00BD5820" w:rsidRDefault="00F64314">
      <w:pPr>
        <w:pStyle w:val="affa"/>
        <w:ind w:firstLine="480"/>
      </w:pPr>
      <w:r>
        <w:rPr>
          <w:rFonts w:ascii="宋体" w:hAnsi="宋体" w:cs="宋体" w:hint="eastAsia"/>
        </w:rPr>
        <w:t>②</w:t>
      </w:r>
      <w:r>
        <w:t xml:space="preserve"> </w:t>
      </w:r>
      <w:r>
        <w:t>根据项目设计资料，针对</w:t>
      </w:r>
      <w:bookmarkStart w:id="28" w:name="_Hlk80469903"/>
      <w:r>
        <w:t>天然气</w:t>
      </w:r>
      <w:r>
        <w:rPr>
          <w:rFonts w:hint="eastAsia"/>
        </w:rPr>
        <w:t>湿气增压</w:t>
      </w:r>
      <w:r>
        <w:t>工程</w:t>
      </w:r>
      <w:r>
        <w:rPr>
          <w:rFonts w:hint="eastAsia"/>
        </w:rPr>
        <w:t>、</w:t>
      </w:r>
      <w:r>
        <w:t>天然气内部集输工程</w:t>
      </w:r>
      <w:bookmarkEnd w:id="28"/>
      <w:r>
        <w:t>建设特点，进行了环境影响识别；</w:t>
      </w:r>
    </w:p>
    <w:p w:rsidR="00BD5820" w:rsidRDefault="00F64314">
      <w:pPr>
        <w:pStyle w:val="affa"/>
        <w:ind w:firstLine="480"/>
      </w:pPr>
      <w:r>
        <w:rPr>
          <w:rFonts w:ascii="宋体" w:hAnsi="宋体" w:cs="宋体" w:hint="eastAsia"/>
        </w:rPr>
        <w:t>③</w:t>
      </w:r>
      <w:r>
        <w:t xml:space="preserve"> </w:t>
      </w:r>
      <w:r>
        <w:t>在影响识别的基础上，对项目可能产生的生态环境、大气环境、地表水环境、地下水环境</w:t>
      </w:r>
      <w:r>
        <w:rPr>
          <w:rFonts w:hint="eastAsia"/>
        </w:rPr>
        <w:t>、</w:t>
      </w:r>
      <w:r w:rsidR="00C44465" w:rsidRPr="00C44465">
        <w:rPr>
          <w:color w:val="FF0000"/>
        </w:rPr>
        <w:t>声</w:t>
      </w:r>
      <w:r w:rsidRPr="00C44465">
        <w:rPr>
          <w:color w:val="FF0000"/>
        </w:rPr>
        <w:t>环境</w:t>
      </w:r>
      <w:r>
        <w:rPr>
          <w:rFonts w:hint="eastAsia"/>
        </w:rPr>
        <w:t>、土壤</w:t>
      </w:r>
      <w:r>
        <w:t>环境</w:t>
      </w:r>
      <w:r>
        <w:rPr>
          <w:rFonts w:hint="eastAsia"/>
        </w:rPr>
        <w:t>、</w:t>
      </w:r>
      <w:r>
        <w:t>固体废物等影响和环境风险进行深入分析及预测，并论证工程的环境可行性；</w:t>
      </w:r>
    </w:p>
    <w:p w:rsidR="00BD5820" w:rsidRDefault="00F64314">
      <w:pPr>
        <w:pStyle w:val="affa"/>
        <w:ind w:firstLine="480"/>
      </w:pPr>
      <w:r>
        <w:rPr>
          <w:rFonts w:ascii="宋体" w:hAnsi="宋体" w:cs="宋体" w:hint="eastAsia"/>
        </w:rPr>
        <w:lastRenderedPageBreak/>
        <w:t>④</w:t>
      </w:r>
      <w:r>
        <w:t xml:space="preserve"> </w:t>
      </w:r>
      <w:r>
        <w:t>对工程可能带来的环境影响，提出有针对性的环境保护措施和环境风险防控措施。</w:t>
      </w:r>
    </w:p>
    <w:p w:rsidR="00BD5820" w:rsidRDefault="00F64314">
      <w:pPr>
        <w:pStyle w:val="affa"/>
        <w:ind w:firstLine="482"/>
        <w:rPr>
          <w:b/>
          <w:bCs/>
        </w:rPr>
      </w:pPr>
      <w:r>
        <w:rPr>
          <w:b/>
          <w:bCs/>
        </w:rPr>
        <w:t>2</w:t>
      </w:r>
      <w:r>
        <w:rPr>
          <w:b/>
          <w:bCs/>
        </w:rPr>
        <w:t>、环境影响评价工作阶段</w:t>
      </w:r>
    </w:p>
    <w:p w:rsidR="00BD5820" w:rsidRDefault="00F64314">
      <w:pPr>
        <w:pStyle w:val="affa"/>
        <w:ind w:firstLine="480"/>
      </w:pPr>
      <w:r>
        <w:rPr>
          <w:rFonts w:ascii="宋体" w:hAnsi="宋体" w:cs="宋体" w:hint="eastAsia"/>
        </w:rPr>
        <w:t>①</w:t>
      </w:r>
      <w:r>
        <w:t xml:space="preserve"> </w:t>
      </w:r>
      <w:r>
        <w:t>环境敏感区筛查</w:t>
      </w:r>
    </w:p>
    <w:p w:rsidR="00BD5820" w:rsidRDefault="00F64314">
      <w:pPr>
        <w:pStyle w:val="affa"/>
        <w:ind w:firstLine="480"/>
      </w:pPr>
      <w:r>
        <w:t>受到委托后，我单位多次对区域进行了详查，查明</w:t>
      </w:r>
      <w:r>
        <w:rPr>
          <w:rFonts w:hint="eastAsia"/>
        </w:rPr>
        <w:t>评价</w:t>
      </w:r>
      <w:r>
        <w:t>范围内饮用水源保护区、永久基本农田、风景名胜区、森林公园、自然保护区、水土流失重点预防区和重点治理区等各类环境敏感区的情况。</w:t>
      </w:r>
    </w:p>
    <w:p w:rsidR="00BD5820" w:rsidRDefault="00F64314">
      <w:pPr>
        <w:pStyle w:val="affa"/>
        <w:ind w:firstLine="480"/>
      </w:pPr>
      <w:r>
        <w:rPr>
          <w:rFonts w:ascii="宋体" w:hAnsi="宋体" w:cs="宋体" w:hint="eastAsia"/>
        </w:rPr>
        <w:t>②</w:t>
      </w:r>
      <w:r>
        <w:t xml:space="preserve"> </w:t>
      </w:r>
      <w:r>
        <w:t>环境现状调查</w:t>
      </w:r>
    </w:p>
    <w:p w:rsidR="00BD5820" w:rsidRDefault="00F64314">
      <w:pPr>
        <w:pStyle w:val="affa"/>
        <w:ind w:firstLine="480"/>
      </w:pPr>
      <w:r>
        <w:t>结合项目区已有现状监测资料，本评价补充完善了项目区域大气环境、地下水环境</w:t>
      </w:r>
      <w:r>
        <w:rPr>
          <w:rFonts w:hint="eastAsia"/>
        </w:rPr>
        <w:t>、</w:t>
      </w:r>
      <w:r>
        <w:t>声环境、土壤环境等现状监测工作。</w:t>
      </w:r>
    </w:p>
    <w:p w:rsidR="00BD5820" w:rsidRDefault="00F64314">
      <w:pPr>
        <w:pStyle w:val="affa"/>
        <w:ind w:firstLine="480"/>
      </w:pPr>
      <w:r>
        <w:rPr>
          <w:rFonts w:ascii="宋体" w:hAnsi="宋体" w:cs="宋体" w:hint="eastAsia"/>
        </w:rPr>
        <w:t>③</w:t>
      </w:r>
      <w:r>
        <w:t xml:space="preserve"> </w:t>
      </w:r>
      <w:r>
        <w:t>环境影响评价工作</w:t>
      </w:r>
    </w:p>
    <w:p w:rsidR="00BD5820" w:rsidRDefault="00F64314">
      <w:pPr>
        <w:pStyle w:val="affa"/>
        <w:ind w:firstLine="480"/>
      </w:pPr>
      <w:r>
        <w:t>根据调查、收集到的有关文件、资料，在环境现状调查结果的基础上，对建设项目对各环境要素的环境影响和环境风险进行了分析、预测及评价，提出环境保护措施。</w:t>
      </w:r>
    </w:p>
    <w:p w:rsidR="00BD5820" w:rsidRDefault="00F64314">
      <w:pPr>
        <w:pStyle w:val="affa"/>
        <w:ind w:firstLine="482"/>
        <w:rPr>
          <w:b/>
          <w:bCs/>
        </w:rPr>
      </w:pPr>
      <w:r>
        <w:rPr>
          <w:b/>
          <w:bCs/>
        </w:rPr>
        <w:t>3</w:t>
      </w:r>
      <w:r>
        <w:rPr>
          <w:b/>
          <w:bCs/>
        </w:rPr>
        <w:t>、编制环境影响报告书</w:t>
      </w:r>
    </w:p>
    <w:p w:rsidR="00BD5820" w:rsidRDefault="00F64314">
      <w:pPr>
        <w:pStyle w:val="affa"/>
        <w:ind w:firstLine="480"/>
      </w:pPr>
      <w:r>
        <w:t>整理各环境要素的分析、预测成果，评价工程建设对各环境要素的影响，编制环境影响报告书，论证工程建设的环境可行性。</w:t>
      </w:r>
    </w:p>
    <w:p w:rsidR="00BD5820" w:rsidRDefault="00F64314">
      <w:pPr>
        <w:pStyle w:val="affa"/>
        <w:ind w:firstLine="482"/>
        <w:rPr>
          <w:b/>
          <w:bCs/>
        </w:rPr>
      </w:pPr>
      <w:r>
        <w:rPr>
          <w:b/>
          <w:bCs/>
        </w:rPr>
        <w:t>4</w:t>
      </w:r>
      <w:r>
        <w:rPr>
          <w:b/>
          <w:bCs/>
        </w:rPr>
        <w:t>、公众参与</w:t>
      </w:r>
    </w:p>
    <w:p w:rsidR="00BD5820" w:rsidRDefault="00F64314">
      <w:pPr>
        <w:pStyle w:val="affa"/>
        <w:ind w:firstLine="480"/>
      </w:pPr>
      <w:r>
        <w:t>评价过程中建设单位按照《环境影响评价公众参与办法》（生态环境部令</w:t>
      </w:r>
      <w:r>
        <w:t xml:space="preserve"> </w:t>
      </w:r>
      <w:r>
        <w:t>第</w:t>
      </w:r>
      <w:r>
        <w:t>4</w:t>
      </w:r>
      <w:r>
        <w:t>号）开展了公众参与调查并编制了说明，本项目将公众参与结论纳入环评结论形成环评报告。</w:t>
      </w:r>
    </w:p>
    <w:p w:rsidR="00BD5820" w:rsidRDefault="00F64314">
      <w:pPr>
        <w:keepNext/>
        <w:keepLines/>
        <w:spacing w:before="120"/>
        <w:ind w:firstLineChars="0" w:firstLine="0"/>
        <w:outlineLvl w:val="1"/>
        <w:rPr>
          <w:rFonts w:ascii="Times New Roman" w:cs="Times New Roman"/>
          <w:b/>
          <w:bCs/>
          <w:sz w:val="28"/>
          <w:szCs w:val="32"/>
        </w:rPr>
      </w:pPr>
      <w:bookmarkStart w:id="29" w:name="_Toc19815915"/>
      <w:bookmarkStart w:id="30" w:name="_Toc5109"/>
      <w:bookmarkEnd w:id="16"/>
      <w:r>
        <w:rPr>
          <w:rFonts w:ascii="Times New Roman" w:cs="Times New Roman"/>
          <w:b/>
          <w:bCs/>
          <w:sz w:val="28"/>
          <w:szCs w:val="32"/>
        </w:rPr>
        <w:t>四、</w:t>
      </w:r>
      <w:bookmarkEnd w:id="29"/>
      <w:r>
        <w:rPr>
          <w:rFonts w:ascii="Times New Roman" w:cs="Times New Roman"/>
          <w:b/>
          <w:bCs/>
          <w:sz w:val="28"/>
          <w:szCs w:val="32"/>
        </w:rPr>
        <w:t>分析判定相关情况</w:t>
      </w:r>
      <w:bookmarkEnd w:id="30"/>
    </w:p>
    <w:p w:rsidR="00BD5820" w:rsidRDefault="00F64314">
      <w:pPr>
        <w:pStyle w:val="affa"/>
        <w:ind w:firstLine="480"/>
      </w:pPr>
      <w:r>
        <w:t>本项目符合《产业结构调整指导目录（</w:t>
      </w:r>
      <w:r>
        <w:t>20</w:t>
      </w:r>
      <w:r>
        <w:rPr>
          <w:rFonts w:hint="eastAsia"/>
        </w:rPr>
        <w:t>19</w:t>
      </w:r>
      <w:r>
        <w:t>年本）》及相关环保政策要求，符合</w:t>
      </w:r>
      <w:r>
        <w:rPr>
          <w:rFonts w:hint="eastAsia"/>
          <w:bCs/>
        </w:rPr>
        <w:t>《“十四五”现代能源体系规划》</w:t>
      </w:r>
      <w:r>
        <w:rPr>
          <w:rFonts w:hint="eastAsia"/>
        </w:rPr>
        <w:t>（发改能源〔</w:t>
      </w:r>
      <w:r>
        <w:rPr>
          <w:rFonts w:hint="eastAsia"/>
        </w:rPr>
        <w:t>2022</w:t>
      </w:r>
      <w:r>
        <w:rPr>
          <w:rFonts w:hint="eastAsia"/>
        </w:rPr>
        <w:t>〕</w:t>
      </w:r>
      <w:r>
        <w:rPr>
          <w:rFonts w:hint="eastAsia"/>
        </w:rPr>
        <w:t>210</w:t>
      </w:r>
      <w:r>
        <w:rPr>
          <w:rFonts w:hint="eastAsia"/>
        </w:rPr>
        <w:t>号）</w:t>
      </w:r>
      <w:r>
        <w:t>、</w:t>
      </w:r>
      <w:r>
        <w:rPr>
          <w:rFonts w:hint="eastAsia"/>
        </w:rPr>
        <w:t>《长江经济带生态环境保护规划》</w:t>
      </w:r>
      <w:r>
        <w:t>、</w:t>
      </w:r>
      <w:r>
        <w:rPr>
          <w:rFonts w:hint="eastAsia"/>
        </w:rPr>
        <w:t>《四川省主体功能区规划》（川府发〔</w:t>
      </w:r>
      <w:r>
        <w:rPr>
          <w:rFonts w:hint="eastAsia"/>
        </w:rPr>
        <w:t>2013</w:t>
      </w:r>
      <w:r>
        <w:rPr>
          <w:rFonts w:hint="eastAsia"/>
        </w:rPr>
        <w:t>〕</w:t>
      </w:r>
      <w:r>
        <w:rPr>
          <w:rFonts w:hint="eastAsia"/>
        </w:rPr>
        <w:t>16</w:t>
      </w:r>
      <w:r>
        <w:rPr>
          <w:rFonts w:hint="eastAsia"/>
        </w:rPr>
        <w:t>号文）、《四川省“十四五”能源发展规划》（川府发〔</w:t>
      </w:r>
      <w:r>
        <w:rPr>
          <w:rFonts w:hint="eastAsia"/>
        </w:rPr>
        <w:t>2022</w:t>
      </w:r>
      <w:r>
        <w:rPr>
          <w:rFonts w:hint="eastAsia"/>
        </w:rPr>
        <w:t>〕</w:t>
      </w:r>
      <w:r>
        <w:rPr>
          <w:rFonts w:hint="eastAsia"/>
        </w:rPr>
        <w:t>8</w:t>
      </w:r>
      <w:r>
        <w:rPr>
          <w:rFonts w:hint="eastAsia"/>
        </w:rPr>
        <w:t>号）</w:t>
      </w:r>
      <w:r>
        <w:t>、</w:t>
      </w:r>
      <w:r>
        <w:rPr>
          <w:rFonts w:hint="eastAsia"/>
          <w:kern w:val="2"/>
          <w:szCs w:val="22"/>
        </w:rPr>
        <w:t>《四川省、重庆市长江经济带发展负面清单实施细则（试行，</w:t>
      </w:r>
      <w:r>
        <w:rPr>
          <w:rFonts w:hint="eastAsia"/>
          <w:kern w:val="2"/>
          <w:szCs w:val="22"/>
        </w:rPr>
        <w:t>2022</w:t>
      </w:r>
      <w:r>
        <w:rPr>
          <w:rFonts w:hint="eastAsia"/>
          <w:kern w:val="2"/>
          <w:szCs w:val="22"/>
        </w:rPr>
        <w:t>年版）》</w:t>
      </w:r>
      <w:r>
        <w:t>的相关要求。</w:t>
      </w:r>
    </w:p>
    <w:p w:rsidR="00BD5820" w:rsidRDefault="00F64314">
      <w:pPr>
        <w:pStyle w:val="affa"/>
        <w:ind w:firstLine="480"/>
      </w:pPr>
      <w:r>
        <w:t>本项目不位于四川省达州市划定的生态保护红线区域内，</w:t>
      </w:r>
      <w:r>
        <w:rPr>
          <w:rFonts w:hint="eastAsia"/>
        </w:rPr>
        <w:t>符合</w:t>
      </w:r>
      <w:r>
        <w:t>四川省</w:t>
      </w:r>
      <w:r>
        <w:t>“</w:t>
      </w:r>
      <w:r>
        <w:t>三线一单</w:t>
      </w:r>
      <w:r>
        <w:t>”</w:t>
      </w:r>
      <w:r>
        <w:t>和达州市</w:t>
      </w:r>
      <w:r>
        <w:t>“</w:t>
      </w:r>
      <w:r>
        <w:t>三线一单</w:t>
      </w:r>
      <w:r>
        <w:t>”</w:t>
      </w:r>
      <w:r>
        <w:rPr>
          <w:rFonts w:hint="eastAsia"/>
        </w:rPr>
        <w:t>相关要求</w:t>
      </w:r>
      <w:r>
        <w:t>；本项目建设不占用永久基本农田，不位于自然保护区、森林公园、风景名胜区等生态敏感区范围内，拟建管线沿线不涉及集中式饮用水源保护区。</w:t>
      </w:r>
    </w:p>
    <w:p w:rsidR="00BD5820" w:rsidRDefault="00F64314">
      <w:pPr>
        <w:keepNext/>
        <w:keepLines/>
        <w:spacing w:before="120"/>
        <w:ind w:firstLineChars="0" w:firstLine="0"/>
        <w:outlineLvl w:val="1"/>
        <w:rPr>
          <w:rFonts w:ascii="Times New Roman" w:cs="Times New Roman"/>
          <w:b/>
          <w:bCs/>
          <w:sz w:val="28"/>
          <w:szCs w:val="32"/>
        </w:rPr>
      </w:pPr>
      <w:bookmarkStart w:id="31" w:name="_Toc19815916"/>
      <w:bookmarkStart w:id="32" w:name="_Toc3111"/>
      <w:r>
        <w:rPr>
          <w:rFonts w:ascii="Times New Roman" w:cs="Times New Roman"/>
          <w:b/>
          <w:bCs/>
          <w:sz w:val="28"/>
          <w:szCs w:val="32"/>
        </w:rPr>
        <w:t>五、项目关注的主要环境问题及环境影响</w:t>
      </w:r>
      <w:bookmarkEnd w:id="31"/>
      <w:bookmarkEnd w:id="32"/>
    </w:p>
    <w:p w:rsidR="00BD5820" w:rsidRDefault="00F64314">
      <w:pPr>
        <w:pStyle w:val="affa"/>
        <w:ind w:firstLine="480"/>
      </w:pPr>
      <w:r>
        <w:t>（</w:t>
      </w:r>
      <w:r>
        <w:t>1</w:t>
      </w:r>
      <w:r>
        <w:t>）废气：施工期主要是管道开挖扬尘、部分机械设备运行产生的废气（主要污染</w:t>
      </w:r>
      <w:r>
        <w:lastRenderedPageBreak/>
        <w:t>物</w:t>
      </w:r>
      <w:r>
        <w:t>NOx</w:t>
      </w:r>
      <w:r>
        <w:t>、</w:t>
      </w:r>
      <w:r>
        <w:t>CO</w:t>
      </w:r>
      <w:r>
        <w:t>）、焊接烟尘等；营运期主要为非正常工况下的检修废气和事故放空废气。环评中注重施工期废气的环境影响分析和营运期废气的达标排放及影响分析。</w:t>
      </w:r>
    </w:p>
    <w:p w:rsidR="00BD5820" w:rsidRDefault="00F64314">
      <w:pPr>
        <w:pStyle w:val="affa"/>
        <w:ind w:firstLine="480"/>
      </w:pPr>
      <w:r>
        <w:t>（</w:t>
      </w:r>
      <w:r>
        <w:t>2</w:t>
      </w:r>
      <w:r>
        <w:t>）废水：施工期主要是</w:t>
      </w:r>
      <w:r>
        <w:rPr>
          <w:rFonts w:hint="eastAsia"/>
        </w:rPr>
        <w:t>施工机械、车辆清洗废水、</w:t>
      </w:r>
      <w:r>
        <w:t>清管试压废水以及施工人员生活污水；营运期主要为</w:t>
      </w:r>
      <w:r>
        <w:rPr>
          <w:rFonts w:hint="eastAsia"/>
        </w:rPr>
        <w:t>气田水</w:t>
      </w:r>
      <w:r>
        <w:t>。环评中注重施工期废水处理的可行性和可靠性论证，营运期</w:t>
      </w:r>
      <w:r>
        <w:rPr>
          <w:rFonts w:hint="eastAsia"/>
        </w:rPr>
        <w:t>气田水依托处置可行性分析</w:t>
      </w:r>
      <w:r>
        <w:t>。</w:t>
      </w:r>
    </w:p>
    <w:p w:rsidR="00BD5820" w:rsidRDefault="00F64314">
      <w:pPr>
        <w:pStyle w:val="affa"/>
        <w:ind w:firstLine="480"/>
      </w:pPr>
      <w:r>
        <w:t>（</w:t>
      </w:r>
      <w:r>
        <w:t>3</w:t>
      </w:r>
      <w:r>
        <w:t>）噪声：施工期为各类机械设备产生的噪声；营运期主要为站场设备运行噪声。环评中注重施工期和营运期噪声控制措施的可行性论证。</w:t>
      </w:r>
    </w:p>
    <w:p w:rsidR="00BD5820" w:rsidRDefault="00F64314">
      <w:pPr>
        <w:pStyle w:val="affa"/>
        <w:ind w:firstLine="480"/>
      </w:pPr>
      <w:r>
        <w:t>（</w:t>
      </w:r>
      <w:r>
        <w:t>4</w:t>
      </w:r>
      <w:r>
        <w:t>）固体废物：施工期主要是废弃土石方、建筑垃圾</w:t>
      </w:r>
      <w:r>
        <w:rPr>
          <w:rFonts w:hint="eastAsia"/>
        </w:rPr>
        <w:t>、</w:t>
      </w:r>
      <w:r>
        <w:t>生活垃圾等；营运期主要为压缩机产生的废润滑油</w:t>
      </w:r>
      <w:r>
        <w:rPr>
          <w:rFonts w:hint="eastAsia"/>
        </w:rPr>
        <w:t>、过滤</w:t>
      </w:r>
      <w:r>
        <w:t>分离器及污水罐底部产生的污泥</w:t>
      </w:r>
      <w:r>
        <w:rPr>
          <w:rFonts w:hint="eastAsia"/>
        </w:rPr>
        <w:t>、</w:t>
      </w:r>
      <w:r>
        <w:t>清管作业产生的少量固体粉末。环评中注重施工期和运营期固体废物处理的可行性进行论证。</w:t>
      </w:r>
    </w:p>
    <w:p w:rsidR="00BD5820" w:rsidRDefault="00F64314">
      <w:pPr>
        <w:pStyle w:val="affa"/>
        <w:ind w:firstLine="480"/>
      </w:pPr>
      <w:r>
        <w:t>（</w:t>
      </w:r>
      <w:r>
        <w:t>5</w:t>
      </w:r>
      <w:r>
        <w:t>）生态环境：施工期生态环境影响主要来自场地平整</w:t>
      </w:r>
      <w:r>
        <w:rPr>
          <w:rFonts w:hint="eastAsia"/>
        </w:rPr>
        <w:t>、</w:t>
      </w:r>
      <w:r>
        <w:t>管道施工过程中开挖管沟、整修施工便道、施工机械和人员的践踏等活动，以及工程临时占地、施工产生的固体废物等对土壤、生态环境的影响；营运期主要为生态恢复。环评中注意对生态环境保护措施进行论证。</w:t>
      </w:r>
    </w:p>
    <w:p w:rsidR="00BD5820" w:rsidRDefault="00F64314">
      <w:pPr>
        <w:pStyle w:val="affa"/>
        <w:ind w:firstLine="480"/>
      </w:pPr>
      <w:r>
        <w:t>（</w:t>
      </w:r>
      <w:r>
        <w:t>6</w:t>
      </w:r>
      <w:r>
        <w:t>）环境风险：主要为高效分离器及污水罐</w:t>
      </w:r>
      <w:r>
        <w:rPr>
          <w:rFonts w:hint="eastAsia"/>
        </w:rPr>
        <w:t>、</w:t>
      </w:r>
      <w:r>
        <w:t>输气管道、设备等受影响而产生泄漏、火灾、爆炸，进而影响当地环境。环评中将对风险进行论述，并对现有风险防范措施不足提出补充。</w:t>
      </w:r>
    </w:p>
    <w:p w:rsidR="00BD5820" w:rsidRDefault="00F64314">
      <w:pPr>
        <w:keepNext/>
        <w:keepLines/>
        <w:spacing w:before="120"/>
        <w:ind w:firstLineChars="0" w:firstLine="0"/>
        <w:outlineLvl w:val="1"/>
        <w:rPr>
          <w:rFonts w:ascii="Times New Roman" w:cs="Times New Roman"/>
          <w:b/>
          <w:bCs/>
          <w:sz w:val="28"/>
          <w:szCs w:val="32"/>
        </w:rPr>
      </w:pPr>
      <w:bookmarkStart w:id="33" w:name="_Toc19815917"/>
      <w:bookmarkStart w:id="34" w:name="_Toc9536"/>
      <w:r>
        <w:rPr>
          <w:rFonts w:ascii="Times New Roman" w:cs="Times New Roman"/>
          <w:b/>
          <w:bCs/>
          <w:sz w:val="28"/>
          <w:szCs w:val="32"/>
        </w:rPr>
        <w:t>六、主要环境影响结论</w:t>
      </w:r>
      <w:bookmarkEnd w:id="33"/>
      <w:bookmarkEnd w:id="34"/>
    </w:p>
    <w:p w:rsidR="00BD5820" w:rsidRDefault="00F64314">
      <w:pPr>
        <w:pStyle w:val="affa"/>
        <w:ind w:firstLine="480"/>
      </w:pPr>
      <w:r>
        <w:t>本项目符合国家产业政策，与当地规划相容，符合石油天然气发展规划；所在区域环境空气质量现状较好；建设期间对生态环境、地表水、地下水、大气、土壤、声环境影响小，不改变区域的环境功能；该项目达到清洁生产国内先进水平，采用的环保措施可行，社会、经济效益十分显著；建设项目环境可行，选址选线合理；该工程采取的环境风险措施可靠，制定的应急预案切实可行，在落实风险防范措施及应急预案后，环境风险达到可接受水平；所采取的废气</w:t>
      </w:r>
      <w:r>
        <w:rPr>
          <w:rFonts w:hint="eastAsia"/>
        </w:rPr>
        <w:t>、</w:t>
      </w:r>
      <w:r>
        <w:t>废水、固体废物和噪声防治措施以及水土保持措施可行有效，在建设过程认真落实报告提出的各项污染防治措施后，对周围环境不会造成污染影响。从环境角度而言，无明显制约项目建设的环境因素，本项目在拟选站址、线路建设是可行的。</w:t>
      </w:r>
    </w:p>
    <w:p w:rsidR="00BD5820" w:rsidRDefault="00F64314">
      <w:pPr>
        <w:pStyle w:val="affa"/>
        <w:ind w:firstLine="480"/>
      </w:pPr>
      <w:r>
        <w:rPr>
          <w:kern w:val="2"/>
          <w:szCs w:val="22"/>
        </w:rPr>
        <w:t>综上，项目建设无明显制约的环境因素，建设过程中认真落实报告提出的各项污染防治、生态保护措施和应急预案后，从环境保护角度而言，本项目在拟选站址、线路建设是可行的。</w:t>
      </w:r>
    </w:p>
    <w:p w:rsidR="00BD5820" w:rsidRDefault="00BD5820">
      <w:pPr>
        <w:widowControl/>
        <w:topLinePunct w:val="0"/>
        <w:adjustRightInd/>
        <w:ind w:firstLineChars="0" w:firstLine="0"/>
        <w:jc w:val="left"/>
        <w:rPr>
          <w:rFonts w:ascii="Times New Roman" w:cs="Times New Roman"/>
        </w:rPr>
        <w:sectPr w:rsidR="00BD5820">
          <w:pgSz w:w="11910" w:h="16840"/>
          <w:pgMar w:top="1280" w:right="1280" w:bottom="1300" w:left="1280" w:header="885" w:footer="1097" w:gutter="0"/>
          <w:pgNumType w:start="1"/>
          <w:cols w:space="720"/>
        </w:sectPr>
      </w:pPr>
    </w:p>
    <w:p w:rsidR="00BD5820" w:rsidRDefault="00F64314">
      <w:pPr>
        <w:keepNext/>
        <w:keepLines/>
        <w:ind w:firstLineChars="0" w:firstLine="0"/>
        <w:jc w:val="left"/>
        <w:outlineLvl w:val="0"/>
        <w:rPr>
          <w:rFonts w:ascii="Times New Roman" w:cs="Times New Roman"/>
          <w:b/>
          <w:kern w:val="44"/>
          <w:sz w:val="32"/>
          <w:szCs w:val="44"/>
        </w:rPr>
      </w:pPr>
      <w:bookmarkStart w:id="35" w:name="bookmark1"/>
      <w:bookmarkStart w:id="36" w:name="_Toc12288384"/>
      <w:bookmarkStart w:id="37" w:name="_Toc19815918"/>
      <w:bookmarkStart w:id="38" w:name="_Toc13338"/>
      <w:bookmarkEnd w:id="35"/>
      <w:r>
        <w:rPr>
          <w:rFonts w:ascii="Times New Roman" w:cs="Times New Roman"/>
          <w:b/>
          <w:kern w:val="44"/>
          <w:sz w:val="32"/>
          <w:szCs w:val="44"/>
        </w:rPr>
        <w:lastRenderedPageBreak/>
        <w:t xml:space="preserve">1 </w:t>
      </w:r>
      <w:r>
        <w:rPr>
          <w:rFonts w:ascii="Times New Roman" w:cs="Times New Roman"/>
          <w:b/>
          <w:kern w:val="44"/>
          <w:sz w:val="32"/>
          <w:szCs w:val="44"/>
        </w:rPr>
        <w:t>总则</w:t>
      </w:r>
      <w:bookmarkEnd w:id="36"/>
      <w:bookmarkEnd w:id="37"/>
      <w:bookmarkEnd w:id="38"/>
    </w:p>
    <w:p w:rsidR="00BD5820" w:rsidRDefault="00F64314">
      <w:pPr>
        <w:keepNext/>
        <w:keepLines/>
        <w:spacing w:before="120"/>
        <w:ind w:firstLineChars="0" w:firstLine="0"/>
        <w:outlineLvl w:val="1"/>
        <w:rPr>
          <w:rFonts w:ascii="Times New Roman" w:cs="Times New Roman"/>
          <w:b/>
          <w:bCs/>
          <w:sz w:val="28"/>
          <w:szCs w:val="32"/>
        </w:rPr>
      </w:pPr>
      <w:bookmarkStart w:id="39" w:name="bookmark2"/>
      <w:bookmarkStart w:id="40" w:name="_Toc12288385"/>
      <w:bookmarkStart w:id="41" w:name="_Toc19815919"/>
      <w:bookmarkStart w:id="42" w:name="_Toc7050"/>
      <w:bookmarkEnd w:id="39"/>
      <w:r>
        <w:rPr>
          <w:rFonts w:ascii="Times New Roman" w:cs="Times New Roman"/>
          <w:b/>
          <w:bCs/>
          <w:sz w:val="28"/>
          <w:szCs w:val="32"/>
        </w:rPr>
        <w:t xml:space="preserve">1.1 </w:t>
      </w:r>
      <w:r>
        <w:rPr>
          <w:rFonts w:ascii="Times New Roman" w:cs="Times New Roman"/>
          <w:b/>
          <w:bCs/>
          <w:sz w:val="28"/>
          <w:szCs w:val="32"/>
        </w:rPr>
        <w:t>编制依据</w:t>
      </w:r>
      <w:bookmarkEnd w:id="40"/>
      <w:bookmarkEnd w:id="41"/>
      <w:bookmarkEnd w:id="42"/>
    </w:p>
    <w:p w:rsidR="00BD5820" w:rsidRDefault="00F64314">
      <w:pPr>
        <w:keepNext/>
        <w:keepLines/>
        <w:ind w:firstLineChars="0" w:firstLine="0"/>
        <w:outlineLvl w:val="2"/>
        <w:rPr>
          <w:rFonts w:ascii="Times New Roman" w:cs="Times New Roman"/>
          <w:b/>
          <w:szCs w:val="32"/>
        </w:rPr>
      </w:pPr>
      <w:bookmarkStart w:id="43" w:name="_Toc19815920"/>
      <w:r>
        <w:rPr>
          <w:rFonts w:ascii="Times New Roman" w:cs="Times New Roman"/>
          <w:b/>
          <w:szCs w:val="32"/>
        </w:rPr>
        <w:t xml:space="preserve">1.1.1 </w:t>
      </w:r>
      <w:r>
        <w:rPr>
          <w:rFonts w:ascii="Times New Roman" w:cs="Times New Roman"/>
          <w:b/>
          <w:szCs w:val="32"/>
        </w:rPr>
        <w:t>相关法律</w:t>
      </w:r>
      <w:bookmarkEnd w:id="43"/>
    </w:p>
    <w:p w:rsidR="00BD5820" w:rsidRDefault="00F64314">
      <w:pPr>
        <w:pStyle w:val="affa"/>
        <w:ind w:firstLine="480"/>
      </w:pPr>
      <w:r>
        <w:rPr>
          <w:rFonts w:hint="eastAsia"/>
        </w:rPr>
        <w:t>（</w:t>
      </w:r>
      <w:r>
        <w:rPr>
          <w:rFonts w:hint="eastAsia"/>
        </w:rPr>
        <w:t>1</w:t>
      </w:r>
      <w:r>
        <w:rPr>
          <w:rFonts w:hint="eastAsia"/>
        </w:rPr>
        <w:t>）</w:t>
      </w:r>
      <w:r>
        <w:t>《中华人民共和国环境保护法》，</w:t>
      </w:r>
      <w:r>
        <w:t>2014</w:t>
      </w:r>
      <w:r>
        <w:t>年</w:t>
      </w:r>
      <w:r>
        <w:t>4</w:t>
      </w:r>
      <w:r>
        <w:t>月</w:t>
      </w:r>
      <w:r>
        <w:t>24</w:t>
      </w:r>
      <w:r>
        <w:t>日修订，</w:t>
      </w:r>
      <w:r>
        <w:t>2015</w:t>
      </w:r>
      <w:r>
        <w:t>年</w:t>
      </w:r>
      <w:r>
        <w:t>1</w:t>
      </w:r>
      <w:r>
        <w:t>月</w:t>
      </w:r>
      <w:r>
        <w:t>1</w:t>
      </w:r>
      <w:r>
        <w:t>日施行；</w:t>
      </w:r>
    </w:p>
    <w:p w:rsidR="00BD5820" w:rsidRDefault="00F64314">
      <w:pPr>
        <w:pStyle w:val="affa"/>
        <w:ind w:firstLine="480"/>
      </w:pPr>
      <w:r>
        <w:rPr>
          <w:rFonts w:hint="eastAsia"/>
        </w:rPr>
        <w:t>（</w:t>
      </w:r>
      <w:r>
        <w:rPr>
          <w:rFonts w:hint="eastAsia"/>
        </w:rPr>
        <w:t>2</w:t>
      </w:r>
      <w:r>
        <w:rPr>
          <w:rFonts w:hint="eastAsia"/>
        </w:rPr>
        <w:t>）</w:t>
      </w:r>
      <w:r>
        <w:t>《中华人民共和国环境影响评价法》，</w:t>
      </w:r>
      <w:r>
        <w:t>2018</w:t>
      </w:r>
      <w:r>
        <w:t>年</w:t>
      </w:r>
      <w:r>
        <w:t>12</w:t>
      </w:r>
      <w:r>
        <w:t>月</w:t>
      </w:r>
      <w:r>
        <w:t>29</w:t>
      </w:r>
      <w:r>
        <w:t>日修订并施行；</w:t>
      </w:r>
    </w:p>
    <w:p w:rsidR="00BD5820" w:rsidRDefault="00F64314">
      <w:pPr>
        <w:pStyle w:val="affa"/>
        <w:ind w:firstLine="480"/>
      </w:pPr>
      <w:r>
        <w:rPr>
          <w:rFonts w:hint="eastAsia"/>
        </w:rPr>
        <w:t>（</w:t>
      </w:r>
      <w:r>
        <w:rPr>
          <w:rFonts w:hint="eastAsia"/>
        </w:rPr>
        <w:t>3</w:t>
      </w:r>
      <w:r>
        <w:rPr>
          <w:rFonts w:hint="eastAsia"/>
        </w:rPr>
        <w:t>）</w:t>
      </w:r>
      <w:r>
        <w:t>《中华人民共和国水污染防治法》，</w:t>
      </w:r>
      <w:r>
        <w:t>2017</w:t>
      </w:r>
      <w:r>
        <w:t>年</w:t>
      </w:r>
      <w:r>
        <w:t>6</w:t>
      </w:r>
      <w:r>
        <w:t>月</w:t>
      </w:r>
      <w:r>
        <w:t>27</w:t>
      </w:r>
      <w:r>
        <w:t>日修订，</w:t>
      </w:r>
      <w:r>
        <w:t>2018</w:t>
      </w:r>
      <w:r>
        <w:t>年</w:t>
      </w:r>
      <w:r>
        <w:t>1</w:t>
      </w:r>
      <w:r>
        <w:t>月</w:t>
      </w:r>
      <w:r>
        <w:t>1</w:t>
      </w:r>
      <w:r>
        <w:t>日实施；</w:t>
      </w:r>
    </w:p>
    <w:p w:rsidR="00BD5820" w:rsidRDefault="00F64314">
      <w:pPr>
        <w:pStyle w:val="affa"/>
        <w:ind w:firstLine="480"/>
      </w:pPr>
      <w:r>
        <w:rPr>
          <w:rFonts w:hint="eastAsia"/>
        </w:rPr>
        <w:t>（</w:t>
      </w:r>
      <w:r>
        <w:rPr>
          <w:rFonts w:hint="eastAsia"/>
        </w:rPr>
        <w:t>4</w:t>
      </w:r>
      <w:r>
        <w:rPr>
          <w:rFonts w:hint="eastAsia"/>
        </w:rPr>
        <w:t>）</w:t>
      </w:r>
      <w:r>
        <w:t>《中华人民共和国大气污染防治法》，</w:t>
      </w:r>
      <w:r>
        <w:t>2018</w:t>
      </w:r>
      <w:r>
        <w:t>年</w:t>
      </w:r>
      <w:r>
        <w:t>10</w:t>
      </w:r>
      <w:r>
        <w:t>月</w:t>
      </w:r>
      <w:r>
        <w:t>26</w:t>
      </w:r>
      <w:r>
        <w:t>日修订并施行；</w:t>
      </w:r>
    </w:p>
    <w:p w:rsidR="00BD5820" w:rsidRDefault="00F64314">
      <w:pPr>
        <w:pStyle w:val="affa"/>
        <w:ind w:firstLine="480"/>
      </w:pPr>
      <w:r>
        <w:rPr>
          <w:rFonts w:hint="eastAsia"/>
        </w:rPr>
        <w:t>（</w:t>
      </w:r>
      <w:r>
        <w:rPr>
          <w:rFonts w:hint="eastAsia"/>
        </w:rPr>
        <w:t>5</w:t>
      </w:r>
      <w:r>
        <w:rPr>
          <w:rFonts w:hint="eastAsia"/>
        </w:rPr>
        <w:t>）</w:t>
      </w:r>
      <w:r w:rsidR="00C928E4" w:rsidRPr="00C928E4">
        <w:rPr>
          <w:color w:val="FF0000"/>
        </w:rPr>
        <w:t>《中华人民共和国</w:t>
      </w:r>
      <w:r w:rsidRPr="00C928E4">
        <w:rPr>
          <w:color w:val="FF0000"/>
        </w:rPr>
        <w:t>噪声污染防治法》，</w:t>
      </w:r>
      <w:r w:rsidRPr="00C928E4">
        <w:rPr>
          <w:color w:val="FF0000"/>
        </w:rPr>
        <w:t>20</w:t>
      </w:r>
      <w:r w:rsidR="00C928E4" w:rsidRPr="00C928E4">
        <w:rPr>
          <w:rFonts w:hint="eastAsia"/>
          <w:color w:val="FF0000"/>
        </w:rPr>
        <w:t>22</w:t>
      </w:r>
      <w:r w:rsidRPr="00C928E4">
        <w:rPr>
          <w:color w:val="FF0000"/>
        </w:rPr>
        <w:t>年</w:t>
      </w:r>
      <w:r w:rsidR="00C928E4" w:rsidRPr="00C928E4">
        <w:rPr>
          <w:rFonts w:hint="eastAsia"/>
          <w:color w:val="FF0000"/>
        </w:rPr>
        <w:t>6</w:t>
      </w:r>
      <w:r w:rsidRPr="00C928E4">
        <w:rPr>
          <w:color w:val="FF0000"/>
        </w:rPr>
        <w:t>月</w:t>
      </w:r>
      <w:r w:rsidR="00C928E4" w:rsidRPr="00C928E4">
        <w:rPr>
          <w:rFonts w:hint="eastAsia"/>
          <w:color w:val="FF0000"/>
        </w:rPr>
        <w:t>5</w:t>
      </w:r>
      <w:r w:rsidRPr="00C928E4">
        <w:rPr>
          <w:color w:val="FF0000"/>
        </w:rPr>
        <w:t>日施行；</w:t>
      </w:r>
    </w:p>
    <w:p w:rsidR="00BD5820" w:rsidRDefault="00F64314">
      <w:pPr>
        <w:pStyle w:val="affa"/>
        <w:ind w:firstLine="480"/>
      </w:pPr>
      <w:r>
        <w:rPr>
          <w:rFonts w:hint="eastAsia"/>
        </w:rPr>
        <w:t>（</w:t>
      </w:r>
      <w:r>
        <w:rPr>
          <w:rFonts w:hint="eastAsia"/>
        </w:rPr>
        <w:t>6</w:t>
      </w:r>
      <w:r>
        <w:rPr>
          <w:rFonts w:hint="eastAsia"/>
        </w:rPr>
        <w:t>）</w:t>
      </w:r>
      <w:r>
        <w:t>《中华人民共和国固体废物污染环境防治法》，</w:t>
      </w:r>
      <w:r>
        <w:rPr>
          <w:kern w:val="2"/>
          <w:szCs w:val="22"/>
        </w:rPr>
        <w:t>中华人民共和国主席令第四十三号，</w:t>
      </w:r>
      <w:r>
        <w:rPr>
          <w:kern w:val="2"/>
          <w:szCs w:val="22"/>
        </w:rPr>
        <w:t>2020</w:t>
      </w:r>
      <w:r>
        <w:rPr>
          <w:kern w:val="2"/>
          <w:szCs w:val="22"/>
        </w:rPr>
        <w:t>年</w:t>
      </w:r>
      <w:r>
        <w:rPr>
          <w:kern w:val="2"/>
          <w:szCs w:val="22"/>
        </w:rPr>
        <w:t>9</w:t>
      </w:r>
      <w:r>
        <w:rPr>
          <w:kern w:val="2"/>
          <w:szCs w:val="22"/>
        </w:rPr>
        <w:t>月</w:t>
      </w:r>
      <w:r>
        <w:rPr>
          <w:kern w:val="2"/>
          <w:szCs w:val="22"/>
        </w:rPr>
        <w:t>1</w:t>
      </w:r>
      <w:r>
        <w:rPr>
          <w:kern w:val="2"/>
          <w:szCs w:val="22"/>
        </w:rPr>
        <w:t>日实施</w:t>
      </w:r>
      <w:r>
        <w:t>；</w:t>
      </w:r>
    </w:p>
    <w:p w:rsidR="00BD5820" w:rsidRDefault="00F64314">
      <w:pPr>
        <w:pStyle w:val="affa"/>
        <w:ind w:firstLine="480"/>
      </w:pPr>
      <w:r>
        <w:rPr>
          <w:rFonts w:hint="eastAsia"/>
        </w:rPr>
        <w:t>（</w:t>
      </w:r>
      <w:r>
        <w:rPr>
          <w:rFonts w:hint="eastAsia"/>
        </w:rPr>
        <w:t>7</w:t>
      </w:r>
      <w:r>
        <w:rPr>
          <w:rFonts w:hint="eastAsia"/>
        </w:rPr>
        <w:t>）</w:t>
      </w:r>
      <w:r>
        <w:t>《中华人民共和国清洁生产促进法》，中华人民共和国主席令第</w:t>
      </w:r>
      <w:r>
        <w:t>54</w:t>
      </w:r>
      <w:r>
        <w:t>号，</w:t>
      </w:r>
      <w:r>
        <w:t>2012</w:t>
      </w:r>
      <w:r>
        <w:t>年</w:t>
      </w:r>
      <w:r>
        <w:t>7</w:t>
      </w:r>
      <w:r>
        <w:t>月</w:t>
      </w:r>
      <w:r>
        <w:t>1</w:t>
      </w:r>
      <w:r>
        <w:t>日实施；</w:t>
      </w:r>
    </w:p>
    <w:p w:rsidR="00BD5820" w:rsidRDefault="00F64314">
      <w:pPr>
        <w:pStyle w:val="affa"/>
        <w:ind w:firstLine="480"/>
      </w:pPr>
      <w:r>
        <w:rPr>
          <w:rFonts w:hint="eastAsia"/>
        </w:rPr>
        <w:t>（</w:t>
      </w:r>
      <w:r>
        <w:rPr>
          <w:rFonts w:hint="eastAsia"/>
        </w:rPr>
        <w:t>8</w:t>
      </w:r>
      <w:r>
        <w:rPr>
          <w:rFonts w:hint="eastAsia"/>
        </w:rPr>
        <w:t>）</w:t>
      </w:r>
      <w:r>
        <w:t>《中华人民共和国土地管理法》，</w:t>
      </w:r>
      <w:r>
        <w:t>2020</w:t>
      </w:r>
      <w:r>
        <w:t>年</w:t>
      </w:r>
      <w:r>
        <w:t>1</w:t>
      </w:r>
      <w:r>
        <w:t>月</w:t>
      </w:r>
      <w:r>
        <w:t>1</w:t>
      </w:r>
      <w:r>
        <w:t>日实施；</w:t>
      </w:r>
    </w:p>
    <w:p w:rsidR="00BD5820" w:rsidRDefault="00F64314">
      <w:pPr>
        <w:pStyle w:val="affa"/>
        <w:ind w:firstLine="480"/>
      </w:pPr>
      <w:r>
        <w:rPr>
          <w:rFonts w:hint="eastAsia"/>
        </w:rPr>
        <w:t>（</w:t>
      </w:r>
      <w:r>
        <w:rPr>
          <w:rFonts w:hint="eastAsia"/>
        </w:rPr>
        <w:t>9</w:t>
      </w:r>
      <w:r>
        <w:rPr>
          <w:rFonts w:hint="eastAsia"/>
        </w:rPr>
        <w:t>）</w:t>
      </w:r>
      <w:r>
        <w:t>《中华人民共和国水土保持法》，中华人民共和国主席令第</w:t>
      </w:r>
      <w:r>
        <w:t>39</w:t>
      </w:r>
      <w:r>
        <w:t>号，</w:t>
      </w:r>
      <w:r>
        <w:t>2011</w:t>
      </w:r>
      <w:r>
        <w:t>年</w:t>
      </w:r>
      <w:r>
        <w:t>3</w:t>
      </w:r>
      <w:r>
        <w:t>月</w:t>
      </w:r>
      <w:r>
        <w:t>1</w:t>
      </w:r>
      <w:r>
        <w:t>日实施；</w:t>
      </w:r>
    </w:p>
    <w:p w:rsidR="00BD5820" w:rsidRDefault="00F64314">
      <w:pPr>
        <w:pStyle w:val="affa"/>
        <w:ind w:firstLine="480"/>
      </w:pPr>
      <w:r>
        <w:rPr>
          <w:rFonts w:hint="eastAsia"/>
        </w:rPr>
        <w:t>（</w:t>
      </w:r>
      <w:r>
        <w:rPr>
          <w:rFonts w:hint="eastAsia"/>
        </w:rPr>
        <w:t>10</w:t>
      </w:r>
      <w:r>
        <w:rPr>
          <w:rFonts w:hint="eastAsia"/>
        </w:rPr>
        <w:t>）</w:t>
      </w:r>
      <w:r>
        <w:t>《中华人民共和国水法》，</w:t>
      </w:r>
      <w:r>
        <w:t>2016</w:t>
      </w:r>
      <w:r>
        <w:t>年</w:t>
      </w:r>
      <w:r>
        <w:t>7</w:t>
      </w:r>
      <w:r>
        <w:t>月</w:t>
      </w:r>
      <w:r>
        <w:t>2</w:t>
      </w:r>
      <w:r>
        <w:t>日第十二届全国人民代表大会常务委员会第二十一次会议修订，</w:t>
      </w:r>
      <w:r>
        <w:t>2016</w:t>
      </w:r>
      <w:r>
        <w:t>年</w:t>
      </w:r>
      <w:r>
        <w:t>9</w:t>
      </w:r>
      <w:r>
        <w:t>月</w:t>
      </w:r>
      <w:r>
        <w:t>1</w:t>
      </w:r>
      <w:r>
        <w:t>日实施；</w:t>
      </w:r>
    </w:p>
    <w:p w:rsidR="00BD5820" w:rsidRDefault="00F64314">
      <w:pPr>
        <w:pStyle w:val="affa"/>
        <w:ind w:firstLine="480"/>
      </w:pPr>
      <w:r>
        <w:rPr>
          <w:rFonts w:hint="eastAsia"/>
        </w:rPr>
        <w:t>（</w:t>
      </w:r>
      <w:r>
        <w:t>11</w:t>
      </w:r>
      <w:r>
        <w:rPr>
          <w:rFonts w:hint="eastAsia"/>
        </w:rPr>
        <w:t>）</w:t>
      </w:r>
      <w:r>
        <w:t>《中华人民共和国矿产资源法》，第十一届全国人民代表大会常务委员会第十次会议一次修正，</w:t>
      </w:r>
      <w:r>
        <w:t>2009</w:t>
      </w:r>
      <w:r>
        <w:t>年</w:t>
      </w:r>
      <w:r>
        <w:t>8</w:t>
      </w:r>
      <w:r>
        <w:t>月</w:t>
      </w:r>
      <w:r>
        <w:t>27</w:t>
      </w:r>
      <w:r>
        <w:t>日实施；</w:t>
      </w:r>
    </w:p>
    <w:p w:rsidR="00BD5820" w:rsidRDefault="00F64314">
      <w:pPr>
        <w:pStyle w:val="affa"/>
        <w:ind w:firstLine="480"/>
      </w:pPr>
      <w:r>
        <w:rPr>
          <w:rFonts w:hint="eastAsia"/>
        </w:rPr>
        <w:t>（</w:t>
      </w:r>
      <w:r>
        <w:t>12</w:t>
      </w:r>
      <w:r>
        <w:rPr>
          <w:rFonts w:hint="eastAsia"/>
        </w:rPr>
        <w:t>）</w:t>
      </w:r>
      <w:r>
        <w:t>《中华人民共和国节约能源法》，</w:t>
      </w:r>
      <w:r>
        <w:t>2018</w:t>
      </w:r>
      <w:r>
        <w:t>年</w:t>
      </w:r>
      <w:r>
        <w:t>12</w:t>
      </w:r>
      <w:r>
        <w:t>月</w:t>
      </w:r>
      <w:r>
        <w:t>26</w:t>
      </w:r>
      <w:r>
        <w:t>日修订并施行；</w:t>
      </w:r>
    </w:p>
    <w:p w:rsidR="00BD5820" w:rsidRPr="00C928E4" w:rsidRDefault="00F64314">
      <w:pPr>
        <w:pStyle w:val="affa"/>
        <w:ind w:firstLine="480"/>
        <w:rPr>
          <w:color w:val="FF0000"/>
        </w:rPr>
      </w:pPr>
      <w:r w:rsidRPr="00C928E4">
        <w:rPr>
          <w:rFonts w:hint="eastAsia"/>
          <w:color w:val="FF0000"/>
        </w:rPr>
        <w:t>（</w:t>
      </w:r>
      <w:r w:rsidRPr="00C928E4">
        <w:rPr>
          <w:color w:val="FF0000"/>
        </w:rPr>
        <w:t>13</w:t>
      </w:r>
      <w:r w:rsidRPr="00C928E4">
        <w:rPr>
          <w:rFonts w:hint="eastAsia"/>
          <w:color w:val="FF0000"/>
        </w:rPr>
        <w:t>）</w:t>
      </w:r>
      <w:r w:rsidRPr="00C928E4">
        <w:rPr>
          <w:color w:val="FF0000"/>
        </w:rPr>
        <w:t>《中华人民共和国野生动物保护法》，</w:t>
      </w:r>
      <w:r w:rsidR="00C928E4" w:rsidRPr="00C928E4">
        <w:rPr>
          <w:color w:val="FF0000"/>
        </w:rPr>
        <w:t>2022</w:t>
      </w:r>
      <w:r w:rsidR="00C928E4" w:rsidRPr="00C928E4">
        <w:rPr>
          <w:color w:val="FF0000"/>
        </w:rPr>
        <w:t>年</w:t>
      </w:r>
      <w:r w:rsidR="00C928E4" w:rsidRPr="00C928E4">
        <w:rPr>
          <w:color w:val="FF0000"/>
        </w:rPr>
        <w:t xml:space="preserve"> 12 </w:t>
      </w:r>
      <w:r w:rsidR="00C928E4" w:rsidRPr="00C928E4">
        <w:rPr>
          <w:color w:val="FF0000"/>
        </w:rPr>
        <w:t>月</w:t>
      </w:r>
      <w:r w:rsidR="00C928E4" w:rsidRPr="00C928E4">
        <w:rPr>
          <w:color w:val="FF0000"/>
        </w:rPr>
        <w:t>30</w:t>
      </w:r>
      <w:r w:rsidR="00C928E4" w:rsidRPr="00C928E4">
        <w:rPr>
          <w:color w:val="FF0000"/>
        </w:rPr>
        <w:t>日修订</w:t>
      </w:r>
      <w:r w:rsidRPr="00C928E4">
        <w:rPr>
          <w:color w:val="FF0000"/>
        </w:rPr>
        <w:t>，</w:t>
      </w:r>
      <w:r w:rsidRPr="00C928E4">
        <w:rPr>
          <w:color w:val="FF0000"/>
        </w:rPr>
        <w:t>20</w:t>
      </w:r>
      <w:r w:rsidR="00C928E4" w:rsidRPr="00C928E4">
        <w:rPr>
          <w:rFonts w:hint="eastAsia"/>
          <w:color w:val="FF0000"/>
        </w:rPr>
        <w:t>23</w:t>
      </w:r>
      <w:r w:rsidRPr="00C928E4">
        <w:rPr>
          <w:color w:val="FF0000"/>
        </w:rPr>
        <w:t>年</w:t>
      </w:r>
      <w:r w:rsidR="00C928E4" w:rsidRPr="00C928E4">
        <w:rPr>
          <w:rFonts w:hint="eastAsia"/>
          <w:color w:val="FF0000"/>
        </w:rPr>
        <w:t>5</w:t>
      </w:r>
      <w:r w:rsidRPr="00C928E4">
        <w:rPr>
          <w:color w:val="FF0000"/>
        </w:rPr>
        <w:t>月</w:t>
      </w:r>
      <w:r w:rsidRPr="00C928E4">
        <w:rPr>
          <w:color w:val="FF0000"/>
        </w:rPr>
        <w:t>1</w:t>
      </w:r>
      <w:r w:rsidR="00C928E4">
        <w:rPr>
          <w:color w:val="FF0000"/>
        </w:rPr>
        <w:t>日施行</w:t>
      </w:r>
      <w:r w:rsidRPr="00C928E4">
        <w:rPr>
          <w:color w:val="FF0000"/>
        </w:rPr>
        <w:t>；</w:t>
      </w:r>
    </w:p>
    <w:p w:rsidR="00BD5820" w:rsidRDefault="00F64314">
      <w:pPr>
        <w:pStyle w:val="affa"/>
        <w:ind w:firstLine="480"/>
      </w:pPr>
      <w:r>
        <w:rPr>
          <w:rFonts w:hint="eastAsia"/>
        </w:rPr>
        <w:t>（</w:t>
      </w:r>
      <w:r>
        <w:t>14</w:t>
      </w:r>
      <w:r>
        <w:rPr>
          <w:rFonts w:hint="eastAsia"/>
        </w:rPr>
        <w:t>）</w:t>
      </w:r>
      <w:r>
        <w:t>《中华人民共和国农业法》，第十一届全国人民代表大会常务委员会第三十次会议于</w:t>
      </w:r>
      <w:r>
        <w:t>2012</w:t>
      </w:r>
      <w:r>
        <w:t>年</w:t>
      </w:r>
      <w:r>
        <w:t>12</w:t>
      </w:r>
      <w:r>
        <w:t>月</w:t>
      </w:r>
      <w:r>
        <w:t>28</w:t>
      </w:r>
      <w:r>
        <w:t>日通过，</w:t>
      </w:r>
      <w:r>
        <w:t>2013</w:t>
      </w:r>
      <w:r>
        <w:t>年</w:t>
      </w:r>
      <w:r>
        <w:t>1</w:t>
      </w:r>
      <w:r>
        <w:t>月</w:t>
      </w:r>
      <w:r>
        <w:t>1</w:t>
      </w:r>
      <w:r>
        <w:t>日起施行；</w:t>
      </w:r>
    </w:p>
    <w:p w:rsidR="00BD5820" w:rsidRDefault="00F64314">
      <w:pPr>
        <w:pStyle w:val="affa"/>
        <w:ind w:firstLine="480"/>
      </w:pPr>
      <w:r>
        <w:rPr>
          <w:rFonts w:hint="eastAsia"/>
        </w:rPr>
        <w:t>（</w:t>
      </w:r>
      <w:r>
        <w:t>15</w:t>
      </w:r>
      <w:r>
        <w:rPr>
          <w:rFonts w:hint="eastAsia"/>
        </w:rPr>
        <w:t>）</w:t>
      </w:r>
      <w:r>
        <w:t>《中华人民共和国石油天然气管道保护法》，</w:t>
      </w:r>
      <w:r>
        <w:t>2010</w:t>
      </w:r>
      <w:r>
        <w:t>年</w:t>
      </w:r>
      <w:r>
        <w:t>10</w:t>
      </w:r>
      <w:r>
        <w:t>月</w:t>
      </w:r>
      <w:r>
        <w:t>1</w:t>
      </w:r>
      <w:r>
        <w:t>日起施行</w:t>
      </w:r>
      <w:r>
        <w:rPr>
          <w:rFonts w:hint="eastAsia"/>
        </w:rPr>
        <w:t>；</w:t>
      </w:r>
    </w:p>
    <w:p w:rsidR="00BD5820" w:rsidRDefault="00F64314">
      <w:pPr>
        <w:pStyle w:val="affa"/>
        <w:ind w:firstLine="480"/>
      </w:pPr>
      <w:r>
        <w:rPr>
          <w:rFonts w:hint="eastAsia"/>
        </w:rPr>
        <w:t>（</w:t>
      </w:r>
      <w:r>
        <w:rPr>
          <w:rFonts w:hint="eastAsia"/>
        </w:rPr>
        <w:t>16</w:t>
      </w:r>
      <w:r>
        <w:rPr>
          <w:rFonts w:hint="eastAsia"/>
        </w:rPr>
        <w:t>）《中华人民共和国长江保护法》（主席令</w:t>
      </w:r>
      <w:r>
        <w:rPr>
          <w:rFonts w:hint="eastAsia"/>
        </w:rPr>
        <w:t>2020</w:t>
      </w:r>
      <w:r>
        <w:rPr>
          <w:rFonts w:hint="eastAsia"/>
        </w:rPr>
        <w:t>年第</w:t>
      </w:r>
      <w:r>
        <w:rPr>
          <w:rFonts w:hint="eastAsia"/>
        </w:rPr>
        <w:t>65</w:t>
      </w:r>
      <w:r>
        <w:rPr>
          <w:rFonts w:hint="eastAsia"/>
        </w:rPr>
        <w:t>号）（</w:t>
      </w:r>
      <w:r>
        <w:rPr>
          <w:rFonts w:hint="eastAsia"/>
        </w:rPr>
        <w:t>2021</w:t>
      </w:r>
      <w:r>
        <w:rPr>
          <w:rFonts w:hint="eastAsia"/>
        </w:rPr>
        <w:lastRenderedPageBreak/>
        <w:t>年</w:t>
      </w:r>
      <w:r>
        <w:rPr>
          <w:rFonts w:hint="eastAsia"/>
        </w:rPr>
        <w:t>3</w:t>
      </w:r>
      <w:r>
        <w:rPr>
          <w:rFonts w:hint="eastAsia"/>
        </w:rPr>
        <w:t>月</w:t>
      </w:r>
      <w:r>
        <w:rPr>
          <w:rFonts w:hint="eastAsia"/>
        </w:rPr>
        <w:t>1</w:t>
      </w:r>
      <w:r>
        <w:rPr>
          <w:rFonts w:hint="eastAsia"/>
        </w:rPr>
        <w:t>日起实施）。</w:t>
      </w:r>
    </w:p>
    <w:p w:rsidR="00BD5820" w:rsidRDefault="00F64314">
      <w:pPr>
        <w:keepNext/>
        <w:keepLines/>
        <w:ind w:firstLineChars="0" w:firstLine="0"/>
        <w:outlineLvl w:val="2"/>
        <w:rPr>
          <w:rFonts w:ascii="Times New Roman" w:cs="Times New Roman"/>
          <w:b/>
          <w:szCs w:val="32"/>
        </w:rPr>
      </w:pPr>
      <w:bookmarkStart w:id="44" w:name="_Toc19815921"/>
      <w:r>
        <w:rPr>
          <w:rFonts w:ascii="Times New Roman" w:cs="Times New Roman"/>
          <w:b/>
          <w:szCs w:val="32"/>
        </w:rPr>
        <w:t xml:space="preserve">1.1.2 </w:t>
      </w:r>
      <w:r>
        <w:rPr>
          <w:rFonts w:ascii="Times New Roman" w:cs="Times New Roman"/>
          <w:b/>
          <w:szCs w:val="32"/>
        </w:rPr>
        <w:t>行政法规</w:t>
      </w:r>
      <w:bookmarkEnd w:id="44"/>
    </w:p>
    <w:p w:rsidR="00BD5820" w:rsidRDefault="00F64314">
      <w:pPr>
        <w:topLinePunct w:val="0"/>
        <w:adjustRightInd/>
        <w:ind w:firstLine="480"/>
        <w:rPr>
          <w:rFonts w:ascii="Times New Roman" w:cs="Times New Roman"/>
          <w:kern w:val="2"/>
          <w:szCs w:val="22"/>
        </w:rPr>
      </w:pPr>
      <w:r>
        <w:rPr>
          <w:rFonts w:ascii="Times New Roman" w:cs="Times New Roman" w:hint="eastAsia"/>
          <w:kern w:val="2"/>
          <w:szCs w:val="22"/>
        </w:rPr>
        <w:t>（</w:t>
      </w:r>
      <w:r>
        <w:rPr>
          <w:rFonts w:ascii="Times New Roman" w:cs="Times New Roman"/>
          <w:kern w:val="2"/>
          <w:szCs w:val="22"/>
        </w:rPr>
        <w:t>1</w:t>
      </w:r>
      <w:r>
        <w:rPr>
          <w:rFonts w:ascii="Times New Roman" w:cs="Times New Roman" w:hint="eastAsia"/>
          <w:kern w:val="2"/>
          <w:szCs w:val="22"/>
        </w:rPr>
        <w:t>）</w:t>
      </w:r>
      <w:r>
        <w:rPr>
          <w:rFonts w:ascii="Times New Roman" w:cs="Times New Roman"/>
          <w:kern w:val="2"/>
          <w:szCs w:val="22"/>
        </w:rPr>
        <w:t>《中华人民共和国河道管理条例》，（根据</w:t>
      </w:r>
      <w:r>
        <w:rPr>
          <w:rFonts w:ascii="Times New Roman" w:cs="Times New Roman"/>
          <w:kern w:val="2"/>
          <w:szCs w:val="22"/>
        </w:rPr>
        <w:t>2017</w:t>
      </w:r>
      <w:r>
        <w:rPr>
          <w:rFonts w:ascii="Times New Roman" w:cs="Times New Roman"/>
          <w:kern w:val="2"/>
          <w:szCs w:val="22"/>
        </w:rPr>
        <w:t>年</w:t>
      </w:r>
      <w:r>
        <w:rPr>
          <w:rFonts w:ascii="Times New Roman" w:cs="Times New Roman"/>
          <w:kern w:val="2"/>
          <w:szCs w:val="22"/>
        </w:rPr>
        <w:t>10</w:t>
      </w:r>
      <w:r>
        <w:rPr>
          <w:rFonts w:ascii="Times New Roman" w:cs="Times New Roman"/>
          <w:kern w:val="2"/>
          <w:szCs w:val="22"/>
        </w:rPr>
        <w:t>月</w:t>
      </w:r>
      <w:r>
        <w:rPr>
          <w:rFonts w:ascii="Times New Roman" w:cs="Times New Roman"/>
          <w:kern w:val="2"/>
          <w:szCs w:val="22"/>
        </w:rPr>
        <w:t>7</w:t>
      </w:r>
      <w:r>
        <w:rPr>
          <w:rFonts w:ascii="Times New Roman" w:cs="Times New Roman"/>
          <w:kern w:val="2"/>
          <w:szCs w:val="22"/>
        </w:rPr>
        <w:t>日国务院令第</w:t>
      </w:r>
      <w:r>
        <w:rPr>
          <w:rFonts w:ascii="Times New Roman" w:cs="Times New Roman"/>
          <w:kern w:val="2"/>
          <w:szCs w:val="22"/>
        </w:rPr>
        <w:t>687</w:t>
      </w:r>
      <w:r>
        <w:rPr>
          <w:rFonts w:ascii="Times New Roman" w:cs="Times New Roman"/>
          <w:kern w:val="2"/>
          <w:szCs w:val="22"/>
        </w:rPr>
        <w:t>号《国务院关于修改部分行政法规的决定》第三次修订），</w:t>
      </w:r>
      <w:r>
        <w:rPr>
          <w:rFonts w:ascii="Times New Roman" w:cs="Times New Roman"/>
          <w:kern w:val="2"/>
          <w:szCs w:val="22"/>
        </w:rPr>
        <w:t>2017</w:t>
      </w:r>
      <w:r>
        <w:rPr>
          <w:rFonts w:ascii="Times New Roman" w:cs="Times New Roman"/>
          <w:kern w:val="2"/>
          <w:szCs w:val="22"/>
        </w:rPr>
        <w:t>年</w:t>
      </w:r>
      <w:r>
        <w:rPr>
          <w:rFonts w:ascii="Times New Roman" w:cs="Times New Roman"/>
          <w:kern w:val="2"/>
          <w:szCs w:val="22"/>
        </w:rPr>
        <w:t>10</w:t>
      </w:r>
      <w:r>
        <w:rPr>
          <w:rFonts w:ascii="Times New Roman" w:cs="Times New Roman"/>
          <w:kern w:val="2"/>
          <w:szCs w:val="22"/>
        </w:rPr>
        <w:t>月</w:t>
      </w:r>
      <w:r>
        <w:rPr>
          <w:rFonts w:ascii="Times New Roman" w:cs="Times New Roman"/>
          <w:kern w:val="2"/>
          <w:szCs w:val="22"/>
        </w:rPr>
        <w:t>7</w:t>
      </w:r>
      <w:r>
        <w:rPr>
          <w:rFonts w:ascii="Times New Roman" w:cs="Times New Roman"/>
          <w:kern w:val="2"/>
          <w:szCs w:val="22"/>
        </w:rPr>
        <w:t>日实施；</w:t>
      </w:r>
    </w:p>
    <w:p w:rsidR="00BD5820" w:rsidRDefault="00F64314">
      <w:pPr>
        <w:topLinePunct w:val="0"/>
        <w:adjustRightInd/>
        <w:ind w:firstLine="480"/>
        <w:rPr>
          <w:rFonts w:ascii="Times New Roman" w:cs="Times New Roman"/>
          <w:kern w:val="2"/>
          <w:szCs w:val="22"/>
        </w:rPr>
      </w:pPr>
      <w:r>
        <w:rPr>
          <w:rFonts w:ascii="Times New Roman" w:cs="Times New Roman" w:hint="eastAsia"/>
          <w:kern w:val="2"/>
          <w:szCs w:val="22"/>
        </w:rPr>
        <w:t>（</w:t>
      </w:r>
      <w:r>
        <w:rPr>
          <w:rFonts w:ascii="Times New Roman" w:cs="Times New Roman" w:hint="eastAsia"/>
          <w:kern w:val="2"/>
          <w:szCs w:val="22"/>
        </w:rPr>
        <w:t>2</w:t>
      </w:r>
      <w:r>
        <w:rPr>
          <w:rFonts w:ascii="Times New Roman" w:cs="Times New Roman" w:hint="eastAsia"/>
          <w:kern w:val="2"/>
          <w:szCs w:val="22"/>
        </w:rPr>
        <w:t>）</w:t>
      </w:r>
      <w:r>
        <w:rPr>
          <w:rFonts w:ascii="Times New Roman" w:cs="Times New Roman"/>
          <w:kern w:val="2"/>
          <w:szCs w:val="22"/>
        </w:rPr>
        <w:t>《中华人民共和国水土保持法实施条例》，（根据</w:t>
      </w:r>
      <w:r>
        <w:rPr>
          <w:rFonts w:ascii="Times New Roman" w:cs="Times New Roman"/>
          <w:kern w:val="2"/>
          <w:szCs w:val="22"/>
        </w:rPr>
        <w:t>2011</w:t>
      </w:r>
      <w:r>
        <w:rPr>
          <w:rFonts w:ascii="Times New Roman" w:cs="Times New Roman"/>
          <w:kern w:val="2"/>
          <w:szCs w:val="22"/>
        </w:rPr>
        <w:t>年</w:t>
      </w:r>
      <w:r>
        <w:rPr>
          <w:rFonts w:ascii="Times New Roman" w:cs="Times New Roman"/>
          <w:kern w:val="2"/>
          <w:szCs w:val="22"/>
        </w:rPr>
        <w:t>1</w:t>
      </w:r>
      <w:r>
        <w:rPr>
          <w:rFonts w:ascii="Times New Roman" w:cs="Times New Roman"/>
          <w:kern w:val="2"/>
          <w:szCs w:val="22"/>
        </w:rPr>
        <w:t>月</w:t>
      </w:r>
      <w:r>
        <w:rPr>
          <w:rFonts w:ascii="Times New Roman" w:cs="Times New Roman"/>
          <w:kern w:val="2"/>
          <w:szCs w:val="22"/>
        </w:rPr>
        <w:t>8</w:t>
      </w:r>
      <w:r>
        <w:rPr>
          <w:rFonts w:ascii="Times New Roman" w:cs="Times New Roman"/>
          <w:kern w:val="2"/>
          <w:szCs w:val="22"/>
        </w:rPr>
        <w:t>日《国务院关于废止和修改部分行政法规的决定》修订），</w:t>
      </w:r>
      <w:r>
        <w:rPr>
          <w:rFonts w:ascii="Times New Roman" w:cs="Times New Roman"/>
          <w:kern w:val="2"/>
          <w:szCs w:val="22"/>
        </w:rPr>
        <w:t>2011</w:t>
      </w:r>
      <w:r>
        <w:rPr>
          <w:rFonts w:ascii="Times New Roman" w:cs="Times New Roman"/>
          <w:kern w:val="2"/>
          <w:szCs w:val="22"/>
        </w:rPr>
        <w:t>年</w:t>
      </w:r>
      <w:r>
        <w:rPr>
          <w:rFonts w:ascii="Times New Roman" w:cs="Times New Roman"/>
          <w:kern w:val="2"/>
          <w:szCs w:val="22"/>
        </w:rPr>
        <w:t>1</w:t>
      </w:r>
      <w:r>
        <w:rPr>
          <w:rFonts w:ascii="Times New Roman" w:cs="Times New Roman"/>
          <w:kern w:val="2"/>
          <w:szCs w:val="22"/>
        </w:rPr>
        <w:t>月</w:t>
      </w:r>
      <w:r>
        <w:rPr>
          <w:rFonts w:ascii="Times New Roman" w:cs="Times New Roman"/>
          <w:kern w:val="2"/>
          <w:szCs w:val="22"/>
        </w:rPr>
        <w:t>8</w:t>
      </w:r>
      <w:r>
        <w:rPr>
          <w:rFonts w:ascii="Times New Roman" w:cs="Times New Roman"/>
          <w:kern w:val="2"/>
          <w:szCs w:val="22"/>
        </w:rPr>
        <w:t>日实施；</w:t>
      </w:r>
    </w:p>
    <w:p w:rsidR="00BD5820" w:rsidRDefault="00F64314">
      <w:pPr>
        <w:topLinePunct w:val="0"/>
        <w:adjustRightInd/>
        <w:ind w:firstLine="480"/>
        <w:rPr>
          <w:rFonts w:ascii="Times New Roman" w:cs="Times New Roman"/>
          <w:kern w:val="2"/>
          <w:szCs w:val="22"/>
        </w:rPr>
      </w:pPr>
      <w:r>
        <w:rPr>
          <w:rFonts w:ascii="Times New Roman" w:cs="Times New Roman" w:hint="eastAsia"/>
          <w:kern w:val="2"/>
          <w:szCs w:val="22"/>
        </w:rPr>
        <w:t>（</w:t>
      </w:r>
      <w:r>
        <w:rPr>
          <w:rFonts w:ascii="Times New Roman" w:cs="Times New Roman" w:hint="eastAsia"/>
          <w:kern w:val="2"/>
          <w:szCs w:val="22"/>
        </w:rPr>
        <w:t>3</w:t>
      </w:r>
      <w:r>
        <w:rPr>
          <w:rFonts w:ascii="Times New Roman" w:cs="Times New Roman" w:hint="eastAsia"/>
          <w:kern w:val="2"/>
          <w:szCs w:val="22"/>
        </w:rPr>
        <w:t>）</w:t>
      </w:r>
      <w:r>
        <w:rPr>
          <w:rFonts w:ascii="Times New Roman" w:cs="Times New Roman"/>
          <w:kern w:val="2"/>
          <w:szCs w:val="22"/>
        </w:rPr>
        <w:t>《中华人民共和国野生植物保护条例》，</w:t>
      </w:r>
      <w:r>
        <w:rPr>
          <w:rFonts w:ascii="Times New Roman" w:cs="Times New Roman"/>
          <w:kern w:val="2"/>
          <w:szCs w:val="22"/>
        </w:rPr>
        <w:t>2017</w:t>
      </w:r>
      <w:r>
        <w:rPr>
          <w:rFonts w:ascii="Times New Roman" w:cs="Times New Roman"/>
          <w:kern w:val="2"/>
          <w:szCs w:val="22"/>
        </w:rPr>
        <w:t>年</w:t>
      </w:r>
      <w:r>
        <w:rPr>
          <w:rFonts w:ascii="Times New Roman" w:cs="Times New Roman"/>
          <w:kern w:val="2"/>
          <w:szCs w:val="22"/>
        </w:rPr>
        <w:t>10</w:t>
      </w:r>
      <w:r>
        <w:rPr>
          <w:rFonts w:ascii="Times New Roman" w:cs="Times New Roman"/>
          <w:kern w:val="2"/>
          <w:szCs w:val="22"/>
        </w:rPr>
        <w:t>月</w:t>
      </w:r>
      <w:r>
        <w:rPr>
          <w:rFonts w:ascii="Times New Roman" w:cs="Times New Roman"/>
          <w:kern w:val="2"/>
          <w:szCs w:val="22"/>
        </w:rPr>
        <w:t>7</w:t>
      </w:r>
      <w:r>
        <w:rPr>
          <w:rFonts w:ascii="Times New Roman" w:cs="Times New Roman"/>
          <w:kern w:val="2"/>
          <w:szCs w:val="22"/>
        </w:rPr>
        <w:t>日，国务院令第</w:t>
      </w:r>
      <w:r>
        <w:rPr>
          <w:rFonts w:ascii="Times New Roman" w:cs="Times New Roman"/>
          <w:kern w:val="2"/>
          <w:szCs w:val="22"/>
        </w:rPr>
        <w:t>687</w:t>
      </w:r>
      <w:r>
        <w:rPr>
          <w:rFonts w:ascii="Times New Roman" w:cs="Times New Roman"/>
          <w:kern w:val="2"/>
          <w:szCs w:val="22"/>
        </w:rPr>
        <w:t>号修订；</w:t>
      </w:r>
    </w:p>
    <w:p w:rsidR="00BD5820" w:rsidRDefault="00F64314">
      <w:pPr>
        <w:topLinePunct w:val="0"/>
        <w:adjustRightInd/>
        <w:ind w:firstLine="480"/>
        <w:rPr>
          <w:rFonts w:ascii="Times New Roman" w:cs="Times New Roman"/>
          <w:kern w:val="2"/>
          <w:szCs w:val="22"/>
        </w:rPr>
      </w:pPr>
      <w:r>
        <w:rPr>
          <w:rFonts w:ascii="Times New Roman" w:cs="Times New Roman" w:hint="eastAsia"/>
          <w:kern w:val="2"/>
          <w:szCs w:val="22"/>
        </w:rPr>
        <w:t>（</w:t>
      </w:r>
      <w:r>
        <w:rPr>
          <w:rFonts w:ascii="Times New Roman" w:cs="Times New Roman" w:hint="eastAsia"/>
          <w:kern w:val="2"/>
          <w:szCs w:val="22"/>
        </w:rPr>
        <w:t>4</w:t>
      </w:r>
      <w:r>
        <w:rPr>
          <w:rFonts w:ascii="Times New Roman" w:cs="Times New Roman" w:hint="eastAsia"/>
          <w:kern w:val="2"/>
          <w:szCs w:val="22"/>
        </w:rPr>
        <w:t>）</w:t>
      </w:r>
      <w:r>
        <w:rPr>
          <w:rFonts w:ascii="Times New Roman" w:cs="Times New Roman"/>
          <w:kern w:val="2"/>
          <w:szCs w:val="22"/>
        </w:rPr>
        <w:t>《建设项目环境保护管理条例》（国务院令第</w:t>
      </w:r>
      <w:r>
        <w:rPr>
          <w:rFonts w:ascii="Times New Roman" w:cs="Times New Roman"/>
          <w:kern w:val="2"/>
          <w:szCs w:val="22"/>
        </w:rPr>
        <w:t>682</w:t>
      </w:r>
      <w:r>
        <w:rPr>
          <w:rFonts w:ascii="Times New Roman" w:cs="Times New Roman"/>
          <w:kern w:val="2"/>
          <w:szCs w:val="22"/>
        </w:rPr>
        <w:t>号），</w:t>
      </w:r>
      <w:r>
        <w:rPr>
          <w:rFonts w:ascii="Times New Roman" w:cs="Times New Roman"/>
          <w:kern w:val="2"/>
          <w:szCs w:val="22"/>
        </w:rPr>
        <w:t>2017</w:t>
      </w:r>
      <w:r>
        <w:rPr>
          <w:rFonts w:ascii="Times New Roman" w:cs="Times New Roman"/>
          <w:kern w:val="2"/>
          <w:szCs w:val="22"/>
        </w:rPr>
        <w:t>年</w:t>
      </w:r>
      <w:r>
        <w:rPr>
          <w:rFonts w:ascii="Times New Roman" w:cs="Times New Roman"/>
          <w:kern w:val="2"/>
          <w:szCs w:val="22"/>
        </w:rPr>
        <w:t>10</w:t>
      </w:r>
      <w:r>
        <w:rPr>
          <w:rFonts w:ascii="Times New Roman" w:cs="Times New Roman"/>
          <w:kern w:val="2"/>
          <w:szCs w:val="22"/>
        </w:rPr>
        <w:t>月</w:t>
      </w:r>
      <w:r>
        <w:rPr>
          <w:rFonts w:ascii="Times New Roman" w:cs="Times New Roman"/>
          <w:kern w:val="2"/>
          <w:szCs w:val="22"/>
        </w:rPr>
        <w:t>1</w:t>
      </w:r>
      <w:r>
        <w:rPr>
          <w:rFonts w:ascii="Times New Roman" w:cs="Times New Roman"/>
          <w:kern w:val="2"/>
          <w:szCs w:val="22"/>
        </w:rPr>
        <w:t>日施行；</w:t>
      </w:r>
    </w:p>
    <w:p w:rsidR="00BD5820" w:rsidRDefault="00F64314">
      <w:pPr>
        <w:topLinePunct w:val="0"/>
        <w:adjustRightInd/>
        <w:ind w:firstLine="480"/>
        <w:rPr>
          <w:rFonts w:ascii="Times New Roman" w:cs="Times New Roman"/>
          <w:kern w:val="2"/>
          <w:szCs w:val="22"/>
        </w:rPr>
      </w:pPr>
      <w:r>
        <w:rPr>
          <w:rFonts w:ascii="Times New Roman" w:cs="Times New Roman" w:hint="eastAsia"/>
          <w:kern w:val="2"/>
          <w:szCs w:val="22"/>
        </w:rPr>
        <w:t>（</w:t>
      </w:r>
      <w:r>
        <w:rPr>
          <w:rFonts w:ascii="Times New Roman" w:cs="Times New Roman" w:hint="eastAsia"/>
          <w:kern w:val="2"/>
          <w:szCs w:val="22"/>
        </w:rPr>
        <w:t>5</w:t>
      </w:r>
      <w:r>
        <w:rPr>
          <w:rFonts w:ascii="Times New Roman" w:cs="Times New Roman" w:hint="eastAsia"/>
          <w:kern w:val="2"/>
          <w:szCs w:val="22"/>
        </w:rPr>
        <w:t>）</w:t>
      </w:r>
      <w:r>
        <w:rPr>
          <w:rFonts w:ascii="Times New Roman" w:cs="Times New Roman"/>
          <w:kern w:val="2"/>
          <w:szCs w:val="22"/>
        </w:rPr>
        <w:t>《中华人民共和国基本农田保护条例》，</w:t>
      </w:r>
      <w:r>
        <w:rPr>
          <w:rFonts w:ascii="Times New Roman" w:cs="Times New Roman"/>
          <w:kern w:val="2"/>
          <w:szCs w:val="22"/>
        </w:rPr>
        <w:t>2011</w:t>
      </w:r>
      <w:r>
        <w:rPr>
          <w:rFonts w:ascii="Times New Roman" w:cs="Times New Roman"/>
          <w:kern w:val="2"/>
          <w:szCs w:val="22"/>
        </w:rPr>
        <w:t>年</w:t>
      </w:r>
      <w:r>
        <w:rPr>
          <w:rFonts w:ascii="Times New Roman" w:cs="Times New Roman"/>
          <w:kern w:val="2"/>
          <w:szCs w:val="22"/>
        </w:rPr>
        <w:t>1</w:t>
      </w:r>
      <w:r>
        <w:rPr>
          <w:rFonts w:ascii="Times New Roman" w:cs="Times New Roman"/>
          <w:kern w:val="2"/>
          <w:szCs w:val="22"/>
        </w:rPr>
        <w:t>月</w:t>
      </w:r>
      <w:r>
        <w:rPr>
          <w:rFonts w:ascii="Times New Roman" w:cs="Times New Roman"/>
          <w:kern w:val="2"/>
          <w:szCs w:val="22"/>
        </w:rPr>
        <w:t>8</w:t>
      </w:r>
      <w:r>
        <w:rPr>
          <w:rFonts w:ascii="Times New Roman" w:cs="Times New Roman"/>
          <w:kern w:val="2"/>
          <w:szCs w:val="22"/>
        </w:rPr>
        <w:t>日实施；</w:t>
      </w:r>
    </w:p>
    <w:p w:rsidR="00BD5820" w:rsidRDefault="00F64314">
      <w:pPr>
        <w:topLinePunct w:val="0"/>
        <w:adjustRightInd/>
        <w:ind w:firstLine="480"/>
        <w:rPr>
          <w:rFonts w:ascii="Times New Roman" w:cs="Times New Roman"/>
          <w:kern w:val="2"/>
          <w:szCs w:val="22"/>
        </w:rPr>
      </w:pPr>
      <w:r>
        <w:rPr>
          <w:rFonts w:ascii="Times New Roman" w:cs="Times New Roman" w:hint="eastAsia"/>
          <w:kern w:val="2"/>
          <w:szCs w:val="22"/>
        </w:rPr>
        <w:t>（</w:t>
      </w:r>
      <w:r>
        <w:rPr>
          <w:rFonts w:ascii="Times New Roman" w:cs="Times New Roman" w:hint="eastAsia"/>
          <w:kern w:val="2"/>
          <w:szCs w:val="22"/>
        </w:rPr>
        <w:t>6</w:t>
      </w:r>
      <w:r>
        <w:rPr>
          <w:rFonts w:ascii="Times New Roman" w:cs="Times New Roman" w:hint="eastAsia"/>
          <w:kern w:val="2"/>
          <w:szCs w:val="22"/>
        </w:rPr>
        <w:t>）</w:t>
      </w:r>
      <w:r>
        <w:rPr>
          <w:rFonts w:ascii="Times New Roman" w:cs="Times New Roman"/>
          <w:kern w:val="2"/>
          <w:szCs w:val="22"/>
        </w:rPr>
        <w:t>《中华人民共和国水生野生动物保护实施条例》（林业部令第</w:t>
      </w:r>
      <w:r>
        <w:rPr>
          <w:rFonts w:ascii="Times New Roman" w:cs="Times New Roman"/>
          <w:kern w:val="2"/>
          <w:szCs w:val="22"/>
        </w:rPr>
        <w:t>1</w:t>
      </w:r>
      <w:r>
        <w:rPr>
          <w:rFonts w:ascii="Times New Roman" w:cs="Times New Roman"/>
          <w:kern w:val="2"/>
          <w:szCs w:val="22"/>
        </w:rPr>
        <w:t>号），</w:t>
      </w:r>
      <w:r>
        <w:rPr>
          <w:rFonts w:ascii="Times New Roman" w:cs="Times New Roman"/>
          <w:kern w:val="2"/>
          <w:szCs w:val="22"/>
        </w:rPr>
        <w:t>1993</w:t>
      </w:r>
      <w:r>
        <w:rPr>
          <w:rFonts w:ascii="Times New Roman" w:cs="Times New Roman"/>
          <w:kern w:val="2"/>
          <w:szCs w:val="22"/>
        </w:rPr>
        <w:t>年</w:t>
      </w:r>
      <w:r>
        <w:rPr>
          <w:rFonts w:ascii="Times New Roman" w:cs="Times New Roman"/>
          <w:kern w:val="2"/>
          <w:szCs w:val="22"/>
        </w:rPr>
        <w:t>10</w:t>
      </w:r>
      <w:r>
        <w:rPr>
          <w:rFonts w:ascii="Times New Roman" w:cs="Times New Roman"/>
          <w:kern w:val="2"/>
          <w:szCs w:val="22"/>
        </w:rPr>
        <w:t>月</w:t>
      </w:r>
      <w:r>
        <w:rPr>
          <w:rFonts w:ascii="Times New Roman" w:cs="Times New Roman"/>
          <w:kern w:val="2"/>
          <w:szCs w:val="22"/>
        </w:rPr>
        <w:t>5</w:t>
      </w:r>
      <w:r>
        <w:rPr>
          <w:rFonts w:ascii="Times New Roman" w:cs="Times New Roman"/>
          <w:kern w:val="2"/>
          <w:szCs w:val="22"/>
        </w:rPr>
        <w:t>日实施；</w:t>
      </w:r>
    </w:p>
    <w:p w:rsidR="00BD5820" w:rsidRDefault="00F64314">
      <w:pPr>
        <w:topLinePunct w:val="0"/>
        <w:adjustRightInd/>
        <w:ind w:firstLine="480"/>
        <w:rPr>
          <w:rFonts w:ascii="Times New Roman" w:cs="Times New Roman"/>
          <w:kern w:val="2"/>
          <w:szCs w:val="22"/>
        </w:rPr>
      </w:pPr>
      <w:r>
        <w:rPr>
          <w:rFonts w:ascii="Times New Roman" w:cs="Times New Roman" w:hint="eastAsia"/>
          <w:kern w:val="2"/>
          <w:szCs w:val="22"/>
        </w:rPr>
        <w:t>（</w:t>
      </w:r>
      <w:r>
        <w:rPr>
          <w:rFonts w:ascii="Times New Roman" w:cs="Times New Roman" w:hint="eastAsia"/>
          <w:kern w:val="2"/>
          <w:szCs w:val="22"/>
        </w:rPr>
        <w:t>7</w:t>
      </w:r>
      <w:r>
        <w:rPr>
          <w:rFonts w:ascii="Times New Roman" w:cs="Times New Roman" w:hint="eastAsia"/>
          <w:kern w:val="2"/>
          <w:szCs w:val="22"/>
        </w:rPr>
        <w:t>）《地下水管理条例》（中华人民共和国国务院令</w:t>
      </w:r>
      <w:r>
        <w:rPr>
          <w:rFonts w:ascii="Times New Roman" w:cs="Times New Roman" w:hint="eastAsia"/>
          <w:kern w:val="2"/>
          <w:szCs w:val="22"/>
        </w:rPr>
        <w:t xml:space="preserve"> </w:t>
      </w:r>
      <w:r>
        <w:rPr>
          <w:rFonts w:ascii="Times New Roman" w:cs="Times New Roman" w:hint="eastAsia"/>
          <w:kern w:val="2"/>
          <w:szCs w:val="22"/>
        </w:rPr>
        <w:t>第</w:t>
      </w:r>
      <w:r>
        <w:rPr>
          <w:rFonts w:ascii="Times New Roman" w:cs="Times New Roman" w:hint="eastAsia"/>
          <w:kern w:val="2"/>
          <w:szCs w:val="22"/>
        </w:rPr>
        <w:t>748</w:t>
      </w:r>
      <w:r>
        <w:rPr>
          <w:rFonts w:ascii="Times New Roman" w:cs="Times New Roman" w:hint="eastAsia"/>
          <w:kern w:val="2"/>
          <w:szCs w:val="22"/>
        </w:rPr>
        <w:t>号），</w:t>
      </w:r>
      <w:r>
        <w:rPr>
          <w:rFonts w:ascii="Times New Roman" w:cs="Times New Roman" w:hint="eastAsia"/>
          <w:kern w:val="2"/>
          <w:szCs w:val="22"/>
        </w:rPr>
        <w:t>2021</w:t>
      </w:r>
      <w:r>
        <w:rPr>
          <w:rFonts w:ascii="Times New Roman" w:cs="Times New Roman" w:hint="eastAsia"/>
          <w:kern w:val="2"/>
          <w:szCs w:val="22"/>
        </w:rPr>
        <w:t>年</w:t>
      </w:r>
      <w:r>
        <w:rPr>
          <w:rFonts w:ascii="Times New Roman" w:cs="Times New Roman" w:hint="eastAsia"/>
          <w:kern w:val="2"/>
          <w:szCs w:val="22"/>
        </w:rPr>
        <w:t>12</w:t>
      </w:r>
      <w:r>
        <w:rPr>
          <w:rFonts w:ascii="Times New Roman" w:cs="Times New Roman" w:hint="eastAsia"/>
          <w:kern w:val="2"/>
          <w:szCs w:val="22"/>
        </w:rPr>
        <w:t>月</w:t>
      </w:r>
      <w:r>
        <w:rPr>
          <w:rFonts w:ascii="Times New Roman" w:cs="Times New Roman" w:hint="eastAsia"/>
          <w:kern w:val="2"/>
          <w:szCs w:val="22"/>
        </w:rPr>
        <w:t>1</w:t>
      </w:r>
      <w:r>
        <w:rPr>
          <w:rFonts w:ascii="Times New Roman" w:cs="Times New Roman" w:hint="eastAsia"/>
          <w:kern w:val="2"/>
          <w:szCs w:val="22"/>
        </w:rPr>
        <w:t>日起施行；</w:t>
      </w:r>
    </w:p>
    <w:p w:rsidR="00BD5820" w:rsidRDefault="00F64314">
      <w:pPr>
        <w:topLinePunct w:val="0"/>
        <w:adjustRightInd/>
        <w:ind w:firstLine="480"/>
        <w:rPr>
          <w:rFonts w:ascii="Times New Roman" w:cs="Times New Roman"/>
          <w:kern w:val="2"/>
          <w:szCs w:val="22"/>
        </w:rPr>
      </w:pPr>
      <w:r>
        <w:rPr>
          <w:rFonts w:ascii="Times New Roman" w:cs="Times New Roman" w:hint="eastAsia"/>
          <w:kern w:val="2"/>
          <w:szCs w:val="22"/>
        </w:rPr>
        <w:t>（</w:t>
      </w:r>
      <w:r>
        <w:rPr>
          <w:rFonts w:ascii="Times New Roman" w:cs="Times New Roman" w:hint="eastAsia"/>
          <w:kern w:val="2"/>
          <w:szCs w:val="22"/>
        </w:rPr>
        <w:t>8</w:t>
      </w:r>
      <w:r>
        <w:rPr>
          <w:rFonts w:ascii="Times New Roman" w:cs="Times New Roman" w:hint="eastAsia"/>
          <w:kern w:val="2"/>
          <w:szCs w:val="22"/>
        </w:rPr>
        <w:t>）</w:t>
      </w:r>
      <w:r>
        <w:rPr>
          <w:rFonts w:ascii="Times New Roman" w:cs="Times New Roman"/>
          <w:kern w:val="2"/>
          <w:szCs w:val="22"/>
        </w:rPr>
        <w:t>《危险化学品安全管理条例》（国务院令第</w:t>
      </w:r>
      <w:r>
        <w:rPr>
          <w:rFonts w:ascii="Times New Roman" w:cs="Times New Roman"/>
          <w:kern w:val="2"/>
          <w:szCs w:val="22"/>
        </w:rPr>
        <w:t>591</w:t>
      </w:r>
      <w:r>
        <w:rPr>
          <w:rFonts w:ascii="Times New Roman" w:cs="Times New Roman"/>
          <w:kern w:val="2"/>
          <w:szCs w:val="22"/>
        </w:rPr>
        <w:t>号），</w:t>
      </w:r>
      <w:r>
        <w:rPr>
          <w:rFonts w:ascii="Times New Roman" w:cs="Times New Roman"/>
          <w:kern w:val="2"/>
          <w:szCs w:val="22"/>
        </w:rPr>
        <w:t>2013</w:t>
      </w:r>
      <w:r>
        <w:rPr>
          <w:rFonts w:ascii="Times New Roman" w:cs="Times New Roman"/>
          <w:kern w:val="2"/>
          <w:szCs w:val="22"/>
        </w:rPr>
        <w:t>年</w:t>
      </w:r>
      <w:r>
        <w:rPr>
          <w:rFonts w:ascii="Times New Roman" w:cs="Times New Roman"/>
          <w:kern w:val="2"/>
          <w:szCs w:val="22"/>
        </w:rPr>
        <w:t>12</w:t>
      </w:r>
      <w:r>
        <w:rPr>
          <w:rFonts w:ascii="Times New Roman" w:cs="Times New Roman"/>
          <w:kern w:val="2"/>
          <w:szCs w:val="22"/>
        </w:rPr>
        <w:t>月</w:t>
      </w:r>
      <w:r>
        <w:rPr>
          <w:rFonts w:ascii="Times New Roman" w:cs="Times New Roman"/>
          <w:kern w:val="2"/>
          <w:szCs w:val="22"/>
        </w:rPr>
        <w:t>7</w:t>
      </w:r>
      <w:r>
        <w:rPr>
          <w:rFonts w:ascii="Times New Roman" w:cs="Times New Roman"/>
          <w:kern w:val="2"/>
          <w:szCs w:val="22"/>
        </w:rPr>
        <w:t>日修订；</w:t>
      </w:r>
    </w:p>
    <w:p w:rsidR="00BD5820" w:rsidRDefault="00F64314">
      <w:pPr>
        <w:topLinePunct w:val="0"/>
        <w:adjustRightInd/>
        <w:ind w:firstLine="480"/>
        <w:rPr>
          <w:rFonts w:ascii="Times New Roman" w:cs="Times New Roman"/>
          <w:kern w:val="2"/>
          <w:szCs w:val="22"/>
        </w:rPr>
      </w:pPr>
      <w:r>
        <w:rPr>
          <w:rFonts w:ascii="Times New Roman" w:cs="Times New Roman" w:hint="eastAsia"/>
          <w:kern w:val="2"/>
          <w:szCs w:val="22"/>
        </w:rPr>
        <w:t>（</w:t>
      </w:r>
      <w:r>
        <w:rPr>
          <w:rFonts w:ascii="Times New Roman" w:cs="Times New Roman" w:hint="eastAsia"/>
          <w:kern w:val="2"/>
          <w:szCs w:val="22"/>
        </w:rPr>
        <w:t>9</w:t>
      </w:r>
      <w:r>
        <w:rPr>
          <w:rFonts w:ascii="Times New Roman" w:cs="Times New Roman" w:hint="eastAsia"/>
          <w:kern w:val="2"/>
          <w:szCs w:val="22"/>
        </w:rPr>
        <w:t>）</w:t>
      </w:r>
      <w:r>
        <w:rPr>
          <w:rFonts w:ascii="Times New Roman" w:cs="Times New Roman"/>
        </w:rPr>
        <w:t>《中华人民共和国野生植物保护条例》（</w:t>
      </w:r>
      <w:r>
        <w:rPr>
          <w:rFonts w:ascii="Times New Roman" w:cs="Times New Roman"/>
        </w:rPr>
        <w:t>2017</w:t>
      </w:r>
      <w:r>
        <w:rPr>
          <w:rFonts w:ascii="Times New Roman" w:cs="Times New Roman"/>
        </w:rPr>
        <w:t>年</w:t>
      </w:r>
      <w:r>
        <w:rPr>
          <w:rFonts w:ascii="Times New Roman" w:cs="Times New Roman"/>
        </w:rPr>
        <w:t>10</w:t>
      </w:r>
      <w:r>
        <w:rPr>
          <w:rFonts w:ascii="Times New Roman" w:cs="Times New Roman"/>
        </w:rPr>
        <w:t>月</w:t>
      </w:r>
      <w:r>
        <w:rPr>
          <w:rFonts w:ascii="Times New Roman" w:cs="Times New Roman"/>
        </w:rPr>
        <w:t>7</w:t>
      </w:r>
      <w:r>
        <w:rPr>
          <w:rFonts w:ascii="Times New Roman" w:cs="Times New Roman"/>
        </w:rPr>
        <w:t>日修订）</w:t>
      </w:r>
      <w:r>
        <w:rPr>
          <w:rFonts w:ascii="Times New Roman" w:cs="Times New Roman" w:hint="eastAsia"/>
        </w:rPr>
        <w:t>。</w:t>
      </w:r>
    </w:p>
    <w:p w:rsidR="00BD5820" w:rsidRDefault="00F64314">
      <w:pPr>
        <w:keepNext/>
        <w:keepLines/>
        <w:ind w:firstLineChars="0" w:firstLine="0"/>
        <w:outlineLvl w:val="2"/>
        <w:rPr>
          <w:rFonts w:ascii="Times New Roman" w:cs="Times New Roman"/>
          <w:b/>
          <w:szCs w:val="32"/>
        </w:rPr>
      </w:pPr>
      <w:bookmarkStart w:id="45" w:name="_Toc19815922"/>
      <w:r>
        <w:rPr>
          <w:rFonts w:ascii="Times New Roman" w:cs="Times New Roman"/>
          <w:b/>
          <w:szCs w:val="32"/>
        </w:rPr>
        <w:t xml:space="preserve">1.1.3 </w:t>
      </w:r>
      <w:r>
        <w:rPr>
          <w:rFonts w:ascii="Times New Roman" w:cs="Times New Roman"/>
          <w:b/>
          <w:szCs w:val="32"/>
        </w:rPr>
        <w:t>部门规章</w:t>
      </w:r>
      <w:bookmarkEnd w:id="45"/>
    </w:p>
    <w:p w:rsidR="00BD5820" w:rsidRDefault="00F64314">
      <w:pPr>
        <w:pStyle w:val="affa"/>
        <w:ind w:firstLine="480"/>
      </w:pPr>
      <w:r>
        <w:rPr>
          <w:rFonts w:hint="eastAsia"/>
        </w:rPr>
        <w:t>（</w:t>
      </w:r>
      <w:r>
        <w:t>1</w:t>
      </w:r>
      <w:r>
        <w:rPr>
          <w:rFonts w:hint="eastAsia"/>
        </w:rPr>
        <w:t>）</w:t>
      </w:r>
      <w:r>
        <w:t>《建设项目环境</w:t>
      </w:r>
      <w:r>
        <w:rPr>
          <w:rFonts w:hint="eastAsia"/>
        </w:rPr>
        <w:t>影响</w:t>
      </w:r>
      <w:r>
        <w:t>评价分类管理名录》（</w:t>
      </w:r>
      <w:r>
        <w:t>2021</w:t>
      </w:r>
      <w:r>
        <w:t>版），</w:t>
      </w:r>
      <w:r>
        <w:t>2021</w:t>
      </w:r>
      <w:r>
        <w:t>年</w:t>
      </w:r>
      <w:r>
        <w:t>1</w:t>
      </w:r>
      <w:r>
        <w:t>月</w:t>
      </w:r>
      <w:r>
        <w:t>1</w:t>
      </w:r>
      <w:r>
        <w:t>日实施；</w:t>
      </w:r>
    </w:p>
    <w:p w:rsidR="00BD5820" w:rsidRDefault="00F64314">
      <w:pPr>
        <w:pStyle w:val="affa"/>
        <w:ind w:firstLine="480"/>
      </w:pPr>
      <w:r>
        <w:rPr>
          <w:rFonts w:hint="eastAsia"/>
        </w:rPr>
        <w:t>（</w:t>
      </w:r>
      <w:r>
        <w:t>2</w:t>
      </w:r>
      <w:r>
        <w:rPr>
          <w:rFonts w:hint="eastAsia"/>
        </w:rPr>
        <w:t>）</w:t>
      </w:r>
      <w:r>
        <w:t>《关于进一步加强环境影响评价管理防范环境风险的通知》（环发〔</w:t>
      </w:r>
      <w:r>
        <w:t>2012</w:t>
      </w:r>
      <w:r>
        <w:t>〕</w:t>
      </w:r>
      <w:r>
        <w:t>77</w:t>
      </w:r>
      <w:r>
        <w:t>号）；</w:t>
      </w:r>
    </w:p>
    <w:p w:rsidR="00BD5820" w:rsidRDefault="00F64314">
      <w:pPr>
        <w:pStyle w:val="affa"/>
        <w:ind w:firstLine="480"/>
      </w:pPr>
      <w:r>
        <w:rPr>
          <w:rFonts w:hint="eastAsia"/>
        </w:rPr>
        <w:t>（</w:t>
      </w:r>
      <w:r>
        <w:t>3</w:t>
      </w:r>
      <w:r>
        <w:rPr>
          <w:rFonts w:hint="eastAsia"/>
        </w:rPr>
        <w:t>）</w:t>
      </w:r>
      <w:r>
        <w:t>《环境影响评价公众参与办法》（生态环境部部令第</w:t>
      </w:r>
      <w:r>
        <w:t>4</w:t>
      </w:r>
      <w:r>
        <w:t>号），自</w:t>
      </w:r>
      <w:r>
        <w:t>2019</w:t>
      </w:r>
      <w:r>
        <w:t>年</w:t>
      </w:r>
      <w:r>
        <w:t>1</w:t>
      </w:r>
      <w:r>
        <w:t>月</w:t>
      </w:r>
      <w:r>
        <w:t>1</w:t>
      </w:r>
      <w:r>
        <w:t>日起施行；</w:t>
      </w:r>
    </w:p>
    <w:p w:rsidR="00BD5820" w:rsidRDefault="00F64314">
      <w:pPr>
        <w:pStyle w:val="affa"/>
        <w:ind w:firstLine="480"/>
      </w:pPr>
      <w:r>
        <w:rPr>
          <w:rFonts w:hint="eastAsia"/>
        </w:rPr>
        <w:t>（</w:t>
      </w:r>
      <w:r>
        <w:t>4</w:t>
      </w:r>
      <w:r>
        <w:rPr>
          <w:rFonts w:hint="eastAsia"/>
        </w:rPr>
        <w:t>）</w:t>
      </w:r>
      <w:r>
        <w:t>《国家重点保护野生动物名录》</w:t>
      </w:r>
      <w:r>
        <w:rPr>
          <w:rFonts w:hint="eastAsia"/>
        </w:rPr>
        <w:t>（</w:t>
      </w:r>
      <w:r>
        <w:t>中华人民共和国林业部、农业部第</w:t>
      </w:r>
      <w:r>
        <w:t>1</w:t>
      </w:r>
      <w:r>
        <w:t>号令</w:t>
      </w:r>
      <w:r>
        <w:rPr>
          <w:rFonts w:hint="eastAsia"/>
        </w:rPr>
        <w:t>）</w:t>
      </w:r>
      <w:r>
        <w:t>；</w:t>
      </w:r>
    </w:p>
    <w:p w:rsidR="00BD5820" w:rsidRDefault="00F64314">
      <w:pPr>
        <w:pStyle w:val="affa"/>
        <w:ind w:firstLine="480"/>
      </w:pPr>
      <w:r>
        <w:rPr>
          <w:rFonts w:hint="eastAsia"/>
        </w:rPr>
        <w:t>（</w:t>
      </w:r>
      <w:r>
        <w:rPr>
          <w:rFonts w:hint="eastAsia"/>
        </w:rPr>
        <w:t>5</w:t>
      </w:r>
      <w:r>
        <w:rPr>
          <w:rFonts w:hint="eastAsia"/>
        </w:rPr>
        <w:t>）《国家重点保护野生植物名录》（</w:t>
      </w:r>
      <w:r>
        <w:rPr>
          <w:rFonts w:hint="eastAsia"/>
        </w:rPr>
        <w:t>2021</w:t>
      </w:r>
      <w:r>
        <w:rPr>
          <w:rFonts w:hint="eastAsia"/>
        </w:rPr>
        <w:t>年）；</w:t>
      </w:r>
    </w:p>
    <w:p w:rsidR="00BD5820" w:rsidRDefault="00F64314">
      <w:pPr>
        <w:pStyle w:val="affa"/>
        <w:ind w:firstLine="480"/>
      </w:pPr>
      <w:r>
        <w:rPr>
          <w:rFonts w:hint="eastAsia"/>
        </w:rPr>
        <w:lastRenderedPageBreak/>
        <w:t>（</w:t>
      </w:r>
      <w:r>
        <w:rPr>
          <w:rFonts w:hint="eastAsia"/>
        </w:rPr>
        <w:t>6</w:t>
      </w:r>
      <w:r>
        <w:rPr>
          <w:rFonts w:hint="eastAsia"/>
        </w:rPr>
        <w:t>）</w:t>
      </w:r>
      <w:r>
        <w:rPr>
          <w:kern w:val="2"/>
          <w:szCs w:val="22"/>
        </w:rPr>
        <w:t>《关于做好占用永久基本农田重大建设项目用地预审的通知》（自然资归〔</w:t>
      </w:r>
      <w:r>
        <w:rPr>
          <w:kern w:val="2"/>
          <w:szCs w:val="22"/>
        </w:rPr>
        <w:t>2018</w:t>
      </w:r>
      <w:r>
        <w:rPr>
          <w:kern w:val="2"/>
          <w:szCs w:val="22"/>
        </w:rPr>
        <w:t>〕</w:t>
      </w:r>
      <w:r>
        <w:rPr>
          <w:kern w:val="2"/>
          <w:szCs w:val="22"/>
        </w:rPr>
        <w:t>3</w:t>
      </w:r>
      <w:r>
        <w:rPr>
          <w:kern w:val="2"/>
          <w:szCs w:val="22"/>
        </w:rPr>
        <w:t>号）；</w:t>
      </w:r>
    </w:p>
    <w:p w:rsidR="00BD5820" w:rsidRDefault="00F64314">
      <w:pPr>
        <w:pStyle w:val="affa"/>
        <w:ind w:firstLine="480"/>
      </w:pPr>
      <w:r>
        <w:rPr>
          <w:rFonts w:hint="eastAsia"/>
        </w:rPr>
        <w:t>（</w:t>
      </w:r>
      <w:r>
        <w:rPr>
          <w:rFonts w:hint="eastAsia"/>
        </w:rPr>
        <w:t>7</w:t>
      </w:r>
      <w:r>
        <w:rPr>
          <w:rFonts w:hint="eastAsia"/>
        </w:rPr>
        <w:t>）</w:t>
      </w:r>
      <w:r>
        <w:t>《关于进一步做好基本农田保护有关工作的意见》（国土资发〔</w:t>
      </w:r>
      <w:r>
        <w:t>2005</w:t>
      </w:r>
      <w:r>
        <w:t>〕</w:t>
      </w:r>
      <w:r>
        <w:t>196</w:t>
      </w:r>
      <w:r>
        <w:t>号）；</w:t>
      </w:r>
    </w:p>
    <w:p w:rsidR="00BD5820" w:rsidRDefault="00F64314">
      <w:pPr>
        <w:pStyle w:val="affa"/>
        <w:ind w:firstLine="480"/>
      </w:pPr>
      <w:r>
        <w:rPr>
          <w:rFonts w:hint="eastAsia"/>
        </w:rPr>
        <w:t>（</w:t>
      </w:r>
      <w:r>
        <w:rPr>
          <w:rFonts w:hint="eastAsia"/>
        </w:rPr>
        <w:t>8</w:t>
      </w:r>
      <w:r>
        <w:rPr>
          <w:rFonts w:hint="eastAsia"/>
        </w:rPr>
        <w:t>）</w:t>
      </w:r>
      <w:r>
        <w:t>国家林业局《关于石油天然气管道建设使用林地有关问题的通知》（林资发〔</w:t>
      </w:r>
      <w:r>
        <w:t>2010</w:t>
      </w:r>
      <w:r>
        <w:t>〕</w:t>
      </w:r>
      <w:r>
        <w:t>105</w:t>
      </w:r>
      <w:r>
        <w:t>号）；</w:t>
      </w:r>
    </w:p>
    <w:p w:rsidR="00BD5820" w:rsidRDefault="00F64314">
      <w:pPr>
        <w:pStyle w:val="affa"/>
        <w:ind w:firstLine="480"/>
      </w:pPr>
      <w:r>
        <w:rPr>
          <w:rFonts w:hint="eastAsia"/>
        </w:rPr>
        <w:t>（</w:t>
      </w:r>
      <w:r>
        <w:rPr>
          <w:rFonts w:hint="eastAsia"/>
        </w:rPr>
        <w:t>9</w:t>
      </w:r>
      <w:r>
        <w:rPr>
          <w:rFonts w:hint="eastAsia"/>
        </w:rPr>
        <w:t>）</w:t>
      </w:r>
      <w:r>
        <w:t>《</w:t>
      </w:r>
      <w:r>
        <w:rPr>
          <w:rFonts w:hint="eastAsia"/>
        </w:rPr>
        <w:t>生态</w:t>
      </w:r>
      <w:r>
        <w:t>环境保护十</w:t>
      </w:r>
      <w:r>
        <w:rPr>
          <w:rFonts w:hint="eastAsia"/>
        </w:rPr>
        <w:t>四</w:t>
      </w:r>
      <w:r>
        <w:t>五规划》；</w:t>
      </w:r>
    </w:p>
    <w:p w:rsidR="00BD5820" w:rsidRDefault="00F64314">
      <w:pPr>
        <w:pStyle w:val="affa"/>
        <w:ind w:firstLine="480"/>
      </w:pPr>
      <w:r>
        <w:rPr>
          <w:rFonts w:hint="eastAsia"/>
        </w:rPr>
        <w:t>（</w:t>
      </w:r>
      <w:r>
        <w:rPr>
          <w:rFonts w:hint="eastAsia"/>
        </w:rPr>
        <w:t>10</w:t>
      </w:r>
      <w:r>
        <w:rPr>
          <w:rFonts w:hint="eastAsia"/>
        </w:rPr>
        <w:t>）</w:t>
      </w:r>
      <w:r>
        <w:t>《国务院关于印发全国生态环境保护纲要的通知》（国发〔</w:t>
      </w:r>
      <w:r>
        <w:t>2000</w:t>
      </w:r>
      <w:r>
        <w:t>〕</w:t>
      </w:r>
      <w:r>
        <w:t>38</w:t>
      </w:r>
      <w:r>
        <w:t>号），</w:t>
      </w:r>
      <w:r>
        <w:t>2000</w:t>
      </w:r>
      <w:r>
        <w:t>年</w:t>
      </w:r>
      <w:r>
        <w:t>11</w:t>
      </w:r>
      <w:r>
        <w:t>月</w:t>
      </w:r>
      <w:r>
        <w:t>26</w:t>
      </w:r>
      <w:r>
        <w:t>日实施；</w:t>
      </w:r>
    </w:p>
    <w:p w:rsidR="00BD5820" w:rsidRDefault="00F64314">
      <w:pPr>
        <w:pStyle w:val="affa"/>
        <w:ind w:firstLine="480"/>
      </w:pPr>
      <w:r>
        <w:rPr>
          <w:rFonts w:hint="eastAsia"/>
        </w:rPr>
        <w:t>（</w:t>
      </w:r>
      <w:r>
        <w:rPr>
          <w:rFonts w:hint="eastAsia"/>
        </w:rPr>
        <w:t>11</w:t>
      </w:r>
      <w:r>
        <w:rPr>
          <w:rFonts w:hint="eastAsia"/>
        </w:rPr>
        <w:t>）</w:t>
      </w:r>
      <w:r>
        <w:t>《产业结构调整指导目录》（</w:t>
      </w:r>
      <w:r>
        <w:t>20</w:t>
      </w:r>
      <w:r>
        <w:rPr>
          <w:rFonts w:hint="eastAsia"/>
        </w:rPr>
        <w:t>19</w:t>
      </w:r>
      <w:r>
        <w:t>年本）；</w:t>
      </w:r>
    </w:p>
    <w:p w:rsidR="00BD5820" w:rsidRDefault="00F64314">
      <w:pPr>
        <w:pStyle w:val="affa"/>
        <w:ind w:firstLine="480"/>
      </w:pPr>
      <w:r>
        <w:rPr>
          <w:rFonts w:hint="eastAsia"/>
        </w:rPr>
        <w:t>（</w:t>
      </w:r>
      <w:r>
        <w:t>1</w:t>
      </w:r>
      <w:r>
        <w:rPr>
          <w:rFonts w:hint="eastAsia"/>
        </w:rPr>
        <w:t>2</w:t>
      </w:r>
      <w:r>
        <w:rPr>
          <w:rFonts w:hint="eastAsia"/>
        </w:rPr>
        <w:t>）</w:t>
      </w:r>
      <w:r>
        <w:rPr>
          <w:rFonts w:hint="eastAsia"/>
          <w:bCs/>
        </w:rPr>
        <w:t>《“十四五”现代能源体系规划》</w:t>
      </w:r>
      <w:r>
        <w:rPr>
          <w:rFonts w:hint="eastAsia"/>
        </w:rPr>
        <w:t>（发改能源〔</w:t>
      </w:r>
      <w:r>
        <w:rPr>
          <w:rFonts w:hint="eastAsia"/>
        </w:rPr>
        <w:t>2022</w:t>
      </w:r>
      <w:r>
        <w:rPr>
          <w:rFonts w:hint="eastAsia"/>
        </w:rPr>
        <w:t>〕</w:t>
      </w:r>
      <w:r>
        <w:rPr>
          <w:rFonts w:hint="eastAsia"/>
        </w:rPr>
        <w:t>210</w:t>
      </w:r>
      <w:r>
        <w:rPr>
          <w:rFonts w:hint="eastAsia"/>
        </w:rPr>
        <w:t>号）</w:t>
      </w:r>
      <w:r>
        <w:t>；</w:t>
      </w:r>
    </w:p>
    <w:p w:rsidR="00BD5820" w:rsidRDefault="00F64314">
      <w:pPr>
        <w:pStyle w:val="affa"/>
        <w:ind w:firstLine="480"/>
      </w:pPr>
      <w:r>
        <w:rPr>
          <w:rFonts w:hint="eastAsia"/>
        </w:rPr>
        <w:t>（</w:t>
      </w:r>
      <w:r>
        <w:t>1</w:t>
      </w:r>
      <w:r>
        <w:rPr>
          <w:rFonts w:hint="eastAsia"/>
        </w:rPr>
        <w:t>3</w:t>
      </w:r>
      <w:r>
        <w:rPr>
          <w:rFonts w:hint="eastAsia"/>
        </w:rPr>
        <w:t>）</w:t>
      </w:r>
      <w:r>
        <w:t>《关于划定并严守生态保护红线的若干意见》，中共中央办公厅、国务院办公厅，</w:t>
      </w:r>
      <w:r>
        <w:t>2017</w:t>
      </w:r>
      <w:r>
        <w:t>年</w:t>
      </w:r>
      <w:r>
        <w:t>2</w:t>
      </w:r>
      <w:r>
        <w:t>月</w:t>
      </w:r>
      <w:r>
        <w:t>7</w:t>
      </w:r>
      <w:r>
        <w:t>日</w:t>
      </w:r>
      <w:r>
        <w:rPr>
          <w:rFonts w:hint="eastAsia"/>
        </w:rPr>
        <w:t>；</w:t>
      </w:r>
    </w:p>
    <w:p w:rsidR="00BD5820" w:rsidRDefault="00F64314">
      <w:pPr>
        <w:pStyle w:val="affa"/>
        <w:ind w:firstLine="480"/>
      </w:pPr>
      <w:r>
        <w:rPr>
          <w:rFonts w:hint="eastAsia"/>
        </w:rPr>
        <w:t>（</w:t>
      </w:r>
      <w:r>
        <w:rPr>
          <w:rFonts w:hint="eastAsia"/>
        </w:rPr>
        <w:t>14</w:t>
      </w:r>
      <w:r>
        <w:rPr>
          <w:rFonts w:hint="eastAsia"/>
        </w:rPr>
        <w:t>）《石油天然气开采业污染防治技术政策》（环境保护部公告</w:t>
      </w:r>
      <w:r>
        <w:rPr>
          <w:rFonts w:hint="eastAsia"/>
        </w:rPr>
        <w:t>2012</w:t>
      </w:r>
      <w:r>
        <w:rPr>
          <w:rFonts w:hint="eastAsia"/>
        </w:rPr>
        <w:t>年第</w:t>
      </w:r>
      <w:r>
        <w:rPr>
          <w:rFonts w:hint="eastAsia"/>
        </w:rPr>
        <w:t>18</w:t>
      </w:r>
      <w:r>
        <w:rPr>
          <w:rFonts w:hint="eastAsia"/>
        </w:rPr>
        <w:t>号）；</w:t>
      </w:r>
    </w:p>
    <w:p w:rsidR="00BD5820" w:rsidRDefault="00F64314">
      <w:pPr>
        <w:pStyle w:val="affa"/>
        <w:ind w:firstLine="480"/>
      </w:pPr>
      <w:r>
        <w:rPr>
          <w:rFonts w:hint="eastAsia"/>
        </w:rPr>
        <w:t>（</w:t>
      </w:r>
      <w:r>
        <w:rPr>
          <w:rFonts w:hint="eastAsia"/>
        </w:rPr>
        <w:t>15</w:t>
      </w:r>
      <w:r>
        <w:rPr>
          <w:rFonts w:hint="eastAsia"/>
        </w:rPr>
        <w:t>）《关于进一步加强石油天然气行业环境影响评价管理的通知》（环办环评函〔</w:t>
      </w:r>
      <w:r>
        <w:rPr>
          <w:rFonts w:hint="eastAsia"/>
        </w:rPr>
        <w:t>2019</w:t>
      </w:r>
      <w:r>
        <w:rPr>
          <w:rFonts w:hint="eastAsia"/>
        </w:rPr>
        <w:t>〕</w:t>
      </w:r>
      <w:r>
        <w:rPr>
          <w:rFonts w:hint="eastAsia"/>
        </w:rPr>
        <w:t>910</w:t>
      </w:r>
      <w:r>
        <w:rPr>
          <w:rFonts w:hint="eastAsia"/>
        </w:rPr>
        <w:t>号）；</w:t>
      </w:r>
    </w:p>
    <w:p w:rsidR="00BD5820" w:rsidRDefault="00F64314">
      <w:pPr>
        <w:pStyle w:val="affa"/>
        <w:ind w:firstLine="480"/>
      </w:pPr>
      <w:r>
        <w:rPr>
          <w:rFonts w:hint="eastAsia"/>
        </w:rPr>
        <w:t>（</w:t>
      </w:r>
      <w:r>
        <w:rPr>
          <w:rFonts w:hint="eastAsia"/>
        </w:rPr>
        <w:t>16</w:t>
      </w:r>
      <w:r>
        <w:rPr>
          <w:rFonts w:hint="eastAsia"/>
        </w:rPr>
        <w:t>）《自然资源部关于规范临时用地管理的通知》（自然资规</w:t>
      </w:r>
      <w:r>
        <w:rPr>
          <w:rFonts w:hint="eastAsia"/>
        </w:rPr>
        <w:t>[2021]2</w:t>
      </w:r>
      <w:r>
        <w:rPr>
          <w:rFonts w:hint="eastAsia"/>
        </w:rPr>
        <w:t>号）</w:t>
      </w:r>
      <w:r>
        <w:t>。</w:t>
      </w:r>
    </w:p>
    <w:p w:rsidR="00BD5820" w:rsidRDefault="00F64314">
      <w:pPr>
        <w:keepNext/>
        <w:keepLines/>
        <w:ind w:firstLineChars="0" w:firstLine="0"/>
        <w:outlineLvl w:val="2"/>
        <w:rPr>
          <w:rFonts w:ascii="Times New Roman" w:cs="Times New Roman"/>
          <w:b/>
          <w:szCs w:val="32"/>
        </w:rPr>
      </w:pPr>
      <w:bookmarkStart w:id="46" w:name="_Toc19815923"/>
      <w:r>
        <w:rPr>
          <w:rFonts w:ascii="Times New Roman" w:cs="Times New Roman"/>
          <w:b/>
          <w:szCs w:val="32"/>
        </w:rPr>
        <w:t xml:space="preserve">1.1.4 </w:t>
      </w:r>
      <w:r>
        <w:rPr>
          <w:rFonts w:ascii="Times New Roman" w:cs="Times New Roman"/>
          <w:b/>
          <w:szCs w:val="32"/>
        </w:rPr>
        <w:t>地方法律法规</w:t>
      </w:r>
      <w:bookmarkEnd w:id="46"/>
      <w:r>
        <w:rPr>
          <w:rFonts w:ascii="Times New Roman" w:cs="Times New Roman" w:hint="eastAsia"/>
          <w:b/>
          <w:szCs w:val="32"/>
        </w:rPr>
        <w:t>及规范性文件</w:t>
      </w:r>
    </w:p>
    <w:p w:rsidR="00BD5820" w:rsidRDefault="00F64314">
      <w:pPr>
        <w:pStyle w:val="affa"/>
        <w:ind w:firstLine="480"/>
        <w:rPr>
          <w:szCs w:val="24"/>
        </w:rPr>
      </w:pPr>
      <w:r>
        <w:rPr>
          <w:rFonts w:hint="eastAsia"/>
          <w:szCs w:val="24"/>
        </w:rPr>
        <w:t>（</w:t>
      </w:r>
      <w:r>
        <w:rPr>
          <w:szCs w:val="24"/>
        </w:rPr>
        <w:t>1</w:t>
      </w:r>
      <w:r>
        <w:rPr>
          <w:rFonts w:hint="eastAsia"/>
          <w:szCs w:val="24"/>
        </w:rPr>
        <w:t>）</w:t>
      </w:r>
      <w:r>
        <w:rPr>
          <w:szCs w:val="24"/>
        </w:rPr>
        <w:t>《四川省环境保护条例》（四川省第十二届人民代表大会常务委员会公告第</w:t>
      </w:r>
      <w:r>
        <w:rPr>
          <w:szCs w:val="24"/>
        </w:rPr>
        <w:t>94</w:t>
      </w:r>
      <w:r>
        <w:rPr>
          <w:szCs w:val="24"/>
        </w:rPr>
        <w:t>号，</w:t>
      </w:r>
      <w:r>
        <w:rPr>
          <w:szCs w:val="24"/>
        </w:rPr>
        <w:t>2018</w:t>
      </w:r>
      <w:r>
        <w:rPr>
          <w:szCs w:val="24"/>
        </w:rPr>
        <w:t>年</w:t>
      </w:r>
      <w:r>
        <w:rPr>
          <w:szCs w:val="24"/>
        </w:rPr>
        <w:t>1</w:t>
      </w:r>
      <w:r>
        <w:rPr>
          <w:szCs w:val="24"/>
        </w:rPr>
        <w:t>月</w:t>
      </w:r>
      <w:r>
        <w:rPr>
          <w:szCs w:val="24"/>
        </w:rPr>
        <w:t>1</w:t>
      </w:r>
      <w:r>
        <w:rPr>
          <w:szCs w:val="24"/>
        </w:rPr>
        <w:t>日施行）；</w:t>
      </w:r>
    </w:p>
    <w:p w:rsidR="00BD5820" w:rsidRDefault="00F64314">
      <w:pPr>
        <w:pStyle w:val="affa"/>
        <w:ind w:firstLine="480"/>
        <w:rPr>
          <w:szCs w:val="24"/>
        </w:rPr>
      </w:pPr>
      <w:r>
        <w:rPr>
          <w:rFonts w:hint="eastAsia"/>
          <w:szCs w:val="24"/>
        </w:rPr>
        <w:t>（</w:t>
      </w:r>
      <w:r>
        <w:rPr>
          <w:szCs w:val="24"/>
        </w:rPr>
        <w:t>2</w:t>
      </w:r>
      <w:r>
        <w:rPr>
          <w:rFonts w:hint="eastAsia"/>
          <w:szCs w:val="24"/>
        </w:rPr>
        <w:t>）</w:t>
      </w:r>
      <w:r>
        <w:rPr>
          <w:szCs w:val="24"/>
        </w:rPr>
        <w:t>《四川省主体功能区规划》，川府发〔</w:t>
      </w:r>
      <w:r>
        <w:rPr>
          <w:szCs w:val="24"/>
        </w:rPr>
        <w:t>2013</w:t>
      </w:r>
      <w:r>
        <w:rPr>
          <w:szCs w:val="24"/>
        </w:rPr>
        <w:t>〕</w:t>
      </w:r>
      <w:r>
        <w:rPr>
          <w:szCs w:val="24"/>
        </w:rPr>
        <w:t>16</w:t>
      </w:r>
      <w:r>
        <w:rPr>
          <w:szCs w:val="24"/>
        </w:rPr>
        <w:t>号；</w:t>
      </w:r>
    </w:p>
    <w:p w:rsidR="00BD5820" w:rsidRDefault="00F64314">
      <w:pPr>
        <w:pStyle w:val="affa"/>
        <w:ind w:firstLine="480"/>
        <w:rPr>
          <w:szCs w:val="24"/>
        </w:rPr>
      </w:pPr>
      <w:r>
        <w:rPr>
          <w:rFonts w:hint="eastAsia"/>
          <w:szCs w:val="24"/>
        </w:rPr>
        <w:t>（</w:t>
      </w:r>
      <w:r>
        <w:rPr>
          <w:szCs w:val="24"/>
        </w:rPr>
        <w:t>3</w:t>
      </w:r>
      <w:r>
        <w:rPr>
          <w:rFonts w:hint="eastAsia"/>
          <w:szCs w:val="24"/>
        </w:rPr>
        <w:t>）</w:t>
      </w:r>
      <w:r>
        <w:rPr>
          <w:rFonts w:hint="eastAsia"/>
          <w:kern w:val="2"/>
          <w:szCs w:val="22"/>
        </w:rPr>
        <w:t>《四川省嘉陵江流域生态环境保护条例》（</w:t>
      </w:r>
      <w:r>
        <w:rPr>
          <w:rFonts w:hint="eastAsia"/>
          <w:kern w:val="2"/>
          <w:szCs w:val="22"/>
        </w:rPr>
        <w:t>2021</w:t>
      </w:r>
      <w:r>
        <w:rPr>
          <w:rFonts w:hint="eastAsia"/>
          <w:kern w:val="2"/>
          <w:szCs w:val="22"/>
        </w:rPr>
        <w:t>年</w:t>
      </w:r>
      <w:r>
        <w:rPr>
          <w:rFonts w:hint="eastAsia"/>
          <w:kern w:val="2"/>
          <w:szCs w:val="22"/>
        </w:rPr>
        <w:t>11</w:t>
      </w:r>
      <w:r>
        <w:rPr>
          <w:rFonts w:hint="eastAsia"/>
          <w:kern w:val="2"/>
          <w:szCs w:val="22"/>
        </w:rPr>
        <w:t>月</w:t>
      </w:r>
      <w:r>
        <w:rPr>
          <w:rFonts w:hint="eastAsia"/>
          <w:kern w:val="2"/>
          <w:szCs w:val="22"/>
        </w:rPr>
        <w:t>25</w:t>
      </w:r>
      <w:r>
        <w:rPr>
          <w:rFonts w:hint="eastAsia"/>
          <w:kern w:val="2"/>
          <w:szCs w:val="22"/>
        </w:rPr>
        <w:t>日四川省第十三届人民代表大会常务委员会第三十一次会议通过）</w:t>
      </w:r>
      <w:r>
        <w:rPr>
          <w:szCs w:val="24"/>
        </w:rPr>
        <w:t>；</w:t>
      </w:r>
    </w:p>
    <w:p w:rsidR="00BD5820" w:rsidRDefault="00F64314">
      <w:pPr>
        <w:pStyle w:val="affa"/>
        <w:ind w:firstLine="480"/>
        <w:rPr>
          <w:szCs w:val="24"/>
        </w:rPr>
      </w:pPr>
      <w:r>
        <w:rPr>
          <w:rFonts w:hint="eastAsia"/>
          <w:szCs w:val="24"/>
        </w:rPr>
        <w:t>（</w:t>
      </w:r>
      <w:r>
        <w:rPr>
          <w:szCs w:val="24"/>
        </w:rPr>
        <w:t>4</w:t>
      </w:r>
      <w:r>
        <w:rPr>
          <w:rFonts w:hint="eastAsia"/>
          <w:szCs w:val="24"/>
        </w:rPr>
        <w:t>）</w:t>
      </w:r>
      <w:r>
        <w:rPr>
          <w:szCs w:val="24"/>
        </w:rPr>
        <w:t>《四川省环境污染防治</w:t>
      </w:r>
      <w:r>
        <w:rPr>
          <w:szCs w:val="24"/>
        </w:rPr>
        <w:t>“</w:t>
      </w:r>
      <w:r>
        <w:rPr>
          <w:szCs w:val="24"/>
        </w:rPr>
        <w:t>三大战役</w:t>
      </w:r>
      <w:r>
        <w:rPr>
          <w:szCs w:val="24"/>
        </w:rPr>
        <w:t>”</w:t>
      </w:r>
      <w:r>
        <w:rPr>
          <w:szCs w:val="24"/>
        </w:rPr>
        <w:t>实施方案》（川委厅〔</w:t>
      </w:r>
      <w:r>
        <w:rPr>
          <w:szCs w:val="24"/>
        </w:rPr>
        <w:t>2016</w:t>
      </w:r>
      <w:r>
        <w:rPr>
          <w:szCs w:val="24"/>
        </w:rPr>
        <w:t>〕</w:t>
      </w:r>
      <w:r>
        <w:rPr>
          <w:szCs w:val="24"/>
        </w:rPr>
        <w:t>92</w:t>
      </w:r>
      <w:r>
        <w:rPr>
          <w:szCs w:val="24"/>
        </w:rPr>
        <w:t>号）；</w:t>
      </w:r>
    </w:p>
    <w:p w:rsidR="00BD5820" w:rsidRDefault="00F64314">
      <w:pPr>
        <w:pStyle w:val="affa"/>
        <w:ind w:firstLine="480"/>
        <w:rPr>
          <w:szCs w:val="24"/>
        </w:rPr>
      </w:pPr>
      <w:r>
        <w:rPr>
          <w:rFonts w:hint="eastAsia"/>
          <w:szCs w:val="24"/>
        </w:rPr>
        <w:t>（</w:t>
      </w:r>
      <w:r>
        <w:rPr>
          <w:rFonts w:hint="eastAsia"/>
          <w:szCs w:val="24"/>
        </w:rPr>
        <w:t>5</w:t>
      </w:r>
      <w:r>
        <w:rPr>
          <w:rFonts w:hint="eastAsia"/>
          <w:szCs w:val="24"/>
        </w:rPr>
        <w:t>）</w:t>
      </w:r>
      <w:r>
        <w:rPr>
          <w:szCs w:val="24"/>
        </w:rPr>
        <w:t>《关于印发四川省蓝天保卫行动方案（</w:t>
      </w:r>
      <w:r>
        <w:rPr>
          <w:szCs w:val="24"/>
        </w:rPr>
        <w:t>2017-2020</w:t>
      </w:r>
      <w:r>
        <w:rPr>
          <w:szCs w:val="24"/>
        </w:rPr>
        <w:t>年）的通知》（川污防</w:t>
      </w:r>
      <w:r>
        <w:rPr>
          <w:szCs w:val="24"/>
        </w:rPr>
        <w:t>“</w:t>
      </w:r>
      <w:r>
        <w:rPr>
          <w:szCs w:val="24"/>
        </w:rPr>
        <w:t>三大战役</w:t>
      </w:r>
      <w:r>
        <w:rPr>
          <w:szCs w:val="24"/>
        </w:rPr>
        <w:t>”</w:t>
      </w:r>
      <w:r>
        <w:rPr>
          <w:szCs w:val="24"/>
        </w:rPr>
        <w:t>办〔</w:t>
      </w:r>
      <w:r>
        <w:rPr>
          <w:szCs w:val="24"/>
        </w:rPr>
        <w:t>2017</w:t>
      </w:r>
      <w:r>
        <w:rPr>
          <w:szCs w:val="24"/>
        </w:rPr>
        <w:t>〕</w:t>
      </w:r>
      <w:r>
        <w:rPr>
          <w:szCs w:val="24"/>
        </w:rPr>
        <w:t>33</w:t>
      </w:r>
      <w:r>
        <w:rPr>
          <w:szCs w:val="24"/>
        </w:rPr>
        <w:t>号）；</w:t>
      </w:r>
    </w:p>
    <w:p w:rsidR="00BD5820" w:rsidRDefault="00F64314">
      <w:pPr>
        <w:pStyle w:val="affa"/>
        <w:ind w:firstLine="480"/>
        <w:rPr>
          <w:szCs w:val="24"/>
        </w:rPr>
      </w:pPr>
      <w:r>
        <w:rPr>
          <w:rFonts w:hint="eastAsia"/>
          <w:szCs w:val="24"/>
        </w:rPr>
        <w:t>（</w:t>
      </w:r>
      <w:r>
        <w:rPr>
          <w:rFonts w:hint="eastAsia"/>
          <w:szCs w:val="24"/>
        </w:rPr>
        <w:t>6</w:t>
      </w:r>
      <w:r>
        <w:rPr>
          <w:rFonts w:hint="eastAsia"/>
          <w:szCs w:val="24"/>
        </w:rPr>
        <w:t>）</w:t>
      </w:r>
      <w:r>
        <w:rPr>
          <w:szCs w:val="24"/>
        </w:rPr>
        <w:t>《四川省基本农田保护实施细则》（</w:t>
      </w:r>
      <w:r>
        <w:rPr>
          <w:szCs w:val="24"/>
        </w:rPr>
        <w:t>1996</w:t>
      </w:r>
      <w:r>
        <w:rPr>
          <w:szCs w:val="24"/>
        </w:rPr>
        <w:t>年</w:t>
      </w:r>
      <w:r>
        <w:rPr>
          <w:szCs w:val="24"/>
        </w:rPr>
        <w:t>2</w:t>
      </w:r>
      <w:r>
        <w:rPr>
          <w:szCs w:val="24"/>
        </w:rPr>
        <w:t>月</w:t>
      </w:r>
      <w:r>
        <w:rPr>
          <w:szCs w:val="24"/>
        </w:rPr>
        <w:t>29</w:t>
      </w:r>
      <w:r>
        <w:rPr>
          <w:szCs w:val="24"/>
        </w:rPr>
        <w:t>日施行）；</w:t>
      </w:r>
      <w:r>
        <w:rPr>
          <w:szCs w:val="24"/>
        </w:rPr>
        <w:t xml:space="preserve"> </w:t>
      </w:r>
    </w:p>
    <w:p w:rsidR="00BD5820" w:rsidRDefault="00F64314">
      <w:pPr>
        <w:pStyle w:val="affa"/>
        <w:ind w:firstLine="480"/>
        <w:rPr>
          <w:szCs w:val="24"/>
        </w:rPr>
      </w:pPr>
      <w:r>
        <w:rPr>
          <w:rFonts w:hint="eastAsia"/>
          <w:szCs w:val="24"/>
        </w:rPr>
        <w:t>（</w:t>
      </w:r>
      <w:r>
        <w:rPr>
          <w:rFonts w:hint="eastAsia"/>
          <w:szCs w:val="24"/>
        </w:rPr>
        <w:t>7</w:t>
      </w:r>
      <w:r>
        <w:rPr>
          <w:rFonts w:hint="eastAsia"/>
          <w:szCs w:val="24"/>
        </w:rPr>
        <w:t>）</w:t>
      </w:r>
      <w:r>
        <w:rPr>
          <w:szCs w:val="24"/>
        </w:rPr>
        <w:t>关于印发《土壤污染防治行动计划四川省工作方案》的通知，（川府</w:t>
      </w:r>
      <w:r>
        <w:rPr>
          <w:szCs w:val="24"/>
        </w:rPr>
        <w:lastRenderedPageBreak/>
        <w:t>发〔</w:t>
      </w:r>
      <w:r>
        <w:rPr>
          <w:szCs w:val="24"/>
        </w:rPr>
        <w:t>2016</w:t>
      </w:r>
      <w:r>
        <w:rPr>
          <w:szCs w:val="24"/>
        </w:rPr>
        <w:t>〕</w:t>
      </w:r>
      <w:r>
        <w:rPr>
          <w:szCs w:val="24"/>
        </w:rPr>
        <w:t>63</w:t>
      </w:r>
      <w:r>
        <w:rPr>
          <w:szCs w:val="24"/>
        </w:rPr>
        <w:t>号，</w:t>
      </w:r>
      <w:r>
        <w:rPr>
          <w:szCs w:val="24"/>
        </w:rPr>
        <w:t>2016</w:t>
      </w:r>
      <w:r>
        <w:rPr>
          <w:szCs w:val="24"/>
        </w:rPr>
        <w:t>年</w:t>
      </w:r>
      <w:r>
        <w:rPr>
          <w:szCs w:val="24"/>
        </w:rPr>
        <w:t>12</w:t>
      </w:r>
      <w:r>
        <w:rPr>
          <w:szCs w:val="24"/>
        </w:rPr>
        <w:t>月</w:t>
      </w:r>
      <w:r>
        <w:rPr>
          <w:szCs w:val="24"/>
        </w:rPr>
        <w:t>29</w:t>
      </w:r>
      <w:r>
        <w:rPr>
          <w:szCs w:val="24"/>
        </w:rPr>
        <w:t>日）；</w:t>
      </w:r>
    </w:p>
    <w:p w:rsidR="00BD5820" w:rsidRDefault="00F64314">
      <w:pPr>
        <w:pStyle w:val="affa"/>
        <w:ind w:firstLine="480"/>
        <w:rPr>
          <w:szCs w:val="24"/>
        </w:rPr>
      </w:pPr>
      <w:r>
        <w:rPr>
          <w:rFonts w:hint="eastAsia"/>
          <w:szCs w:val="24"/>
        </w:rPr>
        <w:t>（</w:t>
      </w:r>
      <w:r>
        <w:rPr>
          <w:rFonts w:hint="eastAsia"/>
          <w:szCs w:val="24"/>
        </w:rPr>
        <w:t>8</w:t>
      </w:r>
      <w:r>
        <w:rPr>
          <w:rFonts w:hint="eastAsia"/>
          <w:szCs w:val="24"/>
        </w:rPr>
        <w:t>）</w:t>
      </w:r>
      <w:r>
        <w:rPr>
          <w:szCs w:val="24"/>
        </w:rPr>
        <w:t>四川省《中华人民共和国土地管理法》实施办法，</w:t>
      </w:r>
      <w:r>
        <w:rPr>
          <w:szCs w:val="24"/>
        </w:rPr>
        <w:t>2012</w:t>
      </w:r>
      <w:r>
        <w:rPr>
          <w:szCs w:val="24"/>
        </w:rPr>
        <w:t>年</w:t>
      </w:r>
      <w:r>
        <w:rPr>
          <w:szCs w:val="24"/>
        </w:rPr>
        <w:t>7</w:t>
      </w:r>
      <w:r>
        <w:rPr>
          <w:szCs w:val="24"/>
        </w:rPr>
        <w:t>月</w:t>
      </w:r>
      <w:r>
        <w:rPr>
          <w:szCs w:val="24"/>
        </w:rPr>
        <w:t>27</w:t>
      </w:r>
      <w:r>
        <w:rPr>
          <w:szCs w:val="24"/>
        </w:rPr>
        <w:t>日；</w:t>
      </w:r>
      <w:r>
        <w:rPr>
          <w:szCs w:val="24"/>
        </w:rPr>
        <w:t xml:space="preserve"> </w:t>
      </w:r>
    </w:p>
    <w:p w:rsidR="00BD5820" w:rsidRDefault="00F64314">
      <w:pPr>
        <w:pStyle w:val="affa"/>
        <w:ind w:firstLine="480"/>
        <w:rPr>
          <w:szCs w:val="24"/>
        </w:rPr>
      </w:pPr>
      <w:r>
        <w:rPr>
          <w:rFonts w:hint="eastAsia"/>
          <w:szCs w:val="24"/>
        </w:rPr>
        <w:t>（</w:t>
      </w:r>
      <w:r>
        <w:rPr>
          <w:rFonts w:hint="eastAsia"/>
          <w:szCs w:val="24"/>
        </w:rPr>
        <w:t>9</w:t>
      </w:r>
      <w:r>
        <w:rPr>
          <w:rFonts w:hint="eastAsia"/>
          <w:szCs w:val="24"/>
        </w:rPr>
        <w:t>）</w:t>
      </w:r>
      <w:r>
        <w:rPr>
          <w:szCs w:val="24"/>
        </w:rPr>
        <w:t>《四川省人民政府办公厅关于城镇集中式饮用水水源地保护区划定方案的通知》（川办函〔</w:t>
      </w:r>
      <w:r>
        <w:rPr>
          <w:szCs w:val="24"/>
        </w:rPr>
        <w:t>2010</w:t>
      </w:r>
      <w:r>
        <w:rPr>
          <w:szCs w:val="24"/>
        </w:rPr>
        <w:t>〕</w:t>
      </w:r>
      <w:r>
        <w:rPr>
          <w:szCs w:val="24"/>
        </w:rPr>
        <w:t>26</w:t>
      </w:r>
      <w:r>
        <w:rPr>
          <w:szCs w:val="24"/>
        </w:rPr>
        <w:t>号）；</w:t>
      </w:r>
    </w:p>
    <w:p w:rsidR="00BD5820" w:rsidRDefault="00F64314">
      <w:pPr>
        <w:pStyle w:val="affa"/>
        <w:ind w:firstLine="480"/>
        <w:rPr>
          <w:szCs w:val="24"/>
        </w:rPr>
      </w:pPr>
      <w:r>
        <w:rPr>
          <w:rFonts w:hint="eastAsia"/>
          <w:szCs w:val="24"/>
        </w:rPr>
        <w:t>（</w:t>
      </w:r>
      <w:r>
        <w:rPr>
          <w:szCs w:val="24"/>
        </w:rPr>
        <w:t>1</w:t>
      </w:r>
      <w:r>
        <w:rPr>
          <w:rFonts w:hint="eastAsia"/>
          <w:szCs w:val="24"/>
        </w:rPr>
        <w:t>0</w:t>
      </w:r>
      <w:r>
        <w:rPr>
          <w:rFonts w:hint="eastAsia"/>
          <w:szCs w:val="24"/>
        </w:rPr>
        <w:t>）</w:t>
      </w:r>
      <w:r>
        <w:rPr>
          <w:szCs w:val="24"/>
        </w:rPr>
        <w:t>《四川省饮用水水源保护管理条例》，（四川省第十三届人民代表大会常务委员会公告第</w:t>
      </w:r>
      <w:r>
        <w:rPr>
          <w:szCs w:val="24"/>
        </w:rPr>
        <w:t>41</w:t>
      </w:r>
      <w:r>
        <w:rPr>
          <w:szCs w:val="24"/>
        </w:rPr>
        <w:t>号，</w:t>
      </w:r>
      <w:r>
        <w:rPr>
          <w:szCs w:val="24"/>
        </w:rPr>
        <w:t>2019</w:t>
      </w:r>
      <w:r>
        <w:rPr>
          <w:szCs w:val="24"/>
        </w:rPr>
        <w:t>年</w:t>
      </w:r>
      <w:r>
        <w:rPr>
          <w:szCs w:val="24"/>
        </w:rPr>
        <w:t>9</w:t>
      </w:r>
      <w:r>
        <w:rPr>
          <w:szCs w:val="24"/>
        </w:rPr>
        <w:t>月</w:t>
      </w:r>
      <w:r>
        <w:rPr>
          <w:szCs w:val="24"/>
        </w:rPr>
        <w:t>26</w:t>
      </w:r>
      <w:r>
        <w:rPr>
          <w:szCs w:val="24"/>
        </w:rPr>
        <w:t>日）；</w:t>
      </w:r>
    </w:p>
    <w:p w:rsidR="00BD5820" w:rsidRDefault="00F64314">
      <w:pPr>
        <w:pStyle w:val="affa"/>
        <w:ind w:firstLine="480"/>
        <w:rPr>
          <w:szCs w:val="24"/>
        </w:rPr>
      </w:pPr>
      <w:r>
        <w:rPr>
          <w:rFonts w:hint="eastAsia"/>
          <w:szCs w:val="24"/>
        </w:rPr>
        <w:t>（</w:t>
      </w:r>
      <w:r>
        <w:rPr>
          <w:szCs w:val="24"/>
        </w:rPr>
        <w:t>1</w:t>
      </w:r>
      <w:r>
        <w:rPr>
          <w:rFonts w:hint="eastAsia"/>
          <w:szCs w:val="24"/>
        </w:rPr>
        <w:t>1</w:t>
      </w:r>
      <w:r>
        <w:rPr>
          <w:rFonts w:hint="eastAsia"/>
          <w:szCs w:val="24"/>
        </w:rPr>
        <w:t>）</w:t>
      </w:r>
      <w:r>
        <w:rPr>
          <w:szCs w:val="24"/>
        </w:rPr>
        <w:t>《四川省人民政府关于印发水污染防治行动计划四川省工作方案的通知》，川府发〔</w:t>
      </w:r>
      <w:r>
        <w:rPr>
          <w:szCs w:val="24"/>
        </w:rPr>
        <w:t>2015</w:t>
      </w:r>
      <w:r>
        <w:rPr>
          <w:szCs w:val="24"/>
        </w:rPr>
        <w:t>〕</w:t>
      </w:r>
      <w:r>
        <w:rPr>
          <w:szCs w:val="24"/>
        </w:rPr>
        <w:t>59</w:t>
      </w:r>
      <w:r>
        <w:rPr>
          <w:szCs w:val="24"/>
        </w:rPr>
        <w:t>号；</w:t>
      </w:r>
    </w:p>
    <w:p w:rsidR="00BD5820" w:rsidRDefault="00F64314">
      <w:pPr>
        <w:pStyle w:val="affa"/>
        <w:ind w:firstLine="480"/>
        <w:rPr>
          <w:szCs w:val="24"/>
        </w:rPr>
      </w:pPr>
      <w:r>
        <w:rPr>
          <w:rFonts w:hint="eastAsia"/>
          <w:szCs w:val="24"/>
        </w:rPr>
        <w:t>（</w:t>
      </w:r>
      <w:r>
        <w:rPr>
          <w:szCs w:val="24"/>
        </w:rPr>
        <w:t>1</w:t>
      </w:r>
      <w:r>
        <w:rPr>
          <w:rFonts w:hint="eastAsia"/>
          <w:szCs w:val="24"/>
        </w:rPr>
        <w:t>2</w:t>
      </w:r>
      <w:r>
        <w:rPr>
          <w:rFonts w:hint="eastAsia"/>
          <w:szCs w:val="24"/>
        </w:rPr>
        <w:t>）</w:t>
      </w:r>
      <w:r>
        <w:rPr>
          <w:szCs w:val="24"/>
        </w:rPr>
        <w:t>《四川省环境保护厅关于进一步落实好环境影响评价风险防范措施的通知》，川环办发〔</w:t>
      </w:r>
      <w:r>
        <w:rPr>
          <w:szCs w:val="24"/>
        </w:rPr>
        <w:t>2013</w:t>
      </w:r>
      <w:r>
        <w:rPr>
          <w:szCs w:val="24"/>
        </w:rPr>
        <w:t>〕</w:t>
      </w:r>
      <w:r>
        <w:rPr>
          <w:szCs w:val="24"/>
        </w:rPr>
        <w:t>179</w:t>
      </w:r>
      <w:r>
        <w:rPr>
          <w:szCs w:val="24"/>
        </w:rPr>
        <w:t>号，</w:t>
      </w:r>
      <w:r>
        <w:rPr>
          <w:szCs w:val="24"/>
        </w:rPr>
        <w:t>2013</w:t>
      </w:r>
      <w:r>
        <w:rPr>
          <w:szCs w:val="24"/>
        </w:rPr>
        <w:t>年</w:t>
      </w:r>
      <w:r>
        <w:rPr>
          <w:szCs w:val="24"/>
        </w:rPr>
        <w:t>12</w:t>
      </w:r>
      <w:r>
        <w:rPr>
          <w:szCs w:val="24"/>
        </w:rPr>
        <w:t>月</w:t>
      </w:r>
      <w:r>
        <w:rPr>
          <w:szCs w:val="24"/>
        </w:rPr>
        <w:t>24</w:t>
      </w:r>
      <w:r>
        <w:rPr>
          <w:szCs w:val="24"/>
        </w:rPr>
        <w:t>日；</w:t>
      </w:r>
    </w:p>
    <w:p w:rsidR="00BD5820" w:rsidRDefault="00F64314">
      <w:pPr>
        <w:pStyle w:val="affa"/>
        <w:ind w:firstLine="480"/>
        <w:rPr>
          <w:szCs w:val="24"/>
        </w:rPr>
      </w:pPr>
      <w:r>
        <w:rPr>
          <w:rFonts w:hint="eastAsia"/>
          <w:szCs w:val="24"/>
        </w:rPr>
        <w:t>（</w:t>
      </w:r>
      <w:r>
        <w:rPr>
          <w:szCs w:val="24"/>
        </w:rPr>
        <w:t>1</w:t>
      </w:r>
      <w:r>
        <w:rPr>
          <w:rFonts w:hint="eastAsia"/>
          <w:szCs w:val="24"/>
        </w:rPr>
        <w:t>3</w:t>
      </w:r>
      <w:r>
        <w:rPr>
          <w:rFonts w:hint="eastAsia"/>
          <w:szCs w:val="24"/>
        </w:rPr>
        <w:t>）</w:t>
      </w:r>
      <w:r>
        <w:rPr>
          <w:szCs w:val="24"/>
        </w:rPr>
        <w:t>《四川省人民政府关于印发四川省生态保护红线方案的通知》，川府发〔</w:t>
      </w:r>
      <w:r>
        <w:rPr>
          <w:szCs w:val="24"/>
        </w:rPr>
        <w:t>2018</w:t>
      </w:r>
      <w:r>
        <w:rPr>
          <w:szCs w:val="24"/>
        </w:rPr>
        <w:t>〕</w:t>
      </w:r>
      <w:r>
        <w:rPr>
          <w:szCs w:val="24"/>
        </w:rPr>
        <w:t>24</w:t>
      </w:r>
      <w:r>
        <w:rPr>
          <w:szCs w:val="24"/>
        </w:rPr>
        <w:t>号；</w:t>
      </w:r>
    </w:p>
    <w:p w:rsidR="00BD5820" w:rsidRDefault="00F64314">
      <w:pPr>
        <w:pStyle w:val="affa"/>
        <w:ind w:firstLine="480"/>
        <w:rPr>
          <w:szCs w:val="24"/>
        </w:rPr>
      </w:pPr>
      <w:r>
        <w:rPr>
          <w:rFonts w:hint="eastAsia"/>
          <w:szCs w:val="24"/>
        </w:rPr>
        <w:t>（</w:t>
      </w:r>
      <w:r>
        <w:rPr>
          <w:szCs w:val="24"/>
        </w:rPr>
        <w:t>1</w:t>
      </w:r>
      <w:r>
        <w:rPr>
          <w:rFonts w:hint="eastAsia"/>
          <w:szCs w:val="24"/>
        </w:rPr>
        <w:t>4</w:t>
      </w:r>
      <w:r>
        <w:rPr>
          <w:rFonts w:hint="eastAsia"/>
          <w:szCs w:val="24"/>
        </w:rPr>
        <w:t>）</w:t>
      </w:r>
      <w:r>
        <w:rPr>
          <w:szCs w:val="24"/>
        </w:rPr>
        <w:t>《四川省环境保护厅关于发布生态保护红线市县级行政区汇总表和登记表的函》，川环函〔</w:t>
      </w:r>
      <w:r>
        <w:rPr>
          <w:szCs w:val="24"/>
        </w:rPr>
        <w:t>2018</w:t>
      </w:r>
      <w:r>
        <w:rPr>
          <w:szCs w:val="24"/>
        </w:rPr>
        <w:t>〕</w:t>
      </w:r>
      <w:r>
        <w:rPr>
          <w:szCs w:val="24"/>
        </w:rPr>
        <w:t>1201</w:t>
      </w:r>
      <w:r>
        <w:rPr>
          <w:szCs w:val="24"/>
        </w:rPr>
        <w:t>号；</w:t>
      </w:r>
    </w:p>
    <w:p w:rsidR="00BD5820" w:rsidRDefault="00F64314">
      <w:pPr>
        <w:pStyle w:val="affa"/>
        <w:ind w:firstLine="480"/>
        <w:rPr>
          <w:szCs w:val="24"/>
        </w:rPr>
      </w:pPr>
      <w:r>
        <w:rPr>
          <w:rFonts w:hint="eastAsia"/>
          <w:szCs w:val="24"/>
        </w:rPr>
        <w:t>（</w:t>
      </w:r>
      <w:r>
        <w:rPr>
          <w:szCs w:val="24"/>
        </w:rPr>
        <w:t>1</w:t>
      </w:r>
      <w:r>
        <w:rPr>
          <w:rFonts w:hint="eastAsia"/>
          <w:szCs w:val="24"/>
        </w:rPr>
        <w:t>5</w:t>
      </w:r>
      <w:r>
        <w:rPr>
          <w:rFonts w:hint="eastAsia"/>
          <w:szCs w:val="24"/>
        </w:rPr>
        <w:t>）</w:t>
      </w:r>
      <w:r>
        <w:rPr>
          <w:szCs w:val="24"/>
        </w:rPr>
        <w:t>《四川省〈中华人民共和国大气污染防治法〉实施办法》（四川省第十三届人民代表大会常务委员会公告第</w:t>
      </w:r>
      <w:r>
        <w:rPr>
          <w:szCs w:val="24"/>
        </w:rPr>
        <w:t>24</w:t>
      </w:r>
      <w:r>
        <w:rPr>
          <w:szCs w:val="24"/>
        </w:rPr>
        <w:t>号，</w:t>
      </w:r>
      <w:r>
        <w:rPr>
          <w:szCs w:val="24"/>
        </w:rPr>
        <w:t>2019</w:t>
      </w:r>
      <w:r>
        <w:rPr>
          <w:szCs w:val="24"/>
        </w:rPr>
        <w:t>年</w:t>
      </w:r>
      <w:r>
        <w:rPr>
          <w:szCs w:val="24"/>
        </w:rPr>
        <w:t>1</w:t>
      </w:r>
      <w:r>
        <w:rPr>
          <w:szCs w:val="24"/>
        </w:rPr>
        <w:t>月</w:t>
      </w:r>
      <w:r>
        <w:rPr>
          <w:szCs w:val="24"/>
        </w:rPr>
        <w:t>1</w:t>
      </w:r>
      <w:r>
        <w:rPr>
          <w:szCs w:val="24"/>
        </w:rPr>
        <w:t>日实施）；</w:t>
      </w:r>
    </w:p>
    <w:p w:rsidR="00BD5820" w:rsidRDefault="00F64314">
      <w:pPr>
        <w:pStyle w:val="affa"/>
        <w:ind w:firstLine="480"/>
        <w:rPr>
          <w:szCs w:val="24"/>
        </w:rPr>
      </w:pPr>
      <w:r>
        <w:rPr>
          <w:szCs w:val="24"/>
        </w:rPr>
        <w:t>（</w:t>
      </w:r>
      <w:r>
        <w:rPr>
          <w:szCs w:val="24"/>
        </w:rPr>
        <w:t>1</w:t>
      </w:r>
      <w:r>
        <w:rPr>
          <w:rFonts w:hint="eastAsia"/>
          <w:szCs w:val="24"/>
        </w:rPr>
        <w:t>6</w:t>
      </w:r>
      <w:r>
        <w:rPr>
          <w:szCs w:val="24"/>
        </w:rPr>
        <w:t>）《四川省固体废物污染环境防治条例》（四川省第十三届人民代表大会常务委员会公告第</w:t>
      </w:r>
      <w:r>
        <w:rPr>
          <w:szCs w:val="24"/>
        </w:rPr>
        <w:t>15</w:t>
      </w:r>
      <w:r>
        <w:rPr>
          <w:szCs w:val="24"/>
        </w:rPr>
        <w:t>号，</w:t>
      </w:r>
      <w:r>
        <w:rPr>
          <w:szCs w:val="24"/>
        </w:rPr>
        <w:t>2018</w:t>
      </w:r>
      <w:r>
        <w:rPr>
          <w:szCs w:val="24"/>
        </w:rPr>
        <w:t>年</w:t>
      </w:r>
      <w:r>
        <w:rPr>
          <w:szCs w:val="24"/>
        </w:rPr>
        <w:t>7</w:t>
      </w:r>
      <w:r>
        <w:rPr>
          <w:szCs w:val="24"/>
        </w:rPr>
        <w:t>月</w:t>
      </w:r>
      <w:r>
        <w:rPr>
          <w:szCs w:val="24"/>
        </w:rPr>
        <w:t>26</w:t>
      </w:r>
      <w:r>
        <w:rPr>
          <w:szCs w:val="24"/>
        </w:rPr>
        <w:t>日）</w:t>
      </w:r>
      <w:r>
        <w:rPr>
          <w:rFonts w:hint="eastAsia"/>
          <w:szCs w:val="24"/>
        </w:rPr>
        <w:t>；</w:t>
      </w:r>
    </w:p>
    <w:p w:rsidR="00BD5820" w:rsidRDefault="00F64314">
      <w:pPr>
        <w:pStyle w:val="affa"/>
        <w:ind w:firstLine="480"/>
        <w:rPr>
          <w:kern w:val="2"/>
          <w:szCs w:val="22"/>
        </w:rPr>
      </w:pPr>
      <w:r>
        <w:rPr>
          <w:rFonts w:hint="eastAsia"/>
          <w:szCs w:val="24"/>
        </w:rPr>
        <w:t>（</w:t>
      </w:r>
      <w:r>
        <w:rPr>
          <w:rFonts w:hint="eastAsia"/>
          <w:szCs w:val="24"/>
        </w:rPr>
        <w:t>17</w:t>
      </w:r>
      <w:r>
        <w:rPr>
          <w:rFonts w:hint="eastAsia"/>
          <w:szCs w:val="24"/>
        </w:rPr>
        <w:t>）</w:t>
      </w:r>
      <w:r>
        <w:rPr>
          <w:rFonts w:hint="eastAsia"/>
        </w:rPr>
        <w:t>《四川省“十四五”能源发展规划》（川府发〔</w:t>
      </w:r>
      <w:r>
        <w:rPr>
          <w:rFonts w:hint="eastAsia"/>
        </w:rPr>
        <w:t>2022</w:t>
      </w:r>
      <w:r>
        <w:rPr>
          <w:rFonts w:hint="eastAsia"/>
        </w:rPr>
        <w:t>〕</w:t>
      </w:r>
      <w:r>
        <w:rPr>
          <w:rFonts w:hint="eastAsia"/>
        </w:rPr>
        <w:t>8</w:t>
      </w:r>
      <w:r>
        <w:rPr>
          <w:rFonts w:hint="eastAsia"/>
        </w:rPr>
        <w:t>号）；</w:t>
      </w:r>
      <w:r>
        <w:rPr>
          <w:rFonts w:hint="eastAsia"/>
          <w:kern w:val="2"/>
          <w:szCs w:val="22"/>
        </w:rPr>
        <w:t xml:space="preserve"> </w:t>
      </w:r>
    </w:p>
    <w:p w:rsidR="00BD5820" w:rsidRDefault="00F64314">
      <w:pPr>
        <w:pStyle w:val="affa"/>
        <w:ind w:firstLine="480"/>
      </w:pPr>
      <w:r>
        <w:rPr>
          <w:rFonts w:hint="eastAsia"/>
          <w:kern w:val="2"/>
          <w:szCs w:val="22"/>
        </w:rPr>
        <w:t>（</w:t>
      </w:r>
      <w:r>
        <w:rPr>
          <w:rFonts w:hint="eastAsia"/>
          <w:kern w:val="2"/>
          <w:szCs w:val="22"/>
        </w:rPr>
        <w:t>18</w:t>
      </w:r>
      <w:r>
        <w:rPr>
          <w:rFonts w:hint="eastAsia"/>
          <w:kern w:val="2"/>
          <w:szCs w:val="22"/>
        </w:rPr>
        <w:t>）《四川省、重庆市长江经济带发展负面清单实施细则（试行，</w:t>
      </w:r>
      <w:r>
        <w:rPr>
          <w:rFonts w:hint="eastAsia"/>
          <w:kern w:val="2"/>
          <w:szCs w:val="22"/>
        </w:rPr>
        <w:t>2022</w:t>
      </w:r>
      <w:r>
        <w:rPr>
          <w:rFonts w:hint="eastAsia"/>
          <w:kern w:val="2"/>
          <w:szCs w:val="22"/>
        </w:rPr>
        <w:t>年版）》；</w:t>
      </w:r>
    </w:p>
    <w:p w:rsidR="00BD5820" w:rsidRDefault="00F64314">
      <w:pPr>
        <w:pStyle w:val="affa"/>
        <w:ind w:firstLine="480"/>
      </w:pPr>
      <w:r>
        <w:rPr>
          <w:rFonts w:hint="eastAsia"/>
        </w:rPr>
        <w:t>（</w:t>
      </w:r>
      <w:r>
        <w:rPr>
          <w:rFonts w:hint="eastAsia"/>
        </w:rPr>
        <w:t>19</w:t>
      </w:r>
      <w:r>
        <w:rPr>
          <w:rFonts w:hint="eastAsia"/>
        </w:rPr>
        <w:t>）达州市人民政府《关于落实生态保护红线、环境质量底线、资源利用上线制定生态环境准入清单实施生态环境分区管控的通知》达市府发〔</w:t>
      </w:r>
      <w:r>
        <w:rPr>
          <w:rFonts w:hint="eastAsia"/>
        </w:rPr>
        <w:t>2021</w:t>
      </w:r>
      <w:r>
        <w:rPr>
          <w:rFonts w:hint="eastAsia"/>
        </w:rPr>
        <w:t>〕</w:t>
      </w:r>
      <w:r>
        <w:rPr>
          <w:rFonts w:hint="eastAsia"/>
        </w:rPr>
        <w:t xml:space="preserve">17 </w:t>
      </w:r>
      <w:r>
        <w:rPr>
          <w:rFonts w:hint="eastAsia"/>
        </w:rPr>
        <w:t>号；</w:t>
      </w:r>
    </w:p>
    <w:p w:rsidR="00BD5820" w:rsidRDefault="00F64314">
      <w:pPr>
        <w:pStyle w:val="affa"/>
        <w:ind w:firstLine="480"/>
        <w:rPr>
          <w:szCs w:val="24"/>
        </w:rPr>
      </w:pPr>
      <w:r>
        <w:rPr>
          <w:rFonts w:hint="eastAsia"/>
        </w:rPr>
        <w:t>（</w:t>
      </w:r>
      <w:r>
        <w:rPr>
          <w:rFonts w:hint="eastAsia"/>
        </w:rPr>
        <w:t>20</w:t>
      </w:r>
      <w:r>
        <w:rPr>
          <w:rFonts w:hint="eastAsia"/>
        </w:rPr>
        <w:t>）</w:t>
      </w:r>
      <w:r>
        <w:t>达州市人民政府《关于划定万源市、宣汉县和大竹县乡镇及以下集中式饮用水水源地保护区的批复》（达市府发</w:t>
      </w:r>
      <w:r>
        <w:rPr>
          <w:kern w:val="2"/>
        </w:rPr>
        <w:t>〔</w:t>
      </w:r>
      <w:r>
        <w:rPr>
          <w:kern w:val="2"/>
        </w:rPr>
        <w:t>2020</w:t>
      </w:r>
      <w:r>
        <w:rPr>
          <w:kern w:val="2"/>
        </w:rPr>
        <w:t>〕</w:t>
      </w:r>
      <w:r>
        <w:t>124</w:t>
      </w:r>
      <w:r>
        <w:t>号）</w:t>
      </w:r>
      <w:r>
        <w:rPr>
          <w:kern w:val="2"/>
          <w:szCs w:val="22"/>
        </w:rPr>
        <w:t>。</w:t>
      </w:r>
    </w:p>
    <w:p w:rsidR="00BD5820" w:rsidRDefault="00F64314">
      <w:pPr>
        <w:keepNext/>
        <w:keepLines/>
        <w:ind w:firstLineChars="0" w:firstLine="0"/>
        <w:outlineLvl w:val="2"/>
        <w:rPr>
          <w:rFonts w:ascii="Times New Roman" w:cs="Times New Roman"/>
          <w:b/>
          <w:szCs w:val="32"/>
        </w:rPr>
      </w:pPr>
      <w:bookmarkStart w:id="47" w:name="_Toc19815924"/>
      <w:r>
        <w:rPr>
          <w:rFonts w:ascii="Times New Roman" w:cs="Times New Roman"/>
          <w:b/>
          <w:szCs w:val="32"/>
        </w:rPr>
        <w:t xml:space="preserve">1.1.5 </w:t>
      </w:r>
      <w:r>
        <w:rPr>
          <w:rFonts w:ascii="Times New Roman" w:cs="Times New Roman"/>
          <w:b/>
          <w:szCs w:val="32"/>
        </w:rPr>
        <w:t>相关环评技术规范</w:t>
      </w:r>
      <w:bookmarkEnd w:id="47"/>
    </w:p>
    <w:p w:rsidR="00BD5820" w:rsidRDefault="00F64314">
      <w:pPr>
        <w:pStyle w:val="affa"/>
        <w:ind w:firstLine="480"/>
      </w:pPr>
      <w:r>
        <w:rPr>
          <w:rFonts w:hint="eastAsia"/>
        </w:rPr>
        <w:t>（</w:t>
      </w:r>
      <w:r>
        <w:rPr>
          <w:rFonts w:hint="eastAsia"/>
        </w:rPr>
        <w:t>1</w:t>
      </w:r>
      <w:r>
        <w:rPr>
          <w:rFonts w:hint="eastAsia"/>
        </w:rPr>
        <w:t>）</w:t>
      </w:r>
      <w:r>
        <w:t>《建设项目环境影响评价技术导则</w:t>
      </w:r>
      <w:r>
        <w:t xml:space="preserve"> </w:t>
      </w:r>
      <w:r>
        <w:t>总纲》（</w:t>
      </w:r>
      <w:r>
        <w:t>HJ2.1-2016</w:t>
      </w:r>
      <w:r>
        <w:t>）；</w:t>
      </w:r>
    </w:p>
    <w:p w:rsidR="00BD5820" w:rsidRDefault="00F64314">
      <w:pPr>
        <w:pStyle w:val="affa"/>
        <w:ind w:firstLine="480"/>
      </w:pPr>
      <w:r>
        <w:rPr>
          <w:rFonts w:hint="eastAsia"/>
        </w:rPr>
        <w:t>（</w:t>
      </w:r>
      <w:r>
        <w:rPr>
          <w:rFonts w:hint="eastAsia"/>
        </w:rPr>
        <w:t>2</w:t>
      </w:r>
      <w:r>
        <w:rPr>
          <w:rFonts w:hint="eastAsia"/>
        </w:rPr>
        <w:t>）</w:t>
      </w:r>
      <w:r>
        <w:t>《环境影响评价技术导则</w:t>
      </w:r>
      <w:r>
        <w:t xml:space="preserve"> </w:t>
      </w:r>
      <w:r>
        <w:t>大气环境》（</w:t>
      </w:r>
      <w:r>
        <w:t>HJ2.2-2018</w:t>
      </w:r>
      <w:r>
        <w:t>）；</w:t>
      </w:r>
    </w:p>
    <w:p w:rsidR="00BD5820" w:rsidRDefault="00F64314">
      <w:pPr>
        <w:pStyle w:val="affa"/>
        <w:ind w:firstLine="480"/>
      </w:pPr>
      <w:r>
        <w:rPr>
          <w:rFonts w:hint="eastAsia"/>
        </w:rPr>
        <w:lastRenderedPageBreak/>
        <w:t>（</w:t>
      </w:r>
      <w:r>
        <w:rPr>
          <w:rFonts w:hint="eastAsia"/>
        </w:rPr>
        <w:t>3</w:t>
      </w:r>
      <w:r>
        <w:rPr>
          <w:rFonts w:hint="eastAsia"/>
        </w:rPr>
        <w:t>）</w:t>
      </w:r>
      <w:r>
        <w:t>《环境影响评价技术导则</w:t>
      </w:r>
      <w:r>
        <w:t xml:space="preserve"> </w:t>
      </w:r>
      <w:r>
        <w:t>地表水环境》（</w:t>
      </w:r>
      <w:r>
        <w:t>HJ2.3-2018</w:t>
      </w:r>
      <w:r>
        <w:t>）；</w:t>
      </w:r>
    </w:p>
    <w:p w:rsidR="00BD5820" w:rsidRDefault="00F64314">
      <w:pPr>
        <w:pStyle w:val="affa"/>
        <w:ind w:firstLine="480"/>
      </w:pPr>
      <w:r>
        <w:rPr>
          <w:rFonts w:hint="eastAsia"/>
        </w:rPr>
        <w:t>（</w:t>
      </w:r>
      <w:r>
        <w:rPr>
          <w:rFonts w:hint="eastAsia"/>
        </w:rPr>
        <w:t>4</w:t>
      </w:r>
      <w:r>
        <w:rPr>
          <w:rFonts w:hint="eastAsia"/>
        </w:rPr>
        <w:t>）</w:t>
      </w:r>
      <w:r>
        <w:t>《环境影响评价技术导则</w:t>
      </w:r>
      <w:r>
        <w:t xml:space="preserve"> </w:t>
      </w:r>
      <w:r>
        <w:t>声环境》（</w:t>
      </w:r>
      <w:r>
        <w:t>HJ2.4-20</w:t>
      </w:r>
      <w:r>
        <w:rPr>
          <w:rFonts w:hint="eastAsia"/>
        </w:rPr>
        <w:t>21</w:t>
      </w:r>
      <w:r>
        <w:t>）；</w:t>
      </w:r>
    </w:p>
    <w:p w:rsidR="00BD5820" w:rsidRDefault="00F64314">
      <w:pPr>
        <w:pStyle w:val="affa"/>
        <w:ind w:firstLine="480"/>
      </w:pPr>
      <w:r>
        <w:rPr>
          <w:rFonts w:hint="eastAsia"/>
        </w:rPr>
        <w:t>（</w:t>
      </w:r>
      <w:r>
        <w:rPr>
          <w:rFonts w:hint="eastAsia"/>
        </w:rPr>
        <w:t>5</w:t>
      </w:r>
      <w:r>
        <w:rPr>
          <w:rFonts w:hint="eastAsia"/>
        </w:rPr>
        <w:t>）</w:t>
      </w:r>
      <w:r>
        <w:t>《环境影响评价技术导则</w:t>
      </w:r>
      <w:r>
        <w:t xml:space="preserve"> </w:t>
      </w:r>
      <w:r>
        <w:t>地下水环境》（</w:t>
      </w:r>
      <w:r>
        <w:t>HJ610-2016</w:t>
      </w:r>
      <w:r>
        <w:t>）</w:t>
      </w:r>
    </w:p>
    <w:p w:rsidR="00BD5820" w:rsidRDefault="00F64314">
      <w:pPr>
        <w:pStyle w:val="affa"/>
        <w:ind w:firstLine="480"/>
      </w:pPr>
      <w:r>
        <w:rPr>
          <w:rFonts w:hint="eastAsia"/>
        </w:rPr>
        <w:t>（</w:t>
      </w:r>
      <w:r>
        <w:rPr>
          <w:rFonts w:hint="eastAsia"/>
        </w:rPr>
        <w:t>6</w:t>
      </w:r>
      <w:r>
        <w:rPr>
          <w:rFonts w:hint="eastAsia"/>
        </w:rPr>
        <w:t>）</w:t>
      </w:r>
      <w:r>
        <w:t>《环境影响评价技术导则</w:t>
      </w:r>
      <w:r>
        <w:t xml:space="preserve"> </w:t>
      </w:r>
      <w:r>
        <w:t>生态影响》（</w:t>
      </w:r>
      <w:r>
        <w:t>HJ19-20</w:t>
      </w:r>
      <w:r>
        <w:rPr>
          <w:rFonts w:hint="eastAsia"/>
        </w:rPr>
        <w:t>22</w:t>
      </w:r>
      <w:r>
        <w:t>）；</w:t>
      </w:r>
    </w:p>
    <w:p w:rsidR="00BD5820" w:rsidRDefault="00F64314">
      <w:pPr>
        <w:pStyle w:val="affa"/>
        <w:ind w:firstLine="480"/>
      </w:pPr>
      <w:r>
        <w:rPr>
          <w:rFonts w:hint="eastAsia"/>
        </w:rPr>
        <w:t>（</w:t>
      </w:r>
      <w:r>
        <w:rPr>
          <w:rFonts w:hint="eastAsia"/>
        </w:rPr>
        <w:t>7</w:t>
      </w:r>
      <w:r>
        <w:rPr>
          <w:rFonts w:hint="eastAsia"/>
        </w:rPr>
        <w:t>）</w:t>
      </w:r>
      <w:r>
        <w:t>《环境影响评价技术导则</w:t>
      </w:r>
      <w:r>
        <w:t xml:space="preserve"> </w:t>
      </w:r>
      <w:r>
        <w:t>土壤环境（试行）》（</w:t>
      </w:r>
      <w:r>
        <w:t>HJ964-2018</w:t>
      </w:r>
      <w:r>
        <w:t>）；</w:t>
      </w:r>
    </w:p>
    <w:p w:rsidR="00BD5820" w:rsidRDefault="00F64314">
      <w:pPr>
        <w:pStyle w:val="affa"/>
        <w:ind w:firstLine="480"/>
      </w:pPr>
      <w:r>
        <w:rPr>
          <w:rFonts w:hint="eastAsia"/>
        </w:rPr>
        <w:t>（</w:t>
      </w:r>
      <w:r>
        <w:rPr>
          <w:rFonts w:hint="eastAsia"/>
        </w:rPr>
        <w:t>8</w:t>
      </w:r>
      <w:r>
        <w:rPr>
          <w:rFonts w:hint="eastAsia"/>
        </w:rPr>
        <w:t>）</w:t>
      </w:r>
      <w:r>
        <w:t>《建设项目环境风险评价技术导则》（</w:t>
      </w:r>
      <w:r>
        <w:t>HJ169-2018</w:t>
      </w:r>
      <w:r>
        <w:t>）；</w:t>
      </w:r>
    </w:p>
    <w:p w:rsidR="00BD5820" w:rsidRDefault="00F64314">
      <w:pPr>
        <w:pStyle w:val="affa"/>
        <w:ind w:firstLine="480"/>
      </w:pPr>
      <w:r>
        <w:rPr>
          <w:rFonts w:hint="eastAsia"/>
        </w:rPr>
        <w:t>（</w:t>
      </w:r>
      <w:r>
        <w:rPr>
          <w:rFonts w:hint="eastAsia"/>
        </w:rPr>
        <w:t>9</w:t>
      </w:r>
      <w:r>
        <w:rPr>
          <w:rFonts w:hint="eastAsia"/>
        </w:rPr>
        <w:t>）</w:t>
      </w:r>
      <w:r>
        <w:t>《生态环境健康风险评价技术指南</w:t>
      </w:r>
      <w:r>
        <w:t xml:space="preserve"> </w:t>
      </w:r>
      <w:r>
        <w:t>总纲》（</w:t>
      </w:r>
      <w:r>
        <w:t>HJ1111-2020</w:t>
      </w:r>
      <w:r>
        <w:t>）；</w:t>
      </w:r>
    </w:p>
    <w:p w:rsidR="00BD5820" w:rsidRDefault="00F64314">
      <w:pPr>
        <w:pStyle w:val="affa"/>
        <w:ind w:firstLine="480"/>
      </w:pPr>
      <w:r>
        <w:rPr>
          <w:rFonts w:hint="eastAsia"/>
        </w:rPr>
        <w:t>（</w:t>
      </w:r>
      <w:r>
        <w:rPr>
          <w:rFonts w:hint="eastAsia"/>
        </w:rPr>
        <w:t>10</w:t>
      </w:r>
      <w:r>
        <w:rPr>
          <w:rFonts w:hint="eastAsia"/>
        </w:rPr>
        <w:t>）</w:t>
      </w:r>
      <w:r>
        <w:t>《环境影响评价技术导则</w:t>
      </w:r>
      <w:r>
        <w:t xml:space="preserve"> </w:t>
      </w:r>
      <w:r>
        <w:t>陆地石油天然气开发建设项目》（</w:t>
      </w:r>
      <w:r>
        <w:t>HJ/T349-2007</w:t>
      </w:r>
      <w:r>
        <w:t>）；</w:t>
      </w:r>
    </w:p>
    <w:p w:rsidR="00BD5820" w:rsidRDefault="00F64314">
      <w:pPr>
        <w:pStyle w:val="affa"/>
        <w:ind w:firstLine="480"/>
      </w:pPr>
      <w:r>
        <w:rPr>
          <w:rFonts w:hint="eastAsia"/>
        </w:rPr>
        <w:t>（</w:t>
      </w:r>
      <w:r>
        <w:rPr>
          <w:rFonts w:hint="eastAsia"/>
        </w:rPr>
        <w:t>11</w:t>
      </w:r>
      <w:r>
        <w:rPr>
          <w:rFonts w:hint="eastAsia"/>
        </w:rPr>
        <w:t>）</w:t>
      </w:r>
      <w:r>
        <w:t>《开发建设项目水土保持技术规范》（</w:t>
      </w:r>
      <w:r>
        <w:t>GB50433-2008</w:t>
      </w:r>
      <w:r>
        <w:t>）；</w:t>
      </w:r>
    </w:p>
    <w:p w:rsidR="00BD5820" w:rsidRDefault="00F64314">
      <w:pPr>
        <w:pStyle w:val="affa"/>
        <w:ind w:firstLine="480"/>
      </w:pPr>
      <w:r>
        <w:rPr>
          <w:rFonts w:hint="eastAsia"/>
        </w:rPr>
        <w:t>（</w:t>
      </w:r>
      <w:r>
        <w:rPr>
          <w:rFonts w:hint="eastAsia"/>
        </w:rPr>
        <w:t>12</w:t>
      </w:r>
      <w:r>
        <w:rPr>
          <w:rFonts w:hint="eastAsia"/>
        </w:rPr>
        <w:t>）</w:t>
      </w:r>
      <w:r>
        <w:t>《危险化学品重大危险源辨识》（</w:t>
      </w:r>
      <w:r>
        <w:t>GB18218-2018</w:t>
      </w:r>
      <w:r>
        <w:t>），</w:t>
      </w:r>
      <w:r>
        <w:t>2019</w:t>
      </w:r>
      <w:r>
        <w:t>年</w:t>
      </w:r>
      <w:r>
        <w:t>3</w:t>
      </w:r>
      <w:r>
        <w:t>月</w:t>
      </w:r>
      <w:r>
        <w:t>1</w:t>
      </w:r>
      <w:r>
        <w:t>日；</w:t>
      </w:r>
    </w:p>
    <w:p w:rsidR="00BD5820" w:rsidRDefault="00F64314">
      <w:pPr>
        <w:pStyle w:val="affa"/>
        <w:ind w:firstLine="480"/>
      </w:pPr>
      <w:r>
        <w:rPr>
          <w:rFonts w:hint="eastAsia"/>
        </w:rPr>
        <w:t>（</w:t>
      </w:r>
      <w:r>
        <w:rPr>
          <w:rFonts w:hint="eastAsia"/>
        </w:rPr>
        <w:t>13</w:t>
      </w:r>
      <w:r>
        <w:rPr>
          <w:rFonts w:hint="eastAsia"/>
        </w:rPr>
        <w:t>）</w:t>
      </w:r>
      <w:r>
        <w:t>《油气输送管道穿越工程设计规范》（</w:t>
      </w:r>
      <w:r>
        <w:t>GB50423-2015</w:t>
      </w:r>
      <w:r>
        <w:t>）；</w:t>
      </w:r>
    </w:p>
    <w:p w:rsidR="00BD5820" w:rsidRDefault="00F64314">
      <w:pPr>
        <w:pStyle w:val="affa"/>
        <w:ind w:firstLine="480"/>
      </w:pPr>
      <w:r>
        <w:rPr>
          <w:rFonts w:hint="eastAsia"/>
        </w:rPr>
        <w:t>（</w:t>
      </w:r>
      <w:r>
        <w:rPr>
          <w:rFonts w:hint="eastAsia"/>
        </w:rPr>
        <w:t>14</w:t>
      </w:r>
      <w:r>
        <w:rPr>
          <w:rFonts w:hint="eastAsia"/>
        </w:rPr>
        <w:t>）</w:t>
      </w:r>
      <w:r>
        <w:t>《原油和天然气输送管道穿跨越工程设计规范</w:t>
      </w:r>
      <w:r>
        <w:t>·</w:t>
      </w:r>
      <w:r>
        <w:t>穿越工程》（</w:t>
      </w:r>
      <w:r>
        <w:t>SY/T0015.1-98</w:t>
      </w:r>
      <w:r>
        <w:t>）；</w:t>
      </w:r>
    </w:p>
    <w:p w:rsidR="00BD5820" w:rsidRDefault="00F64314">
      <w:pPr>
        <w:pStyle w:val="affa"/>
        <w:ind w:firstLine="480"/>
      </w:pPr>
      <w:r>
        <w:rPr>
          <w:rFonts w:hint="eastAsia"/>
        </w:rPr>
        <w:t>（</w:t>
      </w:r>
      <w:r>
        <w:rPr>
          <w:rFonts w:hint="eastAsia"/>
        </w:rPr>
        <w:t>15</w:t>
      </w:r>
      <w:r>
        <w:rPr>
          <w:rFonts w:hint="eastAsia"/>
        </w:rPr>
        <w:t>）</w:t>
      </w:r>
      <w:r>
        <w:t>《埋地钢质管道阴极保护技术规范》（</w:t>
      </w:r>
      <w:r>
        <w:t>GB/T21448-2017</w:t>
      </w:r>
      <w:r>
        <w:t>）；</w:t>
      </w:r>
    </w:p>
    <w:p w:rsidR="00BD5820" w:rsidRDefault="00F64314">
      <w:pPr>
        <w:pStyle w:val="affa"/>
        <w:ind w:firstLine="480"/>
      </w:pPr>
      <w:r>
        <w:rPr>
          <w:rFonts w:hint="eastAsia"/>
        </w:rPr>
        <w:t>（</w:t>
      </w:r>
      <w:r>
        <w:rPr>
          <w:rFonts w:hint="eastAsia"/>
        </w:rPr>
        <w:t>16</w:t>
      </w:r>
      <w:r>
        <w:rPr>
          <w:rFonts w:hint="eastAsia"/>
        </w:rPr>
        <w:t>）</w:t>
      </w:r>
      <w:r>
        <w:t>《天然气管道运行规范》（</w:t>
      </w:r>
      <w:r>
        <w:t>SY/T5922-2003</w:t>
      </w:r>
      <w:r>
        <w:t>）；</w:t>
      </w:r>
    </w:p>
    <w:p w:rsidR="00BD5820" w:rsidRDefault="00F64314">
      <w:pPr>
        <w:pStyle w:val="affa"/>
        <w:ind w:firstLine="480"/>
      </w:pPr>
      <w:r>
        <w:rPr>
          <w:rFonts w:hint="eastAsia"/>
        </w:rPr>
        <w:t>（</w:t>
      </w:r>
      <w:r>
        <w:rPr>
          <w:rFonts w:hint="eastAsia"/>
        </w:rPr>
        <w:t>17</w:t>
      </w:r>
      <w:r>
        <w:rPr>
          <w:rFonts w:hint="eastAsia"/>
        </w:rPr>
        <w:t>）</w:t>
      </w:r>
      <w:r>
        <w:t>《国家危险废物名录》（</w:t>
      </w:r>
      <w:r>
        <w:t>20</w:t>
      </w:r>
      <w:r>
        <w:rPr>
          <w:rFonts w:hint="eastAsia"/>
        </w:rPr>
        <w:t>21</w:t>
      </w:r>
      <w:r>
        <w:rPr>
          <w:rFonts w:hint="eastAsia"/>
        </w:rPr>
        <w:t>年版</w:t>
      </w:r>
      <w:r>
        <w:t>）；</w:t>
      </w:r>
    </w:p>
    <w:p w:rsidR="00BD5820" w:rsidRDefault="00F64314">
      <w:pPr>
        <w:pStyle w:val="affa"/>
        <w:ind w:firstLine="480"/>
      </w:pPr>
      <w:r>
        <w:rPr>
          <w:rFonts w:hint="eastAsia"/>
        </w:rPr>
        <w:t>（</w:t>
      </w:r>
      <w:r>
        <w:rPr>
          <w:rFonts w:hint="eastAsia"/>
        </w:rPr>
        <w:t>18</w:t>
      </w:r>
      <w:r>
        <w:rPr>
          <w:rFonts w:hint="eastAsia"/>
        </w:rPr>
        <w:t>）</w:t>
      </w:r>
      <w:r>
        <w:t>《建筑设计防火规范》（</w:t>
      </w:r>
      <w:r>
        <w:t>GB50016-2014</w:t>
      </w:r>
      <w:r>
        <w:t>）</w:t>
      </w:r>
      <w:r>
        <w:rPr>
          <w:rFonts w:hint="eastAsia"/>
        </w:rPr>
        <w:t>；</w:t>
      </w:r>
    </w:p>
    <w:p w:rsidR="00BD5820" w:rsidRDefault="00F64314">
      <w:pPr>
        <w:pStyle w:val="affa"/>
        <w:ind w:firstLine="480"/>
      </w:pPr>
      <w:r>
        <w:rPr>
          <w:rFonts w:hint="eastAsia"/>
        </w:rPr>
        <w:t>（</w:t>
      </w:r>
      <w:r>
        <w:rPr>
          <w:rFonts w:hint="eastAsia"/>
        </w:rPr>
        <w:t>19</w:t>
      </w:r>
      <w:r>
        <w:rPr>
          <w:rFonts w:hint="eastAsia"/>
        </w:rPr>
        <w:t>）《石油天然气工程设计防火规范》</w:t>
      </w:r>
      <w:r>
        <w:t>（</w:t>
      </w:r>
      <w:r>
        <w:t>GB50</w:t>
      </w:r>
      <w:r>
        <w:rPr>
          <w:rFonts w:hint="eastAsia"/>
        </w:rPr>
        <w:t>183</w:t>
      </w:r>
      <w:r>
        <w:t>-20</w:t>
      </w:r>
      <w:r>
        <w:rPr>
          <w:rFonts w:hint="eastAsia"/>
        </w:rPr>
        <w:t>0</w:t>
      </w:r>
      <w:r>
        <w:t>4</w:t>
      </w:r>
      <w:r>
        <w:t>）</w:t>
      </w:r>
      <w:r>
        <w:rPr>
          <w:rFonts w:hint="eastAsia"/>
        </w:rPr>
        <w:t>；</w:t>
      </w:r>
    </w:p>
    <w:p w:rsidR="00BD5820" w:rsidRDefault="00F64314">
      <w:pPr>
        <w:pStyle w:val="affa"/>
        <w:ind w:firstLine="480"/>
      </w:pPr>
      <w:r>
        <w:rPr>
          <w:rFonts w:hint="eastAsia"/>
        </w:rPr>
        <w:t>（</w:t>
      </w:r>
      <w:r>
        <w:rPr>
          <w:rFonts w:hint="eastAsia"/>
        </w:rPr>
        <w:t>20</w:t>
      </w:r>
      <w:r>
        <w:rPr>
          <w:rFonts w:hint="eastAsia"/>
        </w:rPr>
        <w:t>）《高含硫气田水处理及回注工程设计规范》（</w:t>
      </w:r>
      <w:r>
        <w:rPr>
          <w:rFonts w:hint="eastAsia"/>
        </w:rPr>
        <w:t>SY/T6881-2012</w:t>
      </w:r>
      <w:r>
        <w:rPr>
          <w:rFonts w:hint="eastAsia"/>
        </w:rPr>
        <w:t>）</w:t>
      </w:r>
      <w:r>
        <w:t>。</w:t>
      </w:r>
    </w:p>
    <w:p w:rsidR="00BD5820" w:rsidRDefault="00F64314">
      <w:pPr>
        <w:keepNext/>
        <w:keepLines/>
        <w:ind w:firstLineChars="0" w:firstLine="0"/>
        <w:outlineLvl w:val="2"/>
        <w:rPr>
          <w:rFonts w:ascii="Times New Roman" w:cs="Times New Roman"/>
          <w:b/>
          <w:szCs w:val="32"/>
        </w:rPr>
      </w:pPr>
      <w:bookmarkStart w:id="48" w:name="_Toc19815926"/>
      <w:r>
        <w:rPr>
          <w:rFonts w:ascii="Times New Roman" w:cs="Times New Roman"/>
          <w:b/>
          <w:szCs w:val="32"/>
        </w:rPr>
        <w:t xml:space="preserve">1.1.6 </w:t>
      </w:r>
      <w:r>
        <w:rPr>
          <w:rFonts w:ascii="Times New Roman" w:cs="Times New Roman"/>
          <w:b/>
          <w:szCs w:val="32"/>
        </w:rPr>
        <w:t>环境影响评价工作其它依据</w:t>
      </w:r>
      <w:bookmarkEnd w:id="48"/>
    </w:p>
    <w:p w:rsidR="00BD5820" w:rsidRDefault="00F64314">
      <w:pPr>
        <w:pStyle w:val="affa"/>
        <w:ind w:firstLine="480"/>
      </w:pPr>
      <w:r>
        <w:rPr>
          <w:rFonts w:hint="eastAsia"/>
        </w:rPr>
        <w:t>（</w:t>
      </w:r>
      <w:r>
        <w:rPr>
          <w:rFonts w:hint="eastAsia"/>
        </w:rPr>
        <w:t>1</w:t>
      </w:r>
      <w:r>
        <w:rPr>
          <w:rFonts w:hint="eastAsia"/>
        </w:rPr>
        <w:t>）</w:t>
      </w:r>
      <w:r>
        <w:t>环境影响评价委托书；</w:t>
      </w:r>
    </w:p>
    <w:p w:rsidR="00BD5820" w:rsidRDefault="00F64314">
      <w:pPr>
        <w:pStyle w:val="affa"/>
        <w:ind w:firstLine="480"/>
      </w:pPr>
      <w:bookmarkStart w:id="49" w:name="_Hlk56956483"/>
      <w:r>
        <w:rPr>
          <w:rFonts w:hint="eastAsia"/>
        </w:rPr>
        <w:t>（</w:t>
      </w:r>
      <w:r>
        <w:rPr>
          <w:rFonts w:hint="eastAsia"/>
        </w:rPr>
        <w:t>2</w:t>
      </w:r>
      <w:r>
        <w:rPr>
          <w:rFonts w:hint="eastAsia"/>
        </w:rPr>
        <w:t>）</w:t>
      </w:r>
      <w:r>
        <w:t>《普光气田主体湿气增压工程可行性研究报告》；</w:t>
      </w:r>
    </w:p>
    <w:p w:rsidR="00BD5820" w:rsidRDefault="00F64314">
      <w:pPr>
        <w:pStyle w:val="affa"/>
        <w:ind w:firstLine="480"/>
      </w:pPr>
      <w:r>
        <w:rPr>
          <w:rFonts w:hint="eastAsia"/>
        </w:rPr>
        <w:t>（</w:t>
      </w:r>
      <w:r>
        <w:rPr>
          <w:rFonts w:hint="eastAsia"/>
        </w:rPr>
        <w:t>3</w:t>
      </w:r>
      <w:r>
        <w:rPr>
          <w:rFonts w:hint="eastAsia"/>
        </w:rPr>
        <w:t>）</w:t>
      </w:r>
      <w:r>
        <w:t>《普光气田主体湿气增压工程环境质量监测报告》；</w:t>
      </w:r>
    </w:p>
    <w:p w:rsidR="00BD5820" w:rsidRDefault="00F64314">
      <w:pPr>
        <w:pStyle w:val="affa"/>
        <w:ind w:firstLine="480"/>
      </w:pPr>
      <w:r>
        <w:rPr>
          <w:rFonts w:hint="eastAsia"/>
        </w:rPr>
        <w:t>（</w:t>
      </w:r>
      <w:r>
        <w:rPr>
          <w:rFonts w:hint="eastAsia"/>
        </w:rPr>
        <w:t>4</w:t>
      </w:r>
      <w:r>
        <w:rPr>
          <w:rFonts w:hint="eastAsia"/>
        </w:rPr>
        <w:t>）</w:t>
      </w:r>
      <w:r>
        <w:t>项目直接影响区、县及相关乡镇规划、土地利用规划、植被分布现状、水系分布情况、旅游区发展规划等相关文件、资料；</w:t>
      </w:r>
    </w:p>
    <w:bookmarkEnd w:id="49"/>
    <w:p w:rsidR="00BD5820" w:rsidRDefault="00F64314">
      <w:pPr>
        <w:pStyle w:val="affa"/>
        <w:ind w:firstLine="480"/>
      </w:pPr>
      <w:r>
        <w:rPr>
          <w:rFonts w:hint="eastAsia"/>
        </w:rPr>
        <w:t>（</w:t>
      </w:r>
      <w:r>
        <w:rPr>
          <w:rFonts w:hint="eastAsia"/>
        </w:rPr>
        <w:t>5</w:t>
      </w:r>
      <w:r>
        <w:rPr>
          <w:rFonts w:hint="eastAsia"/>
        </w:rPr>
        <w:t>）</w:t>
      </w:r>
      <w:r>
        <w:t>建设单位提供的项目其他有关资料。</w:t>
      </w:r>
    </w:p>
    <w:p w:rsidR="00BD5820" w:rsidRDefault="00F64314">
      <w:pPr>
        <w:keepNext/>
        <w:keepLines/>
        <w:spacing w:before="120"/>
        <w:ind w:firstLineChars="0" w:firstLine="0"/>
        <w:outlineLvl w:val="1"/>
        <w:rPr>
          <w:rFonts w:ascii="Times New Roman" w:cs="Times New Roman"/>
          <w:b/>
          <w:bCs/>
          <w:sz w:val="28"/>
          <w:szCs w:val="32"/>
        </w:rPr>
      </w:pPr>
      <w:bookmarkStart w:id="50" w:name="bookmark3"/>
      <w:bookmarkStart w:id="51" w:name="_Toc12288386"/>
      <w:bookmarkStart w:id="52" w:name="_Toc19815927"/>
      <w:bookmarkStart w:id="53" w:name="_Toc495"/>
      <w:bookmarkEnd w:id="50"/>
      <w:r>
        <w:rPr>
          <w:rFonts w:ascii="Times New Roman" w:cs="Times New Roman"/>
          <w:b/>
          <w:bCs/>
          <w:sz w:val="28"/>
          <w:szCs w:val="32"/>
        </w:rPr>
        <w:lastRenderedPageBreak/>
        <w:t xml:space="preserve">1.2 </w:t>
      </w:r>
      <w:r>
        <w:rPr>
          <w:rFonts w:ascii="Times New Roman" w:cs="Times New Roman"/>
          <w:b/>
          <w:bCs/>
          <w:sz w:val="28"/>
          <w:szCs w:val="32"/>
        </w:rPr>
        <w:t>评价目的、原则</w:t>
      </w:r>
      <w:bookmarkEnd w:id="51"/>
      <w:r>
        <w:rPr>
          <w:rFonts w:ascii="Times New Roman" w:cs="Times New Roman"/>
          <w:b/>
          <w:bCs/>
          <w:sz w:val="28"/>
          <w:szCs w:val="32"/>
        </w:rPr>
        <w:t>与评价重点</w:t>
      </w:r>
      <w:bookmarkEnd w:id="52"/>
      <w:bookmarkEnd w:id="53"/>
    </w:p>
    <w:p w:rsidR="00BD5820" w:rsidRDefault="00F64314">
      <w:pPr>
        <w:keepNext/>
        <w:keepLines/>
        <w:ind w:firstLineChars="0" w:firstLine="0"/>
        <w:outlineLvl w:val="2"/>
        <w:rPr>
          <w:rFonts w:ascii="Times New Roman" w:cs="Times New Roman"/>
          <w:b/>
          <w:szCs w:val="32"/>
        </w:rPr>
      </w:pPr>
      <w:bookmarkStart w:id="54" w:name="_Toc19815928"/>
      <w:r>
        <w:rPr>
          <w:rFonts w:ascii="Times New Roman" w:cs="Times New Roman"/>
          <w:b/>
          <w:szCs w:val="32"/>
        </w:rPr>
        <w:t xml:space="preserve">1.2.1 </w:t>
      </w:r>
      <w:r>
        <w:rPr>
          <w:rFonts w:ascii="Times New Roman" w:cs="Times New Roman"/>
          <w:b/>
          <w:szCs w:val="32"/>
        </w:rPr>
        <w:t>评价目的</w:t>
      </w:r>
      <w:bookmarkEnd w:id="54"/>
    </w:p>
    <w:p w:rsidR="00BD5820" w:rsidRDefault="00F64314">
      <w:pPr>
        <w:pStyle w:val="affa"/>
        <w:ind w:firstLine="480"/>
      </w:pPr>
      <w:r>
        <w:t>环境影响评价的目的，是对项目实施后可能造成的环境影响进行分析、预测和评估，提出预防或者减轻不良环境影响的对策和措施。通过分析工程建设是否符合国家及地方产业、行业政策及相关专项规划要求；对工程选线进行环境可行性论证；通过工程分析，分析工程施工对生态环境影响情况，分析运营期环境风险是否可接受；提出污染防治和风险防控措施，为工程设计和环境管理提供科学依据。</w:t>
      </w:r>
    </w:p>
    <w:p w:rsidR="00BD5820" w:rsidRDefault="00F64314">
      <w:pPr>
        <w:pStyle w:val="affa"/>
        <w:ind w:firstLine="480"/>
      </w:pPr>
      <w:r>
        <w:t>本次评价将针对项目环境影响问题，并结合本项目的特点，达到以下目的：</w:t>
      </w:r>
    </w:p>
    <w:p w:rsidR="00BD5820" w:rsidRDefault="00F64314">
      <w:pPr>
        <w:pStyle w:val="affa"/>
        <w:ind w:firstLine="480"/>
      </w:pPr>
      <w:r>
        <w:t>（</w:t>
      </w:r>
      <w:r>
        <w:t>1</w:t>
      </w:r>
      <w:r>
        <w:t>）调查了解管道沿线及场站周围生态环境、环境空气、地表水环境、地下水环境、声环境等现状及工程沿线限制性环境要素；</w:t>
      </w:r>
    </w:p>
    <w:p w:rsidR="00BD5820" w:rsidRDefault="00F64314">
      <w:pPr>
        <w:pStyle w:val="affa"/>
        <w:ind w:firstLine="480"/>
      </w:pPr>
      <w:r>
        <w:t>（</w:t>
      </w:r>
      <w:r>
        <w:t>2</w:t>
      </w:r>
      <w:r>
        <w:t>）结合国家相关产业政策、行业规划、当地规划以及工程的环境影响进行预测与评价，分析论述项目建设选址的可行性和环境可行性；</w:t>
      </w:r>
    </w:p>
    <w:p w:rsidR="00BD5820" w:rsidRDefault="00F64314">
      <w:pPr>
        <w:pStyle w:val="affa"/>
        <w:ind w:firstLine="480"/>
      </w:pPr>
      <w:r>
        <w:t>（</w:t>
      </w:r>
      <w:r>
        <w:t>3</w:t>
      </w:r>
      <w:r>
        <w:t>）根据项目与环境保护目标的关系，提出管道建设、营运过程中拟采取的保护措施、减缓措施，使工程建设对环境产生的不利影响降到最低程度；</w:t>
      </w:r>
    </w:p>
    <w:p w:rsidR="00BD5820" w:rsidRDefault="00F64314">
      <w:pPr>
        <w:pStyle w:val="affa"/>
        <w:ind w:firstLine="480"/>
      </w:pPr>
      <w:r>
        <w:t>（</w:t>
      </w:r>
      <w:r>
        <w:t>4</w:t>
      </w:r>
      <w:r>
        <w:t>）根据工程在施工期对环境产生影响的主要特点，提出施工期环境管理、环境监理和监测计划；</w:t>
      </w:r>
    </w:p>
    <w:p w:rsidR="00BD5820" w:rsidRDefault="00F64314">
      <w:pPr>
        <w:pStyle w:val="affa"/>
        <w:ind w:firstLine="480"/>
      </w:pPr>
      <w:r>
        <w:t>（</w:t>
      </w:r>
      <w:r>
        <w:t>5</w:t>
      </w:r>
      <w:r>
        <w:t>）坚持</w:t>
      </w:r>
      <w:r>
        <w:rPr>
          <w:rFonts w:hint="eastAsia"/>
        </w:rPr>
        <w:t>“</w:t>
      </w:r>
      <w:r>
        <w:t>达标排放、总量控制、清洁生产</w:t>
      </w:r>
      <w:r>
        <w:rPr>
          <w:rFonts w:hint="eastAsia"/>
        </w:rPr>
        <w:t>”</w:t>
      </w:r>
      <w:r>
        <w:t>的原则，保证本项目建设实施后，不加重该区域的环境污染程度；</w:t>
      </w:r>
    </w:p>
    <w:p w:rsidR="00BD5820" w:rsidRDefault="00F64314">
      <w:pPr>
        <w:pStyle w:val="affa"/>
        <w:ind w:firstLine="480"/>
      </w:pPr>
      <w:r>
        <w:t>（</w:t>
      </w:r>
      <w:r>
        <w:t>6</w:t>
      </w:r>
      <w:r>
        <w:t>）从经济、技术角度论证项目污染防治措施的可行性；</w:t>
      </w:r>
    </w:p>
    <w:p w:rsidR="00BD5820" w:rsidRDefault="00F64314">
      <w:pPr>
        <w:pStyle w:val="affa"/>
        <w:ind w:firstLine="480"/>
      </w:pPr>
      <w:r>
        <w:t>（</w:t>
      </w:r>
      <w:r>
        <w:t>7</w:t>
      </w:r>
      <w:r>
        <w:t>）预测本项目建设过程中，对周围环境的影响程度和范围，在此基础上提出相应的防范措施；</w:t>
      </w:r>
    </w:p>
    <w:p w:rsidR="00BD5820" w:rsidRDefault="00F64314">
      <w:pPr>
        <w:pStyle w:val="affa"/>
        <w:ind w:firstLine="480"/>
      </w:pPr>
      <w:r>
        <w:t>（</w:t>
      </w:r>
      <w:r>
        <w:t>8</w:t>
      </w:r>
      <w:r>
        <w:t>）针对项目特性进行环境风险分析，提出风险防范措施，明确项目环境风险影响的接受水平；</w:t>
      </w:r>
    </w:p>
    <w:p w:rsidR="00BD5820" w:rsidRDefault="00F64314">
      <w:pPr>
        <w:pStyle w:val="affa"/>
        <w:ind w:firstLine="480"/>
      </w:pPr>
      <w:r>
        <w:t>（</w:t>
      </w:r>
      <w:r>
        <w:t>9</w:t>
      </w:r>
      <w:r>
        <w:t>）为工程的建设及施工期的环境管理提供科学依据，做到经济建设与环境保护协调发展。</w:t>
      </w:r>
    </w:p>
    <w:p w:rsidR="00BD5820" w:rsidRDefault="00F64314">
      <w:pPr>
        <w:keepNext/>
        <w:keepLines/>
        <w:ind w:firstLineChars="0" w:firstLine="0"/>
        <w:outlineLvl w:val="2"/>
        <w:rPr>
          <w:rFonts w:ascii="Times New Roman" w:cs="Times New Roman"/>
          <w:b/>
          <w:szCs w:val="32"/>
        </w:rPr>
      </w:pPr>
      <w:bookmarkStart w:id="55" w:name="_Toc19815929"/>
      <w:r>
        <w:rPr>
          <w:rFonts w:ascii="Times New Roman" w:cs="Times New Roman"/>
          <w:b/>
          <w:szCs w:val="32"/>
        </w:rPr>
        <w:t xml:space="preserve">1.2.2 </w:t>
      </w:r>
      <w:r>
        <w:rPr>
          <w:rFonts w:ascii="Times New Roman" w:cs="Times New Roman"/>
          <w:b/>
          <w:szCs w:val="32"/>
        </w:rPr>
        <w:t>评价原则</w:t>
      </w:r>
      <w:bookmarkEnd w:id="55"/>
    </w:p>
    <w:p w:rsidR="00BD5820" w:rsidRDefault="00F64314">
      <w:pPr>
        <w:pStyle w:val="affa"/>
        <w:ind w:firstLine="480"/>
      </w:pPr>
      <w:r>
        <w:t>本次评价坚持</w:t>
      </w:r>
      <w:r>
        <w:rPr>
          <w:rFonts w:hint="eastAsia"/>
        </w:rPr>
        <w:t>“</w:t>
      </w:r>
      <w:r>
        <w:t>依法评价、科学评价、突出重点</w:t>
      </w:r>
      <w:r>
        <w:rPr>
          <w:rFonts w:hint="eastAsia"/>
        </w:rPr>
        <w:t>”</w:t>
      </w:r>
      <w:r>
        <w:t xml:space="preserve"> </w:t>
      </w:r>
      <w:r>
        <w:t>的原则，起到环境影响评价的源头预防作用，坚持保护和改善环境质量。</w:t>
      </w:r>
    </w:p>
    <w:p w:rsidR="00BD5820" w:rsidRDefault="00F64314">
      <w:pPr>
        <w:pStyle w:val="affa"/>
        <w:ind w:firstLine="480"/>
      </w:pPr>
      <w:r>
        <w:lastRenderedPageBreak/>
        <w:t>（</w:t>
      </w:r>
      <w:r>
        <w:t>1</w:t>
      </w:r>
      <w:r>
        <w:t>）贯彻执行我国环境保护相关法律法规、标准、政策和规划等。建设项目一定要符合产业政策，符合本地区的总体规划、区域发展规划和环境保护规划的原则；</w:t>
      </w:r>
    </w:p>
    <w:p w:rsidR="00BD5820" w:rsidRDefault="00F64314">
      <w:pPr>
        <w:pStyle w:val="affa"/>
        <w:ind w:firstLine="480"/>
      </w:pPr>
      <w:r>
        <w:t>（</w:t>
      </w:r>
      <w:r>
        <w:t>2</w:t>
      </w:r>
      <w:r>
        <w:t>）提出污染防治措施和环境管理要求，优化项目建设，提高企业环境管理水平；</w:t>
      </w:r>
    </w:p>
    <w:p w:rsidR="00BD5820" w:rsidRDefault="00F64314">
      <w:pPr>
        <w:pStyle w:val="affa"/>
        <w:ind w:firstLine="480"/>
      </w:pPr>
      <w:r>
        <w:t>（</w:t>
      </w:r>
      <w:r>
        <w:t>3</w:t>
      </w:r>
      <w:r>
        <w:t>）科学分析项目建设对生态环境的影响，明确项目建设对生态环境影响的方式、范围及程度，预测评价生态环境影响可接受性，确定生态环境影响预防、恢复措施，并论证措施可行性及生态环境影响是否可以接受；</w:t>
      </w:r>
    </w:p>
    <w:p w:rsidR="00BD5820" w:rsidRDefault="00F64314">
      <w:pPr>
        <w:pStyle w:val="affa"/>
        <w:ind w:firstLine="480"/>
      </w:pPr>
      <w:r>
        <w:t>（</w:t>
      </w:r>
      <w:r>
        <w:t>4</w:t>
      </w:r>
      <w:r>
        <w:t>）坚持评价重点突出，结果客观明确，环保措施具有可操作性；体现本次评价的实用性和针对性；充分利用符合时效的数据资料及成果，对建设项目主要环境影响予以重点分析和评价；</w:t>
      </w:r>
    </w:p>
    <w:p w:rsidR="00BD5820" w:rsidRDefault="00F64314">
      <w:pPr>
        <w:pStyle w:val="affa"/>
        <w:ind w:firstLine="480"/>
      </w:pPr>
      <w:r>
        <w:rPr>
          <w:rFonts w:ascii="宋体" w:hAnsi="宋体" w:cs="宋体" w:hint="eastAsia"/>
        </w:rPr>
        <w:t>①</w:t>
      </w:r>
      <w:r>
        <w:t xml:space="preserve"> </w:t>
      </w:r>
      <w:r>
        <w:t>首先对项目建设地环境空气、水环境（地下水、地表水）、声环境、土壤环境</w:t>
      </w:r>
      <w:r>
        <w:rPr>
          <w:rFonts w:hint="eastAsia"/>
        </w:rPr>
        <w:t>、</w:t>
      </w:r>
      <w:r>
        <w:t>生态环境等环境质量现状进行调查和评价。</w:t>
      </w:r>
    </w:p>
    <w:p w:rsidR="00BD5820" w:rsidRDefault="00F64314">
      <w:pPr>
        <w:pStyle w:val="affa"/>
        <w:ind w:firstLine="480"/>
      </w:pPr>
      <w:r>
        <w:rPr>
          <w:rFonts w:ascii="宋体" w:hAnsi="宋体" w:cs="宋体" w:hint="eastAsia"/>
        </w:rPr>
        <w:t>②</w:t>
      </w:r>
      <w:r>
        <w:t xml:space="preserve"> </w:t>
      </w:r>
      <w:r>
        <w:t>对工程各阶段的环境影响因素进行充分识别，采取定量与定性相结合的方法，分析工程对周围环境各项环境要素的影响途径和程度。</w:t>
      </w:r>
    </w:p>
    <w:p w:rsidR="00BD5820" w:rsidRDefault="00F64314">
      <w:pPr>
        <w:pStyle w:val="affa"/>
        <w:ind w:firstLine="480"/>
      </w:pPr>
      <w:r>
        <w:rPr>
          <w:rFonts w:ascii="宋体" w:hAnsi="宋体" w:cs="宋体" w:hint="eastAsia"/>
        </w:rPr>
        <w:t>③</w:t>
      </w:r>
      <w:r>
        <w:t xml:space="preserve"> </w:t>
      </w:r>
      <w:r>
        <w:t>结合项目建设地环境特征，根据各环境要素评价成果，对设计提出的环保措施的可行性、可靠性进行分析，并提出完善措施，以达到环保要求。</w:t>
      </w:r>
    </w:p>
    <w:p w:rsidR="00BD5820" w:rsidRDefault="00F64314">
      <w:pPr>
        <w:keepNext/>
        <w:keepLines/>
        <w:ind w:firstLineChars="0" w:firstLine="0"/>
        <w:outlineLvl w:val="2"/>
        <w:rPr>
          <w:rFonts w:ascii="Times New Roman" w:cs="Times New Roman"/>
          <w:b/>
          <w:szCs w:val="32"/>
        </w:rPr>
      </w:pPr>
      <w:bookmarkStart w:id="56" w:name="_Toc19815930"/>
      <w:r>
        <w:rPr>
          <w:rFonts w:ascii="Times New Roman" w:cs="Times New Roman"/>
          <w:b/>
          <w:szCs w:val="32"/>
        </w:rPr>
        <w:t xml:space="preserve">1.2.3 </w:t>
      </w:r>
      <w:r>
        <w:rPr>
          <w:rFonts w:ascii="Times New Roman" w:cs="Times New Roman"/>
          <w:b/>
          <w:szCs w:val="32"/>
        </w:rPr>
        <w:t>评价重点</w:t>
      </w:r>
      <w:bookmarkEnd w:id="56"/>
    </w:p>
    <w:p w:rsidR="00BD5820" w:rsidRDefault="00F64314">
      <w:pPr>
        <w:pStyle w:val="affa"/>
        <w:ind w:firstLine="480"/>
      </w:pPr>
      <w:r>
        <w:t>根据本项目特点和工程沿线的环境概况，在工程分析的基础上，重点评价工程施工过程中对周边大气</w:t>
      </w:r>
      <w:r>
        <w:rPr>
          <w:rFonts w:hint="eastAsia"/>
        </w:rPr>
        <w:t>、</w:t>
      </w:r>
      <w:r>
        <w:t>地表水</w:t>
      </w:r>
      <w:r>
        <w:rPr>
          <w:rFonts w:hint="eastAsia"/>
        </w:rPr>
        <w:t>、</w:t>
      </w:r>
      <w:r>
        <w:t>地下水</w:t>
      </w:r>
      <w:r>
        <w:rPr>
          <w:rFonts w:hint="eastAsia"/>
        </w:rPr>
        <w:t>、</w:t>
      </w:r>
      <w:r>
        <w:t>声环境</w:t>
      </w:r>
      <w:r>
        <w:rPr>
          <w:rFonts w:hint="eastAsia"/>
        </w:rPr>
        <w:t>、土壤环境及</w:t>
      </w:r>
      <w:r>
        <w:t>生态环境的影响，评价运营期</w:t>
      </w:r>
      <w:r>
        <w:rPr>
          <w:rFonts w:hint="eastAsia"/>
        </w:rPr>
        <w:t>管线</w:t>
      </w:r>
      <w:r>
        <w:t>环境风险。</w:t>
      </w:r>
    </w:p>
    <w:p w:rsidR="00BD5820" w:rsidRDefault="00F64314">
      <w:pPr>
        <w:pStyle w:val="affa"/>
        <w:ind w:firstLine="480"/>
      </w:pPr>
      <w:r>
        <w:t>重点评价工程对管道穿越或临近的自然保护区、风景名胜区、世界文化和自然遗产地、地质公园、基本农田保护区、水土流失重点预防区和重点治理区等《建设项目环境影响评价分类管理名录》（</w:t>
      </w:r>
      <w:r>
        <w:t>2021</w:t>
      </w:r>
      <w:r>
        <w:t>版）中所列的环境敏感区的影响。</w:t>
      </w:r>
    </w:p>
    <w:p w:rsidR="00BD5820" w:rsidRDefault="00F64314">
      <w:pPr>
        <w:keepNext/>
        <w:keepLines/>
        <w:spacing w:before="120"/>
        <w:ind w:firstLineChars="0" w:firstLine="0"/>
        <w:outlineLvl w:val="1"/>
        <w:rPr>
          <w:rFonts w:ascii="Times New Roman" w:cs="Times New Roman"/>
          <w:b/>
          <w:bCs/>
          <w:sz w:val="28"/>
          <w:szCs w:val="32"/>
        </w:rPr>
      </w:pPr>
      <w:bookmarkStart w:id="57" w:name="bookmark4"/>
      <w:bookmarkStart w:id="58" w:name="_Toc19815931"/>
      <w:bookmarkStart w:id="59" w:name="_Toc12288387"/>
      <w:bookmarkStart w:id="60" w:name="_Toc11921"/>
      <w:bookmarkEnd w:id="57"/>
      <w:r>
        <w:rPr>
          <w:rFonts w:ascii="Times New Roman" w:cs="Times New Roman"/>
          <w:b/>
          <w:bCs/>
          <w:sz w:val="28"/>
          <w:szCs w:val="32"/>
        </w:rPr>
        <w:t xml:space="preserve">1.3 </w:t>
      </w:r>
      <w:r>
        <w:rPr>
          <w:rFonts w:ascii="Times New Roman" w:cs="Times New Roman"/>
          <w:b/>
          <w:bCs/>
          <w:sz w:val="28"/>
          <w:szCs w:val="32"/>
        </w:rPr>
        <w:t>环境影响要素识别和评价因子筛选</w:t>
      </w:r>
      <w:bookmarkEnd w:id="58"/>
      <w:bookmarkEnd w:id="59"/>
      <w:bookmarkEnd w:id="60"/>
    </w:p>
    <w:p w:rsidR="00BD5820" w:rsidRDefault="00F64314">
      <w:pPr>
        <w:keepNext/>
        <w:keepLines/>
        <w:ind w:firstLineChars="0" w:firstLine="0"/>
        <w:outlineLvl w:val="2"/>
        <w:rPr>
          <w:rFonts w:ascii="Times New Roman" w:cs="Times New Roman"/>
          <w:b/>
          <w:szCs w:val="32"/>
        </w:rPr>
      </w:pPr>
      <w:bookmarkStart w:id="61" w:name="_Toc19815932"/>
      <w:r>
        <w:rPr>
          <w:rFonts w:ascii="Times New Roman" w:cs="Times New Roman"/>
          <w:b/>
          <w:szCs w:val="32"/>
        </w:rPr>
        <w:t xml:space="preserve">1.3.1 </w:t>
      </w:r>
      <w:r>
        <w:rPr>
          <w:rFonts w:ascii="Times New Roman" w:cs="Times New Roman"/>
          <w:b/>
          <w:szCs w:val="32"/>
        </w:rPr>
        <w:t>环境影响要素识别</w:t>
      </w:r>
      <w:bookmarkEnd w:id="61"/>
    </w:p>
    <w:p w:rsidR="00BD5820" w:rsidRDefault="00F64314">
      <w:pPr>
        <w:pStyle w:val="affa"/>
        <w:ind w:firstLine="480"/>
      </w:pPr>
      <w:r>
        <w:t>本项目为污染影响型兼生态影响型建设工程，主要就工程建设及运行对区域大气</w:t>
      </w:r>
      <w:r>
        <w:rPr>
          <w:rFonts w:hint="eastAsia"/>
        </w:rPr>
        <w:t>、</w:t>
      </w:r>
      <w:r>
        <w:t>地表水</w:t>
      </w:r>
      <w:r>
        <w:rPr>
          <w:rFonts w:hint="eastAsia"/>
        </w:rPr>
        <w:t>、</w:t>
      </w:r>
      <w:r>
        <w:t>地下水</w:t>
      </w:r>
      <w:r>
        <w:rPr>
          <w:rFonts w:hint="eastAsia"/>
        </w:rPr>
        <w:t>、</w:t>
      </w:r>
      <w:r>
        <w:t>声环境</w:t>
      </w:r>
      <w:r>
        <w:rPr>
          <w:rFonts w:hint="eastAsia"/>
        </w:rPr>
        <w:t>、土壤环境及</w:t>
      </w:r>
      <w:r>
        <w:t>生态环境</w:t>
      </w:r>
      <w:r>
        <w:rPr>
          <w:rFonts w:hint="eastAsia"/>
        </w:rPr>
        <w:t>等</w:t>
      </w:r>
      <w:r>
        <w:t>环境要素所造成的影响进行识别。</w:t>
      </w:r>
    </w:p>
    <w:p w:rsidR="00BD5820" w:rsidRDefault="00F64314">
      <w:pPr>
        <w:pStyle w:val="affa"/>
        <w:ind w:firstLine="482"/>
        <w:rPr>
          <w:b/>
        </w:rPr>
      </w:pPr>
      <w:r>
        <w:rPr>
          <w:b/>
        </w:rPr>
        <w:lastRenderedPageBreak/>
        <w:t>1</w:t>
      </w:r>
      <w:r>
        <w:rPr>
          <w:b/>
        </w:rPr>
        <w:t>、生态环境影响</w:t>
      </w:r>
    </w:p>
    <w:p w:rsidR="00BD5820" w:rsidRDefault="00F64314">
      <w:pPr>
        <w:pStyle w:val="affa"/>
        <w:ind w:firstLine="480"/>
        <w:rPr>
          <w:kern w:val="2"/>
          <w:szCs w:val="22"/>
        </w:rPr>
      </w:pPr>
      <w:r>
        <w:rPr>
          <w:kern w:val="2"/>
          <w:szCs w:val="22"/>
        </w:rPr>
        <w:t>本项目生态环境影响主要体现在施工期。工程施工期间对生态环境的影响主要是场地平整</w:t>
      </w:r>
      <w:r>
        <w:rPr>
          <w:rFonts w:hint="eastAsia"/>
          <w:kern w:val="2"/>
          <w:szCs w:val="22"/>
        </w:rPr>
        <w:t>、</w:t>
      </w:r>
      <w:r>
        <w:rPr>
          <w:kern w:val="2"/>
          <w:szCs w:val="22"/>
        </w:rPr>
        <w:t>土石方工程开挖引起的自然地貌的改变和地表自然及人工植被的破坏，进而引起对土地利用的改变，生物量和生产力的变化，由此引发区域生态系统稳定性下降，致使生态环境的破坏；施工中临时道路、临时施工场地等将会占用耕地、林地及其它土地，导致农、林、种植业生态系统发生较大变化；混凝土</w:t>
      </w:r>
      <w:r>
        <w:rPr>
          <w:rFonts w:hint="eastAsia"/>
          <w:kern w:val="2"/>
          <w:szCs w:val="22"/>
        </w:rPr>
        <w:t>道路</w:t>
      </w:r>
      <w:r>
        <w:rPr>
          <w:kern w:val="2"/>
          <w:szCs w:val="22"/>
        </w:rPr>
        <w:t>施工等产生的弃土和施工行为对当地地表水环境容量产生影响；工程线路对沿线生态敏感目标的干扰、阻断影响和破坏。</w:t>
      </w:r>
    </w:p>
    <w:p w:rsidR="00BD5820" w:rsidRDefault="00F64314">
      <w:pPr>
        <w:pStyle w:val="affa"/>
        <w:ind w:firstLine="480"/>
        <w:rPr>
          <w:kern w:val="2"/>
          <w:szCs w:val="22"/>
        </w:rPr>
      </w:pPr>
      <w:r>
        <w:rPr>
          <w:kern w:val="2"/>
          <w:szCs w:val="22"/>
        </w:rPr>
        <w:t>营运期不会带来新的生态影响，受施工期影响的生态环境按相应的环境保护措施，逐步恢复重建。</w:t>
      </w:r>
    </w:p>
    <w:p w:rsidR="00BD5820" w:rsidRDefault="00F64314">
      <w:pPr>
        <w:pStyle w:val="affa"/>
        <w:ind w:firstLine="482"/>
        <w:rPr>
          <w:b/>
        </w:rPr>
      </w:pPr>
      <w:r>
        <w:rPr>
          <w:b/>
        </w:rPr>
        <w:t>2</w:t>
      </w:r>
      <w:r>
        <w:rPr>
          <w:b/>
        </w:rPr>
        <w:t>、地表水环境影响</w:t>
      </w:r>
    </w:p>
    <w:p w:rsidR="00BD5820" w:rsidRDefault="00F64314">
      <w:pPr>
        <w:pStyle w:val="affa"/>
        <w:ind w:firstLine="480"/>
        <w:rPr>
          <w:kern w:val="2"/>
          <w:szCs w:val="22"/>
        </w:rPr>
      </w:pPr>
      <w:r>
        <w:rPr>
          <w:kern w:val="2"/>
          <w:szCs w:val="22"/>
        </w:rPr>
        <w:t>（</w:t>
      </w:r>
      <w:r>
        <w:rPr>
          <w:kern w:val="2"/>
          <w:szCs w:val="22"/>
        </w:rPr>
        <w:t>1</w:t>
      </w:r>
      <w:r>
        <w:rPr>
          <w:kern w:val="2"/>
          <w:szCs w:val="22"/>
        </w:rPr>
        <w:t>）施工期</w:t>
      </w:r>
      <w:r>
        <w:rPr>
          <w:rFonts w:hint="eastAsia"/>
          <w:kern w:val="2"/>
          <w:szCs w:val="22"/>
        </w:rPr>
        <w:t>搅拌机、车辆冲洗废水</w:t>
      </w:r>
      <w:r>
        <w:rPr>
          <w:kern w:val="2"/>
          <w:szCs w:val="22"/>
        </w:rPr>
        <w:t>对地表水环境的影响；</w:t>
      </w:r>
    </w:p>
    <w:p w:rsidR="00BD5820" w:rsidRDefault="00F64314">
      <w:pPr>
        <w:pStyle w:val="affa"/>
        <w:ind w:firstLine="480"/>
        <w:rPr>
          <w:kern w:val="2"/>
          <w:szCs w:val="22"/>
        </w:rPr>
      </w:pPr>
      <w:r>
        <w:rPr>
          <w:kern w:val="2"/>
          <w:szCs w:val="22"/>
        </w:rPr>
        <w:t>（</w:t>
      </w:r>
      <w:r>
        <w:rPr>
          <w:kern w:val="2"/>
          <w:szCs w:val="22"/>
        </w:rPr>
        <w:t>2</w:t>
      </w:r>
      <w:r>
        <w:rPr>
          <w:kern w:val="2"/>
          <w:szCs w:val="22"/>
        </w:rPr>
        <w:t>）清管试压排放水对地表水环境的影响；</w:t>
      </w:r>
    </w:p>
    <w:p w:rsidR="00BD5820" w:rsidRDefault="00F64314">
      <w:pPr>
        <w:pStyle w:val="affa"/>
        <w:ind w:firstLine="480"/>
        <w:rPr>
          <w:kern w:val="2"/>
          <w:szCs w:val="22"/>
        </w:rPr>
      </w:pPr>
      <w:r>
        <w:rPr>
          <w:kern w:val="2"/>
          <w:szCs w:val="22"/>
        </w:rPr>
        <w:t>（</w:t>
      </w:r>
      <w:r>
        <w:rPr>
          <w:kern w:val="2"/>
          <w:szCs w:val="22"/>
        </w:rPr>
        <w:t>3</w:t>
      </w:r>
      <w:r>
        <w:rPr>
          <w:kern w:val="2"/>
          <w:szCs w:val="22"/>
        </w:rPr>
        <w:t>）施工人员产生的生活污水排放对地表水环境的影响；</w:t>
      </w:r>
    </w:p>
    <w:p w:rsidR="00BD5820" w:rsidRDefault="00F64314">
      <w:pPr>
        <w:pStyle w:val="affa"/>
        <w:ind w:firstLine="480"/>
        <w:rPr>
          <w:kern w:val="2"/>
          <w:szCs w:val="22"/>
        </w:rPr>
      </w:pPr>
      <w:r>
        <w:rPr>
          <w:kern w:val="2"/>
          <w:szCs w:val="22"/>
        </w:rPr>
        <w:t>（</w:t>
      </w:r>
      <w:r>
        <w:rPr>
          <w:kern w:val="2"/>
          <w:szCs w:val="22"/>
        </w:rPr>
        <w:t>4</w:t>
      </w:r>
      <w:r>
        <w:rPr>
          <w:kern w:val="2"/>
          <w:szCs w:val="22"/>
        </w:rPr>
        <w:t>）运营期气田水对地表水环境的影响</w:t>
      </w:r>
      <w:r>
        <w:rPr>
          <w:rFonts w:hint="eastAsia"/>
          <w:kern w:val="2"/>
          <w:szCs w:val="22"/>
        </w:rPr>
        <w:t>；</w:t>
      </w:r>
      <w:r>
        <w:rPr>
          <w:kern w:val="2"/>
          <w:szCs w:val="22"/>
        </w:rPr>
        <w:t>。</w:t>
      </w:r>
    </w:p>
    <w:p w:rsidR="00BD5820" w:rsidRDefault="00F64314">
      <w:pPr>
        <w:ind w:firstLine="482"/>
        <w:rPr>
          <w:rFonts w:ascii="Times New Roman" w:cs="Times New Roman"/>
          <w:b/>
        </w:rPr>
      </w:pPr>
      <w:r>
        <w:rPr>
          <w:rFonts w:ascii="Times New Roman" w:cs="Times New Roman"/>
          <w:b/>
        </w:rPr>
        <w:t>3</w:t>
      </w:r>
      <w:r>
        <w:rPr>
          <w:rFonts w:ascii="Times New Roman" w:cs="Times New Roman"/>
          <w:b/>
        </w:rPr>
        <w:t>、地下水环境影响</w:t>
      </w:r>
    </w:p>
    <w:p w:rsidR="00BD5820" w:rsidRDefault="00F64314">
      <w:pPr>
        <w:topLinePunct w:val="0"/>
        <w:adjustRightInd/>
        <w:ind w:firstLine="480"/>
        <w:rPr>
          <w:rFonts w:ascii="Times New Roman" w:cs="Times New Roman"/>
          <w:kern w:val="2"/>
          <w:szCs w:val="22"/>
        </w:rPr>
      </w:pPr>
      <w:r>
        <w:rPr>
          <w:rFonts w:ascii="Times New Roman" w:cs="Times New Roman"/>
          <w:kern w:val="2"/>
          <w:szCs w:val="22"/>
        </w:rPr>
        <w:t>（</w:t>
      </w:r>
      <w:r>
        <w:rPr>
          <w:rFonts w:ascii="Times New Roman" w:cs="Times New Roman"/>
          <w:kern w:val="2"/>
          <w:szCs w:val="22"/>
        </w:rPr>
        <w:t>1</w:t>
      </w:r>
      <w:r>
        <w:rPr>
          <w:rFonts w:ascii="Times New Roman" w:cs="Times New Roman"/>
          <w:kern w:val="2"/>
          <w:szCs w:val="22"/>
        </w:rPr>
        <w:t>）本项目</w:t>
      </w:r>
      <w:r>
        <w:rPr>
          <w:rFonts w:ascii="Times New Roman" w:cs="Times New Roman" w:hint="eastAsia"/>
          <w:kern w:val="2"/>
          <w:szCs w:val="22"/>
        </w:rPr>
        <w:t>施工</w:t>
      </w:r>
      <w:r>
        <w:rPr>
          <w:rFonts w:ascii="Times New Roman" w:cs="Times New Roman"/>
          <w:kern w:val="2"/>
          <w:szCs w:val="22"/>
        </w:rPr>
        <w:t>废水及施工生活污水</w:t>
      </w:r>
      <w:r>
        <w:rPr>
          <w:rFonts w:ascii="Times New Roman" w:cs="Times New Roman" w:hint="eastAsia"/>
          <w:kern w:val="2"/>
          <w:szCs w:val="22"/>
        </w:rPr>
        <w:t>若</w:t>
      </w:r>
      <w:r>
        <w:rPr>
          <w:rFonts w:ascii="Times New Roman" w:cs="Times New Roman"/>
          <w:kern w:val="2"/>
          <w:szCs w:val="22"/>
        </w:rPr>
        <w:t>处理不当外排，外排废水下渗对局部区域地下水水质造成影响；</w:t>
      </w:r>
    </w:p>
    <w:p w:rsidR="00BD5820" w:rsidRDefault="00F64314">
      <w:pPr>
        <w:topLinePunct w:val="0"/>
        <w:adjustRightInd/>
        <w:ind w:firstLine="480"/>
        <w:rPr>
          <w:rFonts w:ascii="Times New Roman" w:cs="Times New Roman"/>
          <w:kern w:val="2"/>
          <w:szCs w:val="22"/>
        </w:rPr>
      </w:pPr>
      <w:r>
        <w:rPr>
          <w:rFonts w:ascii="Times New Roman" w:cs="Times New Roman"/>
          <w:kern w:val="2"/>
          <w:szCs w:val="22"/>
        </w:rPr>
        <w:t>（</w:t>
      </w:r>
      <w:r>
        <w:rPr>
          <w:rFonts w:ascii="Times New Roman" w:cs="Times New Roman"/>
          <w:kern w:val="2"/>
          <w:szCs w:val="22"/>
        </w:rPr>
        <w:t>2</w:t>
      </w:r>
      <w:r>
        <w:rPr>
          <w:rFonts w:ascii="Times New Roman" w:cs="Times New Roman"/>
          <w:kern w:val="2"/>
          <w:szCs w:val="22"/>
        </w:rPr>
        <w:t>）营运期对地下水的影响是润滑油储罐</w:t>
      </w:r>
      <w:r>
        <w:rPr>
          <w:rFonts w:ascii="Times New Roman" w:cs="Times New Roman" w:hint="eastAsia"/>
          <w:kern w:val="2"/>
          <w:szCs w:val="22"/>
        </w:rPr>
        <w:t>、污水罐</w:t>
      </w:r>
      <w:r>
        <w:rPr>
          <w:rFonts w:ascii="Times New Roman" w:cs="Times New Roman"/>
          <w:kern w:val="2"/>
          <w:szCs w:val="22"/>
        </w:rPr>
        <w:t>因管理不当而损坏，导致污水下渗对局部区域地下水水质造成影响。</w:t>
      </w:r>
    </w:p>
    <w:p w:rsidR="00BD5820" w:rsidRDefault="00F64314">
      <w:pPr>
        <w:pStyle w:val="affa"/>
        <w:ind w:firstLine="482"/>
        <w:rPr>
          <w:b/>
          <w:bCs/>
        </w:rPr>
      </w:pPr>
      <w:r>
        <w:rPr>
          <w:b/>
          <w:bCs/>
        </w:rPr>
        <w:t>4</w:t>
      </w:r>
      <w:r>
        <w:rPr>
          <w:b/>
          <w:bCs/>
        </w:rPr>
        <w:t>、大气环境影响</w:t>
      </w:r>
    </w:p>
    <w:p w:rsidR="00BD5820" w:rsidRDefault="00F64314">
      <w:pPr>
        <w:pStyle w:val="affa"/>
        <w:ind w:firstLine="480"/>
      </w:pPr>
      <w:r>
        <w:t>（</w:t>
      </w:r>
      <w:r>
        <w:t>1</w:t>
      </w:r>
      <w:r>
        <w:t>）施工机械排放的废气；</w:t>
      </w:r>
    </w:p>
    <w:p w:rsidR="00BD5820" w:rsidRDefault="00F64314">
      <w:pPr>
        <w:pStyle w:val="affa"/>
        <w:ind w:firstLine="480"/>
      </w:pPr>
      <w:r>
        <w:t>（</w:t>
      </w:r>
      <w:r>
        <w:t>2</w:t>
      </w:r>
      <w:r>
        <w:t>）施工产生的扬尘；</w:t>
      </w:r>
    </w:p>
    <w:p w:rsidR="00BD5820" w:rsidRDefault="00F64314">
      <w:pPr>
        <w:pStyle w:val="affa"/>
        <w:ind w:firstLine="480"/>
      </w:pPr>
      <w:r>
        <w:t>（</w:t>
      </w:r>
      <w:r>
        <w:rPr>
          <w:rFonts w:hint="eastAsia"/>
        </w:rPr>
        <w:t>3</w:t>
      </w:r>
      <w:r>
        <w:t>）营运期非正常工况外排的废气，包括清管检修时冷排的天然气和事故放空时点燃放空的天然气。</w:t>
      </w:r>
    </w:p>
    <w:p w:rsidR="00BD5820" w:rsidRDefault="00F64314">
      <w:pPr>
        <w:pStyle w:val="affa"/>
        <w:ind w:firstLine="482"/>
        <w:rPr>
          <w:b/>
          <w:bCs/>
        </w:rPr>
      </w:pPr>
      <w:r>
        <w:rPr>
          <w:b/>
          <w:bCs/>
        </w:rPr>
        <w:t>5</w:t>
      </w:r>
      <w:r>
        <w:rPr>
          <w:b/>
          <w:bCs/>
        </w:rPr>
        <w:t>、声环境影响</w:t>
      </w:r>
    </w:p>
    <w:p w:rsidR="00BD5820" w:rsidRDefault="00F64314">
      <w:pPr>
        <w:topLinePunct w:val="0"/>
        <w:adjustRightInd/>
        <w:ind w:firstLine="480"/>
        <w:rPr>
          <w:rFonts w:ascii="Times New Roman" w:cs="Times New Roman"/>
          <w:kern w:val="2"/>
          <w:szCs w:val="22"/>
        </w:rPr>
      </w:pPr>
      <w:r>
        <w:rPr>
          <w:rFonts w:ascii="Times New Roman" w:cs="Times New Roman"/>
          <w:kern w:val="2"/>
          <w:szCs w:val="22"/>
        </w:rPr>
        <w:t>（</w:t>
      </w:r>
      <w:r>
        <w:rPr>
          <w:rFonts w:ascii="Times New Roman" w:cs="Times New Roman"/>
          <w:kern w:val="2"/>
          <w:szCs w:val="22"/>
        </w:rPr>
        <w:t>1</w:t>
      </w:r>
      <w:r>
        <w:rPr>
          <w:rFonts w:ascii="Times New Roman" w:cs="Times New Roman"/>
          <w:kern w:val="2"/>
          <w:szCs w:val="22"/>
        </w:rPr>
        <w:t>）施工期施工机械产生的机械噪声；</w:t>
      </w:r>
    </w:p>
    <w:p w:rsidR="00BD5820" w:rsidRDefault="00F64314">
      <w:pPr>
        <w:topLinePunct w:val="0"/>
        <w:adjustRightInd/>
        <w:ind w:firstLine="480"/>
        <w:rPr>
          <w:rFonts w:ascii="Times New Roman" w:cs="Times New Roman"/>
          <w:kern w:val="2"/>
          <w:szCs w:val="22"/>
        </w:rPr>
      </w:pPr>
      <w:bookmarkStart w:id="62" w:name="_Hlk80470452"/>
      <w:r>
        <w:rPr>
          <w:rFonts w:ascii="Times New Roman" w:cs="Times New Roman"/>
          <w:kern w:val="2"/>
          <w:szCs w:val="22"/>
        </w:rPr>
        <w:t>（</w:t>
      </w:r>
      <w:r>
        <w:rPr>
          <w:rFonts w:ascii="Times New Roman" w:cs="Times New Roman"/>
          <w:kern w:val="2"/>
          <w:szCs w:val="22"/>
        </w:rPr>
        <w:t>2</w:t>
      </w:r>
      <w:r>
        <w:rPr>
          <w:rFonts w:ascii="Times New Roman" w:cs="Times New Roman"/>
          <w:kern w:val="2"/>
          <w:szCs w:val="22"/>
        </w:rPr>
        <w:t>）营运期站场设备运行噪声。</w:t>
      </w:r>
    </w:p>
    <w:bookmarkEnd w:id="62"/>
    <w:p w:rsidR="00BD5820" w:rsidRDefault="00F64314">
      <w:pPr>
        <w:pStyle w:val="affa"/>
        <w:ind w:firstLine="482"/>
        <w:rPr>
          <w:b/>
          <w:bCs/>
        </w:rPr>
      </w:pPr>
      <w:r>
        <w:rPr>
          <w:b/>
          <w:bCs/>
        </w:rPr>
        <w:t>6</w:t>
      </w:r>
      <w:r>
        <w:rPr>
          <w:b/>
          <w:bCs/>
        </w:rPr>
        <w:t>、固体废物环境影响</w:t>
      </w:r>
    </w:p>
    <w:p w:rsidR="00BD5820" w:rsidRDefault="00F64314">
      <w:pPr>
        <w:pStyle w:val="affa"/>
        <w:ind w:firstLine="480"/>
      </w:pPr>
      <w:r>
        <w:lastRenderedPageBreak/>
        <w:t>（</w:t>
      </w:r>
      <w:r>
        <w:t>1</w:t>
      </w:r>
      <w:r>
        <w:t>）施工期产生的固体废物主要为废弃土石方、建筑垃圾、生活垃圾等；</w:t>
      </w:r>
      <w:r>
        <w:t xml:space="preserve"> </w:t>
      </w:r>
    </w:p>
    <w:p w:rsidR="00BD5820" w:rsidRDefault="00F64314">
      <w:pPr>
        <w:pStyle w:val="affa"/>
        <w:ind w:firstLine="480"/>
      </w:pPr>
      <w:r>
        <w:t>（</w:t>
      </w:r>
      <w:r>
        <w:t>2</w:t>
      </w:r>
      <w:r>
        <w:t>）营运期主要为压缩机产生的废润滑油、高效分离器及污水罐底部产生的污泥、清管作业产生的少量固体粉末。</w:t>
      </w:r>
    </w:p>
    <w:p w:rsidR="00BD5820" w:rsidRDefault="00F64314">
      <w:pPr>
        <w:pStyle w:val="affa"/>
        <w:ind w:firstLine="482"/>
        <w:rPr>
          <w:b/>
          <w:bCs/>
        </w:rPr>
      </w:pPr>
      <w:r>
        <w:rPr>
          <w:b/>
          <w:bCs/>
        </w:rPr>
        <w:t>7</w:t>
      </w:r>
      <w:r>
        <w:rPr>
          <w:b/>
          <w:bCs/>
        </w:rPr>
        <w:t>、土壤环境影响</w:t>
      </w:r>
    </w:p>
    <w:p w:rsidR="00BD5820" w:rsidRDefault="00F64314">
      <w:pPr>
        <w:pStyle w:val="affa"/>
        <w:ind w:firstLine="480"/>
      </w:pPr>
      <w:r>
        <w:t>（</w:t>
      </w:r>
      <w:r>
        <w:t>1</w:t>
      </w:r>
      <w:r>
        <w:t>）施工期</w:t>
      </w:r>
      <w:r>
        <w:rPr>
          <w:rFonts w:hint="eastAsia"/>
        </w:rPr>
        <w:t>场地平整、</w:t>
      </w:r>
      <w:r>
        <w:t>管线开挖造成土壤扰动；</w:t>
      </w:r>
    </w:p>
    <w:p w:rsidR="00BD5820" w:rsidRDefault="00F64314">
      <w:pPr>
        <w:pStyle w:val="affa"/>
        <w:ind w:firstLine="480"/>
      </w:pPr>
      <w:r>
        <w:t>（</w:t>
      </w:r>
      <w:r>
        <w:t>2</w:t>
      </w:r>
      <w:r>
        <w:t>）施工期施工废水对土壤的影响；</w:t>
      </w:r>
    </w:p>
    <w:p w:rsidR="00BD5820" w:rsidRDefault="00F64314">
      <w:pPr>
        <w:pStyle w:val="affa"/>
        <w:ind w:firstLine="480"/>
      </w:pPr>
      <w:r>
        <w:t>（</w:t>
      </w:r>
      <w:r>
        <w:t>3</w:t>
      </w:r>
      <w:r>
        <w:t>）施工期施工机械废机油渗漏对土壤的影响；</w:t>
      </w:r>
    </w:p>
    <w:p w:rsidR="00BD5820" w:rsidRDefault="00F64314">
      <w:pPr>
        <w:pStyle w:val="affa"/>
        <w:ind w:firstLine="480"/>
      </w:pPr>
      <w:r>
        <w:t>（</w:t>
      </w:r>
      <w:r>
        <w:t>4</w:t>
      </w:r>
      <w:r>
        <w:t>）运营期气田水对土壤环境的影响。</w:t>
      </w:r>
    </w:p>
    <w:p w:rsidR="00BD5820" w:rsidRDefault="00F64314">
      <w:pPr>
        <w:pStyle w:val="affa"/>
        <w:ind w:firstLine="482"/>
        <w:rPr>
          <w:b/>
          <w:bCs/>
        </w:rPr>
      </w:pPr>
      <w:r>
        <w:rPr>
          <w:b/>
          <w:bCs/>
        </w:rPr>
        <w:t>8</w:t>
      </w:r>
      <w:r>
        <w:rPr>
          <w:b/>
          <w:bCs/>
        </w:rPr>
        <w:t>、社会环境影响</w:t>
      </w:r>
    </w:p>
    <w:p w:rsidR="00BD5820" w:rsidRDefault="00F64314">
      <w:pPr>
        <w:pStyle w:val="affa"/>
        <w:ind w:firstLine="480"/>
      </w:pPr>
      <w:r>
        <w:t>（</w:t>
      </w:r>
      <w:r>
        <w:t>1</w:t>
      </w:r>
      <w:r>
        <w:t>）施工期对沿线农业生产的影响；</w:t>
      </w:r>
    </w:p>
    <w:p w:rsidR="00BD5820" w:rsidRDefault="00F64314">
      <w:pPr>
        <w:pStyle w:val="affa"/>
        <w:ind w:firstLine="480"/>
      </w:pPr>
      <w:r>
        <w:t>（</w:t>
      </w:r>
      <w:r>
        <w:t>2</w:t>
      </w:r>
      <w:r>
        <w:t>）施工期对居住环境的影响；</w:t>
      </w:r>
    </w:p>
    <w:p w:rsidR="00BD5820" w:rsidRDefault="00F64314">
      <w:pPr>
        <w:pStyle w:val="affa"/>
        <w:ind w:firstLine="480"/>
      </w:pPr>
      <w:r>
        <w:t>（</w:t>
      </w:r>
      <w:r>
        <w:t>3</w:t>
      </w:r>
      <w:r>
        <w:t>）工程建设对沿线景观的影响；</w:t>
      </w:r>
    </w:p>
    <w:p w:rsidR="00BD5820" w:rsidRDefault="00F64314">
      <w:pPr>
        <w:pStyle w:val="affa"/>
        <w:ind w:firstLine="480"/>
      </w:pPr>
      <w:r>
        <w:t>（</w:t>
      </w:r>
      <w:r>
        <w:t>4</w:t>
      </w:r>
      <w:r>
        <w:t>）对沿线的社会就业、社会经济的贡献。</w:t>
      </w:r>
    </w:p>
    <w:p w:rsidR="00BD5820" w:rsidRDefault="00F64314">
      <w:pPr>
        <w:pStyle w:val="affa"/>
        <w:ind w:firstLine="480"/>
      </w:pPr>
      <w:r>
        <w:t>本项目环境影响具体内容见表</w:t>
      </w:r>
      <w:r>
        <w:t>1.3-1</w:t>
      </w:r>
      <w:r>
        <w:t>。</w:t>
      </w:r>
    </w:p>
    <w:p w:rsidR="00BD5820" w:rsidRDefault="00F64314">
      <w:pPr>
        <w:pStyle w:val="10"/>
        <w:rPr>
          <w:rFonts w:cs="Times New Roman"/>
        </w:rPr>
      </w:pPr>
      <w:r>
        <w:rPr>
          <w:rFonts w:cs="Times New Roman"/>
        </w:rPr>
        <w:br w:type="page"/>
      </w:r>
      <w:r>
        <w:rPr>
          <w:rFonts w:cs="Times New Roman"/>
        </w:rPr>
        <w:lastRenderedPageBreak/>
        <w:t>表</w:t>
      </w:r>
      <w:r>
        <w:rPr>
          <w:rFonts w:cs="Times New Roman"/>
        </w:rPr>
        <w:t xml:space="preserve">1.3-1  </w:t>
      </w:r>
      <w:r>
        <w:rPr>
          <w:rFonts w:cs="Times New Roman"/>
        </w:rPr>
        <w:t>本项目施工期和运营期环境影响分析表</w:t>
      </w:r>
    </w:p>
    <w:tbl>
      <w:tblPr>
        <w:tblW w:w="5330" w:type="pct"/>
        <w:jc w:val="center"/>
        <w:tblCellMar>
          <w:left w:w="0" w:type="dxa"/>
          <w:right w:w="0" w:type="dxa"/>
        </w:tblCellMar>
        <w:tblLook w:val="04A0"/>
      </w:tblPr>
      <w:tblGrid>
        <w:gridCol w:w="542"/>
        <w:gridCol w:w="515"/>
        <w:gridCol w:w="1778"/>
        <w:gridCol w:w="6019"/>
      </w:tblGrid>
      <w:tr w:rsidR="00BD5820">
        <w:trPr>
          <w:trHeight w:val="17"/>
          <w:jc w:val="center"/>
        </w:trPr>
        <w:tc>
          <w:tcPr>
            <w:tcW w:w="306" w:type="pct"/>
            <w:tcBorders>
              <w:top w:val="single" w:sz="12" w:space="0" w:color="000000"/>
              <w:left w:val="nil"/>
              <w:bottom w:val="single" w:sz="2"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b/>
                <w:bCs/>
                <w:kern w:val="2"/>
                <w:sz w:val="21"/>
                <w:szCs w:val="21"/>
              </w:rPr>
            </w:pPr>
            <w:r>
              <w:rPr>
                <w:rFonts w:ascii="Times New Roman" w:cs="Times New Roman"/>
                <w:b/>
                <w:bCs/>
                <w:kern w:val="2"/>
                <w:sz w:val="21"/>
                <w:szCs w:val="21"/>
              </w:rPr>
              <w:t>时段</w:t>
            </w:r>
          </w:p>
        </w:tc>
        <w:tc>
          <w:tcPr>
            <w:tcW w:w="1295" w:type="pct"/>
            <w:gridSpan w:val="2"/>
            <w:tcBorders>
              <w:top w:val="single" w:sz="12" w:space="0" w:color="000000"/>
              <w:left w:val="single" w:sz="4" w:space="0" w:color="000000"/>
              <w:bottom w:val="single" w:sz="2"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b/>
                <w:bCs/>
                <w:kern w:val="2"/>
                <w:sz w:val="21"/>
                <w:szCs w:val="21"/>
              </w:rPr>
            </w:pPr>
            <w:r>
              <w:rPr>
                <w:rFonts w:ascii="Times New Roman" w:cs="Times New Roman"/>
                <w:b/>
                <w:bCs/>
                <w:kern w:val="2"/>
                <w:sz w:val="21"/>
                <w:szCs w:val="21"/>
              </w:rPr>
              <w:t>项目建设活动</w:t>
            </w:r>
          </w:p>
        </w:tc>
        <w:tc>
          <w:tcPr>
            <w:tcW w:w="3399" w:type="pct"/>
            <w:tcBorders>
              <w:top w:val="single" w:sz="12" w:space="0" w:color="000000"/>
              <w:left w:val="single" w:sz="4" w:space="0" w:color="000000"/>
              <w:bottom w:val="single" w:sz="2" w:space="0" w:color="000000"/>
              <w:right w:val="nil"/>
            </w:tcBorders>
            <w:vAlign w:val="center"/>
          </w:tcPr>
          <w:p w:rsidR="00BD5820" w:rsidRDefault="00F64314">
            <w:pPr>
              <w:topLinePunct w:val="0"/>
              <w:adjustRightInd/>
              <w:spacing w:line="240" w:lineRule="auto"/>
              <w:ind w:firstLineChars="0" w:firstLine="0"/>
              <w:jc w:val="center"/>
              <w:rPr>
                <w:rFonts w:ascii="Times New Roman" w:cs="Times New Roman"/>
                <w:b/>
                <w:bCs/>
                <w:kern w:val="2"/>
                <w:sz w:val="21"/>
                <w:szCs w:val="21"/>
              </w:rPr>
            </w:pPr>
            <w:r>
              <w:rPr>
                <w:rFonts w:ascii="Times New Roman" w:cs="Times New Roman"/>
                <w:b/>
                <w:bCs/>
                <w:kern w:val="2"/>
                <w:sz w:val="21"/>
                <w:szCs w:val="21"/>
              </w:rPr>
              <w:t>环境影响内容</w:t>
            </w:r>
          </w:p>
        </w:tc>
      </w:tr>
      <w:tr w:rsidR="00BD5820">
        <w:trPr>
          <w:trHeight w:val="17"/>
          <w:jc w:val="center"/>
        </w:trPr>
        <w:tc>
          <w:tcPr>
            <w:tcW w:w="306" w:type="pct"/>
            <w:vMerge w:val="restart"/>
            <w:tcBorders>
              <w:top w:val="single" w:sz="2" w:space="0" w:color="000000"/>
              <w:left w:val="nil"/>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施</w:t>
            </w:r>
          </w:p>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工</w:t>
            </w:r>
          </w:p>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期</w:t>
            </w:r>
          </w:p>
        </w:tc>
        <w:tc>
          <w:tcPr>
            <w:tcW w:w="291" w:type="pct"/>
            <w:vMerge w:val="restart"/>
            <w:tcBorders>
              <w:top w:val="single" w:sz="2" w:space="0" w:color="000000"/>
              <w:left w:val="single" w:sz="4" w:space="0" w:color="000000"/>
              <w:bottom w:val="single" w:sz="2"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线路工程</w:t>
            </w:r>
          </w:p>
        </w:tc>
        <w:tc>
          <w:tcPr>
            <w:tcW w:w="1004" w:type="pct"/>
            <w:tcBorders>
              <w:top w:val="single" w:sz="2" w:space="0" w:color="000000"/>
              <w:left w:val="single" w:sz="4" w:space="0" w:color="000000"/>
              <w:bottom w:val="single" w:sz="2"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管道</w:t>
            </w:r>
          </w:p>
        </w:tc>
        <w:tc>
          <w:tcPr>
            <w:tcW w:w="3399" w:type="pct"/>
            <w:tcBorders>
              <w:top w:val="single" w:sz="2" w:space="0" w:color="000000"/>
              <w:left w:val="single" w:sz="4" w:space="0" w:color="000000"/>
              <w:bottom w:val="single" w:sz="2" w:space="0" w:color="000000"/>
              <w:right w:val="nil"/>
            </w:tcBorders>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临时占用土地，改变土地利用的现有功能或类型。</w:t>
            </w:r>
          </w:p>
        </w:tc>
      </w:tr>
      <w:tr w:rsidR="00BD5820">
        <w:trPr>
          <w:trHeight w:val="569"/>
          <w:jc w:val="center"/>
        </w:trPr>
        <w:tc>
          <w:tcPr>
            <w:tcW w:w="306" w:type="pct"/>
            <w:vMerge/>
            <w:tcBorders>
              <w:left w:val="nil"/>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szCs w:val="21"/>
              </w:rPr>
            </w:pPr>
          </w:p>
        </w:tc>
        <w:tc>
          <w:tcPr>
            <w:tcW w:w="291" w:type="pct"/>
            <w:vMerge/>
            <w:tcBorders>
              <w:top w:val="single" w:sz="2" w:space="0" w:color="000000"/>
              <w:left w:val="single" w:sz="4" w:space="0" w:color="000000"/>
              <w:bottom w:val="single" w:sz="2"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szCs w:val="21"/>
              </w:rPr>
            </w:pPr>
          </w:p>
        </w:tc>
        <w:tc>
          <w:tcPr>
            <w:tcW w:w="1004" w:type="pct"/>
            <w:tcBorders>
              <w:top w:val="single" w:sz="2" w:space="0" w:color="000000"/>
              <w:left w:val="single" w:sz="4" w:space="0" w:color="000000"/>
              <w:bottom w:val="single" w:sz="2"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管沟开挖与回填</w:t>
            </w:r>
          </w:p>
        </w:tc>
        <w:tc>
          <w:tcPr>
            <w:tcW w:w="3399" w:type="pct"/>
            <w:tcBorders>
              <w:top w:val="single" w:sz="2" w:space="0" w:color="000000"/>
              <w:left w:val="single" w:sz="4" w:space="0" w:color="000000"/>
              <w:bottom w:val="single" w:sz="2" w:space="0" w:color="000000"/>
              <w:right w:val="nil"/>
            </w:tcBorders>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破坏施工作业带内的土壤、植被和视觉景观；特别对沿线林地的破坏是不可逆转的，需要提出林地补偿建设计划；可能产生废弃石方，且堆放不当易引起水土流失，污染地表水体或农田；运输、挖填作业中产生扬尘。</w:t>
            </w:r>
          </w:p>
        </w:tc>
      </w:tr>
      <w:tr w:rsidR="00BD5820">
        <w:trPr>
          <w:trHeight w:val="17"/>
          <w:jc w:val="center"/>
        </w:trPr>
        <w:tc>
          <w:tcPr>
            <w:tcW w:w="306" w:type="pct"/>
            <w:vMerge/>
            <w:tcBorders>
              <w:left w:val="nil"/>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szCs w:val="21"/>
              </w:rPr>
            </w:pPr>
          </w:p>
        </w:tc>
        <w:tc>
          <w:tcPr>
            <w:tcW w:w="291" w:type="pct"/>
            <w:vMerge/>
            <w:tcBorders>
              <w:top w:val="single" w:sz="2" w:space="0" w:color="000000"/>
              <w:left w:val="single" w:sz="4" w:space="0" w:color="000000"/>
              <w:bottom w:val="single" w:sz="2"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szCs w:val="21"/>
              </w:rPr>
            </w:pPr>
          </w:p>
        </w:tc>
        <w:tc>
          <w:tcPr>
            <w:tcW w:w="1004" w:type="pct"/>
            <w:tcBorders>
              <w:top w:val="single" w:sz="2" w:space="0" w:color="000000"/>
              <w:left w:val="single" w:sz="4" w:space="0" w:color="000000"/>
              <w:bottom w:val="single" w:sz="2"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原材料运输</w:t>
            </w:r>
          </w:p>
        </w:tc>
        <w:tc>
          <w:tcPr>
            <w:tcW w:w="3399" w:type="pct"/>
            <w:tcBorders>
              <w:top w:val="single" w:sz="2" w:space="0" w:color="000000"/>
              <w:left w:val="single" w:sz="4" w:space="0" w:color="000000"/>
              <w:bottom w:val="single" w:sz="2" w:space="0" w:color="000000"/>
              <w:right w:val="nil"/>
            </w:tcBorders>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运输车辆产生尾气、噪声和扬尘；</w:t>
            </w:r>
          </w:p>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临时料场占用土地，短期影响土地的使用功能或类型；</w:t>
            </w:r>
          </w:p>
        </w:tc>
      </w:tr>
      <w:tr w:rsidR="00BD5820">
        <w:trPr>
          <w:trHeight w:val="17"/>
          <w:jc w:val="center"/>
        </w:trPr>
        <w:tc>
          <w:tcPr>
            <w:tcW w:w="306" w:type="pct"/>
            <w:vMerge/>
            <w:tcBorders>
              <w:left w:val="nil"/>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szCs w:val="21"/>
              </w:rPr>
            </w:pPr>
          </w:p>
        </w:tc>
        <w:tc>
          <w:tcPr>
            <w:tcW w:w="291" w:type="pct"/>
            <w:vMerge/>
            <w:tcBorders>
              <w:top w:val="single" w:sz="2" w:space="0" w:color="000000"/>
              <w:left w:val="single" w:sz="4" w:space="0" w:color="000000"/>
              <w:bottom w:val="single" w:sz="2"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szCs w:val="21"/>
              </w:rPr>
            </w:pPr>
          </w:p>
        </w:tc>
        <w:tc>
          <w:tcPr>
            <w:tcW w:w="1004" w:type="pct"/>
            <w:tcBorders>
              <w:top w:val="single" w:sz="2" w:space="0" w:color="000000"/>
              <w:left w:val="single" w:sz="4" w:space="0" w:color="000000"/>
              <w:bottom w:val="single" w:sz="2"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施工机械操作</w:t>
            </w:r>
          </w:p>
        </w:tc>
        <w:tc>
          <w:tcPr>
            <w:tcW w:w="3399" w:type="pct"/>
            <w:tcBorders>
              <w:top w:val="single" w:sz="2" w:space="0" w:color="000000"/>
              <w:left w:val="single" w:sz="4" w:space="0" w:color="000000"/>
              <w:bottom w:val="single" w:sz="2" w:space="0" w:color="000000"/>
              <w:right w:val="nil"/>
            </w:tcBorders>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产生机械尾气和噪声。</w:t>
            </w:r>
          </w:p>
        </w:tc>
      </w:tr>
      <w:tr w:rsidR="00BD5820">
        <w:trPr>
          <w:trHeight w:val="17"/>
          <w:jc w:val="center"/>
        </w:trPr>
        <w:tc>
          <w:tcPr>
            <w:tcW w:w="306" w:type="pct"/>
            <w:vMerge/>
            <w:tcBorders>
              <w:left w:val="nil"/>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szCs w:val="21"/>
              </w:rPr>
            </w:pPr>
          </w:p>
        </w:tc>
        <w:tc>
          <w:tcPr>
            <w:tcW w:w="291" w:type="pct"/>
            <w:vMerge/>
            <w:tcBorders>
              <w:top w:val="single" w:sz="2" w:space="0" w:color="000000"/>
              <w:left w:val="single" w:sz="4" w:space="0" w:color="000000"/>
              <w:bottom w:val="single" w:sz="2"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szCs w:val="21"/>
              </w:rPr>
            </w:pPr>
          </w:p>
        </w:tc>
        <w:tc>
          <w:tcPr>
            <w:tcW w:w="1004" w:type="pct"/>
            <w:tcBorders>
              <w:top w:val="single" w:sz="2" w:space="0" w:color="000000"/>
              <w:left w:val="single" w:sz="4" w:space="0" w:color="000000"/>
              <w:bottom w:val="single" w:sz="2"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管道组装焊接</w:t>
            </w:r>
          </w:p>
        </w:tc>
        <w:tc>
          <w:tcPr>
            <w:tcW w:w="3399" w:type="pct"/>
            <w:tcBorders>
              <w:top w:val="single" w:sz="2" w:space="0" w:color="000000"/>
              <w:left w:val="single" w:sz="4" w:space="0" w:color="000000"/>
              <w:bottom w:val="single" w:sz="2" w:space="0" w:color="000000"/>
              <w:right w:val="nil"/>
            </w:tcBorders>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焊接烟尘，采用先进设备，野外作业自然排放，环境影响较小。</w:t>
            </w:r>
          </w:p>
        </w:tc>
      </w:tr>
      <w:tr w:rsidR="00BD5820">
        <w:trPr>
          <w:trHeight w:val="17"/>
          <w:jc w:val="center"/>
        </w:trPr>
        <w:tc>
          <w:tcPr>
            <w:tcW w:w="306" w:type="pct"/>
            <w:vMerge/>
            <w:tcBorders>
              <w:left w:val="nil"/>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szCs w:val="21"/>
              </w:rPr>
            </w:pPr>
          </w:p>
        </w:tc>
        <w:tc>
          <w:tcPr>
            <w:tcW w:w="291" w:type="pct"/>
            <w:vMerge/>
            <w:tcBorders>
              <w:top w:val="single" w:sz="2" w:space="0" w:color="000000"/>
              <w:left w:val="single" w:sz="4" w:space="0" w:color="000000"/>
              <w:bottom w:val="single" w:sz="2"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szCs w:val="21"/>
              </w:rPr>
            </w:pPr>
          </w:p>
        </w:tc>
        <w:tc>
          <w:tcPr>
            <w:tcW w:w="1004" w:type="pct"/>
            <w:tcBorders>
              <w:top w:val="single" w:sz="2" w:space="0" w:color="000000"/>
              <w:left w:val="single" w:sz="4" w:space="0" w:color="000000"/>
              <w:bottom w:val="single" w:sz="2"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施工便道建设及使用</w:t>
            </w:r>
          </w:p>
        </w:tc>
        <w:tc>
          <w:tcPr>
            <w:tcW w:w="3399" w:type="pct"/>
            <w:tcBorders>
              <w:top w:val="single" w:sz="2" w:space="0" w:color="000000"/>
              <w:left w:val="single" w:sz="4" w:space="0" w:color="000000"/>
              <w:bottom w:val="single" w:sz="2" w:space="0" w:color="000000"/>
              <w:right w:val="nil"/>
            </w:tcBorders>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临时占用部分土地，产生扬尘及噪声；</w:t>
            </w:r>
          </w:p>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施工结束后恢复，不改变土地利用的原有功能。</w:t>
            </w:r>
          </w:p>
        </w:tc>
      </w:tr>
      <w:tr w:rsidR="00BD5820">
        <w:trPr>
          <w:trHeight w:val="17"/>
          <w:jc w:val="center"/>
        </w:trPr>
        <w:tc>
          <w:tcPr>
            <w:tcW w:w="306" w:type="pct"/>
            <w:vMerge/>
            <w:tcBorders>
              <w:left w:val="nil"/>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szCs w:val="21"/>
              </w:rPr>
            </w:pPr>
          </w:p>
        </w:tc>
        <w:tc>
          <w:tcPr>
            <w:tcW w:w="291" w:type="pct"/>
            <w:vMerge/>
            <w:tcBorders>
              <w:top w:val="single" w:sz="2" w:space="0" w:color="000000"/>
              <w:left w:val="single" w:sz="4" w:space="0" w:color="000000"/>
              <w:bottom w:val="single" w:sz="2"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szCs w:val="21"/>
              </w:rPr>
            </w:pPr>
          </w:p>
        </w:tc>
        <w:tc>
          <w:tcPr>
            <w:tcW w:w="1004" w:type="pct"/>
            <w:tcBorders>
              <w:top w:val="single" w:sz="2" w:space="0" w:color="000000"/>
              <w:left w:val="single" w:sz="4" w:space="0" w:color="000000"/>
              <w:bottom w:val="single" w:sz="2"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施工人员日常生活</w:t>
            </w:r>
          </w:p>
        </w:tc>
        <w:tc>
          <w:tcPr>
            <w:tcW w:w="3399" w:type="pct"/>
            <w:tcBorders>
              <w:top w:val="single" w:sz="2" w:space="0" w:color="000000"/>
              <w:left w:val="single" w:sz="4" w:space="0" w:color="000000"/>
              <w:bottom w:val="single" w:sz="2" w:space="0" w:color="000000"/>
              <w:right w:val="nil"/>
            </w:tcBorders>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施工人员生活污水、生活垃圾产排。</w:t>
            </w:r>
          </w:p>
        </w:tc>
      </w:tr>
      <w:tr w:rsidR="00BD5820">
        <w:trPr>
          <w:trHeight w:val="17"/>
          <w:jc w:val="center"/>
        </w:trPr>
        <w:tc>
          <w:tcPr>
            <w:tcW w:w="306" w:type="pct"/>
            <w:vMerge/>
            <w:tcBorders>
              <w:left w:val="nil"/>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szCs w:val="21"/>
              </w:rPr>
            </w:pPr>
          </w:p>
        </w:tc>
        <w:tc>
          <w:tcPr>
            <w:tcW w:w="291" w:type="pct"/>
            <w:vMerge/>
            <w:tcBorders>
              <w:top w:val="single" w:sz="2" w:space="0" w:color="000000"/>
              <w:left w:val="single" w:sz="4" w:space="0" w:color="000000"/>
              <w:bottom w:val="single" w:sz="2"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szCs w:val="21"/>
              </w:rPr>
            </w:pPr>
          </w:p>
        </w:tc>
        <w:tc>
          <w:tcPr>
            <w:tcW w:w="1004" w:type="pct"/>
            <w:tcBorders>
              <w:top w:val="single" w:sz="2" w:space="0" w:color="000000"/>
              <w:left w:val="single" w:sz="4" w:space="0" w:color="000000"/>
              <w:bottom w:val="single" w:sz="2"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施工作业场地</w:t>
            </w:r>
          </w:p>
        </w:tc>
        <w:tc>
          <w:tcPr>
            <w:tcW w:w="3399" w:type="pct"/>
            <w:tcBorders>
              <w:top w:val="single" w:sz="2" w:space="0" w:color="000000"/>
              <w:left w:val="single" w:sz="4" w:space="0" w:color="000000"/>
              <w:bottom w:val="single" w:sz="2" w:space="0" w:color="000000"/>
              <w:right w:val="nil"/>
            </w:tcBorders>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临时占用部分土地，短期影响土地的使用功能或类型，破坏生态环境。</w:t>
            </w:r>
          </w:p>
        </w:tc>
      </w:tr>
      <w:tr w:rsidR="00BD5820">
        <w:trPr>
          <w:trHeight w:val="17"/>
          <w:jc w:val="center"/>
        </w:trPr>
        <w:tc>
          <w:tcPr>
            <w:tcW w:w="306" w:type="pct"/>
            <w:vMerge/>
            <w:tcBorders>
              <w:left w:val="nil"/>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szCs w:val="21"/>
              </w:rPr>
            </w:pPr>
          </w:p>
        </w:tc>
        <w:tc>
          <w:tcPr>
            <w:tcW w:w="291" w:type="pct"/>
            <w:vMerge w:val="restart"/>
            <w:tcBorders>
              <w:top w:val="single" w:sz="2" w:space="0" w:color="000000"/>
              <w:left w:val="single" w:sz="4" w:space="0" w:color="000000"/>
              <w:bottom w:val="single" w:sz="2"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穿越工程</w:t>
            </w:r>
          </w:p>
        </w:tc>
        <w:tc>
          <w:tcPr>
            <w:tcW w:w="1004" w:type="pct"/>
            <w:tcBorders>
              <w:top w:val="single" w:sz="2" w:space="0" w:color="000000"/>
              <w:left w:val="single" w:sz="4" w:space="0" w:color="000000"/>
              <w:bottom w:val="single" w:sz="2"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穿越或临近环境敏感区</w:t>
            </w:r>
          </w:p>
        </w:tc>
        <w:tc>
          <w:tcPr>
            <w:tcW w:w="3399" w:type="pct"/>
            <w:tcBorders>
              <w:top w:val="single" w:sz="2" w:space="0" w:color="000000"/>
              <w:left w:val="single" w:sz="4" w:space="0" w:color="000000"/>
              <w:bottom w:val="single" w:sz="2" w:space="0" w:color="000000"/>
              <w:right w:val="nil"/>
            </w:tcBorders>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管道选线时，</w:t>
            </w:r>
            <w:r>
              <w:rPr>
                <w:rFonts w:ascii="Times New Roman" w:cs="Times New Roman" w:hint="eastAsia"/>
                <w:kern w:val="2"/>
                <w:sz w:val="21"/>
                <w:szCs w:val="21"/>
              </w:rPr>
              <w:t>不涉及穿越或邻近</w:t>
            </w:r>
            <w:r>
              <w:rPr>
                <w:rFonts w:ascii="Times New Roman" w:cs="Times New Roman"/>
                <w:kern w:val="2"/>
                <w:sz w:val="21"/>
                <w:szCs w:val="21"/>
              </w:rPr>
              <w:t>环境敏感区和名胜古迹。</w:t>
            </w:r>
          </w:p>
        </w:tc>
      </w:tr>
      <w:tr w:rsidR="00BD5820">
        <w:trPr>
          <w:trHeight w:val="616"/>
          <w:jc w:val="center"/>
        </w:trPr>
        <w:tc>
          <w:tcPr>
            <w:tcW w:w="306" w:type="pct"/>
            <w:vMerge/>
            <w:tcBorders>
              <w:left w:val="nil"/>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szCs w:val="21"/>
              </w:rPr>
            </w:pPr>
          </w:p>
        </w:tc>
        <w:tc>
          <w:tcPr>
            <w:tcW w:w="291" w:type="pct"/>
            <w:vMerge/>
            <w:tcBorders>
              <w:top w:val="single" w:sz="2" w:space="0" w:color="000000"/>
              <w:left w:val="single" w:sz="4" w:space="0" w:color="000000"/>
              <w:bottom w:val="single" w:sz="2"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szCs w:val="21"/>
              </w:rPr>
            </w:pPr>
          </w:p>
        </w:tc>
        <w:tc>
          <w:tcPr>
            <w:tcW w:w="1004" w:type="pct"/>
            <w:tcBorders>
              <w:top w:val="single" w:sz="2" w:space="0" w:color="000000"/>
              <w:left w:val="single" w:sz="4" w:space="0" w:color="000000"/>
              <w:bottom w:val="single" w:sz="2"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穿越或临近未发现名胜、文物古迹</w:t>
            </w:r>
          </w:p>
        </w:tc>
        <w:tc>
          <w:tcPr>
            <w:tcW w:w="3399" w:type="pct"/>
            <w:tcBorders>
              <w:top w:val="single" w:sz="2" w:space="0" w:color="000000"/>
              <w:left w:val="single" w:sz="4" w:space="0" w:color="000000"/>
              <w:bottom w:val="single" w:sz="2" w:space="0" w:color="000000"/>
              <w:right w:val="nil"/>
            </w:tcBorders>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施工中如发现地下文物、古迹，应停止施工，及时向当地文物部门报告。</w:t>
            </w:r>
          </w:p>
        </w:tc>
      </w:tr>
      <w:tr w:rsidR="00BD5820">
        <w:trPr>
          <w:trHeight w:val="17"/>
          <w:jc w:val="center"/>
        </w:trPr>
        <w:tc>
          <w:tcPr>
            <w:tcW w:w="306" w:type="pct"/>
            <w:vMerge/>
            <w:tcBorders>
              <w:left w:val="nil"/>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szCs w:val="21"/>
              </w:rPr>
            </w:pPr>
          </w:p>
        </w:tc>
        <w:tc>
          <w:tcPr>
            <w:tcW w:w="291" w:type="pct"/>
            <w:vMerge/>
            <w:tcBorders>
              <w:top w:val="single" w:sz="2" w:space="0" w:color="000000"/>
              <w:left w:val="single" w:sz="4" w:space="0" w:color="000000"/>
              <w:bottom w:val="single" w:sz="2"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szCs w:val="21"/>
              </w:rPr>
            </w:pPr>
          </w:p>
        </w:tc>
        <w:tc>
          <w:tcPr>
            <w:tcW w:w="1004" w:type="pct"/>
            <w:tcBorders>
              <w:top w:val="single" w:sz="2" w:space="0" w:color="000000"/>
              <w:left w:val="single" w:sz="4" w:space="0" w:color="000000"/>
              <w:bottom w:val="single" w:sz="2"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试压、清管作业</w:t>
            </w:r>
          </w:p>
        </w:tc>
        <w:tc>
          <w:tcPr>
            <w:tcW w:w="3399" w:type="pct"/>
            <w:tcBorders>
              <w:top w:val="single" w:sz="2" w:space="0" w:color="000000"/>
              <w:left w:val="single" w:sz="4" w:space="0" w:color="000000"/>
              <w:bottom w:val="single" w:sz="2" w:space="0" w:color="000000"/>
              <w:right w:val="nil"/>
            </w:tcBorders>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废水排放对区域水环境短期内可能产生一定的影响，所排放废水必须经沉淀、过滤处理后排放</w:t>
            </w:r>
            <w:r>
              <w:rPr>
                <w:rFonts w:ascii="Times New Roman" w:cs="Times New Roman" w:hint="eastAsia"/>
                <w:kern w:val="2"/>
                <w:sz w:val="21"/>
                <w:szCs w:val="21"/>
              </w:rPr>
              <w:t>.</w:t>
            </w:r>
          </w:p>
        </w:tc>
      </w:tr>
      <w:tr w:rsidR="00BD5820">
        <w:trPr>
          <w:trHeight w:val="17"/>
          <w:jc w:val="center"/>
        </w:trPr>
        <w:tc>
          <w:tcPr>
            <w:tcW w:w="306" w:type="pct"/>
            <w:vMerge/>
            <w:tcBorders>
              <w:left w:val="nil"/>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szCs w:val="21"/>
              </w:rPr>
            </w:pPr>
          </w:p>
        </w:tc>
        <w:tc>
          <w:tcPr>
            <w:tcW w:w="291" w:type="pct"/>
            <w:vMerge w:val="restart"/>
            <w:tcBorders>
              <w:top w:val="single" w:sz="2" w:space="0" w:color="000000"/>
              <w:left w:val="single" w:sz="4" w:space="0" w:color="000000"/>
              <w:bottom w:val="single" w:sz="2"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站场</w:t>
            </w:r>
            <w:r>
              <w:rPr>
                <w:rFonts w:ascii="Times New Roman" w:cs="Times New Roman"/>
                <w:kern w:val="2"/>
                <w:sz w:val="21"/>
                <w:szCs w:val="21"/>
              </w:rPr>
              <w:t>施工</w:t>
            </w:r>
          </w:p>
        </w:tc>
        <w:tc>
          <w:tcPr>
            <w:tcW w:w="1004" w:type="pct"/>
            <w:tcBorders>
              <w:top w:val="single" w:sz="2" w:space="0" w:color="000000"/>
              <w:left w:val="single" w:sz="4" w:space="0" w:color="000000"/>
              <w:bottom w:val="single" w:sz="2"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场站</w:t>
            </w:r>
          </w:p>
        </w:tc>
        <w:tc>
          <w:tcPr>
            <w:tcW w:w="3399" w:type="pct"/>
            <w:tcBorders>
              <w:top w:val="single" w:sz="2" w:space="0" w:color="000000"/>
              <w:left w:val="single" w:sz="4" w:space="0" w:color="000000"/>
              <w:bottom w:val="single" w:sz="2" w:space="0" w:color="000000"/>
              <w:right w:val="nil"/>
            </w:tcBorders>
            <w:vAlign w:val="center"/>
          </w:tcPr>
          <w:p w:rsidR="00BD5820" w:rsidRDefault="00F64314">
            <w:pPr>
              <w:pStyle w:val="afff1"/>
            </w:pPr>
            <w:r>
              <w:t>永久占用土地，改变土地利用的现有功能；破坏生态植被</w:t>
            </w:r>
            <w:r>
              <w:rPr>
                <w:rFonts w:hint="eastAsia"/>
              </w:rPr>
              <w:t>；</w:t>
            </w:r>
            <w:r>
              <w:t>水土流失。</w:t>
            </w:r>
          </w:p>
        </w:tc>
      </w:tr>
      <w:tr w:rsidR="00BD5820">
        <w:trPr>
          <w:trHeight w:val="17"/>
          <w:jc w:val="center"/>
        </w:trPr>
        <w:tc>
          <w:tcPr>
            <w:tcW w:w="306" w:type="pct"/>
            <w:vMerge/>
            <w:tcBorders>
              <w:left w:val="nil"/>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szCs w:val="21"/>
              </w:rPr>
            </w:pPr>
          </w:p>
        </w:tc>
        <w:tc>
          <w:tcPr>
            <w:tcW w:w="291" w:type="pct"/>
            <w:vMerge/>
            <w:tcBorders>
              <w:top w:val="single" w:sz="2" w:space="0" w:color="000000"/>
              <w:left w:val="single" w:sz="4" w:space="0" w:color="000000"/>
              <w:bottom w:val="single" w:sz="2"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szCs w:val="21"/>
              </w:rPr>
            </w:pPr>
          </w:p>
        </w:tc>
        <w:tc>
          <w:tcPr>
            <w:tcW w:w="1004" w:type="pct"/>
            <w:tcBorders>
              <w:top w:val="single" w:sz="2" w:space="0" w:color="000000"/>
              <w:left w:val="single" w:sz="4" w:space="0" w:color="000000"/>
              <w:bottom w:val="single" w:sz="2"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施工机械操作</w:t>
            </w:r>
          </w:p>
        </w:tc>
        <w:tc>
          <w:tcPr>
            <w:tcW w:w="3399" w:type="pct"/>
            <w:tcBorders>
              <w:top w:val="single" w:sz="2" w:space="0" w:color="000000"/>
              <w:left w:val="single" w:sz="4" w:space="0" w:color="000000"/>
              <w:bottom w:val="single" w:sz="2" w:space="0" w:color="000000"/>
              <w:right w:val="nil"/>
            </w:tcBorders>
            <w:vAlign w:val="center"/>
          </w:tcPr>
          <w:p w:rsidR="00BD5820" w:rsidRDefault="00F64314">
            <w:pPr>
              <w:pStyle w:val="afff1"/>
            </w:pPr>
            <w:r>
              <w:t>施工产生机械尾气和噪声。</w:t>
            </w:r>
          </w:p>
        </w:tc>
      </w:tr>
      <w:tr w:rsidR="00BD5820">
        <w:trPr>
          <w:trHeight w:val="17"/>
          <w:jc w:val="center"/>
        </w:trPr>
        <w:tc>
          <w:tcPr>
            <w:tcW w:w="306" w:type="pct"/>
            <w:vMerge/>
            <w:tcBorders>
              <w:left w:val="nil"/>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szCs w:val="21"/>
              </w:rPr>
            </w:pPr>
          </w:p>
        </w:tc>
        <w:tc>
          <w:tcPr>
            <w:tcW w:w="291" w:type="pct"/>
            <w:vMerge/>
            <w:tcBorders>
              <w:top w:val="single" w:sz="2" w:space="0" w:color="000000"/>
              <w:left w:val="single" w:sz="4" w:space="0" w:color="000000"/>
              <w:bottom w:val="single" w:sz="2"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szCs w:val="21"/>
              </w:rPr>
            </w:pPr>
          </w:p>
        </w:tc>
        <w:tc>
          <w:tcPr>
            <w:tcW w:w="1004" w:type="pct"/>
            <w:tcBorders>
              <w:top w:val="single" w:sz="2" w:space="0" w:color="000000"/>
              <w:left w:val="single" w:sz="4" w:space="0" w:color="000000"/>
              <w:bottom w:val="single" w:sz="2"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施工人员日常生活</w:t>
            </w:r>
          </w:p>
        </w:tc>
        <w:tc>
          <w:tcPr>
            <w:tcW w:w="3399" w:type="pct"/>
            <w:tcBorders>
              <w:top w:val="single" w:sz="2" w:space="0" w:color="000000"/>
              <w:left w:val="single" w:sz="4" w:space="0" w:color="000000"/>
              <w:bottom w:val="single" w:sz="2" w:space="0" w:color="000000"/>
              <w:right w:val="nil"/>
            </w:tcBorders>
            <w:vAlign w:val="center"/>
          </w:tcPr>
          <w:p w:rsidR="00BD5820" w:rsidRDefault="00F64314">
            <w:pPr>
              <w:pStyle w:val="afff1"/>
            </w:pPr>
            <w:r>
              <w:t>施工人员生活污水、生活垃圾排放。</w:t>
            </w:r>
          </w:p>
        </w:tc>
      </w:tr>
      <w:tr w:rsidR="00BD5820">
        <w:trPr>
          <w:trHeight w:val="17"/>
          <w:jc w:val="center"/>
        </w:trPr>
        <w:tc>
          <w:tcPr>
            <w:tcW w:w="306" w:type="pct"/>
            <w:vMerge w:val="restart"/>
            <w:tcBorders>
              <w:top w:val="single" w:sz="2" w:space="0" w:color="000000"/>
              <w:left w:val="nil"/>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运</w:t>
            </w:r>
          </w:p>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营</w:t>
            </w:r>
          </w:p>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期</w:t>
            </w:r>
          </w:p>
        </w:tc>
        <w:tc>
          <w:tcPr>
            <w:tcW w:w="1295" w:type="pct"/>
            <w:gridSpan w:val="2"/>
            <w:tcBorders>
              <w:top w:val="single" w:sz="2" w:space="0" w:color="000000"/>
              <w:left w:val="single" w:sz="4" w:space="0" w:color="000000"/>
              <w:bottom w:val="single" w:sz="2"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管道（</w:t>
            </w:r>
            <w:r>
              <w:rPr>
                <w:rFonts w:ascii="Times New Roman" w:cs="Times New Roman" w:hint="eastAsia"/>
                <w:kern w:val="2"/>
                <w:sz w:val="21"/>
                <w:szCs w:val="21"/>
              </w:rPr>
              <w:t>4.1k</w:t>
            </w:r>
            <w:r>
              <w:rPr>
                <w:rFonts w:ascii="Times New Roman" w:cs="Times New Roman"/>
                <w:kern w:val="2"/>
                <w:sz w:val="21"/>
                <w:szCs w:val="21"/>
              </w:rPr>
              <w:t>m</w:t>
            </w:r>
            <w:r>
              <w:rPr>
                <w:rFonts w:ascii="Times New Roman" w:cs="Times New Roman"/>
                <w:kern w:val="2"/>
                <w:sz w:val="21"/>
                <w:szCs w:val="21"/>
              </w:rPr>
              <w:t>）</w:t>
            </w:r>
          </w:p>
        </w:tc>
        <w:tc>
          <w:tcPr>
            <w:tcW w:w="3399" w:type="pct"/>
            <w:tcBorders>
              <w:top w:val="single" w:sz="2" w:space="0" w:color="000000"/>
              <w:left w:val="single" w:sz="4" w:space="0" w:color="000000"/>
              <w:bottom w:val="single" w:sz="2" w:space="0" w:color="000000"/>
              <w:right w:val="nil"/>
            </w:tcBorders>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正常工况：无污染影响；</w:t>
            </w:r>
          </w:p>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事故工况：管线发生泄漏、火灾、爆炸对沿线自然环境和人群财产生命健康的影响。</w:t>
            </w:r>
          </w:p>
        </w:tc>
      </w:tr>
      <w:tr w:rsidR="00BD5820">
        <w:trPr>
          <w:trHeight w:val="17"/>
          <w:jc w:val="center"/>
        </w:trPr>
        <w:tc>
          <w:tcPr>
            <w:tcW w:w="306" w:type="pct"/>
            <w:vMerge/>
            <w:tcBorders>
              <w:top w:val="single" w:sz="2" w:space="0" w:color="000000"/>
              <w:left w:val="nil"/>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szCs w:val="21"/>
              </w:rPr>
            </w:pPr>
          </w:p>
        </w:tc>
        <w:tc>
          <w:tcPr>
            <w:tcW w:w="1295" w:type="pct"/>
            <w:gridSpan w:val="2"/>
            <w:tcBorders>
              <w:top w:val="single" w:sz="2" w:space="0" w:color="000000"/>
              <w:left w:val="single" w:sz="4" w:space="0" w:color="000000"/>
              <w:bottom w:val="single" w:sz="2"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sz w:val="21"/>
                <w:szCs w:val="21"/>
              </w:rPr>
            </w:pPr>
            <w:r>
              <w:rPr>
                <w:rFonts w:ascii="Times New Roman" w:cs="Times New Roman" w:hint="eastAsia"/>
                <w:kern w:val="2"/>
                <w:sz w:val="21"/>
                <w:szCs w:val="21"/>
              </w:rPr>
              <w:t>本项目站场</w:t>
            </w:r>
          </w:p>
        </w:tc>
        <w:tc>
          <w:tcPr>
            <w:tcW w:w="3399" w:type="pct"/>
            <w:tcBorders>
              <w:top w:val="single" w:sz="2" w:space="0" w:color="000000"/>
              <w:left w:val="single" w:sz="4" w:space="0" w:color="000000"/>
              <w:bottom w:val="single" w:sz="2" w:space="0" w:color="000000"/>
              <w:right w:val="nil"/>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废水：气田水。</w:t>
            </w:r>
          </w:p>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废气</w:t>
            </w:r>
            <w:r>
              <w:rPr>
                <w:rFonts w:ascii="Times New Roman" w:cs="Times New Roman" w:hint="eastAsia"/>
                <w:kern w:val="2"/>
                <w:sz w:val="21"/>
              </w:rPr>
              <w:t>：非正</w:t>
            </w:r>
            <w:r>
              <w:rPr>
                <w:rFonts w:ascii="Times New Roman" w:cs="Times New Roman"/>
                <w:kern w:val="2"/>
                <w:sz w:val="21"/>
              </w:rPr>
              <w:t>常工况下管道需进行清管作业和分离检修排放的少量天然气</w:t>
            </w:r>
            <w:r>
              <w:rPr>
                <w:rFonts w:ascii="Times New Roman" w:cs="Times New Roman" w:hint="eastAsia"/>
                <w:kern w:val="2"/>
                <w:sz w:val="21"/>
              </w:rPr>
              <w:t>。</w:t>
            </w:r>
          </w:p>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噪声：</w:t>
            </w:r>
            <w:r>
              <w:rPr>
                <w:rFonts w:ascii="Times New Roman" w:cs="Times New Roman" w:hint="eastAsia"/>
                <w:kern w:val="2"/>
                <w:sz w:val="21"/>
              </w:rPr>
              <w:t>增压</w:t>
            </w:r>
            <w:r>
              <w:rPr>
                <w:rFonts w:ascii="Times New Roman" w:cs="Times New Roman"/>
                <w:kern w:val="2"/>
                <w:sz w:val="21"/>
              </w:rPr>
              <w:t>机组</w:t>
            </w:r>
            <w:r>
              <w:rPr>
                <w:rFonts w:ascii="Times New Roman" w:cs="Times New Roman" w:hint="eastAsia"/>
                <w:kern w:val="2"/>
                <w:sz w:val="21"/>
              </w:rPr>
              <w:t>、过滤</w:t>
            </w:r>
            <w:r>
              <w:rPr>
                <w:rFonts w:ascii="Times New Roman" w:cs="Times New Roman"/>
                <w:kern w:val="2"/>
                <w:sz w:val="21"/>
              </w:rPr>
              <w:t>分离器、截流阀、汇气管、放空系统等设施运行产生的噪声</w:t>
            </w:r>
            <w:r>
              <w:rPr>
                <w:rFonts w:ascii="Times New Roman" w:cs="Times New Roman" w:hint="eastAsia"/>
                <w:kern w:val="2"/>
                <w:sz w:val="21"/>
              </w:rPr>
              <w:t>。</w:t>
            </w:r>
          </w:p>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固废：压缩机产生的废润滑油、高效分离器及污水罐底部产生的污泥、清管作业产生的少量固体粉末。</w:t>
            </w:r>
          </w:p>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rPr>
              <w:t>环境风险事故：管线发生泄漏、火灾、爆炸事故对周围环境和人员的影响；非正常生产时，站场检修时经放空装置直接排放的天然气或燃烧后排放的废气。</w:t>
            </w:r>
          </w:p>
        </w:tc>
      </w:tr>
    </w:tbl>
    <w:p w:rsidR="00BD5820" w:rsidRDefault="00F64314">
      <w:pPr>
        <w:pStyle w:val="affa"/>
        <w:ind w:firstLine="480"/>
      </w:pPr>
      <w:r>
        <w:t>根据环境影响矩阵表，分析环境影响因子的影响类型和影响程度，其结果见表</w:t>
      </w:r>
      <w:r>
        <w:t>1.3-2</w:t>
      </w:r>
      <w:r>
        <w:t>。</w:t>
      </w:r>
    </w:p>
    <w:p w:rsidR="00BD5820" w:rsidRDefault="00BD5820">
      <w:pPr>
        <w:pStyle w:val="affa"/>
        <w:ind w:firstLine="480"/>
      </w:pPr>
    </w:p>
    <w:p w:rsidR="00BD5820" w:rsidRDefault="00F64314">
      <w:pPr>
        <w:pStyle w:val="10"/>
        <w:rPr>
          <w:rFonts w:cs="Times New Roman"/>
        </w:rPr>
      </w:pPr>
      <w:r>
        <w:rPr>
          <w:rFonts w:cs="Times New Roman"/>
        </w:rPr>
        <w:lastRenderedPageBreak/>
        <w:t>表</w:t>
      </w:r>
      <w:r>
        <w:rPr>
          <w:rFonts w:cs="Times New Roman"/>
        </w:rPr>
        <w:t xml:space="preserve">1.3-2  </w:t>
      </w:r>
      <w:r>
        <w:rPr>
          <w:rFonts w:cs="Times New Roman"/>
        </w:rPr>
        <w:t>环境影响要素矩阵</w:t>
      </w:r>
    </w:p>
    <w:tbl>
      <w:tblPr>
        <w:tblW w:w="5293" w:type="pct"/>
        <w:jc w:val="center"/>
        <w:tblCellMar>
          <w:left w:w="0" w:type="dxa"/>
          <w:right w:w="0" w:type="dxa"/>
        </w:tblCellMar>
        <w:tblLook w:val="04A0"/>
      </w:tblPr>
      <w:tblGrid>
        <w:gridCol w:w="519"/>
        <w:gridCol w:w="1419"/>
        <w:gridCol w:w="589"/>
        <w:gridCol w:w="589"/>
        <w:gridCol w:w="589"/>
        <w:gridCol w:w="510"/>
        <w:gridCol w:w="566"/>
        <w:gridCol w:w="457"/>
        <w:gridCol w:w="593"/>
        <w:gridCol w:w="596"/>
        <w:gridCol w:w="596"/>
        <w:gridCol w:w="593"/>
        <w:gridCol w:w="593"/>
        <w:gridCol w:w="584"/>
      </w:tblGrid>
      <w:tr w:rsidR="00BD5820">
        <w:trPr>
          <w:trHeight w:val="18"/>
          <w:jc w:val="center"/>
        </w:trPr>
        <w:tc>
          <w:tcPr>
            <w:tcW w:w="295" w:type="pct"/>
            <w:vMerge w:val="restart"/>
            <w:tcBorders>
              <w:top w:val="single" w:sz="12" w:space="0" w:color="000000"/>
              <w:left w:val="nil"/>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b/>
                <w:bCs/>
                <w:kern w:val="2"/>
                <w:sz w:val="21"/>
              </w:rPr>
            </w:pPr>
            <w:r>
              <w:rPr>
                <w:rFonts w:ascii="Times New Roman" w:cs="Times New Roman"/>
                <w:b/>
                <w:bCs/>
                <w:kern w:val="2"/>
                <w:sz w:val="21"/>
              </w:rPr>
              <w:t>类别</w:t>
            </w:r>
          </w:p>
        </w:tc>
        <w:tc>
          <w:tcPr>
            <w:tcW w:w="807" w:type="pct"/>
            <w:vMerge w:val="restart"/>
            <w:tcBorders>
              <w:top w:val="single" w:sz="12"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b/>
                <w:bCs/>
                <w:kern w:val="2"/>
                <w:sz w:val="21"/>
              </w:rPr>
            </w:pPr>
            <w:r>
              <w:rPr>
                <w:rFonts w:ascii="Times New Roman" w:cs="Times New Roman"/>
                <w:b/>
                <w:bCs/>
                <w:kern w:val="2"/>
                <w:sz w:val="21"/>
              </w:rPr>
              <w:t>环境因子</w:t>
            </w:r>
          </w:p>
        </w:tc>
        <w:tc>
          <w:tcPr>
            <w:tcW w:w="1295" w:type="pct"/>
            <w:gridSpan w:val="4"/>
            <w:tcBorders>
              <w:top w:val="single" w:sz="12"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b/>
                <w:bCs/>
                <w:kern w:val="2"/>
                <w:sz w:val="21"/>
              </w:rPr>
            </w:pPr>
            <w:r>
              <w:rPr>
                <w:rFonts w:ascii="Times New Roman" w:cs="Times New Roman"/>
                <w:b/>
                <w:bCs/>
                <w:kern w:val="2"/>
                <w:sz w:val="21"/>
              </w:rPr>
              <w:t>工程施工</w:t>
            </w:r>
          </w:p>
        </w:tc>
        <w:tc>
          <w:tcPr>
            <w:tcW w:w="1258" w:type="pct"/>
            <w:gridSpan w:val="4"/>
            <w:tcBorders>
              <w:top w:val="single" w:sz="12"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b/>
                <w:bCs/>
                <w:kern w:val="2"/>
                <w:sz w:val="21"/>
              </w:rPr>
            </w:pPr>
            <w:r>
              <w:rPr>
                <w:rFonts w:ascii="Times New Roman" w:cs="Times New Roman"/>
                <w:b/>
                <w:bCs/>
                <w:kern w:val="2"/>
                <w:sz w:val="21"/>
              </w:rPr>
              <w:t>正常运行</w:t>
            </w:r>
          </w:p>
        </w:tc>
        <w:tc>
          <w:tcPr>
            <w:tcW w:w="1345" w:type="pct"/>
            <w:gridSpan w:val="4"/>
            <w:tcBorders>
              <w:top w:val="single" w:sz="12" w:space="0" w:color="000000"/>
              <w:left w:val="single" w:sz="4" w:space="0" w:color="000000"/>
              <w:bottom w:val="single" w:sz="4" w:space="0" w:color="000000"/>
              <w:right w:val="nil"/>
            </w:tcBorders>
            <w:vAlign w:val="center"/>
          </w:tcPr>
          <w:p w:rsidR="00BD5820" w:rsidRDefault="00F64314">
            <w:pPr>
              <w:topLinePunct w:val="0"/>
              <w:adjustRightInd/>
              <w:spacing w:line="240" w:lineRule="auto"/>
              <w:ind w:firstLineChars="0" w:firstLine="0"/>
              <w:jc w:val="center"/>
              <w:rPr>
                <w:rFonts w:ascii="Times New Roman" w:cs="Times New Roman"/>
                <w:b/>
                <w:bCs/>
                <w:kern w:val="2"/>
                <w:sz w:val="21"/>
              </w:rPr>
            </w:pPr>
            <w:r>
              <w:rPr>
                <w:rFonts w:ascii="Times New Roman" w:cs="Times New Roman"/>
                <w:b/>
                <w:bCs/>
                <w:kern w:val="2"/>
                <w:sz w:val="21"/>
              </w:rPr>
              <w:t>非正常工况</w:t>
            </w:r>
          </w:p>
        </w:tc>
      </w:tr>
      <w:tr w:rsidR="00BD5820">
        <w:trPr>
          <w:trHeight w:val="18"/>
          <w:jc w:val="center"/>
        </w:trPr>
        <w:tc>
          <w:tcPr>
            <w:tcW w:w="0" w:type="auto"/>
            <w:vMerge/>
            <w:tcBorders>
              <w:top w:val="single" w:sz="12" w:space="0" w:color="000000"/>
              <w:left w:val="nil"/>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b/>
                <w:bCs/>
                <w:kern w:val="2"/>
                <w:sz w:val="21"/>
              </w:rPr>
            </w:pPr>
          </w:p>
        </w:tc>
        <w:tc>
          <w:tcPr>
            <w:tcW w:w="807" w:type="pct"/>
            <w:vMerge/>
            <w:tcBorders>
              <w:top w:val="single" w:sz="12"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b/>
                <w:bCs/>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b/>
                <w:bCs/>
                <w:kern w:val="2"/>
                <w:sz w:val="21"/>
              </w:rPr>
            </w:pPr>
            <w:r>
              <w:rPr>
                <w:rFonts w:ascii="Times New Roman" w:cs="Times New Roman"/>
                <w:b/>
                <w:bCs/>
                <w:kern w:val="2"/>
                <w:sz w:val="21"/>
              </w:rPr>
              <w:t>有利</w:t>
            </w:r>
          </w:p>
          <w:p w:rsidR="00BD5820" w:rsidRDefault="00F64314">
            <w:pPr>
              <w:topLinePunct w:val="0"/>
              <w:adjustRightInd/>
              <w:spacing w:line="240" w:lineRule="auto"/>
              <w:ind w:firstLineChars="0" w:firstLine="0"/>
              <w:jc w:val="center"/>
              <w:rPr>
                <w:rFonts w:ascii="Times New Roman" w:cs="Times New Roman"/>
                <w:b/>
                <w:bCs/>
                <w:kern w:val="2"/>
                <w:sz w:val="21"/>
              </w:rPr>
            </w:pPr>
            <w:r>
              <w:rPr>
                <w:rFonts w:ascii="Times New Roman" w:cs="Times New Roman"/>
                <w:b/>
                <w:bCs/>
                <w:kern w:val="2"/>
                <w:sz w:val="21"/>
              </w:rPr>
              <w:t>影响</w:t>
            </w:r>
          </w:p>
        </w:tc>
        <w:tc>
          <w:tcPr>
            <w:tcW w:w="335"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b/>
                <w:bCs/>
                <w:kern w:val="2"/>
                <w:sz w:val="21"/>
              </w:rPr>
            </w:pPr>
            <w:r>
              <w:rPr>
                <w:rFonts w:ascii="Times New Roman" w:cs="Times New Roman"/>
                <w:b/>
                <w:bCs/>
                <w:kern w:val="2"/>
                <w:sz w:val="21"/>
              </w:rPr>
              <w:t>不利</w:t>
            </w:r>
          </w:p>
          <w:p w:rsidR="00BD5820" w:rsidRDefault="00F64314">
            <w:pPr>
              <w:topLinePunct w:val="0"/>
              <w:adjustRightInd/>
              <w:spacing w:line="240" w:lineRule="auto"/>
              <w:ind w:firstLineChars="0" w:firstLine="0"/>
              <w:jc w:val="center"/>
              <w:rPr>
                <w:rFonts w:ascii="Times New Roman" w:cs="Times New Roman"/>
                <w:b/>
                <w:bCs/>
                <w:kern w:val="2"/>
                <w:sz w:val="21"/>
              </w:rPr>
            </w:pPr>
            <w:r>
              <w:rPr>
                <w:rFonts w:ascii="Times New Roman" w:cs="Times New Roman"/>
                <w:b/>
                <w:bCs/>
                <w:kern w:val="2"/>
                <w:sz w:val="21"/>
              </w:rPr>
              <w:t>影响</w:t>
            </w:r>
          </w:p>
        </w:tc>
        <w:tc>
          <w:tcPr>
            <w:tcW w:w="335"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b/>
                <w:bCs/>
                <w:kern w:val="2"/>
                <w:sz w:val="21"/>
              </w:rPr>
            </w:pPr>
            <w:r>
              <w:rPr>
                <w:rFonts w:ascii="Times New Roman" w:cs="Times New Roman"/>
                <w:b/>
                <w:bCs/>
                <w:kern w:val="2"/>
                <w:sz w:val="21"/>
              </w:rPr>
              <w:t>影响</w:t>
            </w:r>
          </w:p>
          <w:p w:rsidR="00BD5820" w:rsidRDefault="00F64314">
            <w:pPr>
              <w:topLinePunct w:val="0"/>
              <w:adjustRightInd/>
              <w:spacing w:line="240" w:lineRule="auto"/>
              <w:ind w:firstLineChars="0" w:firstLine="0"/>
              <w:jc w:val="center"/>
              <w:rPr>
                <w:rFonts w:ascii="Times New Roman" w:cs="Times New Roman"/>
                <w:b/>
                <w:bCs/>
                <w:kern w:val="2"/>
                <w:sz w:val="21"/>
              </w:rPr>
            </w:pPr>
            <w:r>
              <w:rPr>
                <w:rFonts w:ascii="Times New Roman" w:cs="Times New Roman"/>
                <w:b/>
                <w:bCs/>
                <w:kern w:val="2"/>
                <w:sz w:val="21"/>
              </w:rPr>
              <w:t>较大</w:t>
            </w:r>
          </w:p>
        </w:tc>
        <w:tc>
          <w:tcPr>
            <w:tcW w:w="290"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b/>
                <w:bCs/>
                <w:kern w:val="2"/>
                <w:sz w:val="21"/>
              </w:rPr>
            </w:pPr>
            <w:r>
              <w:rPr>
                <w:rFonts w:ascii="Times New Roman" w:cs="Times New Roman"/>
                <w:b/>
                <w:bCs/>
                <w:kern w:val="2"/>
                <w:sz w:val="21"/>
              </w:rPr>
              <w:t>影响</w:t>
            </w:r>
          </w:p>
          <w:p w:rsidR="00BD5820" w:rsidRDefault="00F64314">
            <w:pPr>
              <w:topLinePunct w:val="0"/>
              <w:adjustRightInd/>
              <w:spacing w:line="240" w:lineRule="auto"/>
              <w:ind w:firstLineChars="0" w:firstLine="0"/>
              <w:jc w:val="center"/>
              <w:rPr>
                <w:rFonts w:ascii="Times New Roman" w:cs="Times New Roman"/>
                <w:b/>
                <w:bCs/>
                <w:kern w:val="2"/>
                <w:sz w:val="21"/>
              </w:rPr>
            </w:pPr>
            <w:r>
              <w:rPr>
                <w:rFonts w:ascii="Times New Roman" w:cs="Times New Roman"/>
                <w:b/>
                <w:bCs/>
                <w:kern w:val="2"/>
                <w:sz w:val="21"/>
              </w:rPr>
              <w:t>较轻</w:t>
            </w:r>
          </w:p>
        </w:tc>
        <w:tc>
          <w:tcPr>
            <w:tcW w:w="322"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b/>
                <w:bCs/>
                <w:kern w:val="2"/>
                <w:sz w:val="21"/>
              </w:rPr>
            </w:pPr>
            <w:r>
              <w:rPr>
                <w:rFonts w:ascii="Times New Roman" w:cs="Times New Roman"/>
                <w:b/>
                <w:bCs/>
                <w:kern w:val="2"/>
                <w:sz w:val="21"/>
              </w:rPr>
              <w:t>有利</w:t>
            </w:r>
          </w:p>
          <w:p w:rsidR="00BD5820" w:rsidRDefault="00F64314">
            <w:pPr>
              <w:topLinePunct w:val="0"/>
              <w:adjustRightInd/>
              <w:spacing w:line="240" w:lineRule="auto"/>
              <w:ind w:firstLineChars="0" w:firstLine="0"/>
              <w:jc w:val="center"/>
              <w:rPr>
                <w:rFonts w:ascii="Times New Roman" w:cs="Times New Roman"/>
                <w:b/>
                <w:bCs/>
                <w:kern w:val="2"/>
                <w:sz w:val="21"/>
              </w:rPr>
            </w:pPr>
            <w:r>
              <w:rPr>
                <w:rFonts w:ascii="Times New Roman" w:cs="Times New Roman"/>
                <w:b/>
                <w:bCs/>
                <w:kern w:val="2"/>
                <w:sz w:val="21"/>
              </w:rPr>
              <w:t>影响</w:t>
            </w:r>
          </w:p>
        </w:tc>
        <w:tc>
          <w:tcPr>
            <w:tcW w:w="260"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b/>
                <w:bCs/>
                <w:kern w:val="2"/>
                <w:sz w:val="21"/>
              </w:rPr>
            </w:pPr>
            <w:r>
              <w:rPr>
                <w:rFonts w:ascii="Times New Roman" w:cs="Times New Roman"/>
                <w:b/>
                <w:bCs/>
                <w:kern w:val="2"/>
                <w:sz w:val="21"/>
              </w:rPr>
              <w:t>不利</w:t>
            </w:r>
          </w:p>
          <w:p w:rsidR="00BD5820" w:rsidRDefault="00F64314">
            <w:pPr>
              <w:topLinePunct w:val="0"/>
              <w:adjustRightInd/>
              <w:spacing w:line="240" w:lineRule="auto"/>
              <w:ind w:firstLineChars="0" w:firstLine="0"/>
              <w:jc w:val="center"/>
              <w:rPr>
                <w:rFonts w:ascii="Times New Roman" w:cs="Times New Roman"/>
                <w:b/>
                <w:bCs/>
                <w:kern w:val="2"/>
                <w:sz w:val="21"/>
              </w:rPr>
            </w:pPr>
            <w:r>
              <w:rPr>
                <w:rFonts w:ascii="Times New Roman" w:cs="Times New Roman"/>
                <w:b/>
                <w:bCs/>
                <w:kern w:val="2"/>
                <w:sz w:val="21"/>
              </w:rPr>
              <w:t>影响</w:t>
            </w:r>
          </w:p>
        </w:tc>
        <w:tc>
          <w:tcPr>
            <w:tcW w:w="337"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b/>
                <w:bCs/>
                <w:kern w:val="2"/>
                <w:sz w:val="21"/>
              </w:rPr>
            </w:pPr>
            <w:r>
              <w:rPr>
                <w:rFonts w:ascii="Times New Roman" w:cs="Times New Roman"/>
                <w:b/>
                <w:bCs/>
                <w:kern w:val="2"/>
                <w:sz w:val="21"/>
              </w:rPr>
              <w:t>影响</w:t>
            </w:r>
          </w:p>
          <w:p w:rsidR="00BD5820" w:rsidRDefault="00F64314">
            <w:pPr>
              <w:topLinePunct w:val="0"/>
              <w:adjustRightInd/>
              <w:spacing w:line="240" w:lineRule="auto"/>
              <w:ind w:firstLineChars="0" w:firstLine="0"/>
              <w:jc w:val="center"/>
              <w:rPr>
                <w:rFonts w:ascii="Times New Roman" w:cs="Times New Roman"/>
                <w:b/>
                <w:bCs/>
                <w:kern w:val="2"/>
                <w:sz w:val="21"/>
              </w:rPr>
            </w:pPr>
            <w:r>
              <w:rPr>
                <w:rFonts w:ascii="Times New Roman" w:cs="Times New Roman"/>
                <w:b/>
                <w:bCs/>
                <w:kern w:val="2"/>
                <w:sz w:val="21"/>
              </w:rPr>
              <w:t>较大</w:t>
            </w:r>
          </w:p>
        </w:tc>
        <w:tc>
          <w:tcPr>
            <w:tcW w:w="339"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b/>
                <w:bCs/>
                <w:kern w:val="2"/>
                <w:sz w:val="21"/>
              </w:rPr>
            </w:pPr>
            <w:r>
              <w:rPr>
                <w:rFonts w:ascii="Times New Roman" w:cs="Times New Roman"/>
                <w:b/>
                <w:bCs/>
                <w:kern w:val="2"/>
                <w:sz w:val="21"/>
              </w:rPr>
              <w:t>影响</w:t>
            </w:r>
          </w:p>
          <w:p w:rsidR="00BD5820" w:rsidRDefault="00F64314">
            <w:pPr>
              <w:topLinePunct w:val="0"/>
              <w:adjustRightInd/>
              <w:spacing w:line="240" w:lineRule="auto"/>
              <w:ind w:firstLineChars="0" w:firstLine="0"/>
              <w:jc w:val="center"/>
              <w:rPr>
                <w:rFonts w:ascii="Times New Roman" w:cs="Times New Roman"/>
                <w:b/>
                <w:bCs/>
                <w:kern w:val="2"/>
                <w:sz w:val="21"/>
              </w:rPr>
            </w:pPr>
            <w:r>
              <w:rPr>
                <w:rFonts w:ascii="Times New Roman" w:cs="Times New Roman"/>
                <w:b/>
                <w:bCs/>
                <w:kern w:val="2"/>
                <w:sz w:val="21"/>
              </w:rPr>
              <w:t>较轻</w:t>
            </w:r>
          </w:p>
        </w:tc>
        <w:tc>
          <w:tcPr>
            <w:tcW w:w="339"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b/>
                <w:bCs/>
                <w:kern w:val="2"/>
                <w:sz w:val="21"/>
              </w:rPr>
            </w:pPr>
            <w:r>
              <w:rPr>
                <w:rFonts w:ascii="Times New Roman" w:cs="Times New Roman"/>
                <w:b/>
                <w:bCs/>
                <w:kern w:val="2"/>
                <w:sz w:val="21"/>
              </w:rPr>
              <w:t>有利</w:t>
            </w:r>
          </w:p>
          <w:p w:rsidR="00BD5820" w:rsidRDefault="00F64314">
            <w:pPr>
              <w:topLinePunct w:val="0"/>
              <w:adjustRightInd/>
              <w:spacing w:line="240" w:lineRule="auto"/>
              <w:ind w:firstLineChars="0" w:firstLine="0"/>
              <w:jc w:val="center"/>
              <w:rPr>
                <w:rFonts w:ascii="Times New Roman" w:cs="Times New Roman"/>
                <w:b/>
                <w:bCs/>
                <w:kern w:val="2"/>
                <w:sz w:val="21"/>
              </w:rPr>
            </w:pPr>
            <w:r>
              <w:rPr>
                <w:rFonts w:ascii="Times New Roman" w:cs="Times New Roman"/>
                <w:b/>
                <w:bCs/>
                <w:kern w:val="2"/>
                <w:sz w:val="21"/>
              </w:rPr>
              <w:t>影响</w:t>
            </w:r>
          </w:p>
        </w:tc>
        <w:tc>
          <w:tcPr>
            <w:tcW w:w="337"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b/>
                <w:bCs/>
                <w:kern w:val="2"/>
                <w:sz w:val="21"/>
              </w:rPr>
            </w:pPr>
            <w:r>
              <w:rPr>
                <w:rFonts w:ascii="Times New Roman" w:cs="Times New Roman"/>
                <w:b/>
                <w:bCs/>
                <w:kern w:val="2"/>
                <w:sz w:val="21"/>
              </w:rPr>
              <w:t>不利</w:t>
            </w:r>
          </w:p>
          <w:p w:rsidR="00BD5820" w:rsidRDefault="00F64314">
            <w:pPr>
              <w:topLinePunct w:val="0"/>
              <w:adjustRightInd/>
              <w:spacing w:line="240" w:lineRule="auto"/>
              <w:ind w:firstLineChars="0" w:firstLine="0"/>
              <w:jc w:val="center"/>
              <w:rPr>
                <w:rFonts w:ascii="Times New Roman" w:cs="Times New Roman"/>
                <w:b/>
                <w:bCs/>
                <w:kern w:val="2"/>
                <w:sz w:val="21"/>
              </w:rPr>
            </w:pPr>
            <w:r>
              <w:rPr>
                <w:rFonts w:ascii="Times New Roman" w:cs="Times New Roman"/>
                <w:b/>
                <w:bCs/>
                <w:kern w:val="2"/>
                <w:sz w:val="21"/>
              </w:rPr>
              <w:t>影响</w:t>
            </w:r>
          </w:p>
        </w:tc>
        <w:tc>
          <w:tcPr>
            <w:tcW w:w="337"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b/>
                <w:bCs/>
                <w:kern w:val="2"/>
                <w:sz w:val="21"/>
              </w:rPr>
            </w:pPr>
            <w:r>
              <w:rPr>
                <w:rFonts w:ascii="Times New Roman" w:cs="Times New Roman"/>
                <w:b/>
                <w:bCs/>
                <w:kern w:val="2"/>
                <w:sz w:val="21"/>
              </w:rPr>
              <w:t>影响</w:t>
            </w:r>
          </w:p>
          <w:p w:rsidR="00BD5820" w:rsidRDefault="00F64314">
            <w:pPr>
              <w:topLinePunct w:val="0"/>
              <w:adjustRightInd/>
              <w:spacing w:line="240" w:lineRule="auto"/>
              <w:ind w:firstLineChars="0" w:firstLine="0"/>
              <w:jc w:val="center"/>
              <w:rPr>
                <w:rFonts w:ascii="Times New Roman" w:cs="Times New Roman"/>
                <w:b/>
                <w:bCs/>
                <w:kern w:val="2"/>
                <w:sz w:val="21"/>
              </w:rPr>
            </w:pPr>
            <w:r>
              <w:rPr>
                <w:rFonts w:ascii="Times New Roman" w:cs="Times New Roman"/>
                <w:b/>
                <w:bCs/>
                <w:kern w:val="2"/>
                <w:sz w:val="21"/>
              </w:rPr>
              <w:t>较大</w:t>
            </w:r>
          </w:p>
        </w:tc>
        <w:tc>
          <w:tcPr>
            <w:tcW w:w="332" w:type="pct"/>
            <w:tcBorders>
              <w:top w:val="single" w:sz="4" w:space="0" w:color="000000"/>
              <w:left w:val="single" w:sz="4" w:space="0" w:color="000000"/>
              <w:bottom w:val="single" w:sz="4" w:space="0" w:color="000000"/>
              <w:right w:val="nil"/>
            </w:tcBorders>
            <w:vAlign w:val="center"/>
          </w:tcPr>
          <w:p w:rsidR="00BD5820" w:rsidRDefault="00F64314">
            <w:pPr>
              <w:topLinePunct w:val="0"/>
              <w:adjustRightInd/>
              <w:spacing w:line="240" w:lineRule="auto"/>
              <w:ind w:firstLineChars="0" w:firstLine="0"/>
              <w:jc w:val="center"/>
              <w:rPr>
                <w:rFonts w:ascii="Times New Roman" w:cs="Times New Roman"/>
                <w:b/>
                <w:bCs/>
                <w:kern w:val="2"/>
                <w:sz w:val="21"/>
              </w:rPr>
            </w:pPr>
            <w:r>
              <w:rPr>
                <w:rFonts w:ascii="Times New Roman" w:cs="Times New Roman"/>
                <w:b/>
                <w:bCs/>
                <w:kern w:val="2"/>
                <w:sz w:val="21"/>
              </w:rPr>
              <w:t>影响</w:t>
            </w:r>
          </w:p>
          <w:p w:rsidR="00BD5820" w:rsidRDefault="00F64314">
            <w:pPr>
              <w:topLinePunct w:val="0"/>
              <w:adjustRightInd/>
              <w:spacing w:line="240" w:lineRule="auto"/>
              <w:ind w:firstLineChars="0" w:firstLine="0"/>
              <w:jc w:val="center"/>
              <w:rPr>
                <w:rFonts w:ascii="Times New Roman" w:cs="Times New Roman"/>
                <w:b/>
                <w:bCs/>
                <w:kern w:val="2"/>
                <w:sz w:val="21"/>
              </w:rPr>
            </w:pPr>
            <w:r>
              <w:rPr>
                <w:rFonts w:ascii="Times New Roman" w:cs="Times New Roman"/>
                <w:b/>
                <w:bCs/>
                <w:kern w:val="2"/>
                <w:sz w:val="21"/>
              </w:rPr>
              <w:t>较轻</w:t>
            </w:r>
          </w:p>
        </w:tc>
      </w:tr>
      <w:tr w:rsidR="00BD5820">
        <w:trPr>
          <w:trHeight w:val="18"/>
          <w:jc w:val="center"/>
        </w:trPr>
        <w:tc>
          <w:tcPr>
            <w:tcW w:w="295" w:type="pct"/>
            <w:vMerge w:val="restart"/>
            <w:tcBorders>
              <w:top w:val="single" w:sz="4" w:space="0" w:color="000000"/>
              <w:left w:val="nil"/>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环境质量</w:t>
            </w:r>
          </w:p>
        </w:tc>
        <w:tc>
          <w:tcPr>
            <w:tcW w:w="807"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地表水</w:t>
            </w:r>
          </w:p>
        </w:tc>
        <w:tc>
          <w:tcPr>
            <w:tcW w:w="335"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335"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337"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339"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337"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4" w:space="0" w:color="000000"/>
              <w:right w:val="nil"/>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r>
      <w:tr w:rsidR="00BD5820">
        <w:trPr>
          <w:trHeight w:val="18"/>
          <w:jc w:val="center"/>
        </w:trPr>
        <w:tc>
          <w:tcPr>
            <w:tcW w:w="0" w:type="auto"/>
            <w:vMerge/>
            <w:tcBorders>
              <w:top w:val="single" w:sz="4" w:space="0" w:color="000000"/>
              <w:left w:val="nil"/>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环境空气</w:t>
            </w:r>
          </w:p>
        </w:tc>
        <w:tc>
          <w:tcPr>
            <w:tcW w:w="335"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335"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337"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339"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337"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332" w:type="pct"/>
            <w:tcBorders>
              <w:top w:val="single" w:sz="4" w:space="0" w:color="000000"/>
              <w:left w:val="single" w:sz="4" w:space="0" w:color="000000"/>
              <w:bottom w:val="single" w:sz="4" w:space="0" w:color="000000"/>
              <w:right w:val="nil"/>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r>
      <w:tr w:rsidR="00BD5820">
        <w:trPr>
          <w:trHeight w:val="18"/>
          <w:jc w:val="center"/>
        </w:trPr>
        <w:tc>
          <w:tcPr>
            <w:tcW w:w="0" w:type="auto"/>
            <w:vMerge/>
            <w:tcBorders>
              <w:top w:val="single" w:sz="4" w:space="0" w:color="000000"/>
              <w:left w:val="nil"/>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声环境</w:t>
            </w:r>
          </w:p>
        </w:tc>
        <w:tc>
          <w:tcPr>
            <w:tcW w:w="335"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335"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337"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339"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337"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4" w:space="0" w:color="000000"/>
              <w:right w:val="nil"/>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r>
      <w:tr w:rsidR="00BD5820">
        <w:trPr>
          <w:trHeight w:val="18"/>
          <w:jc w:val="center"/>
        </w:trPr>
        <w:tc>
          <w:tcPr>
            <w:tcW w:w="295" w:type="pct"/>
            <w:vMerge w:val="restart"/>
            <w:tcBorders>
              <w:top w:val="single" w:sz="4" w:space="0" w:color="000000"/>
              <w:left w:val="nil"/>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自然生态环境</w:t>
            </w:r>
          </w:p>
        </w:tc>
        <w:tc>
          <w:tcPr>
            <w:tcW w:w="807"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地形地貌</w:t>
            </w:r>
          </w:p>
        </w:tc>
        <w:tc>
          <w:tcPr>
            <w:tcW w:w="335"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335"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4" w:space="0" w:color="000000"/>
              <w:right w:val="nil"/>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r>
      <w:tr w:rsidR="00BD5820">
        <w:trPr>
          <w:trHeight w:val="18"/>
          <w:jc w:val="center"/>
        </w:trPr>
        <w:tc>
          <w:tcPr>
            <w:tcW w:w="0" w:type="auto"/>
            <w:vMerge/>
            <w:tcBorders>
              <w:top w:val="single" w:sz="4" w:space="0" w:color="000000"/>
              <w:left w:val="nil"/>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生态环境</w:t>
            </w:r>
          </w:p>
        </w:tc>
        <w:tc>
          <w:tcPr>
            <w:tcW w:w="335"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335"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339"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337"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4" w:space="0" w:color="000000"/>
              <w:right w:val="nil"/>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r>
      <w:tr w:rsidR="00BD5820">
        <w:trPr>
          <w:trHeight w:val="18"/>
          <w:jc w:val="center"/>
        </w:trPr>
        <w:tc>
          <w:tcPr>
            <w:tcW w:w="0" w:type="auto"/>
            <w:vMerge/>
            <w:tcBorders>
              <w:top w:val="single" w:sz="4" w:space="0" w:color="000000"/>
              <w:left w:val="nil"/>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土壤</w:t>
            </w:r>
          </w:p>
        </w:tc>
        <w:tc>
          <w:tcPr>
            <w:tcW w:w="335"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335"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337"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4" w:space="0" w:color="000000"/>
              <w:right w:val="nil"/>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r>
      <w:tr w:rsidR="00BD5820">
        <w:trPr>
          <w:trHeight w:val="18"/>
          <w:jc w:val="center"/>
        </w:trPr>
        <w:tc>
          <w:tcPr>
            <w:tcW w:w="0" w:type="auto"/>
            <w:vMerge/>
            <w:tcBorders>
              <w:top w:val="single" w:sz="4" w:space="0" w:color="000000"/>
              <w:left w:val="nil"/>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植被</w:t>
            </w:r>
          </w:p>
        </w:tc>
        <w:tc>
          <w:tcPr>
            <w:tcW w:w="335"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335"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337"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4" w:space="0" w:color="000000"/>
              <w:right w:val="nil"/>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r>
      <w:tr w:rsidR="00BD5820">
        <w:trPr>
          <w:trHeight w:val="18"/>
          <w:jc w:val="center"/>
        </w:trPr>
        <w:tc>
          <w:tcPr>
            <w:tcW w:w="0" w:type="auto"/>
            <w:vMerge/>
            <w:tcBorders>
              <w:top w:val="single" w:sz="4" w:space="0" w:color="000000"/>
              <w:left w:val="nil"/>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水土流失</w:t>
            </w:r>
          </w:p>
        </w:tc>
        <w:tc>
          <w:tcPr>
            <w:tcW w:w="335"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335"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339"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4" w:space="0" w:color="000000"/>
              <w:right w:val="nil"/>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r>
      <w:tr w:rsidR="00BD5820">
        <w:trPr>
          <w:trHeight w:val="18"/>
          <w:jc w:val="center"/>
        </w:trPr>
        <w:tc>
          <w:tcPr>
            <w:tcW w:w="0" w:type="auto"/>
            <w:vMerge/>
            <w:tcBorders>
              <w:top w:val="single" w:sz="4" w:space="0" w:color="000000"/>
              <w:left w:val="nil"/>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土地利用</w:t>
            </w:r>
          </w:p>
        </w:tc>
        <w:tc>
          <w:tcPr>
            <w:tcW w:w="335"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335"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4" w:space="0" w:color="000000"/>
              <w:right w:val="nil"/>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r>
      <w:tr w:rsidR="00BD5820">
        <w:trPr>
          <w:trHeight w:val="18"/>
          <w:jc w:val="center"/>
        </w:trPr>
        <w:tc>
          <w:tcPr>
            <w:tcW w:w="295" w:type="pct"/>
            <w:vMerge w:val="restart"/>
            <w:tcBorders>
              <w:top w:val="single" w:sz="4" w:space="0" w:color="000000"/>
              <w:left w:val="nil"/>
              <w:bottom w:val="single" w:sz="12"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社会环境</w:t>
            </w:r>
          </w:p>
        </w:tc>
        <w:tc>
          <w:tcPr>
            <w:tcW w:w="807"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农业生产</w:t>
            </w:r>
          </w:p>
        </w:tc>
        <w:tc>
          <w:tcPr>
            <w:tcW w:w="335"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335"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4" w:space="0" w:color="000000"/>
              <w:right w:val="nil"/>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r>
      <w:tr w:rsidR="00BD5820">
        <w:trPr>
          <w:trHeight w:val="18"/>
          <w:jc w:val="center"/>
        </w:trPr>
        <w:tc>
          <w:tcPr>
            <w:tcW w:w="0" w:type="auto"/>
            <w:vMerge/>
            <w:tcBorders>
              <w:top w:val="single" w:sz="4" w:space="0" w:color="000000"/>
              <w:left w:val="nil"/>
              <w:bottom w:val="single" w:sz="12"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劳动就业</w:t>
            </w:r>
          </w:p>
        </w:tc>
        <w:tc>
          <w:tcPr>
            <w:tcW w:w="335"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335"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260"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339"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4" w:space="0" w:color="000000"/>
              <w:right w:val="nil"/>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r>
      <w:tr w:rsidR="00BD5820">
        <w:trPr>
          <w:trHeight w:val="18"/>
          <w:jc w:val="center"/>
        </w:trPr>
        <w:tc>
          <w:tcPr>
            <w:tcW w:w="0" w:type="auto"/>
            <w:vMerge/>
            <w:tcBorders>
              <w:top w:val="single" w:sz="4" w:space="0" w:color="000000"/>
              <w:left w:val="nil"/>
              <w:bottom w:val="single" w:sz="12"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交通出行</w:t>
            </w:r>
          </w:p>
        </w:tc>
        <w:tc>
          <w:tcPr>
            <w:tcW w:w="335"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335"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337"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4" w:space="0" w:color="000000"/>
              <w:right w:val="nil"/>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r>
      <w:tr w:rsidR="00BD5820">
        <w:trPr>
          <w:trHeight w:val="18"/>
          <w:jc w:val="center"/>
        </w:trPr>
        <w:tc>
          <w:tcPr>
            <w:tcW w:w="0" w:type="auto"/>
            <w:vMerge/>
            <w:tcBorders>
              <w:top w:val="single" w:sz="4" w:space="0" w:color="000000"/>
              <w:left w:val="nil"/>
              <w:bottom w:val="single" w:sz="12"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社会经济</w:t>
            </w:r>
          </w:p>
        </w:tc>
        <w:tc>
          <w:tcPr>
            <w:tcW w:w="335"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335"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260"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339"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337"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332" w:type="pct"/>
            <w:tcBorders>
              <w:top w:val="single" w:sz="4" w:space="0" w:color="000000"/>
              <w:left w:val="single" w:sz="4" w:space="0" w:color="000000"/>
              <w:bottom w:val="single" w:sz="4" w:space="0" w:color="000000"/>
              <w:right w:val="nil"/>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r>
      <w:tr w:rsidR="00BD5820">
        <w:trPr>
          <w:trHeight w:val="18"/>
          <w:jc w:val="center"/>
        </w:trPr>
        <w:tc>
          <w:tcPr>
            <w:tcW w:w="0" w:type="auto"/>
            <w:vMerge/>
            <w:tcBorders>
              <w:top w:val="single" w:sz="4" w:space="0" w:color="000000"/>
              <w:left w:val="nil"/>
              <w:bottom w:val="single" w:sz="12"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人体健康</w:t>
            </w:r>
          </w:p>
        </w:tc>
        <w:tc>
          <w:tcPr>
            <w:tcW w:w="335"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22"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337"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4" w:space="0" w:color="000000"/>
              <w:right w:val="nil"/>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r>
      <w:tr w:rsidR="00BD5820">
        <w:trPr>
          <w:trHeight w:val="18"/>
          <w:jc w:val="center"/>
        </w:trPr>
        <w:tc>
          <w:tcPr>
            <w:tcW w:w="0" w:type="auto"/>
            <w:vMerge/>
            <w:tcBorders>
              <w:top w:val="single" w:sz="4" w:space="0" w:color="000000"/>
              <w:left w:val="nil"/>
              <w:bottom w:val="single" w:sz="12"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000000"/>
              <w:left w:val="single" w:sz="4" w:space="0" w:color="000000"/>
              <w:bottom w:val="single" w:sz="4" w:space="0" w:color="auto"/>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景观</w:t>
            </w:r>
          </w:p>
        </w:tc>
        <w:tc>
          <w:tcPr>
            <w:tcW w:w="335" w:type="pct"/>
            <w:tcBorders>
              <w:top w:val="single" w:sz="4" w:space="0" w:color="000000"/>
              <w:left w:val="single" w:sz="4" w:space="0" w:color="000000"/>
              <w:bottom w:val="single" w:sz="4" w:space="0" w:color="auto"/>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auto"/>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335" w:type="pct"/>
            <w:tcBorders>
              <w:top w:val="single" w:sz="4" w:space="0" w:color="000000"/>
              <w:left w:val="single" w:sz="4" w:space="0" w:color="000000"/>
              <w:bottom w:val="single" w:sz="4" w:space="0" w:color="auto"/>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290" w:type="pct"/>
            <w:tcBorders>
              <w:top w:val="single" w:sz="4" w:space="0" w:color="000000"/>
              <w:left w:val="single" w:sz="4" w:space="0" w:color="000000"/>
              <w:bottom w:val="single" w:sz="4" w:space="0" w:color="auto"/>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22" w:type="pct"/>
            <w:tcBorders>
              <w:top w:val="single" w:sz="4" w:space="0" w:color="000000"/>
              <w:left w:val="single" w:sz="4" w:space="0" w:color="000000"/>
              <w:bottom w:val="single" w:sz="4" w:space="0" w:color="auto"/>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000000"/>
              <w:left w:val="single" w:sz="4" w:space="0" w:color="000000"/>
              <w:bottom w:val="single" w:sz="4" w:space="0" w:color="auto"/>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auto"/>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auto"/>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auto"/>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auto"/>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337" w:type="pct"/>
            <w:tcBorders>
              <w:top w:val="single" w:sz="4" w:space="0" w:color="000000"/>
              <w:left w:val="single" w:sz="4" w:space="0" w:color="000000"/>
              <w:bottom w:val="single" w:sz="4" w:space="0" w:color="auto"/>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4" w:space="0" w:color="auto"/>
              <w:right w:val="nil"/>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r>
      <w:tr w:rsidR="00BD5820">
        <w:trPr>
          <w:trHeight w:val="18"/>
          <w:jc w:val="center"/>
        </w:trPr>
        <w:tc>
          <w:tcPr>
            <w:tcW w:w="0" w:type="auto"/>
            <w:vMerge/>
            <w:tcBorders>
              <w:top w:val="single" w:sz="4" w:space="0" w:color="000000"/>
              <w:left w:val="nil"/>
              <w:bottom w:val="single" w:sz="12"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auto"/>
              <w:left w:val="single" w:sz="4" w:space="0" w:color="000000"/>
              <w:bottom w:val="single" w:sz="4" w:space="0" w:color="auto"/>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旅游</w:t>
            </w:r>
          </w:p>
        </w:tc>
        <w:tc>
          <w:tcPr>
            <w:tcW w:w="335" w:type="pct"/>
            <w:tcBorders>
              <w:top w:val="single" w:sz="4" w:space="0" w:color="auto"/>
              <w:left w:val="single" w:sz="4" w:space="0" w:color="000000"/>
              <w:bottom w:val="single" w:sz="4" w:space="0" w:color="auto"/>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auto"/>
              <w:left w:val="single" w:sz="4" w:space="0" w:color="000000"/>
              <w:bottom w:val="single" w:sz="4" w:space="0" w:color="auto"/>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auto"/>
              <w:left w:val="single" w:sz="4" w:space="0" w:color="000000"/>
              <w:bottom w:val="single" w:sz="4" w:space="0" w:color="auto"/>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auto"/>
              <w:left w:val="single" w:sz="4" w:space="0" w:color="000000"/>
              <w:bottom w:val="single" w:sz="4" w:space="0" w:color="auto"/>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322" w:type="pct"/>
            <w:tcBorders>
              <w:top w:val="single" w:sz="4" w:space="0" w:color="auto"/>
              <w:left w:val="single" w:sz="4" w:space="0" w:color="000000"/>
              <w:bottom w:val="single" w:sz="4" w:space="0" w:color="auto"/>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auto"/>
              <w:left w:val="single" w:sz="4" w:space="0" w:color="000000"/>
              <w:bottom w:val="single" w:sz="4" w:space="0" w:color="auto"/>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auto"/>
              <w:left w:val="single" w:sz="4" w:space="0" w:color="000000"/>
              <w:bottom w:val="single" w:sz="4" w:space="0" w:color="auto"/>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auto"/>
              <w:left w:val="single" w:sz="4" w:space="0" w:color="000000"/>
              <w:bottom w:val="single" w:sz="4" w:space="0" w:color="auto"/>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auto"/>
              <w:left w:val="single" w:sz="4" w:space="0" w:color="000000"/>
              <w:bottom w:val="single" w:sz="4" w:space="0" w:color="auto"/>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auto"/>
              <w:left w:val="single" w:sz="4" w:space="0" w:color="000000"/>
              <w:bottom w:val="single" w:sz="4" w:space="0" w:color="auto"/>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337" w:type="pct"/>
            <w:tcBorders>
              <w:top w:val="single" w:sz="4" w:space="0" w:color="auto"/>
              <w:left w:val="single" w:sz="4" w:space="0" w:color="000000"/>
              <w:bottom w:val="single" w:sz="4" w:space="0" w:color="auto"/>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332" w:type="pct"/>
            <w:tcBorders>
              <w:top w:val="single" w:sz="4" w:space="0" w:color="auto"/>
              <w:left w:val="single" w:sz="4" w:space="0" w:color="000000"/>
              <w:bottom w:val="single" w:sz="4" w:space="0" w:color="auto"/>
              <w:right w:val="nil"/>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r>
      <w:tr w:rsidR="00BD5820">
        <w:trPr>
          <w:trHeight w:val="18"/>
          <w:jc w:val="center"/>
        </w:trPr>
        <w:tc>
          <w:tcPr>
            <w:tcW w:w="0" w:type="auto"/>
            <w:vMerge/>
            <w:tcBorders>
              <w:top w:val="single" w:sz="4" w:space="0" w:color="000000"/>
              <w:left w:val="nil"/>
              <w:bottom w:val="single" w:sz="12"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居住</w:t>
            </w:r>
          </w:p>
        </w:tc>
        <w:tc>
          <w:tcPr>
            <w:tcW w:w="335"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335"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322"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260"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4"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4" w:space="0" w:color="000000"/>
              <w:right w:val="nil"/>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r>
      <w:tr w:rsidR="00BD5820">
        <w:trPr>
          <w:trHeight w:val="18"/>
          <w:jc w:val="center"/>
        </w:trPr>
        <w:tc>
          <w:tcPr>
            <w:tcW w:w="0" w:type="auto"/>
            <w:vMerge/>
            <w:tcBorders>
              <w:top w:val="single" w:sz="4" w:space="0" w:color="000000"/>
              <w:left w:val="nil"/>
              <w:bottom w:val="single" w:sz="12"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807" w:type="pct"/>
            <w:tcBorders>
              <w:top w:val="single" w:sz="4" w:space="0" w:color="000000"/>
              <w:left w:val="single" w:sz="4" w:space="0" w:color="000000"/>
              <w:bottom w:val="single" w:sz="12"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减少温室效应</w:t>
            </w:r>
          </w:p>
        </w:tc>
        <w:tc>
          <w:tcPr>
            <w:tcW w:w="335" w:type="pct"/>
            <w:tcBorders>
              <w:top w:val="single" w:sz="4" w:space="0" w:color="000000"/>
              <w:left w:val="single" w:sz="4" w:space="0" w:color="000000"/>
              <w:bottom w:val="single" w:sz="12"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12"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5" w:type="pct"/>
            <w:tcBorders>
              <w:top w:val="single" w:sz="4" w:space="0" w:color="000000"/>
              <w:left w:val="single" w:sz="4" w:space="0" w:color="000000"/>
              <w:bottom w:val="single" w:sz="12"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290" w:type="pct"/>
            <w:tcBorders>
              <w:top w:val="single" w:sz="4" w:space="0" w:color="000000"/>
              <w:left w:val="single" w:sz="4" w:space="0" w:color="000000"/>
              <w:bottom w:val="single" w:sz="12"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22" w:type="pct"/>
            <w:tcBorders>
              <w:top w:val="single" w:sz="4" w:space="0" w:color="000000"/>
              <w:left w:val="single" w:sz="4" w:space="0" w:color="000000"/>
              <w:bottom w:val="single" w:sz="12"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w:t>
            </w:r>
          </w:p>
        </w:tc>
        <w:tc>
          <w:tcPr>
            <w:tcW w:w="260" w:type="pct"/>
            <w:tcBorders>
              <w:top w:val="single" w:sz="4" w:space="0" w:color="000000"/>
              <w:left w:val="single" w:sz="4" w:space="0" w:color="000000"/>
              <w:bottom w:val="single" w:sz="12"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12"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12"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9" w:type="pct"/>
            <w:tcBorders>
              <w:top w:val="single" w:sz="4" w:space="0" w:color="000000"/>
              <w:left w:val="single" w:sz="4" w:space="0" w:color="000000"/>
              <w:bottom w:val="single" w:sz="12"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12"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7" w:type="pct"/>
            <w:tcBorders>
              <w:top w:val="single" w:sz="4" w:space="0" w:color="000000"/>
              <w:left w:val="single" w:sz="4" w:space="0" w:color="000000"/>
              <w:bottom w:val="single" w:sz="12" w:space="0" w:color="000000"/>
              <w:right w:val="single" w:sz="4" w:space="0" w:color="000000"/>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c>
          <w:tcPr>
            <w:tcW w:w="332" w:type="pct"/>
            <w:tcBorders>
              <w:top w:val="single" w:sz="4" w:space="0" w:color="000000"/>
              <w:left w:val="single" w:sz="4" w:space="0" w:color="000000"/>
              <w:bottom w:val="single" w:sz="12" w:space="0" w:color="000000"/>
              <w:right w:val="nil"/>
            </w:tcBorders>
            <w:vAlign w:val="center"/>
          </w:tcPr>
          <w:p w:rsidR="00BD5820" w:rsidRDefault="00BD5820">
            <w:pPr>
              <w:topLinePunct w:val="0"/>
              <w:adjustRightInd/>
              <w:spacing w:line="240" w:lineRule="auto"/>
              <w:ind w:firstLineChars="0" w:firstLine="0"/>
              <w:jc w:val="center"/>
              <w:rPr>
                <w:rFonts w:ascii="Times New Roman" w:cs="Times New Roman"/>
                <w:kern w:val="2"/>
                <w:sz w:val="21"/>
              </w:rPr>
            </w:pPr>
          </w:p>
        </w:tc>
      </w:tr>
    </w:tbl>
    <w:p w:rsidR="00BD5820" w:rsidRDefault="00F64314">
      <w:pPr>
        <w:pStyle w:val="affa"/>
        <w:ind w:firstLine="480"/>
      </w:pPr>
      <w:r>
        <w:t>根据表</w:t>
      </w:r>
      <w:r>
        <w:t>1.3-1</w:t>
      </w:r>
      <w:r>
        <w:t>和表</w:t>
      </w:r>
      <w:r>
        <w:t>1.3-2</w:t>
      </w:r>
      <w:r>
        <w:t>的分析结果可知，就环境影响因子影响而言，拟建工程主要影响站场周围环境空气</w:t>
      </w:r>
      <w:r>
        <w:rPr>
          <w:rFonts w:hint="eastAsia"/>
        </w:rPr>
        <w:t>、地表水、地下水、土壤、地下水和</w:t>
      </w:r>
      <w:r>
        <w:t>生态环境。</w:t>
      </w:r>
    </w:p>
    <w:p w:rsidR="00BD5820" w:rsidRDefault="00F64314">
      <w:pPr>
        <w:keepNext/>
        <w:keepLines/>
        <w:ind w:firstLineChars="0" w:firstLine="0"/>
        <w:outlineLvl w:val="2"/>
        <w:rPr>
          <w:rFonts w:ascii="Times New Roman" w:cs="Times New Roman"/>
          <w:b/>
          <w:szCs w:val="32"/>
        </w:rPr>
      </w:pPr>
      <w:bookmarkStart w:id="63" w:name="_Toc19815933"/>
      <w:r>
        <w:rPr>
          <w:rFonts w:ascii="Times New Roman" w:cs="Times New Roman"/>
          <w:b/>
          <w:szCs w:val="32"/>
        </w:rPr>
        <w:t xml:space="preserve">1.3.2 </w:t>
      </w:r>
      <w:r>
        <w:rPr>
          <w:rFonts w:ascii="Times New Roman" w:cs="Times New Roman"/>
          <w:b/>
          <w:szCs w:val="32"/>
        </w:rPr>
        <w:t>评价因子筛选</w:t>
      </w:r>
      <w:bookmarkEnd w:id="63"/>
    </w:p>
    <w:p w:rsidR="00BD5820" w:rsidRDefault="00F64314">
      <w:pPr>
        <w:pStyle w:val="affa"/>
        <w:ind w:firstLine="480"/>
      </w:pPr>
      <w:r>
        <w:t>根据工程分析及沿线现有污染源状况，本项目评价因子见表</w:t>
      </w:r>
      <w:r>
        <w:t>1.3-3</w:t>
      </w:r>
      <w:r>
        <w:t>。</w:t>
      </w:r>
    </w:p>
    <w:p w:rsidR="00BD5820" w:rsidRDefault="00F64314">
      <w:pPr>
        <w:pStyle w:val="10"/>
        <w:rPr>
          <w:rFonts w:cs="Times New Roman"/>
        </w:rPr>
      </w:pPr>
      <w:r>
        <w:rPr>
          <w:rFonts w:cs="Times New Roman"/>
        </w:rPr>
        <w:br w:type="page"/>
      </w:r>
    </w:p>
    <w:p w:rsidR="00BD5820" w:rsidRDefault="00F64314">
      <w:pPr>
        <w:pStyle w:val="10"/>
        <w:rPr>
          <w:rFonts w:cs="Times New Roman"/>
        </w:rPr>
      </w:pPr>
      <w:r>
        <w:rPr>
          <w:rFonts w:cs="Times New Roman"/>
        </w:rPr>
        <w:lastRenderedPageBreak/>
        <w:t>表</w:t>
      </w:r>
      <w:r>
        <w:rPr>
          <w:rFonts w:cs="Times New Roman"/>
        </w:rPr>
        <w:t xml:space="preserve">1.3-3  </w:t>
      </w:r>
      <w:r>
        <w:rPr>
          <w:rFonts w:cs="Times New Roman"/>
          <w:szCs w:val="21"/>
        </w:rPr>
        <w:t>本项目评价因子表</w:t>
      </w:r>
    </w:p>
    <w:tbl>
      <w:tblPr>
        <w:tblW w:w="5297" w:type="pct"/>
        <w:jc w:val="center"/>
        <w:tblCellMar>
          <w:left w:w="0" w:type="dxa"/>
          <w:right w:w="0" w:type="dxa"/>
        </w:tblCellMar>
        <w:tblLook w:val="04A0"/>
      </w:tblPr>
      <w:tblGrid>
        <w:gridCol w:w="1328"/>
        <w:gridCol w:w="2011"/>
        <w:gridCol w:w="3785"/>
        <w:gridCol w:w="1675"/>
      </w:tblGrid>
      <w:tr w:rsidR="00BD5820">
        <w:trPr>
          <w:trHeight w:val="19"/>
          <w:jc w:val="center"/>
        </w:trPr>
        <w:tc>
          <w:tcPr>
            <w:tcW w:w="754" w:type="pct"/>
            <w:tcBorders>
              <w:top w:val="single" w:sz="12" w:space="0" w:color="000000"/>
              <w:left w:val="nil"/>
              <w:bottom w:val="single" w:sz="4" w:space="0" w:color="000000"/>
              <w:right w:val="single" w:sz="4" w:space="0" w:color="000000"/>
            </w:tcBorders>
            <w:vAlign w:val="center"/>
          </w:tcPr>
          <w:p w:rsidR="00BD5820" w:rsidRDefault="00F64314">
            <w:pPr>
              <w:spacing w:line="240" w:lineRule="auto"/>
              <w:ind w:firstLineChars="0" w:firstLine="0"/>
              <w:jc w:val="center"/>
              <w:rPr>
                <w:rFonts w:ascii="Times New Roman" w:cs="Times New Roman"/>
                <w:b/>
                <w:kern w:val="2"/>
                <w:sz w:val="21"/>
                <w:szCs w:val="21"/>
              </w:rPr>
            </w:pPr>
            <w:r>
              <w:rPr>
                <w:rFonts w:ascii="Times New Roman" w:cs="Times New Roman"/>
                <w:b/>
                <w:kern w:val="2"/>
                <w:sz w:val="21"/>
                <w:szCs w:val="21"/>
              </w:rPr>
              <w:t>评价要素</w:t>
            </w:r>
          </w:p>
        </w:tc>
        <w:tc>
          <w:tcPr>
            <w:tcW w:w="1143" w:type="pct"/>
            <w:tcBorders>
              <w:top w:val="single" w:sz="12" w:space="0" w:color="000000"/>
              <w:left w:val="single" w:sz="4" w:space="0" w:color="000000"/>
              <w:bottom w:val="single" w:sz="4" w:space="0" w:color="000000"/>
              <w:right w:val="single" w:sz="4" w:space="0" w:color="000000"/>
            </w:tcBorders>
            <w:vAlign w:val="center"/>
          </w:tcPr>
          <w:p w:rsidR="00BD5820" w:rsidRDefault="00F64314">
            <w:pPr>
              <w:spacing w:line="240" w:lineRule="auto"/>
              <w:ind w:firstLineChars="0" w:firstLine="0"/>
              <w:jc w:val="center"/>
              <w:rPr>
                <w:rFonts w:ascii="Times New Roman" w:cs="Times New Roman"/>
                <w:b/>
                <w:kern w:val="2"/>
                <w:sz w:val="21"/>
                <w:szCs w:val="21"/>
              </w:rPr>
            </w:pPr>
            <w:r>
              <w:rPr>
                <w:rFonts w:ascii="Times New Roman" w:cs="Times New Roman"/>
                <w:b/>
                <w:kern w:val="2"/>
                <w:sz w:val="21"/>
                <w:szCs w:val="21"/>
              </w:rPr>
              <w:t>评价类型</w:t>
            </w:r>
          </w:p>
        </w:tc>
        <w:tc>
          <w:tcPr>
            <w:tcW w:w="2151" w:type="pct"/>
            <w:tcBorders>
              <w:top w:val="single" w:sz="12" w:space="0" w:color="000000"/>
              <w:left w:val="single" w:sz="4" w:space="0" w:color="000000"/>
              <w:bottom w:val="single" w:sz="4" w:space="0" w:color="000000"/>
              <w:right w:val="single" w:sz="4" w:space="0" w:color="000000"/>
            </w:tcBorders>
            <w:vAlign w:val="center"/>
          </w:tcPr>
          <w:p w:rsidR="00BD5820" w:rsidRDefault="00F64314">
            <w:pPr>
              <w:spacing w:line="240" w:lineRule="auto"/>
              <w:ind w:firstLineChars="0" w:firstLine="0"/>
              <w:jc w:val="center"/>
              <w:rPr>
                <w:rFonts w:ascii="Times New Roman" w:cs="Times New Roman"/>
                <w:b/>
                <w:kern w:val="2"/>
                <w:sz w:val="21"/>
                <w:szCs w:val="21"/>
              </w:rPr>
            </w:pPr>
            <w:r>
              <w:rPr>
                <w:rFonts w:ascii="Times New Roman" w:cs="Times New Roman"/>
                <w:b/>
                <w:kern w:val="2"/>
                <w:sz w:val="21"/>
                <w:szCs w:val="21"/>
              </w:rPr>
              <w:t>评价因子或评价对象</w:t>
            </w:r>
          </w:p>
        </w:tc>
        <w:tc>
          <w:tcPr>
            <w:tcW w:w="952" w:type="pct"/>
            <w:tcBorders>
              <w:top w:val="single" w:sz="12" w:space="0" w:color="000000"/>
              <w:left w:val="single" w:sz="4" w:space="0" w:color="000000"/>
              <w:bottom w:val="single" w:sz="4" w:space="0" w:color="000000"/>
              <w:right w:val="nil"/>
            </w:tcBorders>
            <w:vAlign w:val="center"/>
          </w:tcPr>
          <w:p w:rsidR="00BD5820" w:rsidRDefault="00F64314">
            <w:pPr>
              <w:spacing w:line="240" w:lineRule="auto"/>
              <w:ind w:firstLineChars="0" w:firstLine="0"/>
              <w:jc w:val="center"/>
              <w:rPr>
                <w:rFonts w:ascii="Times New Roman" w:cs="Times New Roman"/>
                <w:b/>
                <w:kern w:val="2"/>
                <w:sz w:val="21"/>
                <w:szCs w:val="21"/>
              </w:rPr>
            </w:pPr>
            <w:r>
              <w:rPr>
                <w:rFonts w:ascii="Times New Roman" w:cs="Times New Roman"/>
                <w:b/>
                <w:kern w:val="2"/>
                <w:sz w:val="21"/>
                <w:szCs w:val="21"/>
              </w:rPr>
              <w:t>备注</w:t>
            </w:r>
          </w:p>
        </w:tc>
      </w:tr>
      <w:tr w:rsidR="00BD5820">
        <w:trPr>
          <w:trHeight w:val="19"/>
          <w:jc w:val="center"/>
        </w:trPr>
        <w:tc>
          <w:tcPr>
            <w:tcW w:w="754" w:type="pct"/>
            <w:tcBorders>
              <w:top w:val="single" w:sz="4" w:space="0" w:color="000000"/>
              <w:left w:val="nil"/>
              <w:bottom w:val="single" w:sz="4" w:space="0" w:color="000000"/>
              <w:right w:val="single" w:sz="4" w:space="0" w:color="000000"/>
            </w:tcBorders>
            <w:vAlign w:val="center"/>
          </w:tcPr>
          <w:p w:rsidR="00BD5820" w:rsidRDefault="00F64314">
            <w:pPr>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生态</w:t>
            </w:r>
          </w:p>
        </w:tc>
        <w:tc>
          <w:tcPr>
            <w:tcW w:w="1143" w:type="pct"/>
            <w:tcBorders>
              <w:top w:val="single" w:sz="4" w:space="0" w:color="000000"/>
              <w:left w:val="single" w:sz="4" w:space="0" w:color="000000"/>
              <w:bottom w:val="single" w:sz="4" w:space="0" w:color="000000"/>
              <w:right w:val="single" w:sz="4" w:space="0" w:color="000000"/>
            </w:tcBorders>
            <w:vAlign w:val="center"/>
          </w:tcPr>
          <w:p w:rsidR="00BD5820" w:rsidRDefault="00F64314">
            <w:pPr>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生态环境现状调查</w:t>
            </w:r>
          </w:p>
        </w:tc>
        <w:tc>
          <w:tcPr>
            <w:tcW w:w="2151" w:type="pct"/>
            <w:tcBorders>
              <w:top w:val="single" w:sz="4" w:space="0" w:color="000000"/>
              <w:left w:val="single" w:sz="4" w:space="0" w:color="000000"/>
              <w:bottom w:val="single" w:sz="4" w:space="0" w:color="000000"/>
              <w:right w:val="single" w:sz="4" w:space="0" w:color="000000"/>
            </w:tcBorders>
            <w:vAlign w:val="center"/>
          </w:tcPr>
          <w:p w:rsidR="00BD5820" w:rsidRDefault="00F64314">
            <w:pPr>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动植物分布、土地利用、土壤侵蚀、自然保护区、风景名胜区等</w:t>
            </w:r>
          </w:p>
        </w:tc>
        <w:tc>
          <w:tcPr>
            <w:tcW w:w="952" w:type="pct"/>
            <w:tcBorders>
              <w:top w:val="single" w:sz="4" w:space="0" w:color="000000"/>
              <w:left w:val="single" w:sz="4" w:space="0" w:color="000000"/>
              <w:bottom w:val="single" w:sz="4" w:space="0" w:color="000000"/>
              <w:right w:val="nil"/>
            </w:tcBorders>
            <w:vAlign w:val="center"/>
          </w:tcPr>
          <w:p w:rsidR="00BD5820" w:rsidRDefault="00F64314">
            <w:pPr>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场站及管道沿线</w:t>
            </w:r>
          </w:p>
        </w:tc>
      </w:tr>
      <w:tr w:rsidR="00BD5820">
        <w:trPr>
          <w:trHeight w:val="19"/>
          <w:jc w:val="center"/>
        </w:trPr>
        <w:tc>
          <w:tcPr>
            <w:tcW w:w="754" w:type="pct"/>
            <w:tcBorders>
              <w:top w:val="single" w:sz="4" w:space="0" w:color="000000"/>
              <w:left w:val="nil"/>
              <w:bottom w:val="single" w:sz="4" w:space="0" w:color="000000"/>
              <w:right w:val="single" w:sz="4" w:space="0" w:color="000000"/>
            </w:tcBorders>
            <w:vAlign w:val="center"/>
          </w:tcPr>
          <w:p w:rsidR="00BD5820" w:rsidRDefault="00F64314">
            <w:pPr>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地表水</w:t>
            </w:r>
          </w:p>
        </w:tc>
        <w:tc>
          <w:tcPr>
            <w:tcW w:w="1143" w:type="pct"/>
            <w:tcBorders>
              <w:top w:val="single" w:sz="4" w:space="0" w:color="000000"/>
              <w:left w:val="single" w:sz="4" w:space="0" w:color="000000"/>
              <w:bottom w:val="single" w:sz="4" w:space="0" w:color="000000"/>
              <w:right w:val="single" w:sz="4" w:space="0" w:color="000000"/>
            </w:tcBorders>
            <w:vAlign w:val="center"/>
          </w:tcPr>
          <w:p w:rsidR="00BD5820" w:rsidRDefault="00F64314">
            <w:pPr>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地表水环境质量现状调查</w:t>
            </w:r>
          </w:p>
        </w:tc>
        <w:tc>
          <w:tcPr>
            <w:tcW w:w="2151" w:type="pct"/>
            <w:tcBorders>
              <w:top w:val="single" w:sz="4" w:space="0" w:color="000000"/>
              <w:left w:val="single" w:sz="4" w:space="0" w:color="000000"/>
              <w:bottom w:val="single" w:sz="4" w:space="0" w:color="000000"/>
              <w:right w:val="single" w:sz="4" w:space="0" w:color="000000"/>
            </w:tcBorders>
            <w:vAlign w:val="center"/>
          </w:tcPr>
          <w:p w:rsidR="00BD5820" w:rsidRDefault="00F64314">
            <w:pPr>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pH</w:t>
            </w:r>
            <w:r>
              <w:rPr>
                <w:rFonts w:ascii="Times New Roman" w:cs="Times New Roman"/>
                <w:kern w:val="2"/>
                <w:sz w:val="21"/>
                <w:szCs w:val="21"/>
              </w:rPr>
              <w:t>、</w:t>
            </w:r>
            <w:r>
              <w:rPr>
                <w:rFonts w:ascii="Times New Roman" w:cs="Times New Roman"/>
                <w:kern w:val="2"/>
                <w:sz w:val="21"/>
                <w:szCs w:val="21"/>
              </w:rPr>
              <w:t>COD</w:t>
            </w:r>
            <w:r>
              <w:rPr>
                <w:rFonts w:ascii="Times New Roman" w:cs="Times New Roman"/>
                <w:kern w:val="2"/>
                <w:sz w:val="21"/>
                <w:szCs w:val="21"/>
              </w:rPr>
              <w:t>、</w:t>
            </w:r>
            <w:r>
              <w:rPr>
                <w:rFonts w:ascii="Times New Roman" w:cs="Times New Roman"/>
                <w:kern w:val="2"/>
                <w:sz w:val="21"/>
                <w:szCs w:val="21"/>
              </w:rPr>
              <w:t>BOD</w:t>
            </w:r>
            <w:r>
              <w:rPr>
                <w:rFonts w:ascii="Times New Roman" w:cs="Times New Roman"/>
                <w:kern w:val="2"/>
                <w:sz w:val="21"/>
                <w:szCs w:val="21"/>
                <w:vertAlign w:val="subscript"/>
              </w:rPr>
              <w:t>5</w:t>
            </w:r>
            <w:r>
              <w:rPr>
                <w:rFonts w:ascii="Times New Roman" w:cs="Times New Roman"/>
                <w:kern w:val="2"/>
                <w:sz w:val="21"/>
                <w:szCs w:val="21"/>
              </w:rPr>
              <w:t>、氨氮、</w:t>
            </w:r>
            <w:r>
              <w:rPr>
                <w:rFonts w:ascii="Times New Roman" w:cs="Times New Roman"/>
                <w:kern w:val="2"/>
                <w:sz w:val="21"/>
                <w:szCs w:val="21"/>
              </w:rPr>
              <w:t>SS</w:t>
            </w:r>
            <w:r>
              <w:rPr>
                <w:rFonts w:ascii="Times New Roman" w:cs="Times New Roman"/>
                <w:kern w:val="2"/>
                <w:sz w:val="21"/>
                <w:szCs w:val="21"/>
              </w:rPr>
              <w:t>、石油类、</w:t>
            </w:r>
            <w:r>
              <w:rPr>
                <w:rFonts w:ascii="Times New Roman" w:cs="Times New Roman" w:hint="eastAsia"/>
                <w:kern w:val="2"/>
                <w:sz w:val="21"/>
                <w:szCs w:val="21"/>
              </w:rPr>
              <w:t>挥发酚</w:t>
            </w:r>
            <w:r>
              <w:rPr>
                <w:rFonts w:ascii="Times New Roman" w:cs="Times New Roman"/>
                <w:kern w:val="2"/>
                <w:sz w:val="21"/>
                <w:szCs w:val="21"/>
              </w:rPr>
              <w:t>、硫化物、氯化物</w:t>
            </w:r>
          </w:p>
        </w:tc>
        <w:tc>
          <w:tcPr>
            <w:tcW w:w="952" w:type="pct"/>
            <w:tcBorders>
              <w:top w:val="single" w:sz="4" w:space="0" w:color="000000"/>
              <w:left w:val="single" w:sz="4" w:space="0" w:color="000000"/>
              <w:bottom w:val="single" w:sz="4" w:space="0" w:color="000000"/>
              <w:right w:val="nil"/>
            </w:tcBorders>
            <w:vAlign w:val="center"/>
          </w:tcPr>
          <w:p w:rsidR="00BD5820" w:rsidRDefault="00F64314">
            <w:pPr>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场站及管道沿线</w:t>
            </w:r>
          </w:p>
        </w:tc>
      </w:tr>
      <w:tr w:rsidR="00BD5820">
        <w:trPr>
          <w:trHeight w:val="19"/>
          <w:jc w:val="center"/>
        </w:trPr>
        <w:tc>
          <w:tcPr>
            <w:tcW w:w="754" w:type="pct"/>
            <w:tcBorders>
              <w:top w:val="single" w:sz="4" w:space="0" w:color="000000"/>
              <w:left w:val="nil"/>
              <w:bottom w:val="single" w:sz="4" w:space="0" w:color="000000"/>
              <w:right w:val="single" w:sz="4" w:space="0" w:color="000000"/>
            </w:tcBorders>
            <w:vAlign w:val="center"/>
          </w:tcPr>
          <w:p w:rsidR="00BD5820" w:rsidRDefault="00F64314">
            <w:pPr>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大气</w:t>
            </w:r>
          </w:p>
        </w:tc>
        <w:tc>
          <w:tcPr>
            <w:tcW w:w="1143" w:type="pct"/>
            <w:tcBorders>
              <w:top w:val="single" w:sz="4" w:space="0" w:color="000000"/>
              <w:left w:val="single" w:sz="4" w:space="0" w:color="000000"/>
              <w:bottom w:val="single" w:sz="4" w:space="0" w:color="000000"/>
              <w:right w:val="single" w:sz="4" w:space="0" w:color="000000"/>
            </w:tcBorders>
            <w:vAlign w:val="center"/>
          </w:tcPr>
          <w:p w:rsidR="00BD5820" w:rsidRDefault="00F64314">
            <w:pPr>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环境空气质量调查</w:t>
            </w:r>
          </w:p>
        </w:tc>
        <w:tc>
          <w:tcPr>
            <w:tcW w:w="2151" w:type="pct"/>
            <w:tcBorders>
              <w:top w:val="single" w:sz="4" w:space="0" w:color="000000"/>
              <w:left w:val="single" w:sz="4" w:space="0" w:color="000000"/>
              <w:bottom w:val="single" w:sz="4" w:space="0" w:color="000000"/>
              <w:right w:val="single" w:sz="4" w:space="0" w:color="000000"/>
            </w:tcBorders>
            <w:vAlign w:val="center"/>
          </w:tcPr>
          <w:p w:rsidR="00BD5820" w:rsidRDefault="00F64314">
            <w:pPr>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SO</w:t>
            </w:r>
            <w:r>
              <w:rPr>
                <w:rFonts w:ascii="Times New Roman" w:cs="Times New Roman"/>
                <w:kern w:val="2"/>
                <w:sz w:val="21"/>
                <w:szCs w:val="21"/>
                <w:vertAlign w:val="subscript"/>
              </w:rPr>
              <w:t>2</w:t>
            </w:r>
            <w:r>
              <w:rPr>
                <w:rFonts w:ascii="Times New Roman" w:cs="Times New Roman"/>
                <w:kern w:val="2"/>
                <w:sz w:val="21"/>
                <w:szCs w:val="21"/>
              </w:rPr>
              <w:t>、</w:t>
            </w:r>
            <w:r>
              <w:rPr>
                <w:rFonts w:ascii="Times New Roman" w:cs="Times New Roman"/>
                <w:kern w:val="2"/>
                <w:sz w:val="21"/>
                <w:szCs w:val="21"/>
              </w:rPr>
              <w:t>NO</w:t>
            </w:r>
            <w:r>
              <w:rPr>
                <w:rFonts w:ascii="Times New Roman" w:cs="Times New Roman"/>
                <w:kern w:val="2"/>
                <w:sz w:val="21"/>
                <w:szCs w:val="21"/>
                <w:vertAlign w:val="subscript"/>
              </w:rPr>
              <w:t>2</w:t>
            </w:r>
            <w:r>
              <w:rPr>
                <w:rFonts w:ascii="Times New Roman" w:cs="Times New Roman"/>
                <w:kern w:val="2"/>
                <w:sz w:val="21"/>
                <w:szCs w:val="21"/>
              </w:rPr>
              <w:t>、</w:t>
            </w:r>
            <w:r>
              <w:rPr>
                <w:rFonts w:ascii="Times New Roman" w:cs="Times New Roman"/>
                <w:kern w:val="2"/>
                <w:sz w:val="21"/>
                <w:szCs w:val="21"/>
              </w:rPr>
              <w:t>PM</w:t>
            </w:r>
            <w:r>
              <w:rPr>
                <w:rFonts w:ascii="Times New Roman" w:cs="Times New Roman"/>
                <w:kern w:val="2"/>
                <w:sz w:val="21"/>
                <w:szCs w:val="21"/>
                <w:vertAlign w:val="subscript"/>
              </w:rPr>
              <w:t>2.5</w:t>
            </w:r>
            <w:r>
              <w:rPr>
                <w:rFonts w:ascii="Times New Roman" w:cs="Times New Roman"/>
                <w:kern w:val="2"/>
                <w:sz w:val="21"/>
                <w:szCs w:val="21"/>
              </w:rPr>
              <w:t>、</w:t>
            </w:r>
            <w:r>
              <w:rPr>
                <w:rFonts w:ascii="Times New Roman" w:cs="Times New Roman"/>
                <w:kern w:val="2"/>
                <w:sz w:val="21"/>
                <w:szCs w:val="21"/>
              </w:rPr>
              <w:t>PM</w:t>
            </w:r>
            <w:r>
              <w:rPr>
                <w:rFonts w:ascii="Times New Roman" w:cs="Times New Roman"/>
                <w:kern w:val="2"/>
                <w:sz w:val="21"/>
                <w:szCs w:val="21"/>
                <w:vertAlign w:val="subscript"/>
              </w:rPr>
              <w:t>10</w:t>
            </w:r>
            <w:r>
              <w:rPr>
                <w:rFonts w:ascii="Times New Roman" w:cs="Times New Roman"/>
                <w:kern w:val="2"/>
                <w:sz w:val="21"/>
                <w:szCs w:val="21"/>
              </w:rPr>
              <w:t>、</w:t>
            </w:r>
            <w:r>
              <w:rPr>
                <w:rFonts w:ascii="Times New Roman" w:cs="Times New Roman"/>
                <w:kern w:val="2"/>
                <w:sz w:val="21"/>
                <w:szCs w:val="21"/>
              </w:rPr>
              <w:t>O</w:t>
            </w:r>
            <w:r>
              <w:rPr>
                <w:rFonts w:ascii="Times New Roman" w:cs="Times New Roman"/>
                <w:kern w:val="2"/>
                <w:sz w:val="21"/>
                <w:szCs w:val="21"/>
                <w:vertAlign w:val="subscript"/>
              </w:rPr>
              <w:t>3</w:t>
            </w:r>
            <w:r>
              <w:rPr>
                <w:rFonts w:ascii="Times New Roman" w:cs="Times New Roman"/>
                <w:kern w:val="2"/>
                <w:sz w:val="21"/>
                <w:szCs w:val="21"/>
              </w:rPr>
              <w:t>、</w:t>
            </w:r>
            <w:r>
              <w:rPr>
                <w:rFonts w:ascii="Times New Roman" w:cs="Times New Roman"/>
                <w:kern w:val="2"/>
                <w:sz w:val="21"/>
                <w:szCs w:val="21"/>
              </w:rPr>
              <w:t>CO</w:t>
            </w:r>
            <w:r>
              <w:rPr>
                <w:rFonts w:ascii="Times New Roman" w:cs="Times New Roman"/>
                <w:kern w:val="2"/>
                <w:sz w:val="21"/>
                <w:szCs w:val="21"/>
              </w:rPr>
              <w:t>、</w:t>
            </w:r>
            <w:r>
              <w:rPr>
                <w:rFonts w:ascii="Times New Roman" w:cs="Times New Roman" w:hint="eastAsia"/>
                <w:kern w:val="2"/>
                <w:sz w:val="21"/>
                <w:szCs w:val="21"/>
              </w:rPr>
              <w:t>TVOC</w:t>
            </w:r>
            <w:r>
              <w:rPr>
                <w:rFonts w:ascii="Times New Roman" w:cs="Times New Roman"/>
                <w:kern w:val="2"/>
                <w:sz w:val="21"/>
                <w:szCs w:val="21"/>
              </w:rPr>
              <w:t>、</w:t>
            </w:r>
            <w:r>
              <w:rPr>
                <w:rFonts w:ascii="Times New Roman" w:cs="Times New Roman" w:hint="eastAsia"/>
                <w:kern w:val="2"/>
                <w:sz w:val="21"/>
                <w:szCs w:val="21"/>
              </w:rPr>
              <w:t>非甲烷总烃</w:t>
            </w:r>
            <w:r>
              <w:rPr>
                <w:rFonts w:ascii="Times New Roman" w:cs="Times New Roman"/>
                <w:kern w:val="2"/>
                <w:sz w:val="21"/>
                <w:szCs w:val="21"/>
              </w:rPr>
              <w:t>、</w:t>
            </w:r>
            <w:r>
              <w:rPr>
                <w:rFonts w:ascii="Times New Roman" w:cs="Times New Roman"/>
                <w:kern w:val="2"/>
                <w:sz w:val="21"/>
                <w:szCs w:val="21"/>
              </w:rPr>
              <w:t>H</w:t>
            </w:r>
            <w:r>
              <w:rPr>
                <w:rFonts w:ascii="Times New Roman" w:cs="Times New Roman"/>
                <w:kern w:val="2"/>
                <w:sz w:val="21"/>
                <w:szCs w:val="21"/>
                <w:vertAlign w:val="subscript"/>
              </w:rPr>
              <w:t>2</w:t>
            </w:r>
            <w:r>
              <w:rPr>
                <w:rFonts w:ascii="Times New Roman" w:cs="Times New Roman"/>
                <w:kern w:val="2"/>
                <w:sz w:val="21"/>
                <w:szCs w:val="21"/>
              </w:rPr>
              <w:t>S</w:t>
            </w:r>
          </w:p>
        </w:tc>
        <w:tc>
          <w:tcPr>
            <w:tcW w:w="952" w:type="pct"/>
            <w:tcBorders>
              <w:top w:val="single" w:sz="4" w:space="0" w:color="000000"/>
              <w:left w:val="single" w:sz="4"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场站及管道沿线</w:t>
            </w:r>
          </w:p>
        </w:tc>
      </w:tr>
      <w:tr w:rsidR="00BD5820">
        <w:trPr>
          <w:trHeight w:val="19"/>
          <w:jc w:val="center"/>
        </w:trPr>
        <w:tc>
          <w:tcPr>
            <w:tcW w:w="754" w:type="pct"/>
            <w:tcBorders>
              <w:top w:val="single" w:sz="4" w:space="0" w:color="000000"/>
              <w:left w:val="nil"/>
              <w:bottom w:val="single" w:sz="4" w:space="0" w:color="000000"/>
              <w:right w:val="single" w:sz="4" w:space="0" w:color="000000"/>
            </w:tcBorders>
            <w:vAlign w:val="center"/>
          </w:tcPr>
          <w:p w:rsidR="00BD5820" w:rsidRDefault="00F64314">
            <w:pPr>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噪声</w:t>
            </w:r>
          </w:p>
        </w:tc>
        <w:tc>
          <w:tcPr>
            <w:tcW w:w="1143" w:type="pct"/>
            <w:tcBorders>
              <w:top w:val="single" w:sz="4" w:space="0" w:color="000000"/>
              <w:left w:val="single" w:sz="4" w:space="0" w:color="000000"/>
              <w:bottom w:val="single" w:sz="4" w:space="0" w:color="000000"/>
              <w:right w:val="single" w:sz="4" w:space="0" w:color="000000"/>
            </w:tcBorders>
            <w:vAlign w:val="center"/>
          </w:tcPr>
          <w:p w:rsidR="00BD5820" w:rsidRDefault="00F64314">
            <w:pPr>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现状调查与预测</w:t>
            </w:r>
          </w:p>
        </w:tc>
        <w:tc>
          <w:tcPr>
            <w:tcW w:w="2151" w:type="pct"/>
            <w:tcBorders>
              <w:top w:val="single" w:sz="4" w:space="0" w:color="000000"/>
              <w:left w:val="single" w:sz="4" w:space="0" w:color="000000"/>
              <w:bottom w:val="single" w:sz="4" w:space="0" w:color="000000"/>
              <w:right w:val="single" w:sz="4" w:space="0" w:color="000000"/>
            </w:tcBorders>
            <w:vAlign w:val="center"/>
          </w:tcPr>
          <w:p w:rsidR="00BD5820" w:rsidRDefault="00F64314">
            <w:pPr>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昼夜等效连续</w:t>
            </w:r>
            <w:r>
              <w:rPr>
                <w:rFonts w:ascii="Times New Roman" w:cs="Times New Roman"/>
                <w:kern w:val="2"/>
                <w:sz w:val="21"/>
                <w:szCs w:val="21"/>
              </w:rPr>
              <w:t>A</w:t>
            </w:r>
            <w:r>
              <w:rPr>
                <w:rFonts w:ascii="Times New Roman" w:cs="Times New Roman"/>
                <w:kern w:val="2"/>
                <w:sz w:val="21"/>
                <w:szCs w:val="21"/>
              </w:rPr>
              <w:t>声级</w:t>
            </w:r>
          </w:p>
        </w:tc>
        <w:tc>
          <w:tcPr>
            <w:tcW w:w="952" w:type="pct"/>
            <w:tcBorders>
              <w:top w:val="single" w:sz="2" w:space="0" w:color="000000"/>
              <w:left w:val="single" w:sz="4" w:space="0" w:color="000000"/>
              <w:bottom w:val="single" w:sz="4" w:space="0" w:color="000000"/>
              <w:right w:val="nil"/>
            </w:tcBorders>
            <w:vAlign w:val="center"/>
          </w:tcPr>
          <w:p w:rsidR="00BD5820" w:rsidRDefault="00F64314">
            <w:pPr>
              <w:pStyle w:val="afffffff3"/>
            </w:pPr>
            <w:r>
              <w:rPr>
                <w:kern w:val="2"/>
                <w:szCs w:val="21"/>
              </w:rPr>
              <w:t>场站及管道沿线</w:t>
            </w:r>
          </w:p>
        </w:tc>
      </w:tr>
      <w:tr w:rsidR="00BD5820">
        <w:trPr>
          <w:trHeight w:val="19"/>
          <w:jc w:val="center"/>
        </w:trPr>
        <w:tc>
          <w:tcPr>
            <w:tcW w:w="754" w:type="pct"/>
            <w:tcBorders>
              <w:top w:val="single" w:sz="4" w:space="0" w:color="000000"/>
              <w:left w:val="nil"/>
              <w:bottom w:val="single" w:sz="4" w:space="0" w:color="000000"/>
              <w:right w:val="single" w:sz="4" w:space="0" w:color="000000"/>
            </w:tcBorders>
            <w:vAlign w:val="center"/>
          </w:tcPr>
          <w:p w:rsidR="00BD5820" w:rsidRDefault="00F64314">
            <w:pPr>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浅层地下水</w:t>
            </w:r>
          </w:p>
        </w:tc>
        <w:tc>
          <w:tcPr>
            <w:tcW w:w="1143" w:type="pct"/>
            <w:tcBorders>
              <w:top w:val="single" w:sz="4" w:space="0" w:color="000000"/>
              <w:left w:val="single" w:sz="4" w:space="0" w:color="000000"/>
              <w:bottom w:val="single" w:sz="4" w:space="0" w:color="000000"/>
              <w:right w:val="single" w:sz="4" w:space="0" w:color="000000"/>
            </w:tcBorders>
            <w:vAlign w:val="center"/>
          </w:tcPr>
          <w:p w:rsidR="00BD5820" w:rsidRDefault="00F64314">
            <w:pPr>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地下水环境质量现状调查</w:t>
            </w:r>
            <w:r>
              <w:rPr>
                <w:rFonts w:ascii="Times New Roman" w:cs="Times New Roman" w:hint="eastAsia"/>
                <w:kern w:val="2"/>
                <w:sz w:val="21"/>
                <w:szCs w:val="21"/>
              </w:rPr>
              <w:t>、水位调查</w:t>
            </w:r>
          </w:p>
        </w:tc>
        <w:tc>
          <w:tcPr>
            <w:tcW w:w="2151" w:type="pct"/>
            <w:tcBorders>
              <w:top w:val="single" w:sz="4" w:space="0" w:color="000000"/>
              <w:left w:val="single" w:sz="4" w:space="0" w:color="000000"/>
              <w:bottom w:val="single" w:sz="4" w:space="0" w:color="000000"/>
              <w:right w:val="single" w:sz="4" w:space="0" w:color="000000"/>
            </w:tcBorders>
            <w:vAlign w:val="center"/>
          </w:tcPr>
          <w:p w:rsidR="00BD5820" w:rsidRDefault="00F64314">
            <w:pPr>
              <w:spacing w:line="240" w:lineRule="auto"/>
              <w:ind w:firstLineChars="0" w:firstLine="0"/>
              <w:jc w:val="center"/>
              <w:rPr>
                <w:rFonts w:ascii="Times New Roman" w:cs="Times New Roman"/>
                <w:kern w:val="2"/>
                <w:sz w:val="21"/>
                <w:szCs w:val="21"/>
              </w:rPr>
            </w:pPr>
            <w:r>
              <w:rPr>
                <w:rFonts w:ascii="Times New Roman" w:cs="Times New Roman"/>
                <w:sz w:val="21"/>
                <w:szCs w:val="21"/>
              </w:rPr>
              <w:t>K</w:t>
            </w:r>
            <w:r>
              <w:rPr>
                <w:rFonts w:ascii="Times New Roman" w:cs="Times New Roman"/>
                <w:sz w:val="21"/>
                <w:szCs w:val="21"/>
                <w:vertAlign w:val="superscript"/>
              </w:rPr>
              <w:t>+</w:t>
            </w:r>
            <w:r>
              <w:rPr>
                <w:rFonts w:ascii="Times New Roman" w:cs="Times New Roman"/>
                <w:sz w:val="21"/>
                <w:szCs w:val="21"/>
              </w:rPr>
              <w:t>+Na</w:t>
            </w:r>
            <w:r>
              <w:rPr>
                <w:rFonts w:ascii="Times New Roman" w:cs="Times New Roman"/>
                <w:sz w:val="21"/>
                <w:szCs w:val="21"/>
                <w:vertAlign w:val="superscript"/>
              </w:rPr>
              <w:t>+</w:t>
            </w:r>
            <w:r>
              <w:rPr>
                <w:rFonts w:ascii="Times New Roman" w:cs="Times New Roman"/>
                <w:sz w:val="21"/>
                <w:szCs w:val="21"/>
              </w:rPr>
              <w:t>、</w:t>
            </w:r>
            <w:r>
              <w:rPr>
                <w:rFonts w:ascii="Times New Roman" w:cs="Times New Roman"/>
                <w:sz w:val="21"/>
                <w:szCs w:val="21"/>
              </w:rPr>
              <w:t>Ca</w:t>
            </w:r>
            <w:r>
              <w:rPr>
                <w:rFonts w:ascii="Times New Roman" w:cs="Times New Roman"/>
                <w:sz w:val="21"/>
                <w:szCs w:val="21"/>
                <w:vertAlign w:val="superscript"/>
              </w:rPr>
              <w:t>2+</w:t>
            </w:r>
            <w:r>
              <w:rPr>
                <w:rFonts w:ascii="Times New Roman" w:cs="Times New Roman"/>
                <w:sz w:val="21"/>
                <w:szCs w:val="21"/>
              </w:rPr>
              <w:t>、</w:t>
            </w:r>
            <w:r>
              <w:rPr>
                <w:rFonts w:ascii="Times New Roman" w:cs="Times New Roman"/>
                <w:sz w:val="21"/>
                <w:szCs w:val="21"/>
              </w:rPr>
              <w:t>Mg</w:t>
            </w:r>
            <w:r>
              <w:rPr>
                <w:rFonts w:ascii="Times New Roman" w:cs="Times New Roman"/>
                <w:sz w:val="21"/>
                <w:szCs w:val="21"/>
                <w:vertAlign w:val="superscript"/>
              </w:rPr>
              <w:t>2+</w:t>
            </w:r>
            <w:r>
              <w:rPr>
                <w:rFonts w:ascii="Times New Roman" w:cs="Times New Roman"/>
                <w:sz w:val="21"/>
                <w:szCs w:val="21"/>
              </w:rPr>
              <w:t>、</w:t>
            </w:r>
            <w:r>
              <w:rPr>
                <w:rFonts w:ascii="Times New Roman" w:cs="Times New Roman"/>
                <w:sz w:val="21"/>
                <w:szCs w:val="21"/>
              </w:rPr>
              <w:t>CO</w:t>
            </w:r>
            <w:r>
              <w:rPr>
                <w:rFonts w:ascii="Times New Roman" w:cs="Times New Roman"/>
                <w:sz w:val="21"/>
                <w:szCs w:val="21"/>
                <w:vertAlign w:val="subscript"/>
              </w:rPr>
              <w:t>3</w:t>
            </w:r>
            <w:r>
              <w:rPr>
                <w:rFonts w:ascii="Times New Roman" w:cs="Times New Roman"/>
                <w:sz w:val="21"/>
                <w:szCs w:val="21"/>
                <w:vertAlign w:val="superscript"/>
              </w:rPr>
              <w:t>2-</w:t>
            </w:r>
            <w:r>
              <w:rPr>
                <w:rFonts w:ascii="Times New Roman" w:cs="Times New Roman"/>
                <w:sz w:val="21"/>
                <w:szCs w:val="21"/>
              </w:rPr>
              <w:t>、</w:t>
            </w:r>
            <w:r>
              <w:rPr>
                <w:rFonts w:ascii="Times New Roman" w:cs="Times New Roman"/>
                <w:sz w:val="21"/>
                <w:szCs w:val="21"/>
              </w:rPr>
              <w:t>HCO</w:t>
            </w:r>
            <w:r>
              <w:rPr>
                <w:rFonts w:ascii="Times New Roman" w:cs="Times New Roman"/>
                <w:sz w:val="21"/>
                <w:szCs w:val="21"/>
                <w:vertAlign w:val="subscript"/>
              </w:rPr>
              <w:t>3</w:t>
            </w:r>
            <w:r>
              <w:rPr>
                <w:rFonts w:ascii="Times New Roman" w:cs="Times New Roman"/>
                <w:sz w:val="21"/>
                <w:szCs w:val="21"/>
                <w:vertAlign w:val="superscript"/>
              </w:rPr>
              <w:t>-</w:t>
            </w:r>
            <w:r>
              <w:rPr>
                <w:rFonts w:ascii="Times New Roman" w:cs="Times New Roman"/>
                <w:sz w:val="21"/>
                <w:szCs w:val="21"/>
              </w:rPr>
              <w:t>、</w:t>
            </w:r>
            <w:r>
              <w:rPr>
                <w:rFonts w:ascii="Times New Roman" w:cs="Times New Roman"/>
                <w:sz w:val="21"/>
                <w:szCs w:val="21"/>
              </w:rPr>
              <w:t>Cl</w:t>
            </w:r>
            <w:r>
              <w:rPr>
                <w:rFonts w:ascii="Times New Roman" w:cs="Times New Roman"/>
                <w:sz w:val="21"/>
                <w:szCs w:val="21"/>
                <w:vertAlign w:val="superscript"/>
              </w:rPr>
              <w:t>-</w:t>
            </w:r>
            <w:r>
              <w:rPr>
                <w:rFonts w:ascii="Times New Roman" w:cs="Times New Roman"/>
                <w:sz w:val="21"/>
                <w:szCs w:val="21"/>
              </w:rPr>
              <w:t>、</w:t>
            </w:r>
            <w:r>
              <w:rPr>
                <w:rFonts w:ascii="Times New Roman" w:cs="Times New Roman"/>
                <w:sz w:val="21"/>
                <w:szCs w:val="21"/>
              </w:rPr>
              <w:t>SO</w:t>
            </w:r>
            <w:r>
              <w:rPr>
                <w:rFonts w:ascii="Times New Roman" w:cs="Times New Roman"/>
                <w:sz w:val="21"/>
                <w:szCs w:val="21"/>
                <w:vertAlign w:val="subscript"/>
              </w:rPr>
              <w:t>4</w:t>
            </w:r>
            <w:r>
              <w:rPr>
                <w:rFonts w:ascii="Times New Roman" w:cs="Times New Roman"/>
                <w:sz w:val="21"/>
                <w:szCs w:val="21"/>
                <w:vertAlign w:val="superscript"/>
              </w:rPr>
              <w:t>2-</w:t>
            </w:r>
            <w:r>
              <w:rPr>
                <w:rFonts w:ascii="Times New Roman" w:cs="Times New Roman"/>
                <w:sz w:val="21"/>
                <w:szCs w:val="21"/>
              </w:rPr>
              <w:t>；</w:t>
            </w:r>
            <w:r>
              <w:rPr>
                <w:rFonts w:ascii="Times New Roman" w:cs="Times New Roman"/>
                <w:sz w:val="21"/>
                <w:szCs w:val="21"/>
              </w:rPr>
              <w:t>pH</w:t>
            </w:r>
            <w:r>
              <w:rPr>
                <w:rFonts w:ascii="Times New Roman" w:cs="Times New Roman"/>
                <w:sz w:val="21"/>
                <w:szCs w:val="21"/>
              </w:rPr>
              <w:t>、氨氮、硝酸盐、亚硝酸盐、挥发性酚类、氰化物、砷、汞、铬（六价）、总硬度、铅、镉、铁、锰、溶解性总固体、耗氧量、硫酸盐、氯化物、菌落总数、氟化物、总大肠菌群</w:t>
            </w:r>
            <w:r>
              <w:rPr>
                <w:rFonts w:ascii="Times New Roman" w:cs="Times New Roman" w:hint="eastAsia"/>
                <w:sz w:val="21"/>
                <w:szCs w:val="21"/>
              </w:rPr>
              <w:t>、硫化物</w:t>
            </w:r>
          </w:p>
        </w:tc>
        <w:tc>
          <w:tcPr>
            <w:tcW w:w="952" w:type="pct"/>
            <w:tcBorders>
              <w:top w:val="single" w:sz="4" w:space="0" w:color="000000"/>
              <w:left w:val="single" w:sz="4" w:space="0" w:color="000000"/>
              <w:bottom w:val="single" w:sz="4" w:space="0" w:color="000000"/>
              <w:right w:val="nil"/>
            </w:tcBorders>
            <w:vAlign w:val="center"/>
          </w:tcPr>
          <w:p w:rsidR="00BD5820" w:rsidRDefault="00F64314">
            <w:pPr>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w:t>
            </w:r>
          </w:p>
        </w:tc>
      </w:tr>
      <w:tr w:rsidR="00BD5820">
        <w:trPr>
          <w:trHeight w:val="19"/>
          <w:jc w:val="center"/>
        </w:trPr>
        <w:tc>
          <w:tcPr>
            <w:tcW w:w="754" w:type="pct"/>
            <w:tcBorders>
              <w:top w:val="single" w:sz="4" w:space="0" w:color="000000"/>
              <w:left w:val="nil"/>
              <w:bottom w:val="single" w:sz="12" w:space="0" w:color="000000"/>
              <w:right w:val="single" w:sz="4" w:space="0" w:color="000000"/>
            </w:tcBorders>
            <w:vAlign w:val="center"/>
          </w:tcPr>
          <w:p w:rsidR="00BD5820" w:rsidRDefault="00F64314">
            <w:pPr>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土壤</w:t>
            </w:r>
          </w:p>
        </w:tc>
        <w:tc>
          <w:tcPr>
            <w:tcW w:w="1143" w:type="pct"/>
            <w:tcBorders>
              <w:top w:val="single" w:sz="4" w:space="0" w:color="000000"/>
              <w:left w:val="single" w:sz="4" w:space="0" w:color="000000"/>
              <w:bottom w:val="single" w:sz="12" w:space="0" w:color="000000"/>
              <w:right w:val="single" w:sz="4" w:space="0" w:color="000000"/>
            </w:tcBorders>
            <w:vAlign w:val="center"/>
          </w:tcPr>
          <w:p w:rsidR="00BD5820" w:rsidRDefault="00F64314">
            <w:pPr>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土壤环境质量现状调查</w:t>
            </w:r>
          </w:p>
        </w:tc>
        <w:tc>
          <w:tcPr>
            <w:tcW w:w="2151" w:type="pct"/>
            <w:tcBorders>
              <w:top w:val="single" w:sz="4" w:space="0" w:color="000000"/>
              <w:left w:val="single" w:sz="4" w:space="0" w:color="000000"/>
              <w:bottom w:val="single" w:sz="12" w:space="0" w:color="000000"/>
              <w:right w:val="single" w:sz="4"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建设用地：《土壤环境质量</w:t>
            </w:r>
            <w:r>
              <w:rPr>
                <w:rFonts w:ascii="Times New Roman" w:cs="Times New Roman" w:hint="eastAsia"/>
                <w:sz w:val="21"/>
                <w:szCs w:val="21"/>
              </w:rPr>
              <w:t xml:space="preserve"> </w:t>
            </w:r>
            <w:r>
              <w:rPr>
                <w:rFonts w:ascii="Times New Roman" w:cs="Times New Roman" w:hint="eastAsia"/>
                <w:sz w:val="21"/>
                <w:szCs w:val="21"/>
              </w:rPr>
              <w:t>建设用地土壤污染风险管控标准（试行）》（</w:t>
            </w:r>
            <w:r>
              <w:rPr>
                <w:rFonts w:ascii="Times New Roman" w:cs="Times New Roman" w:hint="eastAsia"/>
                <w:sz w:val="21"/>
                <w:szCs w:val="21"/>
              </w:rPr>
              <w:t>GB 36600-2018</w:t>
            </w:r>
            <w:r>
              <w:rPr>
                <w:rFonts w:ascii="Times New Roman" w:cs="Times New Roman" w:hint="eastAsia"/>
                <w:sz w:val="21"/>
                <w:szCs w:val="21"/>
              </w:rPr>
              <w:t>）中</w:t>
            </w:r>
            <w:r>
              <w:rPr>
                <w:rFonts w:ascii="Times New Roman" w:cs="Times New Roman" w:hint="eastAsia"/>
                <w:sz w:val="21"/>
                <w:szCs w:val="21"/>
              </w:rPr>
              <w:t>45</w:t>
            </w:r>
            <w:r>
              <w:rPr>
                <w:rFonts w:ascii="Times New Roman" w:cs="Times New Roman" w:hint="eastAsia"/>
                <w:sz w:val="21"/>
                <w:szCs w:val="21"/>
              </w:rPr>
              <w:t>项基本项目；农用地：</w:t>
            </w:r>
            <w:r>
              <w:rPr>
                <w:rFonts w:ascii="Times New Roman" w:cs="Times New Roman"/>
                <w:sz w:val="21"/>
                <w:szCs w:val="21"/>
              </w:rPr>
              <w:t>pH</w:t>
            </w:r>
            <w:r>
              <w:rPr>
                <w:rFonts w:ascii="Times New Roman" w:cs="Times New Roman"/>
                <w:sz w:val="21"/>
                <w:szCs w:val="21"/>
              </w:rPr>
              <w:t>、镉、汞、砷、铅、铜、镍、铬、锌</w:t>
            </w:r>
          </w:p>
        </w:tc>
        <w:tc>
          <w:tcPr>
            <w:tcW w:w="952" w:type="pct"/>
            <w:tcBorders>
              <w:top w:val="single" w:sz="4" w:space="0" w:color="000000"/>
              <w:left w:val="single" w:sz="4" w:space="0" w:color="000000"/>
              <w:bottom w:val="single" w:sz="12" w:space="0" w:color="000000"/>
              <w:right w:val="nil"/>
            </w:tcBorders>
            <w:vAlign w:val="center"/>
          </w:tcPr>
          <w:p w:rsidR="00BD5820" w:rsidRDefault="00F64314">
            <w:pPr>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场站及</w:t>
            </w:r>
            <w:r>
              <w:rPr>
                <w:rFonts w:ascii="Times New Roman" w:cs="Times New Roman" w:hint="eastAsia"/>
                <w:kern w:val="2"/>
                <w:sz w:val="21"/>
                <w:szCs w:val="21"/>
              </w:rPr>
              <w:t>周围</w:t>
            </w:r>
          </w:p>
        </w:tc>
      </w:tr>
    </w:tbl>
    <w:p w:rsidR="00BD5820" w:rsidRDefault="00F64314">
      <w:pPr>
        <w:keepNext/>
        <w:keepLines/>
        <w:spacing w:before="120"/>
        <w:ind w:firstLineChars="0" w:firstLine="0"/>
        <w:outlineLvl w:val="1"/>
        <w:rPr>
          <w:rFonts w:ascii="Times New Roman" w:cs="Times New Roman"/>
          <w:b/>
          <w:bCs/>
          <w:sz w:val="28"/>
          <w:szCs w:val="32"/>
        </w:rPr>
      </w:pPr>
      <w:bookmarkStart w:id="64" w:name="bookmark5"/>
      <w:bookmarkStart w:id="65" w:name="_Toc19815942"/>
      <w:bookmarkStart w:id="66" w:name="_Toc10086"/>
      <w:bookmarkStart w:id="67" w:name="_Toc19815935"/>
      <w:bookmarkEnd w:id="64"/>
      <w:r>
        <w:rPr>
          <w:rFonts w:ascii="Times New Roman" w:cs="Times New Roman"/>
          <w:b/>
          <w:bCs/>
          <w:sz w:val="28"/>
          <w:szCs w:val="32"/>
        </w:rPr>
        <w:t xml:space="preserve">1.4 </w:t>
      </w:r>
      <w:r>
        <w:rPr>
          <w:rFonts w:ascii="Times New Roman" w:cs="Times New Roman"/>
          <w:b/>
          <w:bCs/>
          <w:sz w:val="28"/>
          <w:szCs w:val="32"/>
        </w:rPr>
        <w:t>环境功能区划</w:t>
      </w:r>
      <w:bookmarkEnd w:id="65"/>
      <w:bookmarkEnd w:id="66"/>
    </w:p>
    <w:p w:rsidR="00BD5820" w:rsidRDefault="00F64314">
      <w:pPr>
        <w:keepNext/>
        <w:keepLines/>
        <w:ind w:firstLineChars="0" w:firstLine="0"/>
        <w:outlineLvl w:val="2"/>
        <w:rPr>
          <w:rFonts w:ascii="Times New Roman" w:cs="Times New Roman"/>
          <w:b/>
          <w:szCs w:val="32"/>
        </w:rPr>
      </w:pPr>
      <w:r>
        <w:rPr>
          <w:rFonts w:ascii="Times New Roman" w:cs="Times New Roman"/>
          <w:b/>
          <w:szCs w:val="32"/>
        </w:rPr>
        <w:t xml:space="preserve">1.4.1 </w:t>
      </w:r>
      <w:r>
        <w:rPr>
          <w:rFonts w:ascii="Times New Roman" w:cs="Times New Roman"/>
          <w:b/>
          <w:szCs w:val="32"/>
        </w:rPr>
        <w:t>大气环境</w:t>
      </w:r>
    </w:p>
    <w:p w:rsidR="00BD5820" w:rsidRDefault="00F64314">
      <w:pPr>
        <w:pStyle w:val="affa"/>
        <w:ind w:firstLine="480"/>
      </w:pPr>
      <w:r>
        <w:t>工程场站及管道沿线位于农村地区，根据《环境空气质量标准》（</w:t>
      </w:r>
      <w:r>
        <w:t>GB3095-2012</w:t>
      </w:r>
      <w:r>
        <w:t>），评价区的大气环境功能区划属二类区，执行大气环境功能区二类区标准。</w:t>
      </w:r>
    </w:p>
    <w:p w:rsidR="00BD5820" w:rsidRDefault="00F64314">
      <w:pPr>
        <w:keepNext/>
        <w:keepLines/>
        <w:ind w:firstLineChars="0" w:firstLine="0"/>
        <w:outlineLvl w:val="2"/>
        <w:rPr>
          <w:rFonts w:ascii="Times New Roman" w:cs="Times New Roman"/>
          <w:b/>
          <w:szCs w:val="32"/>
        </w:rPr>
      </w:pPr>
      <w:r>
        <w:rPr>
          <w:rFonts w:ascii="Times New Roman" w:cs="Times New Roman"/>
          <w:b/>
          <w:szCs w:val="32"/>
        </w:rPr>
        <w:t xml:space="preserve">1.4.2 </w:t>
      </w:r>
      <w:r>
        <w:rPr>
          <w:rFonts w:ascii="Times New Roman" w:cs="Times New Roman"/>
          <w:b/>
          <w:szCs w:val="32"/>
        </w:rPr>
        <w:t>地表水环境</w:t>
      </w:r>
    </w:p>
    <w:p w:rsidR="00BD5820" w:rsidRDefault="00F64314">
      <w:pPr>
        <w:pStyle w:val="affa"/>
        <w:ind w:firstLine="480"/>
      </w:pPr>
      <w:r>
        <w:t>本项目周边地表水</w:t>
      </w:r>
      <w:r w:rsidRPr="00FA2D39">
        <w:rPr>
          <w:color w:val="FF0000"/>
        </w:rPr>
        <w:t>为</w:t>
      </w:r>
      <w:r w:rsidR="00FA2D39" w:rsidRPr="00FA2D39">
        <w:rPr>
          <w:color w:val="FF0000"/>
        </w:rPr>
        <w:t>后河</w:t>
      </w:r>
      <w:r w:rsidR="00511129">
        <w:rPr>
          <w:color w:val="FF0000"/>
        </w:rPr>
        <w:t>和中河</w:t>
      </w:r>
      <w:r w:rsidR="00FA2D39" w:rsidRPr="00FA2D39">
        <w:rPr>
          <w:rFonts w:hint="eastAsia"/>
          <w:color w:val="FF0000"/>
        </w:rPr>
        <w:t>，</w:t>
      </w:r>
      <w:r w:rsidR="00511129">
        <w:rPr>
          <w:rFonts w:hint="eastAsia"/>
          <w:color w:val="FF0000"/>
        </w:rPr>
        <w:t>均</w:t>
      </w:r>
      <w:r w:rsidR="00FA2D39" w:rsidRPr="00FA2D39">
        <w:rPr>
          <w:color w:val="FF0000"/>
        </w:rPr>
        <w:t>执行</w:t>
      </w:r>
      <w:r>
        <w:t>《地表水环境质量标准》（</w:t>
      </w:r>
      <w:r>
        <w:t>GB3838-2002</w:t>
      </w:r>
      <w:r>
        <w:t>）</w:t>
      </w:r>
      <w:r>
        <w:t>Ⅲ</w:t>
      </w:r>
      <w:r>
        <w:t>类水域。</w:t>
      </w:r>
    </w:p>
    <w:p w:rsidR="00BD5820" w:rsidRDefault="00F64314">
      <w:pPr>
        <w:keepNext/>
        <w:keepLines/>
        <w:ind w:firstLineChars="0" w:firstLine="0"/>
        <w:outlineLvl w:val="2"/>
        <w:rPr>
          <w:rFonts w:ascii="Times New Roman" w:cs="Times New Roman"/>
          <w:b/>
          <w:szCs w:val="32"/>
        </w:rPr>
      </w:pPr>
      <w:r>
        <w:rPr>
          <w:rFonts w:ascii="Times New Roman" w:cs="Times New Roman"/>
          <w:b/>
          <w:szCs w:val="32"/>
        </w:rPr>
        <w:t xml:space="preserve">1.4.3 </w:t>
      </w:r>
      <w:r>
        <w:rPr>
          <w:rFonts w:ascii="Times New Roman" w:cs="Times New Roman"/>
          <w:b/>
          <w:szCs w:val="32"/>
        </w:rPr>
        <w:t>地下水环境</w:t>
      </w:r>
    </w:p>
    <w:p w:rsidR="00BD5820" w:rsidRPr="00FA2D39" w:rsidRDefault="00F64314">
      <w:pPr>
        <w:topLinePunct w:val="0"/>
        <w:adjustRightInd/>
        <w:ind w:firstLine="480"/>
        <w:rPr>
          <w:rFonts w:ascii="Times New Roman" w:cs="Times New Roman"/>
          <w:color w:val="FF0000"/>
          <w:kern w:val="2"/>
          <w:szCs w:val="22"/>
        </w:rPr>
      </w:pPr>
      <w:r w:rsidRPr="00FA2D39">
        <w:rPr>
          <w:rFonts w:ascii="Times New Roman" w:cs="Times New Roman"/>
          <w:color w:val="FF0000"/>
          <w:kern w:val="2"/>
          <w:szCs w:val="22"/>
        </w:rPr>
        <w:t>项目</w:t>
      </w:r>
      <w:r w:rsidRPr="00FA2D39">
        <w:rPr>
          <w:color w:val="FF0000"/>
        </w:rPr>
        <w:t>场站及管道</w:t>
      </w:r>
      <w:r w:rsidRPr="00FA2D39">
        <w:rPr>
          <w:rFonts w:ascii="Times New Roman" w:cs="Times New Roman"/>
          <w:color w:val="FF0000"/>
          <w:kern w:val="2"/>
          <w:szCs w:val="22"/>
        </w:rPr>
        <w:t>沿线地下水环境</w:t>
      </w:r>
      <w:r w:rsidR="00FA2D39" w:rsidRPr="00FA2D39">
        <w:rPr>
          <w:rFonts w:ascii="Times New Roman" w:cs="Times New Roman"/>
          <w:color w:val="FF0000"/>
          <w:kern w:val="2"/>
          <w:szCs w:val="22"/>
        </w:rPr>
        <w:t>保护目标主要为周边</w:t>
      </w:r>
      <w:r w:rsidR="00FA2D39" w:rsidRPr="00FA2D39">
        <w:rPr>
          <w:color w:val="FF0000"/>
        </w:rPr>
        <w:t>农户水井</w:t>
      </w:r>
      <w:r w:rsidR="00FA2D39" w:rsidRPr="00FA2D39">
        <w:rPr>
          <w:rFonts w:hint="eastAsia"/>
          <w:color w:val="FF0000"/>
        </w:rPr>
        <w:t>，</w:t>
      </w:r>
      <w:r w:rsidRPr="00FA2D39">
        <w:rPr>
          <w:rFonts w:ascii="Times New Roman" w:cs="Times New Roman"/>
          <w:color w:val="FF0000"/>
          <w:kern w:val="2"/>
          <w:szCs w:val="22"/>
        </w:rPr>
        <w:t>执行《地下水质量标准》（</w:t>
      </w:r>
      <w:r w:rsidRPr="00FA2D39">
        <w:rPr>
          <w:rFonts w:ascii="Times New Roman" w:cs="Times New Roman"/>
          <w:color w:val="FF0000"/>
          <w:kern w:val="2"/>
          <w:szCs w:val="22"/>
        </w:rPr>
        <w:t>GB/T14848-2017</w:t>
      </w:r>
      <w:r w:rsidRPr="00FA2D39">
        <w:rPr>
          <w:rFonts w:ascii="Times New Roman" w:cs="Times New Roman"/>
          <w:color w:val="FF0000"/>
          <w:kern w:val="2"/>
          <w:szCs w:val="22"/>
        </w:rPr>
        <w:t>）</w:t>
      </w:r>
      <w:r w:rsidRPr="00FA2D39">
        <w:rPr>
          <w:rFonts w:ascii="Times New Roman" w:cs="Times New Roman"/>
          <w:color w:val="FF0000"/>
          <w:kern w:val="2"/>
          <w:szCs w:val="22"/>
        </w:rPr>
        <w:t>III</w:t>
      </w:r>
      <w:r w:rsidRPr="00FA2D39">
        <w:rPr>
          <w:rFonts w:ascii="Times New Roman" w:cs="Times New Roman"/>
          <w:color w:val="FF0000"/>
          <w:kern w:val="2"/>
          <w:szCs w:val="22"/>
        </w:rPr>
        <w:t>类标准，项目沿线区域地下水均属于</w:t>
      </w:r>
      <w:r w:rsidRPr="00FA2D39">
        <w:rPr>
          <w:rFonts w:ascii="Times New Roman" w:cs="Times New Roman"/>
          <w:color w:val="FF0000"/>
          <w:kern w:val="2"/>
          <w:szCs w:val="22"/>
        </w:rPr>
        <w:t>III</w:t>
      </w:r>
      <w:r w:rsidRPr="00FA2D39">
        <w:rPr>
          <w:rFonts w:ascii="Times New Roman" w:cs="Times New Roman"/>
          <w:color w:val="FF0000"/>
          <w:kern w:val="2"/>
          <w:szCs w:val="22"/>
        </w:rPr>
        <w:t>类地下水功能区。</w:t>
      </w:r>
    </w:p>
    <w:p w:rsidR="00BD5820" w:rsidRDefault="00F64314">
      <w:pPr>
        <w:keepNext/>
        <w:keepLines/>
        <w:ind w:firstLineChars="0" w:firstLine="0"/>
        <w:outlineLvl w:val="2"/>
        <w:rPr>
          <w:rFonts w:ascii="Times New Roman" w:cs="Times New Roman"/>
          <w:b/>
          <w:szCs w:val="32"/>
        </w:rPr>
      </w:pPr>
      <w:r>
        <w:rPr>
          <w:rFonts w:ascii="Times New Roman" w:cs="Times New Roman"/>
          <w:b/>
          <w:szCs w:val="32"/>
        </w:rPr>
        <w:t xml:space="preserve">1.4.4 </w:t>
      </w:r>
      <w:r>
        <w:rPr>
          <w:rFonts w:ascii="Times New Roman" w:cs="Times New Roman"/>
          <w:b/>
          <w:szCs w:val="32"/>
        </w:rPr>
        <w:t>声环境</w:t>
      </w:r>
    </w:p>
    <w:p w:rsidR="00BD5820" w:rsidRDefault="00F64314">
      <w:pPr>
        <w:pStyle w:val="affa"/>
        <w:ind w:firstLine="480"/>
      </w:pPr>
      <w:r>
        <w:t>工程建设区域内主要为散居农户，属一般居住环境，根据《声环境质量标准》（</w:t>
      </w:r>
      <w:r>
        <w:t>GB3096-2008</w:t>
      </w:r>
      <w:r>
        <w:t>），功能区划属</w:t>
      </w:r>
      <w:r>
        <w:t>2</w:t>
      </w:r>
      <w:r>
        <w:t>类区域。</w:t>
      </w:r>
    </w:p>
    <w:p w:rsidR="00BD5820" w:rsidRDefault="00F64314">
      <w:pPr>
        <w:keepNext/>
        <w:keepLines/>
        <w:ind w:firstLineChars="0" w:firstLine="0"/>
        <w:outlineLvl w:val="2"/>
        <w:rPr>
          <w:rFonts w:ascii="Times New Roman" w:cs="Times New Roman"/>
          <w:b/>
          <w:szCs w:val="32"/>
        </w:rPr>
      </w:pPr>
      <w:r>
        <w:rPr>
          <w:rFonts w:ascii="Times New Roman" w:cs="Times New Roman"/>
          <w:b/>
          <w:szCs w:val="32"/>
        </w:rPr>
        <w:lastRenderedPageBreak/>
        <w:t xml:space="preserve">1.4.5 </w:t>
      </w:r>
      <w:r>
        <w:rPr>
          <w:rFonts w:ascii="Times New Roman" w:cs="Times New Roman"/>
          <w:b/>
          <w:szCs w:val="32"/>
        </w:rPr>
        <w:t>土壤环境</w:t>
      </w:r>
    </w:p>
    <w:p w:rsidR="00BD5820" w:rsidRDefault="00F64314">
      <w:pPr>
        <w:pStyle w:val="affa"/>
        <w:ind w:firstLine="480"/>
      </w:pPr>
      <w:r>
        <w:t>项目站场内土壤执行</w:t>
      </w:r>
      <w:r w:rsidRPr="00FE183C">
        <w:rPr>
          <w:rFonts w:hint="eastAsia"/>
          <w:color w:val="FF0000"/>
        </w:rPr>
        <w:t>《土壤环境质量</w:t>
      </w:r>
      <w:r w:rsidRPr="00FE183C">
        <w:rPr>
          <w:rFonts w:hint="eastAsia"/>
          <w:color w:val="FF0000"/>
        </w:rPr>
        <w:t xml:space="preserve"> </w:t>
      </w:r>
      <w:r w:rsidRPr="00FE183C">
        <w:rPr>
          <w:rFonts w:hint="eastAsia"/>
          <w:color w:val="FF0000"/>
        </w:rPr>
        <w:t>建设用地土壤污染风险管控标准（试行）》（</w:t>
      </w:r>
      <w:r w:rsidRPr="00FE183C">
        <w:rPr>
          <w:rFonts w:hint="eastAsia"/>
          <w:color w:val="FF0000"/>
        </w:rPr>
        <w:t>GB 36600-2018</w:t>
      </w:r>
      <w:r w:rsidRPr="00FE183C">
        <w:rPr>
          <w:rFonts w:hint="eastAsia"/>
          <w:color w:val="FF0000"/>
        </w:rPr>
        <w:t>）中</w:t>
      </w:r>
      <w:r w:rsidR="003F23CB" w:rsidRPr="00FE183C">
        <w:rPr>
          <w:rFonts w:hint="eastAsia"/>
          <w:color w:val="FF0000"/>
        </w:rPr>
        <w:t>第二类用地</w:t>
      </w:r>
      <w:r w:rsidRPr="00FE183C">
        <w:rPr>
          <w:rFonts w:hint="eastAsia"/>
          <w:color w:val="FF0000"/>
        </w:rPr>
        <w:t>风险筛选值</w:t>
      </w:r>
      <w:r>
        <w:rPr>
          <w:rFonts w:hint="eastAsia"/>
        </w:rPr>
        <w:t>；项目站场</w:t>
      </w:r>
      <w:r>
        <w:t>周边</w:t>
      </w:r>
      <w:r>
        <w:rPr>
          <w:rFonts w:hint="eastAsia"/>
        </w:rPr>
        <w:t>耕地</w:t>
      </w:r>
      <w:r w:rsidR="00394B9A" w:rsidRPr="00394B9A">
        <w:rPr>
          <w:rFonts w:hint="eastAsia"/>
          <w:color w:val="FF0000"/>
        </w:rPr>
        <w:t>以及管线等临时用地经复垦后</w:t>
      </w:r>
      <w:r>
        <w:t>执行《土壤环境质量</w:t>
      </w:r>
      <w:r>
        <w:rPr>
          <w:rFonts w:hint="eastAsia"/>
        </w:rPr>
        <w:t xml:space="preserve"> </w:t>
      </w:r>
      <w:r>
        <w:t>农用地土壤污染风险管控标准（试行）》（</w:t>
      </w:r>
      <w:r>
        <w:t>GB15618-2018</w:t>
      </w:r>
      <w:r>
        <w:t>）表</w:t>
      </w:r>
      <w:r>
        <w:t>1</w:t>
      </w:r>
      <w:r>
        <w:t>中其他标准限值。</w:t>
      </w:r>
    </w:p>
    <w:p w:rsidR="00BD5820" w:rsidRDefault="00F64314">
      <w:pPr>
        <w:keepNext/>
        <w:keepLines/>
        <w:ind w:firstLineChars="0" w:firstLine="0"/>
        <w:outlineLvl w:val="2"/>
        <w:rPr>
          <w:rFonts w:ascii="Times New Roman" w:cs="Times New Roman"/>
          <w:b/>
          <w:szCs w:val="32"/>
        </w:rPr>
      </w:pPr>
      <w:r>
        <w:rPr>
          <w:rFonts w:ascii="Times New Roman" w:cs="Times New Roman"/>
          <w:b/>
          <w:szCs w:val="32"/>
        </w:rPr>
        <w:t xml:space="preserve">1.4.6 </w:t>
      </w:r>
      <w:r>
        <w:rPr>
          <w:rFonts w:ascii="Times New Roman" w:cs="Times New Roman"/>
          <w:b/>
          <w:szCs w:val="32"/>
        </w:rPr>
        <w:t>生态环境</w:t>
      </w:r>
    </w:p>
    <w:p w:rsidR="00BD5820" w:rsidRDefault="00F64314">
      <w:pPr>
        <w:pStyle w:val="affa"/>
        <w:ind w:firstLine="480"/>
        <w:rPr>
          <w:kern w:val="2"/>
          <w:szCs w:val="22"/>
        </w:rPr>
      </w:pPr>
      <w:r>
        <w:t>根据《四川省生态功能区划》，</w:t>
      </w:r>
      <w:r>
        <w:rPr>
          <w:kern w:val="2"/>
          <w:szCs w:val="22"/>
        </w:rPr>
        <w:t>本项目位于四川盆地亚热带湿润气候生态区，属于大巴山水源涵养与土壤保持生态功能区（</w:t>
      </w:r>
      <w:r>
        <w:rPr>
          <w:kern w:val="2"/>
          <w:szCs w:val="22"/>
        </w:rPr>
        <w:t>I-3-2</w:t>
      </w:r>
      <w:r>
        <w:rPr>
          <w:kern w:val="2"/>
          <w:szCs w:val="22"/>
        </w:rPr>
        <w:t>），该生态功能区的主导功能是水源涵养功能，土壤保持功能。面临的主要环境问题是多洪灾，滑坡崩塌强烈发育，水土流失严重。</w:t>
      </w:r>
      <w:r>
        <w:t>项目区不属于特殊生态敏感区和重要生态敏感区，为一般区域。</w:t>
      </w:r>
    </w:p>
    <w:p w:rsidR="00BD5820" w:rsidRDefault="00F64314">
      <w:pPr>
        <w:keepNext/>
        <w:keepLines/>
        <w:spacing w:before="120"/>
        <w:ind w:firstLineChars="0" w:firstLine="0"/>
        <w:outlineLvl w:val="1"/>
        <w:rPr>
          <w:rFonts w:ascii="Times New Roman" w:cs="Times New Roman"/>
          <w:b/>
          <w:bCs/>
          <w:sz w:val="28"/>
          <w:szCs w:val="32"/>
        </w:rPr>
      </w:pPr>
      <w:bookmarkStart w:id="68" w:name="_Toc19815943"/>
      <w:bookmarkStart w:id="69" w:name="_Toc9767"/>
      <w:r>
        <w:rPr>
          <w:rFonts w:ascii="Times New Roman" w:cs="Times New Roman"/>
          <w:b/>
          <w:bCs/>
          <w:sz w:val="28"/>
          <w:szCs w:val="32"/>
        </w:rPr>
        <w:t xml:space="preserve">1.5 </w:t>
      </w:r>
      <w:r>
        <w:rPr>
          <w:rFonts w:ascii="Times New Roman" w:cs="Times New Roman"/>
          <w:b/>
          <w:bCs/>
          <w:sz w:val="28"/>
          <w:szCs w:val="32"/>
        </w:rPr>
        <w:t>评价标准</w:t>
      </w:r>
      <w:bookmarkEnd w:id="68"/>
      <w:bookmarkEnd w:id="69"/>
    </w:p>
    <w:p w:rsidR="00BD5820" w:rsidRDefault="00F64314">
      <w:pPr>
        <w:keepNext/>
        <w:keepLines/>
        <w:ind w:firstLineChars="0" w:firstLine="0"/>
        <w:outlineLvl w:val="2"/>
        <w:rPr>
          <w:rFonts w:ascii="Times New Roman" w:cs="Times New Roman"/>
          <w:b/>
          <w:szCs w:val="32"/>
        </w:rPr>
      </w:pPr>
      <w:r>
        <w:rPr>
          <w:rFonts w:ascii="Times New Roman" w:cs="Times New Roman"/>
          <w:b/>
          <w:szCs w:val="32"/>
        </w:rPr>
        <w:t xml:space="preserve">1.5.1 </w:t>
      </w:r>
      <w:r>
        <w:rPr>
          <w:rFonts w:ascii="Times New Roman" w:cs="Times New Roman"/>
          <w:b/>
          <w:szCs w:val="32"/>
        </w:rPr>
        <w:t>环境质量标准</w:t>
      </w:r>
    </w:p>
    <w:p w:rsidR="00BD5820" w:rsidRDefault="00F64314">
      <w:pPr>
        <w:pStyle w:val="affa"/>
        <w:ind w:firstLine="482"/>
        <w:rPr>
          <w:b/>
          <w:bCs/>
        </w:rPr>
      </w:pPr>
      <w:r>
        <w:rPr>
          <w:b/>
          <w:bCs/>
        </w:rPr>
        <w:t>1</w:t>
      </w:r>
      <w:r>
        <w:rPr>
          <w:b/>
          <w:bCs/>
        </w:rPr>
        <w:t>、环境空气质量标准</w:t>
      </w:r>
    </w:p>
    <w:p w:rsidR="00BD5820" w:rsidRDefault="00F64314">
      <w:pPr>
        <w:pStyle w:val="affa"/>
        <w:ind w:firstLine="480"/>
        <w:rPr>
          <w:kern w:val="2"/>
          <w:szCs w:val="22"/>
        </w:rPr>
      </w:pPr>
      <w:r>
        <w:rPr>
          <w:kern w:val="2"/>
          <w:szCs w:val="22"/>
        </w:rPr>
        <w:t>评价区域环境空气执行《环境空气质量标准》（</w:t>
      </w:r>
      <w:r>
        <w:rPr>
          <w:kern w:val="2"/>
          <w:szCs w:val="22"/>
        </w:rPr>
        <w:t>GB3095-2012</w:t>
      </w:r>
      <w:r>
        <w:rPr>
          <w:kern w:val="2"/>
          <w:szCs w:val="22"/>
        </w:rPr>
        <w:t>）二级标准；</w:t>
      </w:r>
      <w:r>
        <w:rPr>
          <w:rFonts w:hint="eastAsia"/>
          <w:kern w:val="2"/>
          <w:szCs w:val="22"/>
        </w:rPr>
        <w:t>TVOC</w:t>
      </w:r>
      <w:r>
        <w:rPr>
          <w:rFonts w:hint="eastAsia"/>
          <w:kern w:val="2"/>
          <w:szCs w:val="22"/>
        </w:rPr>
        <w:t>、</w:t>
      </w:r>
      <w:r>
        <w:rPr>
          <w:kern w:val="2"/>
          <w:szCs w:val="22"/>
        </w:rPr>
        <w:t>硫化氢执行《环境影响评价技术导则</w:t>
      </w:r>
      <w:r>
        <w:rPr>
          <w:rFonts w:hint="eastAsia"/>
          <w:kern w:val="2"/>
          <w:szCs w:val="22"/>
        </w:rPr>
        <w:t xml:space="preserve"> </w:t>
      </w:r>
      <w:r>
        <w:rPr>
          <w:kern w:val="2"/>
          <w:szCs w:val="22"/>
        </w:rPr>
        <w:t>大气环境》（</w:t>
      </w:r>
      <w:r>
        <w:rPr>
          <w:kern w:val="2"/>
          <w:szCs w:val="22"/>
        </w:rPr>
        <w:t>HJ2.2-2018</w:t>
      </w:r>
      <w:r>
        <w:rPr>
          <w:kern w:val="2"/>
          <w:szCs w:val="22"/>
        </w:rPr>
        <w:t>）中附录</w:t>
      </w:r>
      <w:r>
        <w:rPr>
          <w:kern w:val="2"/>
          <w:szCs w:val="22"/>
        </w:rPr>
        <w:t>D</w:t>
      </w:r>
      <w:r>
        <w:rPr>
          <w:kern w:val="2"/>
          <w:szCs w:val="22"/>
        </w:rPr>
        <w:t>相关限值</w:t>
      </w:r>
      <w:r>
        <w:rPr>
          <w:rFonts w:hint="eastAsia"/>
          <w:kern w:val="2"/>
          <w:szCs w:val="22"/>
        </w:rPr>
        <w:t>，非甲烷总烃执行《大气污染物综合排放标准详解》</w:t>
      </w:r>
      <w:r>
        <w:rPr>
          <w:kern w:val="2"/>
          <w:szCs w:val="22"/>
        </w:rPr>
        <w:t>。具体标准限值见表</w:t>
      </w:r>
      <w:r>
        <w:rPr>
          <w:kern w:val="2"/>
          <w:szCs w:val="22"/>
        </w:rPr>
        <w:t>1.5-1</w:t>
      </w:r>
      <w:r>
        <w:rPr>
          <w:kern w:val="2"/>
          <w:szCs w:val="22"/>
        </w:rPr>
        <w:t>。</w:t>
      </w:r>
    </w:p>
    <w:p w:rsidR="00BD5820" w:rsidRDefault="00F64314">
      <w:pPr>
        <w:pStyle w:val="afff1"/>
        <w:spacing w:line="360" w:lineRule="auto"/>
        <w:ind w:firstLine="480"/>
      </w:pPr>
      <w:bookmarkStart w:id="70" w:name="_Hlk52913361"/>
      <w:r>
        <w:rPr>
          <w:b/>
        </w:rPr>
        <w:t>表</w:t>
      </w:r>
      <w:r>
        <w:rPr>
          <w:b/>
        </w:rPr>
        <w:t>1.5-1</w:t>
      </w:r>
      <w:r>
        <w:t xml:space="preserve">  </w:t>
      </w:r>
      <w:r>
        <w:rPr>
          <w:b/>
        </w:rPr>
        <w:t>环境空气质量标准（</w:t>
      </w:r>
      <w:r>
        <w:rPr>
          <w:b/>
        </w:rPr>
        <w:t>GB3095-2012</w:t>
      </w:r>
      <w:r>
        <w:rPr>
          <w:b/>
        </w:rPr>
        <w:t>）</w:t>
      </w:r>
      <w:r>
        <w:t xml:space="preserve">  </w:t>
      </w:r>
      <w:r>
        <w:rPr>
          <w:b/>
        </w:rPr>
        <w:t>单位：</w:t>
      </w:r>
      <w:r>
        <w:rPr>
          <w:b/>
        </w:rPr>
        <w:t>µg/m</w:t>
      </w:r>
      <w:r>
        <w:rPr>
          <w:b/>
          <w:vertAlign w:val="superscript"/>
        </w:rPr>
        <w:t>3</w:t>
      </w:r>
    </w:p>
    <w:tbl>
      <w:tblPr>
        <w:tblW w:w="5194"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522"/>
        <w:gridCol w:w="1811"/>
        <w:gridCol w:w="1811"/>
        <w:gridCol w:w="3709"/>
      </w:tblGrid>
      <w:tr w:rsidR="00BD5820">
        <w:trPr>
          <w:trHeight w:val="50"/>
          <w:tblHeader/>
          <w:jc w:val="center"/>
        </w:trPr>
        <w:tc>
          <w:tcPr>
            <w:tcW w:w="1522" w:type="dxa"/>
            <w:vMerge w:val="restart"/>
            <w:vAlign w:val="center"/>
          </w:tcPr>
          <w:p w:rsidR="00BD5820" w:rsidRDefault="00F64314">
            <w:pPr>
              <w:pStyle w:val="afff1"/>
              <w:rPr>
                <w:b/>
              </w:rPr>
            </w:pPr>
            <w:r>
              <w:rPr>
                <w:b/>
              </w:rPr>
              <w:t>污染物</w:t>
            </w:r>
          </w:p>
        </w:tc>
        <w:tc>
          <w:tcPr>
            <w:tcW w:w="3622" w:type="dxa"/>
            <w:gridSpan w:val="2"/>
            <w:vAlign w:val="center"/>
          </w:tcPr>
          <w:p w:rsidR="00BD5820" w:rsidRDefault="00F64314">
            <w:pPr>
              <w:pStyle w:val="afff1"/>
              <w:rPr>
                <w:b/>
              </w:rPr>
            </w:pPr>
            <w:r>
              <w:rPr>
                <w:b/>
              </w:rPr>
              <w:t>浓度限值</w:t>
            </w:r>
          </w:p>
        </w:tc>
        <w:tc>
          <w:tcPr>
            <w:tcW w:w="3709" w:type="dxa"/>
            <w:vMerge w:val="restart"/>
            <w:vAlign w:val="center"/>
          </w:tcPr>
          <w:p w:rsidR="00BD5820" w:rsidRDefault="00F64314">
            <w:pPr>
              <w:pStyle w:val="afff1"/>
              <w:rPr>
                <w:b/>
              </w:rPr>
            </w:pPr>
            <w:r>
              <w:rPr>
                <w:b/>
              </w:rPr>
              <w:t>依据</w:t>
            </w:r>
          </w:p>
        </w:tc>
      </w:tr>
      <w:tr w:rsidR="00BD5820">
        <w:trPr>
          <w:trHeight w:val="12"/>
          <w:tblHeader/>
          <w:jc w:val="center"/>
        </w:trPr>
        <w:tc>
          <w:tcPr>
            <w:tcW w:w="1522" w:type="dxa"/>
            <w:vMerge/>
            <w:vAlign w:val="center"/>
          </w:tcPr>
          <w:p w:rsidR="00BD5820" w:rsidRDefault="00BD5820">
            <w:pPr>
              <w:pStyle w:val="afff1"/>
              <w:rPr>
                <w:b/>
              </w:rPr>
            </w:pPr>
          </w:p>
        </w:tc>
        <w:tc>
          <w:tcPr>
            <w:tcW w:w="1811" w:type="dxa"/>
            <w:vAlign w:val="center"/>
          </w:tcPr>
          <w:p w:rsidR="00BD5820" w:rsidRDefault="00F64314">
            <w:pPr>
              <w:pStyle w:val="afff1"/>
              <w:rPr>
                <w:b/>
              </w:rPr>
            </w:pPr>
            <w:r>
              <w:rPr>
                <w:b/>
              </w:rPr>
              <w:t>取值时间</w:t>
            </w:r>
          </w:p>
        </w:tc>
        <w:tc>
          <w:tcPr>
            <w:tcW w:w="1811" w:type="dxa"/>
            <w:vAlign w:val="center"/>
          </w:tcPr>
          <w:p w:rsidR="00BD5820" w:rsidRDefault="00F64314">
            <w:pPr>
              <w:pStyle w:val="afff1"/>
              <w:rPr>
                <w:b/>
              </w:rPr>
            </w:pPr>
            <w:r>
              <w:rPr>
                <w:b/>
              </w:rPr>
              <w:t>标准限值</w:t>
            </w:r>
          </w:p>
        </w:tc>
        <w:tc>
          <w:tcPr>
            <w:tcW w:w="3709" w:type="dxa"/>
            <w:vMerge/>
            <w:vAlign w:val="center"/>
          </w:tcPr>
          <w:p w:rsidR="00BD5820" w:rsidRDefault="00BD5820">
            <w:pPr>
              <w:pStyle w:val="afff1"/>
            </w:pPr>
          </w:p>
        </w:tc>
      </w:tr>
      <w:tr w:rsidR="00BD5820">
        <w:trPr>
          <w:trHeight w:val="12"/>
          <w:jc w:val="center"/>
        </w:trPr>
        <w:tc>
          <w:tcPr>
            <w:tcW w:w="1522" w:type="dxa"/>
            <w:vMerge w:val="restart"/>
            <w:vAlign w:val="center"/>
          </w:tcPr>
          <w:p w:rsidR="00BD5820" w:rsidRDefault="00F64314">
            <w:pPr>
              <w:pStyle w:val="afff1"/>
            </w:pPr>
            <w:r>
              <w:t>PM</w:t>
            </w:r>
            <w:r>
              <w:rPr>
                <w:vertAlign w:val="subscript"/>
              </w:rPr>
              <w:t>10</w:t>
            </w:r>
          </w:p>
        </w:tc>
        <w:tc>
          <w:tcPr>
            <w:tcW w:w="1811" w:type="dxa"/>
            <w:vAlign w:val="center"/>
          </w:tcPr>
          <w:p w:rsidR="00BD5820" w:rsidRDefault="00F64314">
            <w:pPr>
              <w:pStyle w:val="afff1"/>
            </w:pPr>
            <w:r>
              <w:t>年平均</w:t>
            </w:r>
          </w:p>
        </w:tc>
        <w:tc>
          <w:tcPr>
            <w:tcW w:w="1811" w:type="dxa"/>
            <w:vAlign w:val="center"/>
          </w:tcPr>
          <w:p w:rsidR="00BD5820" w:rsidRDefault="00F64314">
            <w:pPr>
              <w:pStyle w:val="afff1"/>
            </w:pPr>
            <w:r>
              <w:t>70μg/m</w:t>
            </w:r>
            <w:r>
              <w:rPr>
                <w:vertAlign w:val="superscript"/>
              </w:rPr>
              <w:t>3</w:t>
            </w:r>
          </w:p>
        </w:tc>
        <w:tc>
          <w:tcPr>
            <w:tcW w:w="3709" w:type="dxa"/>
            <w:vMerge w:val="restart"/>
            <w:vAlign w:val="center"/>
          </w:tcPr>
          <w:p w:rsidR="00BD5820" w:rsidRDefault="00F64314">
            <w:pPr>
              <w:pStyle w:val="afff1"/>
            </w:pPr>
            <w:r>
              <w:t>《环境空气质量标准》（</w:t>
            </w:r>
            <w:r>
              <w:t>GB3095-2012</w:t>
            </w:r>
            <w:r>
              <w:t>）二级标准</w:t>
            </w:r>
          </w:p>
        </w:tc>
      </w:tr>
      <w:tr w:rsidR="00BD5820">
        <w:trPr>
          <w:trHeight w:val="12"/>
          <w:jc w:val="center"/>
        </w:trPr>
        <w:tc>
          <w:tcPr>
            <w:tcW w:w="1522" w:type="dxa"/>
            <w:vMerge/>
            <w:vAlign w:val="center"/>
          </w:tcPr>
          <w:p w:rsidR="00BD5820" w:rsidRDefault="00BD5820">
            <w:pPr>
              <w:pStyle w:val="afff1"/>
              <w:rPr>
                <w:vertAlign w:val="subscript"/>
              </w:rPr>
            </w:pPr>
          </w:p>
        </w:tc>
        <w:tc>
          <w:tcPr>
            <w:tcW w:w="1811" w:type="dxa"/>
            <w:vAlign w:val="center"/>
          </w:tcPr>
          <w:p w:rsidR="00BD5820" w:rsidRDefault="00F64314">
            <w:pPr>
              <w:pStyle w:val="afff1"/>
            </w:pPr>
            <w:r>
              <w:t>24</w:t>
            </w:r>
            <w:r>
              <w:t>小时平均</w:t>
            </w:r>
          </w:p>
        </w:tc>
        <w:tc>
          <w:tcPr>
            <w:tcW w:w="1811" w:type="dxa"/>
            <w:vAlign w:val="center"/>
          </w:tcPr>
          <w:p w:rsidR="00BD5820" w:rsidRDefault="00F64314">
            <w:pPr>
              <w:pStyle w:val="afff1"/>
            </w:pPr>
            <w:r>
              <w:t>150μg/m</w:t>
            </w:r>
            <w:r>
              <w:rPr>
                <w:vertAlign w:val="superscript"/>
              </w:rPr>
              <w:t>3</w:t>
            </w:r>
          </w:p>
        </w:tc>
        <w:tc>
          <w:tcPr>
            <w:tcW w:w="3709" w:type="dxa"/>
            <w:vMerge/>
            <w:vAlign w:val="center"/>
          </w:tcPr>
          <w:p w:rsidR="00BD5820" w:rsidRDefault="00BD5820">
            <w:pPr>
              <w:pStyle w:val="afff1"/>
            </w:pPr>
          </w:p>
        </w:tc>
      </w:tr>
      <w:tr w:rsidR="00BD5820">
        <w:trPr>
          <w:trHeight w:val="12"/>
          <w:jc w:val="center"/>
        </w:trPr>
        <w:tc>
          <w:tcPr>
            <w:tcW w:w="1522" w:type="dxa"/>
            <w:vMerge w:val="restart"/>
            <w:vAlign w:val="center"/>
          </w:tcPr>
          <w:p w:rsidR="00BD5820" w:rsidRDefault="00F64314">
            <w:pPr>
              <w:pStyle w:val="afff1"/>
            </w:pPr>
            <w:r>
              <w:t>PM</w:t>
            </w:r>
            <w:r>
              <w:rPr>
                <w:vertAlign w:val="subscript"/>
              </w:rPr>
              <w:t>2.5</w:t>
            </w:r>
          </w:p>
        </w:tc>
        <w:tc>
          <w:tcPr>
            <w:tcW w:w="1811" w:type="dxa"/>
            <w:vAlign w:val="center"/>
          </w:tcPr>
          <w:p w:rsidR="00BD5820" w:rsidRDefault="00F64314">
            <w:pPr>
              <w:pStyle w:val="afff1"/>
            </w:pPr>
            <w:r>
              <w:t>年平均</w:t>
            </w:r>
          </w:p>
        </w:tc>
        <w:tc>
          <w:tcPr>
            <w:tcW w:w="1811" w:type="dxa"/>
            <w:vAlign w:val="center"/>
          </w:tcPr>
          <w:p w:rsidR="00BD5820" w:rsidRDefault="00F64314">
            <w:pPr>
              <w:pStyle w:val="afff1"/>
            </w:pPr>
            <w:r>
              <w:t>35μg/m</w:t>
            </w:r>
            <w:r>
              <w:rPr>
                <w:vertAlign w:val="superscript"/>
              </w:rPr>
              <w:t>3</w:t>
            </w:r>
          </w:p>
        </w:tc>
        <w:tc>
          <w:tcPr>
            <w:tcW w:w="3709" w:type="dxa"/>
            <w:vMerge/>
            <w:vAlign w:val="center"/>
          </w:tcPr>
          <w:p w:rsidR="00BD5820" w:rsidRDefault="00BD5820">
            <w:pPr>
              <w:pStyle w:val="afff1"/>
            </w:pPr>
          </w:p>
        </w:tc>
      </w:tr>
      <w:tr w:rsidR="00BD5820">
        <w:trPr>
          <w:trHeight w:val="12"/>
          <w:jc w:val="center"/>
        </w:trPr>
        <w:tc>
          <w:tcPr>
            <w:tcW w:w="1522" w:type="dxa"/>
            <w:vMerge/>
            <w:vAlign w:val="center"/>
          </w:tcPr>
          <w:p w:rsidR="00BD5820" w:rsidRDefault="00BD5820">
            <w:pPr>
              <w:pStyle w:val="afff1"/>
              <w:rPr>
                <w:vertAlign w:val="subscript"/>
              </w:rPr>
            </w:pPr>
          </w:p>
        </w:tc>
        <w:tc>
          <w:tcPr>
            <w:tcW w:w="1811" w:type="dxa"/>
            <w:vAlign w:val="center"/>
          </w:tcPr>
          <w:p w:rsidR="00BD5820" w:rsidRDefault="00F64314">
            <w:pPr>
              <w:pStyle w:val="afff1"/>
            </w:pPr>
            <w:r>
              <w:t>24</w:t>
            </w:r>
            <w:r>
              <w:t>小时平均</w:t>
            </w:r>
          </w:p>
        </w:tc>
        <w:tc>
          <w:tcPr>
            <w:tcW w:w="1811" w:type="dxa"/>
            <w:vAlign w:val="center"/>
          </w:tcPr>
          <w:p w:rsidR="00BD5820" w:rsidRDefault="00F64314">
            <w:pPr>
              <w:pStyle w:val="afff1"/>
            </w:pPr>
            <w:r>
              <w:t>75μg/m</w:t>
            </w:r>
            <w:r>
              <w:rPr>
                <w:vertAlign w:val="superscript"/>
              </w:rPr>
              <w:t>3</w:t>
            </w:r>
          </w:p>
        </w:tc>
        <w:tc>
          <w:tcPr>
            <w:tcW w:w="3709" w:type="dxa"/>
            <w:vMerge/>
            <w:vAlign w:val="center"/>
          </w:tcPr>
          <w:p w:rsidR="00BD5820" w:rsidRDefault="00BD5820">
            <w:pPr>
              <w:pStyle w:val="afff1"/>
            </w:pPr>
          </w:p>
        </w:tc>
      </w:tr>
      <w:tr w:rsidR="00BD5820">
        <w:trPr>
          <w:trHeight w:val="12"/>
          <w:jc w:val="center"/>
        </w:trPr>
        <w:tc>
          <w:tcPr>
            <w:tcW w:w="1522" w:type="dxa"/>
            <w:vMerge w:val="restart"/>
            <w:vAlign w:val="center"/>
          </w:tcPr>
          <w:p w:rsidR="00BD5820" w:rsidRDefault="00F64314">
            <w:pPr>
              <w:pStyle w:val="afff1"/>
              <w:rPr>
                <w:vertAlign w:val="subscript"/>
              </w:rPr>
            </w:pPr>
            <w:r>
              <w:t>SO</w:t>
            </w:r>
            <w:r>
              <w:rPr>
                <w:vertAlign w:val="subscript"/>
              </w:rPr>
              <w:t>2</w:t>
            </w:r>
          </w:p>
        </w:tc>
        <w:tc>
          <w:tcPr>
            <w:tcW w:w="1811" w:type="dxa"/>
            <w:vAlign w:val="center"/>
          </w:tcPr>
          <w:p w:rsidR="00BD5820" w:rsidRDefault="00F64314">
            <w:pPr>
              <w:pStyle w:val="afff1"/>
            </w:pPr>
            <w:r>
              <w:t>年平均</w:t>
            </w:r>
          </w:p>
        </w:tc>
        <w:tc>
          <w:tcPr>
            <w:tcW w:w="1811" w:type="dxa"/>
            <w:vAlign w:val="center"/>
          </w:tcPr>
          <w:p w:rsidR="00BD5820" w:rsidRDefault="00F64314">
            <w:pPr>
              <w:pStyle w:val="afff1"/>
            </w:pPr>
            <w:r>
              <w:t>60μg/m</w:t>
            </w:r>
            <w:r>
              <w:rPr>
                <w:vertAlign w:val="superscript"/>
              </w:rPr>
              <w:t>3</w:t>
            </w:r>
          </w:p>
        </w:tc>
        <w:tc>
          <w:tcPr>
            <w:tcW w:w="3709" w:type="dxa"/>
            <w:vMerge/>
            <w:vAlign w:val="center"/>
          </w:tcPr>
          <w:p w:rsidR="00BD5820" w:rsidRDefault="00BD5820">
            <w:pPr>
              <w:pStyle w:val="afff1"/>
            </w:pPr>
          </w:p>
        </w:tc>
      </w:tr>
      <w:tr w:rsidR="00BD5820">
        <w:trPr>
          <w:trHeight w:val="53"/>
          <w:jc w:val="center"/>
        </w:trPr>
        <w:tc>
          <w:tcPr>
            <w:tcW w:w="1522" w:type="dxa"/>
            <w:vMerge/>
            <w:vAlign w:val="center"/>
          </w:tcPr>
          <w:p w:rsidR="00BD5820" w:rsidRDefault="00BD5820">
            <w:pPr>
              <w:pStyle w:val="afff1"/>
            </w:pPr>
          </w:p>
        </w:tc>
        <w:tc>
          <w:tcPr>
            <w:tcW w:w="1811" w:type="dxa"/>
            <w:vAlign w:val="center"/>
          </w:tcPr>
          <w:p w:rsidR="00BD5820" w:rsidRDefault="00F64314">
            <w:pPr>
              <w:pStyle w:val="afff1"/>
            </w:pPr>
            <w:r>
              <w:t>24</w:t>
            </w:r>
            <w:r>
              <w:t>小时平均</w:t>
            </w:r>
          </w:p>
        </w:tc>
        <w:tc>
          <w:tcPr>
            <w:tcW w:w="1811" w:type="dxa"/>
            <w:vAlign w:val="center"/>
          </w:tcPr>
          <w:p w:rsidR="00BD5820" w:rsidRDefault="00F64314">
            <w:pPr>
              <w:pStyle w:val="afff1"/>
            </w:pPr>
            <w:r>
              <w:t>150μg/m</w:t>
            </w:r>
            <w:r>
              <w:rPr>
                <w:vertAlign w:val="superscript"/>
              </w:rPr>
              <w:t>3</w:t>
            </w:r>
          </w:p>
        </w:tc>
        <w:tc>
          <w:tcPr>
            <w:tcW w:w="3709" w:type="dxa"/>
            <w:vMerge/>
            <w:vAlign w:val="center"/>
          </w:tcPr>
          <w:p w:rsidR="00BD5820" w:rsidRDefault="00BD5820">
            <w:pPr>
              <w:pStyle w:val="afff1"/>
            </w:pPr>
          </w:p>
        </w:tc>
      </w:tr>
      <w:tr w:rsidR="00BD5820">
        <w:trPr>
          <w:trHeight w:val="53"/>
          <w:jc w:val="center"/>
        </w:trPr>
        <w:tc>
          <w:tcPr>
            <w:tcW w:w="1522" w:type="dxa"/>
            <w:vMerge/>
            <w:vAlign w:val="center"/>
          </w:tcPr>
          <w:p w:rsidR="00BD5820" w:rsidRDefault="00BD5820">
            <w:pPr>
              <w:pStyle w:val="afff1"/>
            </w:pPr>
          </w:p>
        </w:tc>
        <w:tc>
          <w:tcPr>
            <w:tcW w:w="1811" w:type="dxa"/>
            <w:vAlign w:val="center"/>
          </w:tcPr>
          <w:p w:rsidR="00BD5820" w:rsidRDefault="00F64314">
            <w:pPr>
              <w:pStyle w:val="afff1"/>
            </w:pPr>
            <w:r>
              <w:t>1</w:t>
            </w:r>
            <w:r>
              <w:t>小时平均</w:t>
            </w:r>
          </w:p>
        </w:tc>
        <w:tc>
          <w:tcPr>
            <w:tcW w:w="1811" w:type="dxa"/>
            <w:vAlign w:val="center"/>
          </w:tcPr>
          <w:p w:rsidR="00BD5820" w:rsidRDefault="00F64314">
            <w:pPr>
              <w:pStyle w:val="afff1"/>
            </w:pPr>
            <w:r>
              <w:t>500μg/m</w:t>
            </w:r>
            <w:r>
              <w:rPr>
                <w:vertAlign w:val="superscript"/>
              </w:rPr>
              <w:t>3</w:t>
            </w:r>
          </w:p>
        </w:tc>
        <w:tc>
          <w:tcPr>
            <w:tcW w:w="3709" w:type="dxa"/>
            <w:vMerge/>
            <w:vAlign w:val="center"/>
          </w:tcPr>
          <w:p w:rsidR="00BD5820" w:rsidRDefault="00BD5820">
            <w:pPr>
              <w:pStyle w:val="afff1"/>
            </w:pPr>
          </w:p>
        </w:tc>
      </w:tr>
      <w:tr w:rsidR="00BD5820">
        <w:trPr>
          <w:trHeight w:val="12"/>
          <w:jc w:val="center"/>
        </w:trPr>
        <w:tc>
          <w:tcPr>
            <w:tcW w:w="1522" w:type="dxa"/>
            <w:vMerge w:val="restart"/>
            <w:vAlign w:val="center"/>
          </w:tcPr>
          <w:p w:rsidR="00BD5820" w:rsidRDefault="00F64314">
            <w:pPr>
              <w:pStyle w:val="afff1"/>
            </w:pPr>
            <w:r>
              <w:t>NO</w:t>
            </w:r>
            <w:r>
              <w:rPr>
                <w:vertAlign w:val="subscript"/>
              </w:rPr>
              <w:t>2</w:t>
            </w:r>
          </w:p>
        </w:tc>
        <w:tc>
          <w:tcPr>
            <w:tcW w:w="1811" w:type="dxa"/>
            <w:vAlign w:val="center"/>
          </w:tcPr>
          <w:p w:rsidR="00BD5820" w:rsidRDefault="00F64314">
            <w:pPr>
              <w:pStyle w:val="afff1"/>
            </w:pPr>
            <w:r>
              <w:t>年平均</w:t>
            </w:r>
          </w:p>
        </w:tc>
        <w:tc>
          <w:tcPr>
            <w:tcW w:w="1811" w:type="dxa"/>
            <w:vAlign w:val="center"/>
          </w:tcPr>
          <w:p w:rsidR="00BD5820" w:rsidRDefault="00F64314">
            <w:pPr>
              <w:pStyle w:val="afff1"/>
            </w:pPr>
            <w:r>
              <w:t>40μg/m</w:t>
            </w:r>
            <w:r>
              <w:rPr>
                <w:vertAlign w:val="superscript"/>
              </w:rPr>
              <w:t>3</w:t>
            </w:r>
          </w:p>
        </w:tc>
        <w:tc>
          <w:tcPr>
            <w:tcW w:w="3709" w:type="dxa"/>
            <w:vMerge/>
            <w:vAlign w:val="center"/>
          </w:tcPr>
          <w:p w:rsidR="00BD5820" w:rsidRDefault="00BD5820">
            <w:pPr>
              <w:pStyle w:val="afff1"/>
            </w:pPr>
          </w:p>
        </w:tc>
      </w:tr>
      <w:tr w:rsidR="00BD5820">
        <w:trPr>
          <w:trHeight w:val="12"/>
          <w:jc w:val="center"/>
        </w:trPr>
        <w:tc>
          <w:tcPr>
            <w:tcW w:w="1522" w:type="dxa"/>
            <w:vMerge/>
            <w:vAlign w:val="center"/>
          </w:tcPr>
          <w:p w:rsidR="00BD5820" w:rsidRDefault="00BD5820">
            <w:pPr>
              <w:pStyle w:val="afff1"/>
            </w:pPr>
          </w:p>
        </w:tc>
        <w:tc>
          <w:tcPr>
            <w:tcW w:w="1811" w:type="dxa"/>
            <w:vAlign w:val="center"/>
          </w:tcPr>
          <w:p w:rsidR="00BD5820" w:rsidRDefault="00F64314">
            <w:pPr>
              <w:pStyle w:val="afff1"/>
            </w:pPr>
            <w:r>
              <w:t>24</w:t>
            </w:r>
            <w:r>
              <w:t>小时平均</w:t>
            </w:r>
          </w:p>
        </w:tc>
        <w:tc>
          <w:tcPr>
            <w:tcW w:w="1811" w:type="dxa"/>
            <w:vAlign w:val="center"/>
          </w:tcPr>
          <w:p w:rsidR="00BD5820" w:rsidRDefault="00F64314">
            <w:pPr>
              <w:pStyle w:val="afff1"/>
            </w:pPr>
            <w:r>
              <w:t>80μg/m</w:t>
            </w:r>
            <w:r>
              <w:rPr>
                <w:vertAlign w:val="superscript"/>
              </w:rPr>
              <w:t>3</w:t>
            </w:r>
          </w:p>
        </w:tc>
        <w:tc>
          <w:tcPr>
            <w:tcW w:w="3709" w:type="dxa"/>
            <w:vMerge/>
            <w:vAlign w:val="center"/>
          </w:tcPr>
          <w:p w:rsidR="00BD5820" w:rsidRDefault="00BD5820">
            <w:pPr>
              <w:pStyle w:val="afff1"/>
            </w:pPr>
          </w:p>
        </w:tc>
      </w:tr>
      <w:tr w:rsidR="00BD5820">
        <w:trPr>
          <w:trHeight w:val="12"/>
          <w:jc w:val="center"/>
        </w:trPr>
        <w:tc>
          <w:tcPr>
            <w:tcW w:w="1522" w:type="dxa"/>
            <w:vMerge/>
            <w:vAlign w:val="center"/>
          </w:tcPr>
          <w:p w:rsidR="00BD5820" w:rsidRDefault="00BD5820">
            <w:pPr>
              <w:pStyle w:val="afff1"/>
            </w:pPr>
          </w:p>
        </w:tc>
        <w:tc>
          <w:tcPr>
            <w:tcW w:w="1811" w:type="dxa"/>
            <w:vAlign w:val="center"/>
          </w:tcPr>
          <w:p w:rsidR="00BD5820" w:rsidRDefault="00F64314">
            <w:pPr>
              <w:pStyle w:val="afff1"/>
            </w:pPr>
            <w:r>
              <w:t>1</w:t>
            </w:r>
            <w:r>
              <w:t>小时平均</w:t>
            </w:r>
          </w:p>
        </w:tc>
        <w:tc>
          <w:tcPr>
            <w:tcW w:w="1811" w:type="dxa"/>
            <w:vAlign w:val="center"/>
          </w:tcPr>
          <w:p w:rsidR="00BD5820" w:rsidRDefault="00F64314">
            <w:pPr>
              <w:pStyle w:val="afff1"/>
            </w:pPr>
            <w:r>
              <w:t>200μg/m</w:t>
            </w:r>
            <w:r>
              <w:rPr>
                <w:vertAlign w:val="superscript"/>
              </w:rPr>
              <w:t>3</w:t>
            </w:r>
          </w:p>
        </w:tc>
        <w:tc>
          <w:tcPr>
            <w:tcW w:w="3709" w:type="dxa"/>
            <w:vMerge/>
            <w:vAlign w:val="center"/>
          </w:tcPr>
          <w:p w:rsidR="00BD5820" w:rsidRDefault="00BD5820">
            <w:pPr>
              <w:pStyle w:val="afff1"/>
            </w:pPr>
          </w:p>
        </w:tc>
      </w:tr>
      <w:tr w:rsidR="00BD5820">
        <w:trPr>
          <w:trHeight w:val="12"/>
          <w:jc w:val="center"/>
        </w:trPr>
        <w:tc>
          <w:tcPr>
            <w:tcW w:w="1522" w:type="dxa"/>
            <w:vMerge w:val="restart"/>
            <w:vAlign w:val="center"/>
          </w:tcPr>
          <w:p w:rsidR="00BD5820" w:rsidRDefault="00F64314">
            <w:pPr>
              <w:pStyle w:val="afff1"/>
            </w:pPr>
            <w:r>
              <w:t>CO</w:t>
            </w:r>
          </w:p>
        </w:tc>
        <w:tc>
          <w:tcPr>
            <w:tcW w:w="1811" w:type="dxa"/>
            <w:vAlign w:val="center"/>
          </w:tcPr>
          <w:p w:rsidR="00BD5820" w:rsidRDefault="00F64314">
            <w:pPr>
              <w:pStyle w:val="afff1"/>
            </w:pPr>
            <w:r>
              <w:t>24</w:t>
            </w:r>
            <w:r>
              <w:t>小时平均</w:t>
            </w:r>
          </w:p>
        </w:tc>
        <w:tc>
          <w:tcPr>
            <w:tcW w:w="1811" w:type="dxa"/>
            <w:vAlign w:val="center"/>
          </w:tcPr>
          <w:p w:rsidR="00BD5820" w:rsidRDefault="00F64314">
            <w:pPr>
              <w:pStyle w:val="afff1"/>
            </w:pPr>
            <w:r>
              <w:t>4mg/m</w:t>
            </w:r>
            <w:r>
              <w:rPr>
                <w:vertAlign w:val="superscript"/>
              </w:rPr>
              <w:t>3</w:t>
            </w:r>
          </w:p>
        </w:tc>
        <w:tc>
          <w:tcPr>
            <w:tcW w:w="3709" w:type="dxa"/>
            <w:vMerge/>
            <w:vAlign w:val="center"/>
          </w:tcPr>
          <w:p w:rsidR="00BD5820" w:rsidRDefault="00BD5820">
            <w:pPr>
              <w:pStyle w:val="afff1"/>
            </w:pPr>
          </w:p>
        </w:tc>
      </w:tr>
      <w:tr w:rsidR="00BD5820">
        <w:trPr>
          <w:trHeight w:val="12"/>
          <w:jc w:val="center"/>
        </w:trPr>
        <w:tc>
          <w:tcPr>
            <w:tcW w:w="1522" w:type="dxa"/>
            <w:vMerge/>
            <w:vAlign w:val="center"/>
          </w:tcPr>
          <w:p w:rsidR="00BD5820" w:rsidRDefault="00BD5820">
            <w:pPr>
              <w:pStyle w:val="afff1"/>
            </w:pPr>
          </w:p>
        </w:tc>
        <w:tc>
          <w:tcPr>
            <w:tcW w:w="1811" w:type="dxa"/>
            <w:vAlign w:val="center"/>
          </w:tcPr>
          <w:p w:rsidR="00BD5820" w:rsidRDefault="00F64314">
            <w:pPr>
              <w:pStyle w:val="afff1"/>
            </w:pPr>
            <w:r>
              <w:t>1</w:t>
            </w:r>
            <w:r>
              <w:t>小时平均</w:t>
            </w:r>
          </w:p>
        </w:tc>
        <w:tc>
          <w:tcPr>
            <w:tcW w:w="1811" w:type="dxa"/>
            <w:vAlign w:val="center"/>
          </w:tcPr>
          <w:p w:rsidR="00BD5820" w:rsidRDefault="00F64314">
            <w:pPr>
              <w:pStyle w:val="afff1"/>
            </w:pPr>
            <w:r>
              <w:t>10mg/m</w:t>
            </w:r>
            <w:r>
              <w:rPr>
                <w:vertAlign w:val="superscript"/>
              </w:rPr>
              <w:t>3</w:t>
            </w:r>
          </w:p>
        </w:tc>
        <w:tc>
          <w:tcPr>
            <w:tcW w:w="3709" w:type="dxa"/>
            <w:vMerge/>
            <w:vAlign w:val="center"/>
          </w:tcPr>
          <w:p w:rsidR="00BD5820" w:rsidRDefault="00BD5820">
            <w:pPr>
              <w:pStyle w:val="afff1"/>
            </w:pPr>
          </w:p>
        </w:tc>
      </w:tr>
      <w:tr w:rsidR="00BD5820">
        <w:trPr>
          <w:trHeight w:val="12"/>
          <w:jc w:val="center"/>
        </w:trPr>
        <w:tc>
          <w:tcPr>
            <w:tcW w:w="1522" w:type="dxa"/>
            <w:vMerge w:val="restart"/>
            <w:vAlign w:val="center"/>
          </w:tcPr>
          <w:p w:rsidR="00BD5820" w:rsidRDefault="00F64314">
            <w:pPr>
              <w:pStyle w:val="afff1"/>
            </w:pPr>
            <w:r>
              <w:rPr>
                <w:iCs/>
                <w:kern w:val="0"/>
                <w:szCs w:val="21"/>
              </w:rPr>
              <w:t>O</w:t>
            </w:r>
            <w:r>
              <w:rPr>
                <w:iCs/>
                <w:kern w:val="0"/>
                <w:szCs w:val="21"/>
                <w:vertAlign w:val="subscript"/>
              </w:rPr>
              <w:t>3</w:t>
            </w:r>
          </w:p>
        </w:tc>
        <w:tc>
          <w:tcPr>
            <w:tcW w:w="1811" w:type="dxa"/>
          </w:tcPr>
          <w:p w:rsidR="00BD5820" w:rsidRDefault="00F64314">
            <w:pPr>
              <w:pStyle w:val="afff1"/>
            </w:pPr>
            <w:r>
              <w:rPr>
                <w:iCs/>
                <w:szCs w:val="21"/>
              </w:rPr>
              <w:t>8</w:t>
            </w:r>
            <w:r>
              <w:rPr>
                <w:iCs/>
                <w:szCs w:val="21"/>
              </w:rPr>
              <w:t>小时平均</w:t>
            </w:r>
          </w:p>
        </w:tc>
        <w:tc>
          <w:tcPr>
            <w:tcW w:w="1811" w:type="dxa"/>
          </w:tcPr>
          <w:p w:rsidR="00BD5820" w:rsidRDefault="00F64314">
            <w:pPr>
              <w:pStyle w:val="afff1"/>
            </w:pPr>
            <w:r>
              <w:rPr>
                <w:iCs/>
                <w:szCs w:val="21"/>
              </w:rPr>
              <w:t>160</w:t>
            </w:r>
            <w:r>
              <w:rPr>
                <w:iCs/>
                <w:kern w:val="0"/>
                <w:szCs w:val="21"/>
              </w:rPr>
              <w:t>μg/m</w:t>
            </w:r>
            <w:r>
              <w:rPr>
                <w:iCs/>
                <w:kern w:val="0"/>
                <w:szCs w:val="21"/>
                <w:vertAlign w:val="superscript"/>
              </w:rPr>
              <w:t>3</w:t>
            </w:r>
          </w:p>
        </w:tc>
        <w:tc>
          <w:tcPr>
            <w:tcW w:w="3709" w:type="dxa"/>
            <w:vMerge/>
            <w:vAlign w:val="center"/>
          </w:tcPr>
          <w:p w:rsidR="00BD5820" w:rsidRDefault="00BD5820">
            <w:pPr>
              <w:pStyle w:val="afff1"/>
            </w:pPr>
          </w:p>
        </w:tc>
      </w:tr>
      <w:tr w:rsidR="00BD5820">
        <w:trPr>
          <w:trHeight w:val="12"/>
          <w:jc w:val="center"/>
        </w:trPr>
        <w:tc>
          <w:tcPr>
            <w:tcW w:w="1522" w:type="dxa"/>
            <w:vMerge/>
            <w:vAlign w:val="center"/>
          </w:tcPr>
          <w:p w:rsidR="00BD5820" w:rsidRDefault="00BD5820">
            <w:pPr>
              <w:pStyle w:val="afff1"/>
            </w:pPr>
          </w:p>
        </w:tc>
        <w:tc>
          <w:tcPr>
            <w:tcW w:w="1811" w:type="dxa"/>
          </w:tcPr>
          <w:p w:rsidR="00BD5820" w:rsidRDefault="00F64314">
            <w:pPr>
              <w:pStyle w:val="afff1"/>
            </w:pPr>
            <w:r>
              <w:rPr>
                <w:iCs/>
                <w:szCs w:val="21"/>
              </w:rPr>
              <w:t>1</w:t>
            </w:r>
            <w:r>
              <w:rPr>
                <w:iCs/>
                <w:szCs w:val="21"/>
              </w:rPr>
              <w:t>小时平均</w:t>
            </w:r>
          </w:p>
        </w:tc>
        <w:tc>
          <w:tcPr>
            <w:tcW w:w="1811" w:type="dxa"/>
          </w:tcPr>
          <w:p w:rsidR="00BD5820" w:rsidRDefault="00F64314">
            <w:pPr>
              <w:pStyle w:val="afff1"/>
            </w:pPr>
            <w:r>
              <w:rPr>
                <w:iCs/>
                <w:szCs w:val="21"/>
              </w:rPr>
              <w:t>200</w:t>
            </w:r>
            <w:r>
              <w:rPr>
                <w:iCs/>
                <w:kern w:val="0"/>
                <w:szCs w:val="21"/>
              </w:rPr>
              <w:t>μg/m</w:t>
            </w:r>
            <w:r>
              <w:rPr>
                <w:iCs/>
                <w:kern w:val="0"/>
                <w:szCs w:val="21"/>
                <w:vertAlign w:val="superscript"/>
              </w:rPr>
              <w:t>3</w:t>
            </w:r>
          </w:p>
        </w:tc>
        <w:tc>
          <w:tcPr>
            <w:tcW w:w="3709" w:type="dxa"/>
            <w:vMerge/>
            <w:vAlign w:val="center"/>
          </w:tcPr>
          <w:p w:rsidR="00BD5820" w:rsidRDefault="00BD5820">
            <w:pPr>
              <w:pStyle w:val="afff1"/>
            </w:pPr>
          </w:p>
        </w:tc>
      </w:tr>
      <w:tr w:rsidR="00BD5820">
        <w:trPr>
          <w:trHeight w:val="12"/>
          <w:jc w:val="center"/>
        </w:trPr>
        <w:tc>
          <w:tcPr>
            <w:tcW w:w="1522" w:type="dxa"/>
            <w:vAlign w:val="center"/>
          </w:tcPr>
          <w:p w:rsidR="00BD5820" w:rsidRDefault="00F64314">
            <w:pPr>
              <w:pStyle w:val="afff1"/>
            </w:pPr>
            <w:r>
              <w:rPr>
                <w:rFonts w:hint="eastAsia"/>
              </w:rPr>
              <w:lastRenderedPageBreak/>
              <w:t>TVOC</w:t>
            </w:r>
          </w:p>
        </w:tc>
        <w:tc>
          <w:tcPr>
            <w:tcW w:w="1811" w:type="dxa"/>
            <w:vAlign w:val="center"/>
          </w:tcPr>
          <w:p w:rsidR="00BD5820" w:rsidRDefault="00F64314">
            <w:pPr>
              <w:pStyle w:val="afff1"/>
            </w:pPr>
            <w:r>
              <w:rPr>
                <w:iCs/>
                <w:szCs w:val="21"/>
              </w:rPr>
              <w:t>8</w:t>
            </w:r>
            <w:r>
              <w:rPr>
                <w:iCs/>
                <w:szCs w:val="21"/>
              </w:rPr>
              <w:t>小时平均</w:t>
            </w:r>
          </w:p>
        </w:tc>
        <w:tc>
          <w:tcPr>
            <w:tcW w:w="1811" w:type="dxa"/>
            <w:vAlign w:val="center"/>
          </w:tcPr>
          <w:p w:rsidR="00BD5820" w:rsidRDefault="00F64314">
            <w:pPr>
              <w:pStyle w:val="afff1"/>
            </w:pPr>
            <w:r>
              <w:rPr>
                <w:rFonts w:hint="eastAsia"/>
              </w:rPr>
              <w:t>600</w:t>
            </w:r>
            <w:r>
              <w:rPr>
                <w:iCs/>
                <w:kern w:val="0"/>
                <w:szCs w:val="21"/>
              </w:rPr>
              <w:t>μg/m</w:t>
            </w:r>
            <w:r>
              <w:rPr>
                <w:iCs/>
                <w:kern w:val="0"/>
                <w:szCs w:val="21"/>
                <w:vertAlign w:val="superscript"/>
              </w:rPr>
              <w:t>3</w:t>
            </w:r>
          </w:p>
        </w:tc>
        <w:tc>
          <w:tcPr>
            <w:tcW w:w="3709" w:type="dxa"/>
            <w:vMerge w:val="restart"/>
            <w:vAlign w:val="center"/>
          </w:tcPr>
          <w:p w:rsidR="00BD5820" w:rsidRDefault="00F64314">
            <w:pPr>
              <w:pStyle w:val="afff1"/>
            </w:pPr>
            <w:r>
              <w:rPr>
                <w:szCs w:val="21"/>
              </w:rPr>
              <w:t>《环境影响评价技术导则大气环境》（</w:t>
            </w:r>
            <w:r>
              <w:rPr>
                <w:szCs w:val="21"/>
              </w:rPr>
              <w:t>HJ2.2-2018</w:t>
            </w:r>
            <w:r>
              <w:rPr>
                <w:szCs w:val="21"/>
              </w:rPr>
              <w:t>）中附录</w:t>
            </w:r>
            <w:r>
              <w:rPr>
                <w:szCs w:val="21"/>
              </w:rPr>
              <w:t>D</w:t>
            </w:r>
          </w:p>
        </w:tc>
      </w:tr>
      <w:tr w:rsidR="00BD5820">
        <w:trPr>
          <w:trHeight w:val="12"/>
          <w:jc w:val="center"/>
        </w:trPr>
        <w:tc>
          <w:tcPr>
            <w:tcW w:w="1522" w:type="dxa"/>
            <w:vAlign w:val="center"/>
          </w:tcPr>
          <w:p w:rsidR="00BD5820" w:rsidRDefault="00F64314">
            <w:pPr>
              <w:pStyle w:val="afff1"/>
            </w:pPr>
            <w:r>
              <w:t>硫化氢</w:t>
            </w:r>
          </w:p>
        </w:tc>
        <w:tc>
          <w:tcPr>
            <w:tcW w:w="1811" w:type="dxa"/>
            <w:vAlign w:val="center"/>
          </w:tcPr>
          <w:p w:rsidR="00BD5820" w:rsidRDefault="00F64314">
            <w:pPr>
              <w:pStyle w:val="afff1"/>
              <w:rPr>
                <w:iCs/>
                <w:szCs w:val="21"/>
              </w:rPr>
            </w:pPr>
            <w:r>
              <w:t>1</w:t>
            </w:r>
            <w:r>
              <w:t>小时平均</w:t>
            </w:r>
          </w:p>
        </w:tc>
        <w:tc>
          <w:tcPr>
            <w:tcW w:w="1811" w:type="dxa"/>
            <w:vAlign w:val="center"/>
          </w:tcPr>
          <w:p w:rsidR="00BD5820" w:rsidRDefault="00F64314">
            <w:pPr>
              <w:pStyle w:val="afff1"/>
              <w:rPr>
                <w:iCs/>
                <w:szCs w:val="21"/>
              </w:rPr>
            </w:pPr>
            <w:r>
              <w:t>10</w:t>
            </w:r>
            <w:r>
              <w:rPr>
                <w:iCs/>
                <w:kern w:val="0"/>
                <w:szCs w:val="21"/>
              </w:rPr>
              <w:t>μ</w:t>
            </w:r>
            <w:r>
              <w:t>g/m</w:t>
            </w:r>
            <w:r>
              <w:rPr>
                <w:vertAlign w:val="superscript"/>
              </w:rPr>
              <w:t>3</w:t>
            </w:r>
          </w:p>
        </w:tc>
        <w:tc>
          <w:tcPr>
            <w:tcW w:w="3709" w:type="dxa"/>
            <w:vMerge/>
            <w:vAlign w:val="center"/>
          </w:tcPr>
          <w:p w:rsidR="00BD5820" w:rsidRDefault="00BD5820">
            <w:pPr>
              <w:pStyle w:val="afff1"/>
            </w:pPr>
          </w:p>
        </w:tc>
      </w:tr>
      <w:tr w:rsidR="00BD5820">
        <w:trPr>
          <w:trHeight w:val="12"/>
          <w:jc w:val="center"/>
        </w:trPr>
        <w:tc>
          <w:tcPr>
            <w:tcW w:w="1522" w:type="dxa"/>
            <w:vAlign w:val="center"/>
          </w:tcPr>
          <w:p w:rsidR="00BD5820" w:rsidRDefault="00F64314">
            <w:pPr>
              <w:pStyle w:val="afff1"/>
            </w:pPr>
            <w:r>
              <w:rPr>
                <w:rFonts w:hint="eastAsia"/>
              </w:rPr>
              <w:t>非甲烷总烃</w:t>
            </w:r>
          </w:p>
        </w:tc>
        <w:tc>
          <w:tcPr>
            <w:tcW w:w="1811" w:type="dxa"/>
            <w:vAlign w:val="center"/>
          </w:tcPr>
          <w:p w:rsidR="00BD5820" w:rsidRDefault="00F64314">
            <w:pPr>
              <w:pStyle w:val="afff1"/>
            </w:pPr>
            <w:r>
              <w:rPr>
                <w:rFonts w:hint="eastAsia"/>
              </w:rPr>
              <w:t>一次值</w:t>
            </w:r>
          </w:p>
        </w:tc>
        <w:tc>
          <w:tcPr>
            <w:tcW w:w="1811" w:type="dxa"/>
            <w:vAlign w:val="center"/>
          </w:tcPr>
          <w:p w:rsidR="00BD5820" w:rsidRDefault="00F64314">
            <w:pPr>
              <w:pStyle w:val="afff1"/>
            </w:pPr>
            <w:r>
              <w:rPr>
                <w:rFonts w:hint="eastAsia"/>
              </w:rPr>
              <w:t>2mg/</w:t>
            </w:r>
            <w:r>
              <w:t>m</w:t>
            </w:r>
            <w:r>
              <w:rPr>
                <w:vertAlign w:val="superscript"/>
              </w:rPr>
              <w:t>3</w:t>
            </w:r>
          </w:p>
        </w:tc>
        <w:tc>
          <w:tcPr>
            <w:tcW w:w="3709" w:type="dxa"/>
            <w:vAlign w:val="center"/>
          </w:tcPr>
          <w:p w:rsidR="00BD5820" w:rsidRDefault="00F64314">
            <w:pPr>
              <w:pStyle w:val="afff1"/>
            </w:pPr>
            <w:r>
              <w:rPr>
                <w:rFonts w:hint="eastAsia"/>
              </w:rPr>
              <w:t>《大气污染物综合排放标准详解》</w:t>
            </w:r>
          </w:p>
        </w:tc>
      </w:tr>
    </w:tbl>
    <w:bookmarkEnd w:id="70"/>
    <w:p w:rsidR="00BD5820" w:rsidRDefault="00F64314">
      <w:pPr>
        <w:ind w:firstLine="482"/>
        <w:rPr>
          <w:rFonts w:ascii="Times New Roman" w:cs="Times New Roman"/>
          <w:b/>
        </w:rPr>
      </w:pPr>
      <w:r>
        <w:rPr>
          <w:rFonts w:ascii="Times New Roman" w:cs="Times New Roman"/>
          <w:b/>
        </w:rPr>
        <w:t>2</w:t>
      </w:r>
      <w:r>
        <w:rPr>
          <w:rFonts w:ascii="Times New Roman" w:cs="Times New Roman"/>
          <w:b/>
        </w:rPr>
        <w:t>、地表水环境质量标准</w:t>
      </w:r>
    </w:p>
    <w:p w:rsidR="00BD5820" w:rsidRDefault="00F64314">
      <w:pPr>
        <w:topLinePunct w:val="0"/>
        <w:adjustRightInd/>
        <w:ind w:firstLine="480"/>
        <w:rPr>
          <w:rFonts w:ascii="Times New Roman" w:cs="Times New Roman"/>
          <w:kern w:val="2"/>
          <w:szCs w:val="22"/>
        </w:rPr>
      </w:pPr>
      <w:r>
        <w:rPr>
          <w:rFonts w:ascii="Times New Roman" w:cs="Times New Roman"/>
          <w:kern w:val="2"/>
          <w:szCs w:val="22"/>
        </w:rPr>
        <w:t>本项目的地表水环境执行《地表水环境质量标准》（</w:t>
      </w:r>
      <w:r>
        <w:rPr>
          <w:rFonts w:ascii="Times New Roman" w:cs="Times New Roman"/>
          <w:kern w:val="2"/>
          <w:szCs w:val="22"/>
        </w:rPr>
        <w:t>GB3838-2002</w:t>
      </w:r>
      <w:r>
        <w:rPr>
          <w:rFonts w:ascii="Times New Roman" w:cs="Times New Roman"/>
          <w:kern w:val="2"/>
          <w:szCs w:val="22"/>
        </w:rPr>
        <w:t>）中的</w:t>
      </w:r>
      <w:r>
        <w:rPr>
          <w:rFonts w:ascii="Times New Roman" w:cs="Times New Roman"/>
          <w:kern w:val="2"/>
          <w:szCs w:val="22"/>
        </w:rPr>
        <w:t>Ⅲ</w:t>
      </w:r>
      <w:r>
        <w:rPr>
          <w:rFonts w:ascii="Times New Roman" w:cs="Times New Roman"/>
          <w:kern w:val="2"/>
          <w:szCs w:val="22"/>
        </w:rPr>
        <w:t>类标准，见表</w:t>
      </w:r>
      <w:r>
        <w:rPr>
          <w:rFonts w:ascii="Times New Roman" w:cs="Times New Roman"/>
          <w:kern w:val="2"/>
          <w:szCs w:val="22"/>
        </w:rPr>
        <w:t>1.5-2</w:t>
      </w:r>
      <w:r>
        <w:rPr>
          <w:rFonts w:ascii="Times New Roman" w:cs="Times New Roman"/>
          <w:kern w:val="2"/>
          <w:szCs w:val="22"/>
        </w:rPr>
        <w:t>。</w:t>
      </w:r>
    </w:p>
    <w:p w:rsidR="00BD5820" w:rsidRDefault="00F64314">
      <w:pPr>
        <w:pStyle w:val="10"/>
        <w:rPr>
          <w:rFonts w:cs="Times New Roman"/>
          <w:szCs w:val="21"/>
        </w:rPr>
      </w:pPr>
      <w:r>
        <w:rPr>
          <w:rFonts w:cs="Times New Roman"/>
        </w:rPr>
        <w:t>表</w:t>
      </w:r>
      <w:r>
        <w:rPr>
          <w:rFonts w:cs="Times New Roman"/>
        </w:rPr>
        <w:t xml:space="preserve">1.5-2  </w:t>
      </w:r>
      <w:r>
        <w:rPr>
          <w:rFonts w:cs="Times New Roman"/>
        </w:rPr>
        <w:t>地表水环境质量标准（</w:t>
      </w:r>
      <w:r>
        <w:rPr>
          <w:rFonts w:cs="Times New Roman"/>
        </w:rPr>
        <w:t>GB3838</w:t>
      </w:r>
      <w:r>
        <w:rPr>
          <w:rFonts w:cs="Times New Roman"/>
        </w:rPr>
        <w:t>－</w:t>
      </w:r>
      <w:r>
        <w:rPr>
          <w:rFonts w:cs="Times New Roman"/>
        </w:rPr>
        <w:t>2002</w:t>
      </w:r>
      <w:r>
        <w:rPr>
          <w:rFonts w:cs="Times New Roman"/>
        </w:rPr>
        <w:t>）</w:t>
      </w:r>
      <w:r>
        <w:rPr>
          <w:rFonts w:cs="Times New Roman"/>
        </w:rPr>
        <w:t xml:space="preserve">  </w:t>
      </w:r>
      <w:r>
        <w:rPr>
          <w:rFonts w:cs="Times New Roman"/>
        </w:rPr>
        <w:t>单位：</w:t>
      </w:r>
      <w:r>
        <w:rPr>
          <w:rFonts w:cs="Times New Roman"/>
        </w:rPr>
        <w:t>mg/L</w:t>
      </w:r>
    </w:p>
    <w:tbl>
      <w:tblPr>
        <w:tblW w:w="5188" w:type="pct"/>
        <w:jc w:val="center"/>
        <w:tblLayout w:type="fixed"/>
        <w:tblCellMar>
          <w:left w:w="0" w:type="dxa"/>
          <w:right w:w="0" w:type="dxa"/>
        </w:tblCellMar>
        <w:tblLook w:val="04A0"/>
      </w:tblPr>
      <w:tblGrid>
        <w:gridCol w:w="1229"/>
        <w:gridCol w:w="820"/>
        <w:gridCol w:w="807"/>
        <w:gridCol w:w="955"/>
        <w:gridCol w:w="957"/>
        <w:gridCol w:w="955"/>
        <w:gridCol w:w="982"/>
        <w:gridCol w:w="1020"/>
        <w:gridCol w:w="893"/>
      </w:tblGrid>
      <w:tr w:rsidR="00BD5820">
        <w:trPr>
          <w:trHeight w:hRule="exact" w:val="339"/>
          <w:jc w:val="center"/>
        </w:trPr>
        <w:tc>
          <w:tcPr>
            <w:tcW w:w="713" w:type="pct"/>
            <w:tcBorders>
              <w:top w:val="single" w:sz="12" w:space="0" w:color="000000"/>
              <w:left w:val="nil"/>
              <w:bottom w:val="single" w:sz="4" w:space="0" w:color="000000"/>
              <w:right w:val="single" w:sz="4" w:space="0" w:color="000000"/>
            </w:tcBorders>
            <w:vAlign w:val="center"/>
          </w:tcPr>
          <w:p w:rsidR="00BD5820" w:rsidRDefault="00F64314">
            <w:pPr>
              <w:pStyle w:val="afff1"/>
              <w:rPr>
                <w:b/>
                <w:bCs/>
              </w:rPr>
            </w:pPr>
            <w:r>
              <w:rPr>
                <w:b/>
                <w:bCs/>
              </w:rPr>
              <w:t>评价因子</w:t>
            </w:r>
          </w:p>
        </w:tc>
        <w:tc>
          <w:tcPr>
            <w:tcW w:w="476" w:type="pct"/>
            <w:tcBorders>
              <w:top w:val="single" w:sz="12" w:space="0" w:color="000000"/>
              <w:left w:val="single" w:sz="4" w:space="0" w:color="000000"/>
              <w:bottom w:val="single" w:sz="4" w:space="0" w:color="000000"/>
              <w:right w:val="single" w:sz="4" w:space="0" w:color="000000"/>
            </w:tcBorders>
            <w:vAlign w:val="center"/>
          </w:tcPr>
          <w:p w:rsidR="00BD5820" w:rsidRDefault="00F64314">
            <w:pPr>
              <w:pStyle w:val="afff1"/>
              <w:rPr>
                <w:b/>
                <w:bCs/>
              </w:rPr>
            </w:pPr>
            <w:r>
              <w:rPr>
                <w:b/>
                <w:bCs/>
              </w:rPr>
              <w:t>pH</w:t>
            </w:r>
          </w:p>
        </w:tc>
        <w:tc>
          <w:tcPr>
            <w:tcW w:w="468" w:type="pct"/>
            <w:tcBorders>
              <w:top w:val="single" w:sz="12" w:space="0" w:color="000000"/>
              <w:left w:val="single" w:sz="4" w:space="0" w:color="000000"/>
              <w:bottom w:val="single" w:sz="4" w:space="0" w:color="000000"/>
              <w:right w:val="single" w:sz="4" w:space="0" w:color="000000"/>
            </w:tcBorders>
            <w:vAlign w:val="center"/>
          </w:tcPr>
          <w:p w:rsidR="00BD5820" w:rsidRDefault="00F64314">
            <w:pPr>
              <w:pStyle w:val="afff1"/>
              <w:rPr>
                <w:b/>
                <w:bCs/>
              </w:rPr>
            </w:pPr>
            <w:r>
              <w:rPr>
                <w:b/>
                <w:bCs/>
              </w:rPr>
              <w:t>COD</w:t>
            </w:r>
          </w:p>
        </w:tc>
        <w:tc>
          <w:tcPr>
            <w:tcW w:w="554" w:type="pct"/>
            <w:tcBorders>
              <w:top w:val="single" w:sz="12" w:space="0" w:color="000000"/>
              <w:left w:val="single" w:sz="4" w:space="0" w:color="000000"/>
              <w:bottom w:val="single" w:sz="4" w:space="0" w:color="000000"/>
              <w:right w:val="single" w:sz="4" w:space="0" w:color="000000"/>
            </w:tcBorders>
            <w:vAlign w:val="center"/>
          </w:tcPr>
          <w:p w:rsidR="00BD5820" w:rsidRDefault="00F64314">
            <w:pPr>
              <w:pStyle w:val="afff1"/>
              <w:rPr>
                <w:b/>
                <w:bCs/>
              </w:rPr>
            </w:pPr>
            <w:r>
              <w:rPr>
                <w:b/>
                <w:bCs/>
              </w:rPr>
              <w:t>BOD</w:t>
            </w:r>
            <w:r>
              <w:rPr>
                <w:b/>
                <w:bCs/>
                <w:vertAlign w:val="subscript"/>
              </w:rPr>
              <w:t>5</w:t>
            </w:r>
          </w:p>
        </w:tc>
        <w:tc>
          <w:tcPr>
            <w:tcW w:w="555" w:type="pct"/>
            <w:tcBorders>
              <w:top w:val="single" w:sz="12" w:space="0" w:color="000000"/>
              <w:left w:val="single" w:sz="4" w:space="0" w:color="000000"/>
              <w:bottom w:val="single" w:sz="4" w:space="0" w:color="000000"/>
              <w:right w:val="single" w:sz="4" w:space="0" w:color="000000"/>
            </w:tcBorders>
            <w:vAlign w:val="center"/>
          </w:tcPr>
          <w:p w:rsidR="00BD5820" w:rsidRDefault="00F64314">
            <w:pPr>
              <w:pStyle w:val="afff1"/>
              <w:rPr>
                <w:b/>
                <w:bCs/>
              </w:rPr>
            </w:pPr>
            <w:r>
              <w:rPr>
                <w:b/>
                <w:bCs/>
              </w:rPr>
              <w:t>氨氮</w:t>
            </w:r>
          </w:p>
        </w:tc>
        <w:tc>
          <w:tcPr>
            <w:tcW w:w="554" w:type="pct"/>
            <w:tcBorders>
              <w:top w:val="single" w:sz="12" w:space="0" w:color="000000"/>
              <w:left w:val="single" w:sz="4" w:space="0" w:color="000000"/>
              <w:bottom w:val="single" w:sz="4" w:space="0" w:color="000000"/>
              <w:right w:val="single" w:sz="4" w:space="0" w:color="auto"/>
            </w:tcBorders>
            <w:vAlign w:val="center"/>
          </w:tcPr>
          <w:p w:rsidR="00BD5820" w:rsidRDefault="00F64314">
            <w:pPr>
              <w:pStyle w:val="afff1"/>
              <w:rPr>
                <w:b/>
                <w:bCs/>
              </w:rPr>
            </w:pPr>
            <w:r>
              <w:rPr>
                <w:rFonts w:hint="eastAsia"/>
                <w:b/>
                <w:bCs/>
              </w:rPr>
              <w:t>挥发酚</w:t>
            </w:r>
          </w:p>
        </w:tc>
        <w:tc>
          <w:tcPr>
            <w:tcW w:w="570" w:type="pct"/>
            <w:tcBorders>
              <w:top w:val="single" w:sz="12" w:space="0" w:color="000000"/>
              <w:left w:val="single" w:sz="4" w:space="0" w:color="auto"/>
              <w:bottom w:val="single" w:sz="4" w:space="0" w:color="000000"/>
              <w:right w:val="single" w:sz="4" w:space="0" w:color="auto"/>
            </w:tcBorders>
            <w:vAlign w:val="center"/>
          </w:tcPr>
          <w:p w:rsidR="00BD5820" w:rsidRDefault="00F64314">
            <w:pPr>
              <w:pStyle w:val="afff1"/>
              <w:rPr>
                <w:b/>
                <w:bCs/>
              </w:rPr>
            </w:pPr>
            <w:r>
              <w:rPr>
                <w:b/>
                <w:bCs/>
              </w:rPr>
              <w:t>硫化物</w:t>
            </w:r>
          </w:p>
        </w:tc>
        <w:tc>
          <w:tcPr>
            <w:tcW w:w="592" w:type="pct"/>
            <w:tcBorders>
              <w:top w:val="single" w:sz="12" w:space="0" w:color="000000"/>
              <w:left w:val="single" w:sz="4" w:space="0" w:color="auto"/>
              <w:bottom w:val="single" w:sz="4" w:space="0" w:color="000000"/>
              <w:right w:val="nil"/>
            </w:tcBorders>
            <w:vAlign w:val="center"/>
          </w:tcPr>
          <w:p w:rsidR="00BD5820" w:rsidRDefault="00F64314">
            <w:pPr>
              <w:pStyle w:val="afff1"/>
              <w:rPr>
                <w:b/>
                <w:bCs/>
              </w:rPr>
            </w:pPr>
            <w:r>
              <w:rPr>
                <w:b/>
                <w:bCs/>
              </w:rPr>
              <w:t>石油类</w:t>
            </w:r>
          </w:p>
        </w:tc>
        <w:tc>
          <w:tcPr>
            <w:tcW w:w="518" w:type="pct"/>
            <w:tcBorders>
              <w:top w:val="single" w:sz="12" w:space="0" w:color="000000"/>
              <w:left w:val="single" w:sz="4" w:space="0" w:color="auto"/>
              <w:bottom w:val="single" w:sz="4" w:space="0" w:color="000000"/>
              <w:right w:val="nil"/>
            </w:tcBorders>
            <w:vAlign w:val="center"/>
          </w:tcPr>
          <w:p w:rsidR="00BD5820" w:rsidRDefault="00F64314">
            <w:pPr>
              <w:pStyle w:val="afff1"/>
              <w:rPr>
                <w:b/>
                <w:bCs/>
              </w:rPr>
            </w:pPr>
            <w:r>
              <w:rPr>
                <w:b/>
                <w:bCs/>
              </w:rPr>
              <w:t>氯化物</w:t>
            </w:r>
          </w:p>
        </w:tc>
      </w:tr>
      <w:tr w:rsidR="00BD5820">
        <w:trPr>
          <w:trHeight w:hRule="exact" w:val="349"/>
          <w:jc w:val="center"/>
        </w:trPr>
        <w:tc>
          <w:tcPr>
            <w:tcW w:w="713" w:type="pct"/>
            <w:tcBorders>
              <w:top w:val="single" w:sz="4" w:space="0" w:color="000000"/>
              <w:left w:val="nil"/>
              <w:bottom w:val="single" w:sz="12" w:space="0" w:color="000000"/>
              <w:right w:val="single" w:sz="4" w:space="0" w:color="000000"/>
            </w:tcBorders>
            <w:vAlign w:val="center"/>
          </w:tcPr>
          <w:p w:rsidR="00BD5820" w:rsidRDefault="00F64314">
            <w:pPr>
              <w:pStyle w:val="afff1"/>
            </w:pPr>
            <w:r>
              <w:t>浓度限制</w:t>
            </w:r>
          </w:p>
        </w:tc>
        <w:tc>
          <w:tcPr>
            <w:tcW w:w="476" w:type="pct"/>
            <w:tcBorders>
              <w:top w:val="single" w:sz="4" w:space="0" w:color="000000"/>
              <w:left w:val="single" w:sz="4" w:space="0" w:color="000000"/>
              <w:bottom w:val="single" w:sz="12" w:space="0" w:color="000000"/>
              <w:right w:val="single" w:sz="4" w:space="0" w:color="000000"/>
            </w:tcBorders>
            <w:vAlign w:val="center"/>
          </w:tcPr>
          <w:p w:rsidR="00BD5820" w:rsidRDefault="00F64314">
            <w:pPr>
              <w:pStyle w:val="afff1"/>
            </w:pPr>
            <w:r>
              <w:t>6~9</w:t>
            </w:r>
          </w:p>
        </w:tc>
        <w:tc>
          <w:tcPr>
            <w:tcW w:w="468" w:type="pct"/>
            <w:tcBorders>
              <w:top w:val="single" w:sz="4" w:space="0" w:color="000000"/>
              <w:left w:val="single" w:sz="4" w:space="0" w:color="000000"/>
              <w:bottom w:val="single" w:sz="12" w:space="0" w:color="000000"/>
              <w:right w:val="single" w:sz="4" w:space="0" w:color="000000"/>
            </w:tcBorders>
            <w:vAlign w:val="center"/>
          </w:tcPr>
          <w:p w:rsidR="00BD5820" w:rsidRDefault="00F64314">
            <w:pPr>
              <w:pStyle w:val="afff1"/>
            </w:pPr>
            <w:r>
              <w:t>≤20</w:t>
            </w:r>
          </w:p>
        </w:tc>
        <w:tc>
          <w:tcPr>
            <w:tcW w:w="554" w:type="pct"/>
            <w:tcBorders>
              <w:top w:val="single" w:sz="4" w:space="0" w:color="000000"/>
              <w:left w:val="single" w:sz="4" w:space="0" w:color="000000"/>
              <w:bottom w:val="single" w:sz="12" w:space="0" w:color="000000"/>
              <w:right w:val="single" w:sz="4" w:space="0" w:color="000000"/>
            </w:tcBorders>
            <w:vAlign w:val="center"/>
          </w:tcPr>
          <w:p w:rsidR="00BD5820" w:rsidRDefault="00F64314">
            <w:pPr>
              <w:pStyle w:val="afff1"/>
            </w:pPr>
            <w:r>
              <w:t>≤4</w:t>
            </w:r>
          </w:p>
        </w:tc>
        <w:tc>
          <w:tcPr>
            <w:tcW w:w="555" w:type="pct"/>
            <w:tcBorders>
              <w:top w:val="single" w:sz="4" w:space="0" w:color="000000"/>
              <w:left w:val="single" w:sz="4" w:space="0" w:color="000000"/>
              <w:bottom w:val="single" w:sz="12" w:space="0" w:color="000000"/>
              <w:right w:val="single" w:sz="4" w:space="0" w:color="000000"/>
            </w:tcBorders>
            <w:vAlign w:val="center"/>
          </w:tcPr>
          <w:p w:rsidR="00BD5820" w:rsidRDefault="00F64314">
            <w:pPr>
              <w:pStyle w:val="afff1"/>
            </w:pPr>
            <w:r>
              <w:t>≤1.0</w:t>
            </w:r>
          </w:p>
        </w:tc>
        <w:tc>
          <w:tcPr>
            <w:tcW w:w="554" w:type="pct"/>
            <w:tcBorders>
              <w:top w:val="single" w:sz="4" w:space="0" w:color="000000"/>
              <w:left w:val="single" w:sz="4" w:space="0" w:color="000000"/>
              <w:bottom w:val="single" w:sz="12" w:space="0" w:color="000000"/>
              <w:right w:val="single" w:sz="4" w:space="0" w:color="auto"/>
            </w:tcBorders>
            <w:vAlign w:val="center"/>
          </w:tcPr>
          <w:p w:rsidR="00BD5820" w:rsidRDefault="00F64314">
            <w:pPr>
              <w:pStyle w:val="afff1"/>
            </w:pPr>
            <w:r>
              <w:t>≤0.</w:t>
            </w:r>
            <w:r>
              <w:rPr>
                <w:rFonts w:hint="eastAsia"/>
              </w:rPr>
              <w:t>005</w:t>
            </w:r>
          </w:p>
        </w:tc>
        <w:tc>
          <w:tcPr>
            <w:tcW w:w="570" w:type="pct"/>
            <w:tcBorders>
              <w:top w:val="single" w:sz="4" w:space="0" w:color="000000"/>
              <w:left w:val="single" w:sz="4" w:space="0" w:color="auto"/>
              <w:bottom w:val="single" w:sz="12" w:space="0" w:color="000000"/>
              <w:right w:val="single" w:sz="4" w:space="0" w:color="auto"/>
            </w:tcBorders>
            <w:vAlign w:val="center"/>
          </w:tcPr>
          <w:p w:rsidR="00BD5820" w:rsidRDefault="00F64314">
            <w:pPr>
              <w:pStyle w:val="afff1"/>
            </w:pPr>
            <w:r>
              <w:t>≤0.1</w:t>
            </w:r>
          </w:p>
        </w:tc>
        <w:tc>
          <w:tcPr>
            <w:tcW w:w="592" w:type="pct"/>
            <w:tcBorders>
              <w:top w:val="single" w:sz="4" w:space="0" w:color="000000"/>
              <w:left w:val="single" w:sz="4" w:space="0" w:color="auto"/>
              <w:bottom w:val="single" w:sz="12" w:space="0" w:color="000000"/>
              <w:right w:val="nil"/>
            </w:tcBorders>
            <w:vAlign w:val="center"/>
          </w:tcPr>
          <w:p w:rsidR="00BD5820" w:rsidRDefault="00F64314">
            <w:pPr>
              <w:pStyle w:val="afff1"/>
            </w:pPr>
            <w:r>
              <w:t>≤0.05</w:t>
            </w:r>
          </w:p>
        </w:tc>
        <w:tc>
          <w:tcPr>
            <w:tcW w:w="518" w:type="pct"/>
            <w:tcBorders>
              <w:top w:val="single" w:sz="4" w:space="0" w:color="000000"/>
              <w:left w:val="single" w:sz="4" w:space="0" w:color="auto"/>
              <w:bottom w:val="single" w:sz="12" w:space="0" w:color="000000"/>
              <w:right w:val="nil"/>
            </w:tcBorders>
            <w:vAlign w:val="center"/>
          </w:tcPr>
          <w:p w:rsidR="00BD5820" w:rsidRDefault="00F64314">
            <w:pPr>
              <w:pStyle w:val="afff1"/>
            </w:pPr>
            <w:r>
              <w:t>≤250</w:t>
            </w:r>
          </w:p>
        </w:tc>
      </w:tr>
    </w:tbl>
    <w:p w:rsidR="00BD5820" w:rsidRDefault="00F64314">
      <w:pPr>
        <w:ind w:firstLine="482"/>
        <w:rPr>
          <w:rFonts w:ascii="Times New Roman" w:cs="Times New Roman"/>
          <w:b/>
        </w:rPr>
      </w:pPr>
      <w:r>
        <w:rPr>
          <w:rFonts w:ascii="Times New Roman" w:cs="Times New Roman"/>
          <w:b/>
        </w:rPr>
        <w:t>3</w:t>
      </w:r>
      <w:r>
        <w:rPr>
          <w:rFonts w:ascii="Times New Roman" w:cs="Times New Roman"/>
          <w:b/>
        </w:rPr>
        <w:t>、地下水环境质量标准</w:t>
      </w:r>
    </w:p>
    <w:p w:rsidR="00BD5820" w:rsidRDefault="00F64314">
      <w:pPr>
        <w:topLinePunct w:val="0"/>
        <w:adjustRightInd/>
        <w:ind w:firstLine="480"/>
        <w:rPr>
          <w:rFonts w:ascii="Times New Roman" w:cs="Times New Roman"/>
          <w:kern w:val="2"/>
          <w:szCs w:val="22"/>
        </w:rPr>
      </w:pPr>
      <w:r>
        <w:rPr>
          <w:rFonts w:ascii="Times New Roman" w:cs="Times New Roman"/>
          <w:kern w:val="2"/>
          <w:szCs w:val="22"/>
        </w:rPr>
        <w:t>本项目的地下水环境执行《地下水质量标准》（</w:t>
      </w:r>
      <w:r>
        <w:rPr>
          <w:rFonts w:ascii="Times New Roman" w:cs="Times New Roman"/>
          <w:kern w:val="2"/>
          <w:szCs w:val="22"/>
        </w:rPr>
        <w:t>GB/T14848-2017</w:t>
      </w:r>
      <w:r>
        <w:rPr>
          <w:rFonts w:ascii="Times New Roman" w:cs="Times New Roman"/>
          <w:kern w:val="2"/>
          <w:szCs w:val="22"/>
        </w:rPr>
        <w:t>）中的</w:t>
      </w:r>
      <w:r>
        <w:rPr>
          <w:rFonts w:ascii="Times New Roman" w:cs="Times New Roman"/>
          <w:kern w:val="2"/>
          <w:szCs w:val="22"/>
        </w:rPr>
        <w:t>Ⅲ</w:t>
      </w:r>
      <w:r>
        <w:rPr>
          <w:rFonts w:ascii="Times New Roman" w:cs="Times New Roman"/>
          <w:kern w:val="2"/>
          <w:szCs w:val="22"/>
        </w:rPr>
        <w:t>类标准，见表</w:t>
      </w:r>
      <w:r>
        <w:rPr>
          <w:rFonts w:ascii="Times New Roman" w:cs="Times New Roman"/>
          <w:kern w:val="2"/>
          <w:szCs w:val="22"/>
        </w:rPr>
        <w:t>1.5-3</w:t>
      </w:r>
      <w:r>
        <w:rPr>
          <w:rFonts w:ascii="Times New Roman" w:cs="Times New Roman"/>
          <w:kern w:val="2"/>
          <w:szCs w:val="22"/>
        </w:rPr>
        <w:t>。</w:t>
      </w:r>
    </w:p>
    <w:p w:rsidR="00BD5820" w:rsidRDefault="00F64314">
      <w:pPr>
        <w:pStyle w:val="10"/>
        <w:rPr>
          <w:rFonts w:cs="Times New Roman"/>
        </w:rPr>
      </w:pPr>
      <w:r>
        <w:rPr>
          <w:rFonts w:cs="Times New Roman"/>
        </w:rPr>
        <w:t>表</w:t>
      </w:r>
      <w:r>
        <w:rPr>
          <w:rFonts w:cs="Times New Roman"/>
        </w:rPr>
        <w:t xml:space="preserve">1.5-3  </w:t>
      </w:r>
      <w:r>
        <w:rPr>
          <w:rFonts w:cs="Times New Roman"/>
        </w:rPr>
        <w:t>地下水质量标准（</w:t>
      </w:r>
      <w:r>
        <w:rPr>
          <w:rFonts w:cs="Times New Roman"/>
        </w:rPr>
        <w:t>GB/T14848-2017</w:t>
      </w:r>
      <w:r>
        <w:rPr>
          <w:rFonts w:cs="Times New Roman"/>
        </w:rPr>
        <w:t>）</w:t>
      </w:r>
      <w:r>
        <w:rPr>
          <w:rFonts w:cs="Times New Roman"/>
        </w:rPr>
        <w:t xml:space="preserve">  </w:t>
      </w:r>
      <w:r>
        <w:rPr>
          <w:rFonts w:cs="Times New Roman"/>
        </w:rPr>
        <w:t>单位：</w:t>
      </w:r>
      <w:r>
        <w:rPr>
          <w:rFonts w:cs="Times New Roman"/>
        </w:rPr>
        <w:t>mg/L</w:t>
      </w:r>
      <w:r>
        <w:rPr>
          <w:rFonts w:cs="Times New Roman"/>
        </w:rPr>
        <w:t>、</w:t>
      </w:r>
      <w:r>
        <w:rPr>
          <w:rFonts w:cs="Times New Roman"/>
        </w:rPr>
        <w:t>pH</w:t>
      </w:r>
      <w:r>
        <w:rPr>
          <w:rFonts w:cs="Times New Roman"/>
        </w:rPr>
        <w:t>无量纲</w:t>
      </w:r>
    </w:p>
    <w:tbl>
      <w:tblPr>
        <w:tblW w:w="5275" w:type="pct"/>
        <w:jc w:val="center"/>
        <w:tblBorders>
          <w:top w:val="single" w:sz="12" w:space="0" w:color="auto"/>
          <w:bottom w:val="single" w:sz="12" w:space="0" w:color="auto"/>
          <w:insideH w:val="single" w:sz="2" w:space="0" w:color="auto"/>
          <w:insideV w:val="single" w:sz="2" w:space="0" w:color="auto"/>
        </w:tblBorders>
        <w:tblLayout w:type="fixed"/>
        <w:tblCellMar>
          <w:top w:w="28" w:type="dxa"/>
          <w:left w:w="0" w:type="dxa"/>
          <w:bottom w:w="28" w:type="dxa"/>
          <w:right w:w="0" w:type="dxa"/>
        </w:tblCellMar>
        <w:tblLook w:val="04A0"/>
      </w:tblPr>
      <w:tblGrid>
        <w:gridCol w:w="703"/>
        <w:gridCol w:w="2053"/>
        <w:gridCol w:w="1864"/>
        <w:gridCol w:w="892"/>
        <w:gridCol w:w="1870"/>
        <w:gridCol w:w="1495"/>
      </w:tblGrid>
      <w:tr w:rsidR="00BD5820">
        <w:trPr>
          <w:trHeight w:val="232"/>
          <w:tblHeader/>
          <w:jc w:val="center"/>
        </w:trPr>
        <w:tc>
          <w:tcPr>
            <w:tcW w:w="703" w:type="dxa"/>
            <w:tcMar>
              <w:top w:w="0" w:type="dxa"/>
              <w:left w:w="108" w:type="dxa"/>
              <w:bottom w:w="0" w:type="dxa"/>
              <w:right w:w="108" w:type="dxa"/>
            </w:tcMar>
            <w:vAlign w:val="center"/>
          </w:tcPr>
          <w:p w:rsidR="00BD5820" w:rsidRDefault="00F64314">
            <w:pPr>
              <w:pStyle w:val="Style2"/>
              <w:adjustRightInd w:val="0"/>
              <w:snapToGrid w:val="0"/>
              <w:ind w:firstLineChars="0" w:firstLine="0"/>
              <w:jc w:val="center"/>
              <w:rPr>
                <w:b/>
                <w:bCs/>
                <w:szCs w:val="21"/>
              </w:rPr>
            </w:pPr>
            <w:r>
              <w:rPr>
                <w:b/>
                <w:bCs/>
                <w:szCs w:val="21"/>
              </w:rPr>
              <w:t>序号</w:t>
            </w:r>
          </w:p>
        </w:tc>
        <w:tc>
          <w:tcPr>
            <w:tcW w:w="2053" w:type="dxa"/>
            <w:tcMar>
              <w:top w:w="0" w:type="dxa"/>
              <w:left w:w="108" w:type="dxa"/>
              <w:bottom w:w="0" w:type="dxa"/>
              <w:right w:w="108" w:type="dxa"/>
            </w:tcMar>
            <w:vAlign w:val="center"/>
          </w:tcPr>
          <w:p w:rsidR="00BD5820" w:rsidRDefault="00F64314">
            <w:pPr>
              <w:pStyle w:val="Style2"/>
              <w:adjustRightInd w:val="0"/>
              <w:snapToGrid w:val="0"/>
              <w:ind w:firstLineChars="0" w:firstLine="0"/>
              <w:jc w:val="center"/>
              <w:rPr>
                <w:b/>
                <w:bCs/>
                <w:szCs w:val="21"/>
              </w:rPr>
            </w:pPr>
            <w:r>
              <w:rPr>
                <w:b/>
                <w:bCs/>
                <w:szCs w:val="21"/>
              </w:rPr>
              <w:t>项目</w:t>
            </w:r>
          </w:p>
        </w:tc>
        <w:tc>
          <w:tcPr>
            <w:tcW w:w="1864" w:type="dxa"/>
            <w:tcMar>
              <w:top w:w="0" w:type="dxa"/>
              <w:left w:w="108" w:type="dxa"/>
              <w:bottom w:w="0" w:type="dxa"/>
              <w:right w:w="108" w:type="dxa"/>
            </w:tcMar>
            <w:vAlign w:val="center"/>
          </w:tcPr>
          <w:p w:rsidR="00BD5820" w:rsidRDefault="00F64314">
            <w:pPr>
              <w:pStyle w:val="Style2"/>
              <w:adjustRightInd w:val="0"/>
              <w:snapToGrid w:val="0"/>
              <w:ind w:firstLineChars="0" w:firstLine="0"/>
              <w:jc w:val="center"/>
              <w:rPr>
                <w:b/>
                <w:bCs/>
                <w:szCs w:val="21"/>
              </w:rPr>
            </w:pPr>
            <w:r>
              <w:rPr>
                <w:b/>
                <w:bCs/>
                <w:szCs w:val="21"/>
              </w:rPr>
              <w:t>Ⅲ</w:t>
            </w:r>
            <w:r>
              <w:rPr>
                <w:b/>
                <w:bCs/>
                <w:szCs w:val="21"/>
              </w:rPr>
              <w:t>类（</w:t>
            </w:r>
            <w:r>
              <w:rPr>
                <w:b/>
                <w:bCs/>
                <w:szCs w:val="21"/>
              </w:rPr>
              <w:t>mg/L</w:t>
            </w:r>
            <w:r>
              <w:rPr>
                <w:b/>
                <w:bCs/>
                <w:szCs w:val="21"/>
              </w:rPr>
              <w:t>）</w:t>
            </w:r>
          </w:p>
        </w:tc>
        <w:tc>
          <w:tcPr>
            <w:tcW w:w="892" w:type="dxa"/>
            <w:vAlign w:val="center"/>
          </w:tcPr>
          <w:p w:rsidR="00BD5820" w:rsidRDefault="00F64314">
            <w:pPr>
              <w:pStyle w:val="Style2"/>
              <w:adjustRightInd w:val="0"/>
              <w:snapToGrid w:val="0"/>
              <w:ind w:firstLineChars="0" w:firstLine="0"/>
              <w:jc w:val="center"/>
              <w:rPr>
                <w:b/>
                <w:bCs/>
                <w:szCs w:val="21"/>
              </w:rPr>
            </w:pPr>
            <w:r>
              <w:rPr>
                <w:b/>
                <w:bCs/>
                <w:szCs w:val="21"/>
              </w:rPr>
              <w:t>序号</w:t>
            </w:r>
          </w:p>
        </w:tc>
        <w:tc>
          <w:tcPr>
            <w:tcW w:w="1870" w:type="dxa"/>
            <w:vAlign w:val="center"/>
          </w:tcPr>
          <w:p w:rsidR="00BD5820" w:rsidRDefault="00F64314">
            <w:pPr>
              <w:pStyle w:val="Style2"/>
              <w:adjustRightInd w:val="0"/>
              <w:snapToGrid w:val="0"/>
              <w:ind w:firstLineChars="0" w:firstLine="0"/>
              <w:jc w:val="center"/>
              <w:rPr>
                <w:b/>
                <w:bCs/>
                <w:szCs w:val="21"/>
              </w:rPr>
            </w:pPr>
            <w:r>
              <w:rPr>
                <w:b/>
                <w:bCs/>
                <w:szCs w:val="21"/>
              </w:rPr>
              <w:t>项目</w:t>
            </w:r>
          </w:p>
        </w:tc>
        <w:tc>
          <w:tcPr>
            <w:tcW w:w="1495" w:type="dxa"/>
            <w:vAlign w:val="center"/>
          </w:tcPr>
          <w:p w:rsidR="00BD5820" w:rsidRDefault="00F64314">
            <w:pPr>
              <w:pStyle w:val="Style2"/>
              <w:adjustRightInd w:val="0"/>
              <w:snapToGrid w:val="0"/>
              <w:ind w:firstLineChars="0" w:firstLine="0"/>
              <w:jc w:val="center"/>
              <w:rPr>
                <w:b/>
                <w:bCs/>
                <w:szCs w:val="21"/>
              </w:rPr>
            </w:pPr>
            <w:r>
              <w:rPr>
                <w:b/>
                <w:bCs/>
                <w:szCs w:val="21"/>
              </w:rPr>
              <w:t>Ⅲ</w:t>
            </w:r>
            <w:r>
              <w:rPr>
                <w:b/>
                <w:bCs/>
                <w:szCs w:val="21"/>
              </w:rPr>
              <w:t>类（</w:t>
            </w:r>
            <w:r>
              <w:rPr>
                <w:b/>
                <w:bCs/>
                <w:szCs w:val="21"/>
              </w:rPr>
              <w:t>mg/L</w:t>
            </w:r>
            <w:r>
              <w:rPr>
                <w:b/>
                <w:bCs/>
                <w:szCs w:val="21"/>
              </w:rPr>
              <w:t>）</w:t>
            </w:r>
          </w:p>
        </w:tc>
      </w:tr>
      <w:tr w:rsidR="00BD5820">
        <w:trPr>
          <w:trHeight w:val="232"/>
          <w:jc w:val="center"/>
        </w:trPr>
        <w:tc>
          <w:tcPr>
            <w:tcW w:w="703" w:type="dxa"/>
            <w:tcMar>
              <w:top w:w="0" w:type="dxa"/>
              <w:left w:w="108" w:type="dxa"/>
              <w:bottom w:w="0" w:type="dxa"/>
              <w:right w:w="108" w:type="dxa"/>
            </w:tcMar>
            <w:vAlign w:val="center"/>
          </w:tcPr>
          <w:p w:rsidR="00BD5820" w:rsidRDefault="00F64314">
            <w:pPr>
              <w:pStyle w:val="Style2"/>
              <w:adjustRightInd w:val="0"/>
              <w:snapToGrid w:val="0"/>
              <w:ind w:firstLineChars="0" w:firstLine="0"/>
              <w:jc w:val="center"/>
              <w:rPr>
                <w:szCs w:val="21"/>
              </w:rPr>
            </w:pPr>
            <w:r>
              <w:rPr>
                <w:szCs w:val="21"/>
              </w:rPr>
              <w:t>1</w:t>
            </w:r>
          </w:p>
        </w:tc>
        <w:tc>
          <w:tcPr>
            <w:tcW w:w="2053" w:type="dxa"/>
            <w:tcMar>
              <w:top w:w="0" w:type="dxa"/>
              <w:left w:w="108" w:type="dxa"/>
              <w:bottom w:w="0" w:type="dxa"/>
              <w:right w:w="108" w:type="dxa"/>
            </w:tcMar>
            <w:vAlign w:val="center"/>
          </w:tcPr>
          <w:p w:rsidR="00BD5820" w:rsidRDefault="00F64314">
            <w:pPr>
              <w:pStyle w:val="Style2"/>
              <w:adjustRightInd w:val="0"/>
              <w:snapToGrid w:val="0"/>
              <w:ind w:firstLineChars="0" w:firstLine="0"/>
              <w:jc w:val="center"/>
              <w:rPr>
                <w:szCs w:val="21"/>
              </w:rPr>
            </w:pPr>
            <w:r>
              <w:rPr>
                <w:szCs w:val="21"/>
              </w:rPr>
              <w:t>pH</w:t>
            </w:r>
            <w:r>
              <w:rPr>
                <w:szCs w:val="21"/>
              </w:rPr>
              <w:t>值（无量纲）</w:t>
            </w:r>
          </w:p>
        </w:tc>
        <w:tc>
          <w:tcPr>
            <w:tcW w:w="1864" w:type="dxa"/>
            <w:vAlign w:val="center"/>
          </w:tcPr>
          <w:p w:rsidR="00BD5820" w:rsidRDefault="00F64314">
            <w:pPr>
              <w:pStyle w:val="Style2"/>
              <w:adjustRightInd w:val="0"/>
              <w:snapToGrid w:val="0"/>
              <w:ind w:firstLineChars="0" w:firstLine="0"/>
              <w:jc w:val="center"/>
              <w:rPr>
                <w:szCs w:val="21"/>
              </w:rPr>
            </w:pPr>
            <w:r>
              <w:rPr>
                <w:szCs w:val="21"/>
              </w:rPr>
              <w:t>6.5~8.5</w:t>
            </w:r>
          </w:p>
        </w:tc>
        <w:tc>
          <w:tcPr>
            <w:tcW w:w="892" w:type="dxa"/>
            <w:vAlign w:val="center"/>
          </w:tcPr>
          <w:p w:rsidR="00BD5820" w:rsidRDefault="00F64314">
            <w:pPr>
              <w:pStyle w:val="Style2"/>
              <w:adjustRightInd w:val="0"/>
              <w:snapToGrid w:val="0"/>
              <w:ind w:firstLineChars="0" w:firstLine="0"/>
              <w:jc w:val="center"/>
              <w:rPr>
                <w:szCs w:val="21"/>
              </w:rPr>
            </w:pPr>
            <w:r>
              <w:rPr>
                <w:szCs w:val="21"/>
              </w:rPr>
              <w:t>12</w:t>
            </w:r>
          </w:p>
        </w:tc>
        <w:tc>
          <w:tcPr>
            <w:tcW w:w="1870" w:type="dxa"/>
            <w:vAlign w:val="center"/>
          </w:tcPr>
          <w:p w:rsidR="00BD5820" w:rsidRDefault="00F64314">
            <w:pPr>
              <w:pStyle w:val="Style2"/>
              <w:adjustRightInd w:val="0"/>
              <w:snapToGrid w:val="0"/>
              <w:ind w:firstLineChars="0" w:firstLine="0"/>
              <w:jc w:val="center"/>
              <w:rPr>
                <w:szCs w:val="21"/>
              </w:rPr>
            </w:pPr>
            <w:r>
              <w:rPr>
                <w:szCs w:val="21"/>
                <w:lang w:val="zh-CN"/>
              </w:rPr>
              <w:t>汞</w:t>
            </w:r>
          </w:p>
        </w:tc>
        <w:tc>
          <w:tcPr>
            <w:tcW w:w="1495" w:type="dxa"/>
            <w:vAlign w:val="center"/>
          </w:tcPr>
          <w:p w:rsidR="00BD5820" w:rsidRDefault="00F64314">
            <w:pPr>
              <w:pStyle w:val="Style2"/>
              <w:adjustRightInd w:val="0"/>
              <w:snapToGrid w:val="0"/>
              <w:ind w:firstLineChars="0" w:firstLine="0"/>
              <w:jc w:val="center"/>
              <w:rPr>
                <w:szCs w:val="21"/>
              </w:rPr>
            </w:pPr>
            <w:r>
              <w:rPr>
                <w:szCs w:val="21"/>
              </w:rPr>
              <w:t>0.001</w:t>
            </w:r>
          </w:p>
        </w:tc>
      </w:tr>
      <w:tr w:rsidR="00BD5820">
        <w:trPr>
          <w:trHeight w:val="232"/>
          <w:jc w:val="center"/>
        </w:trPr>
        <w:tc>
          <w:tcPr>
            <w:tcW w:w="703" w:type="dxa"/>
            <w:tcMar>
              <w:top w:w="0" w:type="dxa"/>
              <w:left w:w="108" w:type="dxa"/>
              <w:bottom w:w="0" w:type="dxa"/>
              <w:right w:w="108" w:type="dxa"/>
            </w:tcMar>
            <w:vAlign w:val="center"/>
          </w:tcPr>
          <w:p w:rsidR="00BD5820" w:rsidRDefault="00F64314">
            <w:pPr>
              <w:pStyle w:val="Style2"/>
              <w:adjustRightInd w:val="0"/>
              <w:snapToGrid w:val="0"/>
              <w:ind w:firstLineChars="0" w:firstLine="0"/>
              <w:jc w:val="center"/>
              <w:rPr>
                <w:szCs w:val="21"/>
              </w:rPr>
            </w:pPr>
            <w:r>
              <w:rPr>
                <w:szCs w:val="21"/>
              </w:rPr>
              <w:t>2</w:t>
            </w:r>
          </w:p>
        </w:tc>
        <w:tc>
          <w:tcPr>
            <w:tcW w:w="2053" w:type="dxa"/>
            <w:tcMar>
              <w:top w:w="0" w:type="dxa"/>
              <w:left w:w="108" w:type="dxa"/>
              <w:bottom w:w="0" w:type="dxa"/>
              <w:right w:w="108" w:type="dxa"/>
            </w:tcMar>
            <w:vAlign w:val="center"/>
          </w:tcPr>
          <w:p w:rsidR="00BD5820" w:rsidRDefault="00F64314">
            <w:pPr>
              <w:pStyle w:val="Style2"/>
              <w:adjustRightInd w:val="0"/>
              <w:snapToGrid w:val="0"/>
              <w:ind w:firstLineChars="0" w:firstLine="0"/>
              <w:jc w:val="center"/>
              <w:rPr>
                <w:szCs w:val="21"/>
              </w:rPr>
            </w:pPr>
            <w:r>
              <w:rPr>
                <w:szCs w:val="21"/>
                <w:lang w:val="zh-CN"/>
              </w:rPr>
              <w:t>氨氮</w:t>
            </w:r>
          </w:p>
        </w:tc>
        <w:tc>
          <w:tcPr>
            <w:tcW w:w="1864" w:type="dxa"/>
            <w:vAlign w:val="center"/>
          </w:tcPr>
          <w:p w:rsidR="00BD5820" w:rsidRDefault="00F64314">
            <w:pPr>
              <w:pStyle w:val="Style2"/>
              <w:adjustRightInd w:val="0"/>
              <w:snapToGrid w:val="0"/>
              <w:ind w:firstLineChars="0" w:firstLine="0"/>
              <w:jc w:val="center"/>
              <w:rPr>
                <w:szCs w:val="21"/>
              </w:rPr>
            </w:pPr>
            <w:r>
              <w:rPr>
                <w:szCs w:val="21"/>
              </w:rPr>
              <w:t>0.5</w:t>
            </w:r>
          </w:p>
        </w:tc>
        <w:tc>
          <w:tcPr>
            <w:tcW w:w="892" w:type="dxa"/>
            <w:vAlign w:val="center"/>
          </w:tcPr>
          <w:p w:rsidR="00BD5820" w:rsidRDefault="00F64314">
            <w:pPr>
              <w:pStyle w:val="Style2"/>
              <w:adjustRightInd w:val="0"/>
              <w:snapToGrid w:val="0"/>
              <w:ind w:firstLineChars="0" w:firstLine="0"/>
              <w:jc w:val="center"/>
              <w:rPr>
                <w:szCs w:val="21"/>
              </w:rPr>
            </w:pPr>
            <w:r>
              <w:rPr>
                <w:szCs w:val="21"/>
              </w:rPr>
              <w:t>13</w:t>
            </w:r>
          </w:p>
        </w:tc>
        <w:tc>
          <w:tcPr>
            <w:tcW w:w="1870" w:type="dxa"/>
            <w:vAlign w:val="center"/>
          </w:tcPr>
          <w:p w:rsidR="00BD5820" w:rsidRDefault="00F64314">
            <w:pPr>
              <w:pStyle w:val="Style2"/>
              <w:adjustRightInd w:val="0"/>
              <w:snapToGrid w:val="0"/>
              <w:ind w:firstLineChars="0" w:firstLine="0"/>
              <w:jc w:val="center"/>
              <w:rPr>
                <w:szCs w:val="21"/>
              </w:rPr>
            </w:pPr>
            <w:r>
              <w:rPr>
                <w:szCs w:val="21"/>
                <w:lang w:val="zh-CN"/>
              </w:rPr>
              <w:t>六价铬</w:t>
            </w:r>
          </w:p>
        </w:tc>
        <w:tc>
          <w:tcPr>
            <w:tcW w:w="1495" w:type="dxa"/>
            <w:vAlign w:val="center"/>
          </w:tcPr>
          <w:p w:rsidR="00BD5820" w:rsidRDefault="00F64314">
            <w:pPr>
              <w:pStyle w:val="Style2"/>
              <w:adjustRightInd w:val="0"/>
              <w:snapToGrid w:val="0"/>
              <w:ind w:firstLineChars="0" w:firstLine="0"/>
              <w:jc w:val="center"/>
              <w:rPr>
                <w:szCs w:val="21"/>
              </w:rPr>
            </w:pPr>
            <w:r>
              <w:rPr>
                <w:szCs w:val="21"/>
              </w:rPr>
              <w:t>0.05</w:t>
            </w:r>
          </w:p>
        </w:tc>
      </w:tr>
      <w:tr w:rsidR="00BD5820">
        <w:trPr>
          <w:trHeight w:val="232"/>
          <w:jc w:val="center"/>
        </w:trPr>
        <w:tc>
          <w:tcPr>
            <w:tcW w:w="703" w:type="dxa"/>
            <w:tcMar>
              <w:top w:w="0" w:type="dxa"/>
              <w:left w:w="108" w:type="dxa"/>
              <w:bottom w:w="0" w:type="dxa"/>
              <w:right w:w="108" w:type="dxa"/>
            </w:tcMar>
            <w:vAlign w:val="center"/>
          </w:tcPr>
          <w:p w:rsidR="00BD5820" w:rsidRDefault="00F64314">
            <w:pPr>
              <w:pStyle w:val="Style2"/>
              <w:adjustRightInd w:val="0"/>
              <w:snapToGrid w:val="0"/>
              <w:ind w:firstLineChars="0" w:firstLine="0"/>
              <w:jc w:val="center"/>
              <w:rPr>
                <w:szCs w:val="21"/>
              </w:rPr>
            </w:pPr>
            <w:r>
              <w:rPr>
                <w:szCs w:val="21"/>
              </w:rPr>
              <w:t>3</w:t>
            </w:r>
          </w:p>
        </w:tc>
        <w:tc>
          <w:tcPr>
            <w:tcW w:w="2053" w:type="dxa"/>
            <w:tcMar>
              <w:top w:w="0" w:type="dxa"/>
              <w:left w:w="108" w:type="dxa"/>
              <w:bottom w:w="0" w:type="dxa"/>
              <w:right w:w="108" w:type="dxa"/>
            </w:tcMar>
            <w:vAlign w:val="center"/>
          </w:tcPr>
          <w:p w:rsidR="00BD5820" w:rsidRDefault="00F64314">
            <w:pPr>
              <w:pStyle w:val="Style2"/>
              <w:adjustRightInd w:val="0"/>
              <w:snapToGrid w:val="0"/>
              <w:ind w:firstLineChars="0" w:firstLine="0"/>
              <w:jc w:val="center"/>
              <w:rPr>
                <w:szCs w:val="21"/>
              </w:rPr>
            </w:pPr>
            <w:r>
              <w:rPr>
                <w:szCs w:val="21"/>
                <w:lang w:val="zh-CN"/>
              </w:rPr>
              <w:t>硝酸盐</w:t>
            </w:r>
          </w:p>
        </w:tc>
        <w:tc>
          <w:tcPr>
            <w:tcW w:w="1864" w:type="dxa"/>
            <w:tcMar>
              <w:top w:w="0" w:type="dxa"/>
              <w:left w:w="108" w:type="dxa"/>
              <w:bottom w:w="0" w:type="dxa"/>
              <w:right w:w="108" w:type="dxa"/>
            </w:tcMar>
            <w:vAlign w:val="center"/>
          </w:tcPr>
          <w:p w:rsidR="00BD5820" w:rsidRDefault="00F64314">
            <w:pPr>
              <w:pStyle w:val="Style2"/>
              <w:adjustRightInd w:val="0"/>
              <w:snapToGrid w:val="0"/>
              <w:ind w:firstLineChars="0" w:firstLine="0"/>
              <w:jc w:val="center"/>
              <w:rPr>
                <w:szCs w:val="21"/>
              </w:rPr>
            </w:pPr>
            <w:r>
              <w:rPr>
                <w:szCs w:val="21"/>
              </w:rPr>
              <w:t>20</w:t>
            </w:r>
          </w:p>
        </w:tc>
        <w:tc>
          <w:tcPr>
            <w:tcW w:w="892" w:type="dxa"/>
            <w:vAlign w:val="center"/>
          </w:tcPr>
          <w:p w:rsidR="00BD5820" w:rsidRDefault="00F64314">
            <w:pPr>
              <w:pStyle w:val="Style2"/>
              <w:adjustRightInd w:val="0"/>
              <w:snapToGrid w:val="0"/>
              <w:ind w:firstLineChars="0" w:firstLine="0"/>
              <w:jc w:val="center"/>
              <w:rPr>
                <w:szCs w:val="21"/>
              </w:rPr>
            </w:pPr>
            <w:r>
              <w:rPr>
                <w:szCs w:val="21"/>
              </w:rPr>
              <w:t>14</w:t>
            </w:r>
          </w:p>
        </w:tc>
        <w:tc>
          <w:tcPr>
            <w:tcW w:w="1870" w:type="dxa"/>
            <w:vAlign w:val="center"/>
          </w:tcPr>
          <w:p w:rsidR="00BD5820" w:rsidRDefault="00F64314">
            <w:pPr>
              <w:pStyle w:val="Style2"/>
              <w:adjustRightInd w:val="0"/>
              <w:snapToGrid w:val="0"/>
              <w:ind w:firstLineChars="0" w:firstLine="0"/>
              <w:jc w:val="center"/>
              <w:rPr>
                <w:szCs w:val="21"/>
              </w:rPr>
            </w:pPr>
            <w:r>
              <w:rPr>
                <w:szCs w:val="21"/>
                <w:lang w:val="zh-CN"/>
              </w:rPr>
              <w:t>铅</w:t>
            </w:r>
          </w:p>
        </w:tc>
        <w:tc>
          <w:tcPr>
            <w:tcW w:w="1495" w:type="dxa"/>
            <w:vAlign w:val="center"/>
          </w:tcPr>
          <w:p w:rsidR="00BD5820" w:rsidRDefault="00F64314">
            <w:pPr>
              <w:pStyle w:val="Style2"/>
              <w:adjustRightInd w:val="0"/>
              <w:snapToGrid w:val="0"/>
              <w:ind w:firstLineChars="0" w:firstLine="0"/>
              <w:jc w:val="center"/>
              <w:rPr>
                <w:szCs w:val="21"/>
              </w:rPr>
            </w:pPr>
            <w:r>
              <w:rPr>
                <w:szCs w:val="21"/>
              </w:rPr>
              <w:t>0.01</w:t>
            </w:r>
          </w:p>
        </w:tc>
      </w:tr>
      <w:tr w:rsidR="00BD5820">
        <w:trPr>
          <w:trHeight w:val="232"/>
          <w:jc w:val="center"/>
        </w:trPr>
        <w:tc>
          <w:tcPr>
            <w:tcW w:w="703" w:type="dxa"/>
            <w:tcMar>
              <w:top w:w="0" w:type="dxa"/>
              <w:left w:w="108" w:type="dxa"/>
              <w:bottom w:w="0" w:type="dxa"/>
              <w:right w:w="108" w:type="dxa"/>
            </w:tcMar>
            <w:vAlign w:val="center"/>
          </w:tcPr>
          <w:p w:rsidR="00BD5820" w:rsidRDefault="00F64314">
            <w:pPr>
              <w:pStyle w:val="Style2"/>
              <w:adjustRightInd w:val="0"/>
              <w:snapToGrid w:val="0"/>
              <w:ind w:firstLineChars="0" w:firstLine="0"/>
              <w:jc w:val="center"/>
              <w:rPr>
                <w:szCs w:val="21"/>
              </w:rPr>
            </w:pPr>
            <w:r>
              <w:rPr>
                <w:szCs w:val="21"/>
              </w:rPr>
              <w:t>4</w:t>
            </w:r>
          </w:p>
        </w:tc>
        <w:tc>
          <w:tcPr>
            <w:tcW w:w="2053" w:type="dxa"/>
            <w:tcMar>
              <w:top w:w="0" w:type="dxa"/>
              <w:left w:w="108" w:type="dxa"/>
              <w:bottom w:w="0" w:type="dxa"/>
              <w:right w:w="108" w:type="dxa"/>
            </w:tcMar>
            <w:vAlign w:val="center"/>
          </w:tcPr>
          <w:p w:rsidR="00BD5820" w:rsidRDefault="00F64314">
            <w:pPr>
              <w:pStyle w:val="Style2"/>
              <w:adjustRightInd w:val="0"/>
              <w:snapToGrid w:val="0"/>
              <w:ind w:firstLineChars="0" w:firstLine="0"/>
              <w:jc w:val="center"/>
              <w:rPr>
                <w:szCs w:val="21"/>
              </w:rPr>
            </w:pPr>
            <w:r>
              <w:rPr>
                <w:szCs w:val="21"/>
                <w:lang w:val="zh-CN"/>
              </w:rPr>
              <w:t>亚硝酸盐</w:t>
            </w:r>
          </w:p>
        </w:tc>
        <w:tc>
          <w:tcPr>
            <w:tcW w:w="1864" w:type="dxa"/>
            <w:tcMar>
              <w:top w:w="0" w:type="dxa"/>
              <w:left w:w="108" w:type="dxa"/>
              <w:bottom w:w="0" w:type="dxa"/>
              <w:right w:w="108" w:type="dxa"/>
            </w:tcMar>
            <w:vAlign w:val="center"/>
          </w:tcPr>
          <w:p w:rsidR="00BD5820" w:rsidRDefault="00F64314">
            <w:pPr>
              <w:pStyle w:val="Style2"/>
              <w:adjustRightInd w:val="0"/>
              <w:snapToGrid w:val="0"/>
              <w:ind w:firstLineChars="0" w:firstLine="0"/>
              <w:jc w:val="center"/>
              <w:rPr>
                <w:szCs w:val="21"/>
              </w:rPr>
            </w:pPr>
            <w:r>
              <w:rPr>
                <w:szCs w:val="21"/>
              </w:rPr>
              <w:t>1.00</w:t>
            </w:r>
          </w:p>
        </w:tc>
        <w:tc>
          <w:tcPr>
            <w:tcW w:w="892" w:type="dxa"/>
            <w:vAlign w:val="center"/>
          </w:tcPr>
          <w:p w:rsidR="00BD5820" w:rsidRDefault="00F64314">
            <w:pPr>
              <w:pStyle w:val="Style2"/>
              <w:adjustRightInd w:val="0"/>
              <w:snapToGrid w:val="0"/>
              <w:ind w:firstLineChars="0" w:firstLine="0"/>
              <w:jc w:val="center"/>
              <w:rPr>
                <w:szCs w:val="21"/>
              </w:rPr>
            </w:pPr>
            <w:r>
              <w:rPr>
                <w:szCs w:val="21"/>
              </w:rPr>
              <w:t>15</w:t>
            </w:r>
          </w:p>
        </w:tc>
        <w:tc>
          <w:tcPr>
            <w:tcW w:w="1870" w:type="dxa"/>
            <w:vAlign w:val="center"/>
          </w:tcPr>
          <w:p w:rsidR="00BD5820" w:rsidRDefault="00F64314">
            <w:pPr>
              <w:pStyle w:val="Style2"/>
              <w:adjustRightInd w:val="0"/>
              <w:snapToGrid w:val="0"/>
              <w:ind w:firstLineChars="0" w:firstLine="0"/>
              <w:jc w:val="center"/>
              <w:rPr>
                <w:szCs w:val="21"/>
              </w:rPr>
            </w:pPr>
            <w:r>
              <w:rPr>
                <w:szCs w:val="21"/>
                <w:lang w:val="zh-CN"/>
              </w:rPr>
              <w:t>镉</w:t>
            </w:r>
          </w:p>
        </w:tc>
        <w:tc>
          <w:tcPr>
            <w:tcW w:w="1495" w:type="dxa"/>
            <w:vAlign w:val="center"/>
          </w:tcPr>
          <w:p w:rsidR="00BD5820" w:rsidRDefault="00F64314">
            <w:pPr>
              <w:pStyle w:val="Style2"/>
              <w:adjustRightInd w:val="0"/>
              <w:snapToGrid w:val="0"/>
              <w:ind w:firstLineChars="0" w:firstLine="0"/>
              <w:jc w:val="center"/>
              <w:rPr>
                <w:szCs w:val="21"/>
              </w:rPr>
            </w:pPr>
            <w:r>
              <w:rPr>
                <w:szCs w:val="21"/>
              </w:rPr>
              <w:t>0.005</w:t>
            </w:r>
          </w:p>
        </w:tc>
      </w:tr>
      <w:tr w:rsidR="00BD5820">
        <w:trPr>
          <w:trHeight w:val="232"/>
          <w:jc w:val="center"/>
        </w:trPr>
        <w:tc>
          <w:tcPr>
            <w:tcW w:w="703" w:type="dxa"/>
            <w:tcMar>
              <w:top w:w="0" w:type="dxa"/>
              <w:left w:w="108" w:type="dxa"/>
              <w:bottom w:w="0" w:type="dxa"/>
              <w:right w:w="108" w:type="dxa"/>
            </w:tcMar>
            <w:vAlign w:val="center"/>
          </w:tcPr>
          <w:p w:rsidR="00BD5820" w:rsidRDefault="00F64314">
            <w:pPr>
              <w:pStyle w:val="Style2"/>
              <w:adjustRightInd w:val="0"/>
              <w:snapToGrid w:val="0"/>
              <w:ind w:firstLineChars="0" w:firstLine="0"/>
              <w:jc w:val="center"/>
              <w:rPr>
                <w:szCs w:val="21"/>
              </w:rPr>
            </w:pPr>
            <w:r>
              <w:rPr>
                <w:szCs w:val="21"/>
              </w:rPr>
              <w:t>5</w:t>
            </w:r>
          </w:p>
        </w:tc>
        <w:tc>
          <w:tcPr>
            <w:tcW w:w="2053" w:type="dxa"/>
            <w:tcMar>
              <w:top w:w="0" w:type="dxa"/>
              <w:left w:w="108" w:type="dxa"/>
              <w:bottom w:w="0" w:type="dxa"/>
              <w:right w:w="108" w:type="dxa"/>
            </w:tcMar>
            <w:vAlign w:val="center"/>
          </w:tcPr>
          <w:p w:rsidR="00BD5820" w:rsidRDefault="00F64314">
            <w:pPr>
              <w:pStyle w:val="Style2"/>
              <w:adjustRightInd w:val="0"/>
              <w:snapToGrid w:val="0"/>
              <w:ind w:firstLineChars="0" w:firstLine="0"/>
              <w:jc w:val="center"/>
              <w:rPr>
                <w:szCs w:val="21"/>
              </w:rPr>
            </w:pPr>
            <w:r>
              <w:rPr>
                <w:szCs w:val="21"/>
                <w:lang w:val="zh-CN"/>
              </w:rPr>
              <w:t>挥发性酚类</w:t>
            </w:r>
          </w:p>
        </w:tc>
        <w:tc>
          <w:tcPr>
            <w:tcW w:w="1864" w:type="dxa"/>
            <w:tcMar>
              <w:top w:w="0" w:type="dxa"/>
              <w:left w:w="108" w:type="dxa"/>
              <w:bottom w:w="0" w:type="dxa"/>
              <w:right w:w="108" w:type="dxa"/>
            </w:tcMar>
            <w:vAlign w:val="center"/>
          </w:tcPr>
          <w:p w:rsidR="00BD5820" w:rsidRDefault="00F64314">
            <w:pPr>
              <w:pStyle w:val="Style2"/>
              <w:adjustRightInd w:val="0"/>
              <w:snapToGrid w:val="0"/>
              <w:ind w:firstLineChars="0" w:firstLine="0"/>
              <w:jc w:val="center"/>
              <w:rPr>
                <w:szCs w:val="21"/>
              </w:rPr>
            </w:pPr>
            <w:r>
              <w:rPr>
                <w:szCs w:val="21"/>
              </w:rPr>
              <w:t>0.002</w:t>
            </w:r>
          </w:p>
        </w:tc>
        <w:tc>
          <w:tcPr>
            <w:tcW w:w="892" w:type="dxa"/>
            <w:vAlign w:val="center"/>
          </w:tcPr>
          <w:p w:rsidR="00BD5820" w:rsidRDefault="00F64314">
            <w:pPr>
              <w:pStyle w:val="Style2"/>
              <w:adjustRightInd w:val="0"/>
              <w:snapToGrid w:val="0"/>
              <w:ind w:firstLineChars="0" w:firstLine="0"/>
              <w:jc w:val="center"/>
              <w:rPr>
                <w:szCs w:val="21"/>
              </w:rPr>
            </w:pPr>
            <w:r>
              <w:rPr>
                <w:szCs w:val="21"/>
              </w:rPr>
              <w:t>16</w:t>
            </w:r>
          </w:p>
        </w:tc>
        <w:tc>
          <w:tcPr>
            <w:tcW w:w="1870" w:type="dxa"/>
            <w:vAlign w:val="center"/>
          </w:tcPr>
          <w:p w:rsidR="00BD5820" w:rsidRDefault="00F64314">
            <w:pPr>
              <w:pStyle w:val="Style2"/>
              <w:adjustRightInd w:val="0"/>
              <w:snapToGrid w:val="0"/>
              <w:ind w:firstLineChars="0" w:firstLine="0"/>
              <w:jc w:val="center"/>
              <w:rPr>
                <w:szCs w:val="21"/>
              </w:rPr>
            </w:pPr>
            <w:r>
              <w:rPr>
                <w:szCs w:val="21"/>
                <w:lang w:val="zh-CN"/>
              </w:rPr>
              <w:t>铁</w:t>
            </w:r>
          </w:p>
        </w:tc>
        <w:tc>
          <w:tcPr>
            <w:tcW w:w="1495" w:type="dxa"/>
            <w:vAlign w:val="center"/>
          </w:tcPr>
          <w:p w:rsidR="00BD5820" w:rsidRDefault="00F64314">
            <w:pPr>
              <w:pStyle w:val="Style2"/>
              <w:adjustRightInd w:val="0"/>
              <w:snapToGrid w:val="0"/>
              <w:ind w:firstLineChars="0" w:firstLine="0"/>
              <w:jc w:val="center"/>
              <w:rPr>
                <w:szCs w:val="21"/>
              </w:rPr>
            </w:pPr>
            <w:r>
              <w:rPr>
                <w:szCs w:val="21"/>
              </w:rPr>
              <w:t>0.3</w:t>
            </w:r>
          </w:p>
        </w:tc>
      </w:tr>
      <w:tr w:rsidR="00BD5820">
        <w:trPr>
          <w:trHeight w:val="232"/>
          <w:jc w:val="center"/>
        </w:trPr>
        <w:tc>
          <w:tcPr>
            <w:tcW w:w="703" w:type="dxa"/>
            <w:tcMar>
              <w:top w:w="0" w:type="dxa"/>
              <w:left w:w="108" w:type="dxa"/>
              <w:bottom w:w="0" w:type="dxa"/>
              <w:right w:w="108" w:type="dxa"/>
            </w:tcMar>
            <w:vAlign w:val="center"/>
          </w:tcPr>
          <w:p w:rsidR="00BD5820" w:rsidRDefault="00F64314">
            <w:pPr>
              <w:pStyle w:val="Style2"/>
              <w:adjustRightInd w:val="0"/>
              <w:snapToGrid w:val="0"/>
              <w:ind w:firstLineChars="0" w:firstLine="0"/>
              <w:jc w:val="center"/>
              <w:rPr>
                <w:szCs w:val="21"/>
              </w:rPr>
            </w:pPr>
            <w:r>
              <w:rPr>
                <w:szCs w:val="21"/>
              </w:rPr>
              <w:t>6</w:t>
            </w:r>
          </w:p>
        </w:tc>
        <w:tc>
          <w:tcPr>
            <w:tcW w:w="2053" w:type="dxa"/>
            <w:tcMar>
              <w:top w:w="0" w:type="dxa"/>
              <w:left w:w="108" w:type="dxa"/>
              <w:bottom w:w="0" w:type="dxa"/>
              <w:right w:w="108" w:type="dxa"/>
            </w:tcMar>
            <w:vAlign w:val="center"/>
          </w:tcPr>
          <w:p w:rsidR="00BD5820" w:rsidRDefault="00F64314">
            <w:pPr>
              <w:pStyle w:val="Style2"/>
              <w:adjustRightInd w:val="0"/>
              <w:snapToGrid w:val="0"/>
              <w:ind w:firstLineChars="0" w:firstLine="0"/>
              <w:jc w:val="center"/>
              <w:rPr>
                <w:szCs w:val="21"/>
              </w:rPr>
            </w:pPr>
            <w:r>
              <w:rPr>
                <w:szCs w:val="21"/>
                <w:lang w:val="zh-CN"/>
              </w:rPr>
              <w:t>总硬度</w:t>
            </w:r>
          </w:p>
        </w:tc>
        <w:tc>
          <w:tcPr>
            <w:tcW w:w="1864" w:type="dxa"/>
            <w:tcMar>
              <w:top w:w="0" w:type="dxa"/>
              <w:left w:w="108" w:type="dxa"/>
              <w:bottom w:w="0" w:type="dxa"/>
              <w:right w:w="108" w:type="dxa"/>
            </w:tcMar>
            <w:vAlign w:val="center"/>
          </w:tcPr>
          <w:p w:rsidR="00BD5820" w:rsidRDefault="00F64314">
            <w:pPr>
              <w:pStyle w:val="Style2"/>
              <w:adjustRightInd w:val="0"/>
              <w:snapToGrid w:val="0"/>
              <w:ind w:firstLineChars="0" w:firstLine="0"/>
              <w:jc w:val="center"/>
              <w:rPr>
                <w:szCs w:val="21"/>
              </w:rPr>
            </w:pPr>
            <w:r>
              <w:rPr>
                <w:szCs w:val="21"/>
              </w:rPr>
              <w:t>450</w:t>
            </w:r>
          </w:p>
        </w:tc>
        <w:tc>
          <w:tcPr>
            <w:tcW w:w="892" w:type="dxa"/>
            <w:vAlign w:val="center"/>
          </w:tcPr>
          <w:p w:rsidR="00BD5820" w:rsidRDefault="00F64314">
            <w:pPr>
              <w:pStyle w:val="Style2"/>
              <w:adjustRightInd w:val="0"/>
              <w:snapToGrid w:val="0"/>
              <w:ind w:firstLineChars="0" w:firstLine="0"/>
              <w:jc w:val="center"/>
              <w:rPr>
                <w:szCs w:val="21"/>
              </w:rPr>
            </w:pPr>
            <w:r>
              <w:rPr>
                <w:szCs w:val="21"/>
              </w:rPr>
              <w:t>17</w:t>
            </w:r>
          </w:p>
        </w:tc>
        <w:tc>
          <w:tcPr>
            <w:tcW w:w="1870" w:type="dxa"/>
            <w:vAlign w:val="center"/>
          </w:tcPr>
          <w:p w:rsidR="00BD5820" w:rsidRDefault="00F64314">
            <w:pPr>
              <w:pStyle w:val="Style2"/>
              <w:adjustRightInd w:val="0"/>
              <w:snapToGrid w:val="0"/>
              <w:ind w:firstLineChars="0" w:firstLine="0"/>
              <w:jc w:val="center"/>
              <w:rPr>
                <w:szCs w:val="21"/>
              </w:rPr>
            </w:pPr>
            <w:r>
              <w:rPr>
                <w:szCs w:val="21"/>
                <w:lang w:val="zh-CN"/>
              </w:rPr>
              <w:t>锰</w:t>
            </w:r>
          </w:p>
        </w:tc>
        <w:tc>
          <w:tcPr>
            <w:tcW w:w="1495" w:type="dxa"/>
            <w:vAlign w:val="center"/>
          </w:tcPr>
          <w:p w:rsidR="00BD5820" w:rsidRDefault="00F64314">
            <w:pPr>
              <w:pStyle w:val="Style2"/>
              <w:adjustRightInd w:val="0"/>
              <w:snapToGrid w:val="0"/>
              <w:ind w:firstLineChars="0" w:firstLine="0"/>
              <w:jc w:val="center"/>
              <w:rPr>
                <w:szCs w:val="21"/>
              </w:rPr>
            </w:pPr>
            <w:r>
              <w:rPr>
                <w:szCs w:val="21"/>
              </w:rPr>
              <w:t>0.10</w:t>
            </w:r>
          </w:p>
        </w:tc>
      </w:tr>
      <w:tr w:rsidR="00BD5820">
        <w:trPr>
          <w:trHeight w:val="232"/>
          <w:jc w:val="center"/>
        </w:trPr>
        <w:tc>
          <w:tcPr>
            <w:tcW w:w="703" w:type="dxa"/>
            <w:tcMar>
              <w:top w:w="0" w:type="dxa"/>
              <w:left w:w="108" w:type="dxa"/>
              <w:bottom w:w="0" w:type="dxa"/>
              <w:right w:w="108" w:type="dxa"/>
            </w:tcMar>
            <w:vAlign w:val="center"/>
          </w:tcPr>
          <w:p w:rsidR="00BD5820" w:rsidRDefault="00F64314">
            <w:pPr>
              <w:pStyle w:val="Style2"/>
              <w:adjustRightInd w:val="0"/>
              <w:snapToGrid w:val="0"/>
              <w:ind w:firstLineChars="0" w:firstLine="0"/>
              <w:jc w:val="center"/>
              <w:rPr>
                <w:szCs w:val="21"/>
              </w:rPr>
            </w:pPr>
            <w:r>
              <w:rPr>
                <w:szCs w:val="21"/>
              </w:rPr>
              <w:t>7</w:t>
            </w:r>
          </w:p>
        </w:tc>
        <w:tc>
          <w:tcPr>
            <w:tcW w:w="2053" w:type="dxa"/>
            <w:tcMar>
              <w:top w:w="0" w:type="dxa"/>
              <w:left w:w="108" w:type="dxa"/>
              <w:bottom w:w="0" w:type="dxa"/>
              <w:right w:w="108" w:type="dxa"/>
            </w:tcMar>
            <w:vAlign w:val="center"/>
          </w:tcPr>
          <w:p w:rsidR="00BD5820" w:rsidRDefault="00F64314">
            <w:pPr>
              <w:pStyle w:val="Style2"/>
              <w:adjustRightInd w:val="0"/>
              <w:snapToGrid w:val="0"/>
              <w:ind w:firstLineChars="0" w:firstLine="0"/>
              <w:jc w:val="center"/>
              <w:rPr>
                <w:szCs w:val="21"/>
              </w:rPr>
            </w:pPr>
            <w:r>
              <w:rPr>
                <w:szCs w:val="21"/>
                <w:lang w:val="zh-CN"/>
              </w:rPr>
              <w:t>溶解性总固体</w:t>
            </w:r>
          </w:p>
        </w:tc>
        <w:tc>
          <w:tcPr>
            <w:tcW w:w="1864" w:type="dxa"/>
            <w:tcMar>
              <w:top w:w="0" w:type="dxa"/>
              <w:left w:w="108" w:type="dxa"/>
              <w:bottom w:w="0" w:type="dxa"/>
              <w:right w:w="108" w:type="dxa"/>
            </w:tcMar>
            <w:vAlign w:val="center"/>
          </w:tcPr>
          <w:p w:rsidR="00BD5820" w:rsidRDefault="00F64314">
            <w:pPr>
              <w:pStyle w:val="Style2"/>
              <w:adjustRightInd w:val="0"/>
              <w:snapToGrid w:val="0"/>
              <w:ind w:firstLineChars="0" w:firstLine="0"/>
              <w:jc w:val="center"/>
              <w:rPr>
                <w:szCs w:val="21"/>
              </w:rPr>
            </w:pPr>
            <w:r>
              <w:rPr>
                <w:szCs w:val="21"/>
              </w:rPr>
              <w:t>1000</w:t>
            </w:r>
          </w:p>
        </w:tc>
        <w:tc>
          <w:tcPr>
            <w:tcW w:w="892" w:type="dxa"/>
            <w:vAlign w:val="center"/>
          </w:tcPr>
          <w:p w:rsidR="00BD5820" w:rsidRDefault="00F64314">
            <w:pPr>
              <w:pStyle w:val="Style2"/>
              <w:adjustRightInd w:val="0"/>
              <w:snapToGrid w:val="0"/>
              <w:ind w:firstLineChars="0" w:firstLine="0"/>
              <w:jc w:val="center"/>
              <w:rPr>
                <w:szCs w:val="21"/>
              </w:rPr>
            </w:pPr>
            <w:r>
              <w:rPr>
                <w:szCs w:val="21"/>
              </w:rPr>
              <w:t>18</w:t>
            </w:r>
          </w:p>
        </w:tc>
        <w:tc>
          <w:tcPr>
            <w:tcW w:w="1870" w:type="dxa"/>
            <w:vAlign w:val="center"/>
          </w:tcPr>
          <w:p w:rsidR="00BD5820" w:rsidRDefault="00F64314">
            <w:pPr>
              <w:pStyle w:val="Style2"/>
              <w:adjustRightInd w:val="0"/>
              <w:snapToGrid w:val="0"/>
              <w:ind w:firstLineChars="0" w:firstLine="0"/>
              <w:jc w:val="center"/>
              <w:rPr>
                <w:szCs w:val="21"/>
              </w:rPr>
            </w:pPr>
            <w:r>
              <w:rPr>
                <w:szCs w:val="21"/>
              </w:rPr>
              <w:t>氟化物</w:t>
            </w:r>
          </w:p>
        </w:tc>
        <w:tc>
          <w:tcPr>
            <w:tcW w:w="1495" w:type="dxa"/>
            <w:vAlign w:val="center"/>
          </w:tcPr>
          <w:p w:rsidR="00BD5820" w:rsidRDefault="00F64314">
            <w:pPr>
              <w:pStyle w:val="Style2"/>
              <w:adjustRightInd w:val="0"/>
              <w:snapToGrid w:val="0"/>
              <w:ind w:firstLineChars="0" w:firstLine="0"/>
              <w:jc w:val="center"/>
              <w:rPr>
                <w:szCs w:val="21"/>
              </w:rPr>
            </w:pPr>
            <w:r>
              <w:rPr>
                <w:szCs w:val="21"/>
              </w:rPr>
              <w:t>1.0</w:t>
            </w:r>
          </w:p>
        </w:tc>
      </w:tr>
      <w:tr w:rsidR="00BD5820">
        <w:trPr>
          <w:trHeight w:val="232"/>
          <w:jc w:val="center"/>
        </w:trPr>
        <w:tc>
          <w:tcPr>
            <w:tcW w:w="703" w:type="dxa"/>
            <w:tcMar>
              <w:top w:w="0" w:type="dxa"/>
              <w:left w:w="108" w:type="dxa"/>
              <w:bottom w:w="0" w:type="dxa"/>
              <w:right w:w="108" w:type="dxa"/>
            </w:tcMar>
            <w:vAlign w:val="center"/>
          </w:tcPr>
          <w:p w:rsidR="00BD5820" w:rsidRDefault="00F64314">
            <w:pPr>
              <w:pStyle w:val="Style2"/>
              <w:adjustRightInd w:val="0"/>
              <w:snapToGrid w:val="0"/>
              <w:ind w:firstLineChars="0" w:firstLine="0"/>
              <w:jc w:val="center"/>
              <w:rPr>
                <w:szCs w:val="21"/>
              </w:rPr>
            </w:pPr>
            <w:r>
              <w:rPr>
                <w:szCs w:val="21"/>
              </w:rPr>
              <w:t>8</w:t>
            </w:r>
          </w:p>
        </w:tc>
        <w:tc>
          <w:tcPr>
            <w:tcW w:w="2053" w:type="dxa"/>
            <w:tcMar>
              <w:top w:w="0" w:type="dxa"/>
              <w:left w:w="108" w:type="dxa"/>
              <w:bottom w:w="0" w:type="dxa"/>
              <w:right w:w="108" w:type="dxa"/>
            </w:tcMar>
            <w:vAlign w:val="center"/>
          </w:tcPr>
          <w:p w:rsidR="00BD5820" w:rsidRDefault="00F64314">
            <w:pPr>
              <w:pStyle w:val="Style2"/>
              <w:adjustRightInd w:val="0"/>
              <w:snapToGrid w:val="0"/>
              <w:ind w:firstLineChars="0" w:firstLine="0"/>
              <w:jc w:val="center"/>
              <w:rPr>
                <w:szCs w:val="21"/>
              </w:rPr>
            </w:pPr>
            <w:r>
              <w:rPr>
                <w:szCs w:val="21"/>
                <w:lang w:val="zh-CN"/>
              </w:rPr>
              <w:t>硫酸盐</w:t>
            </w:r>
          </w:p>
        </w:tc>
        <w:tc>
          <w:tcPr>
            <w:tcW w:w="1864" w:type="dxa"/>
            <w:tcMar>
              <w:top w:w="0" w:type="dxa"/>
              <w:left w:w="108" w:type="dxa"/>
              <w:bottom w:w="0" w:type="dxa"/>
              <w:right w:w="108" w:type="dxa"/>
            </w:tcMar>
            <w:vAlign w:val="center"/>
          </w:tcPr>
          <w:p w:rsidR="00BD5820" w:rsidRDefault="00F64314">
            <w:pPr>
              <w:pStyle w:val="Style2"/>
              <w:adjustRightInd w:val="0"/>
              <w:snapToGrid w:val="0"/>
              <w:ind w:firstLineChars="0" w:firstLine="0"/>
              <w:jc w:val="center"/>
              <w:rPr>
                <w:szCs w:val="21"/>
              </w:rPr>
            </w:pPr>
            <w:r>
              <w:rPr>
                <w:szCs w:val="21"/>
              </w:rPr>
              <w:t>250</w:t>
            </w:r>
          </w:p>
        </w:tc>
        <w:tc>
          <w:tcPr>
            <w:tcW w:w="892" w:type="dxa"/>
            <w:vAlign w:val="center"/>
          </w:tcPr>
          <w:p w:rsidR="00BD5820" w:rsidRDefault="00F64314">
            <w:pPr>
              <w:pStyle w:val="Style2"/>
              <w:adjustRightInd w:val="0"/>
              <w:snapToGrid w:val="0"/>
              <w:ind w:firstLineChars="0" w:firstLine="0"/>
              <w:jc w:val="center"/>
              <w:rPr>
                <w:szCs w:val="21"/>
              </w:rPr>
            </w:pPr>
            <w:r>
              <w:rPr>
                <w:rFonts w:hint="eastAsia"/>
                <w:szCs w:val="21"/>
              </w:rPr>
              <w:t>19</w:t>
            </w:r>
          </w:p>
        </w:tc>
        <w:tc>
          <w:tcPr>
            <w:tcW w:w="1870" w:type="dxa"/>
            <w:vAlign w:val="center"/>
          </w:tcPr>
          <w:p w:rsidR="00BD5820" w:rsidRDefault="00F64314">
            <w:pPr>
              <w:pStyle w:val="Style2"/>
              <w:adjustRightInd w:val="0"/>
              <w:snapToGrid w:val="0"/>
              <w:ind w:firstLineChars="0" w:firstLine="0"/>
              <w:jc w:val="center"/>
              <w:rPr>
                <w:szCs w:val="21"/>
              </w:rPr>
            </w:pPr>
            <w:r>
              <w:rPr>
                <w:szCs w:val="21"/>
              </w:rPr>
              <w:t>氰化物</w:t>
            </w:r>
          </w:p>
        </w:tc>
        <w:tc>
          <w:tcPr>
            <w:tcW w:w="1495" w:type="dxa"/>
            <w:vAlign w:val="center"/>
          </w:tcPr>
          <w:p w:rsidR="00BD5820" w:rsidRDefault="00F64314">
            <w:pPr>
              <w:pStyle w:val="Style2"/>
              <w:adjustRightInd w:val="0"/>
              <w:snapToGrid w:val="0"/>
              <w:ind w:firstLineChars="0" w:firstLine="0"/>
              <w:jc w:val="center"/>
              <w:rPr>
                <w:szCs w:val="21"/>
              </w:rPr>
            </w:pPr>
            <w:r>
              <w:rPr>
                <w:szCs w:val="21"/>
              </w:rPr>
              <w:t>0.05</w:t>
            </w:r>
          </w:p>
        </w:tc>
      </w:tr>
      <w:tr w:rsidR="00BD5820">
        <w:trPr>
          <w:trHeight w:val="232"/>
          <w:jc w:val="center"/>
        </w:trPr>
        <w:tc>
          <w:tcPr>
            <w:tcW w:w="703" w:type="dxa"/>
            <w:tcMar>
              <w:top w:w="0" w:type="dxa"/>
              <w:left w:w="108" w:type="dxa"/>
              <w:bottom w:w="0" w:type="dxa"/>
              <w:right w:w="108" w:type="dxa"/>
            </w:tcMar>
            <w:vAlign w:val="center"/>
          </w:tcPr>
          <w:p w:rsidR="00BD5820" w:rsidRDefault="00F64314">
            <w:pPr>
              <w:pStyle w:val="Style2"/>
              <w:adjustRightInd w:val="0"/>
              <w:snapToGrid w:val="0"/>
              <w:ind w:firstLineChars="0" w:firstLine="0"/>
              <w:jc w:val="center"/>
              <w:rPr>
                <w:szCs w:val="21"/>
              </w:rPr>
            </w:pPr>
            <w:r>
              <w:rPr>
                <w:szCs w:val="21"/>
              </w:rPr>
              <w:t>9</w:t>
            </w:r>
          </w:p>
        </w:tc>
        <w:tc>
          <w:tcPr>
            <w:tcW w:w="2053" w:type="dxa"/>
            <w:tcMar>
              <w:top w:w="0" w:type="dxa"/>
              <w:left w:w="108" w:type="dxa"/>
              <w:bottom w:w="0" w:type="dxa"/>
              <w:right w:w="108" w:type="dxa"/>
            </w:tcMar>
            <w:vAlign w:val="center"/>
          </w:tcPr>
          <w:p w:rsidR="00BD5820" w:rsidRDefault="00F64314">
            <w:pPr>
              <w:pStyle w:val="Style2"/>
              <w:adjustRightInd w:val="0"/>
              <w:snapToGrid w:val="0"/>
              <w:ind w:firstLineChars="0" w:firstLine="0"/>
              <w:jc w:val="center"/>
              <w:rPr>
                <w:bCs/>
                <w:szCs w:val="21"/>
              </w:rPr>
            </w:pPr>
            <w:r>
              <w:rPr>
                <w:szCs w:val="21"/>
                <w:lang w:val="zh-CN"/>
              </w:rPr>
              <w:t>氯化物</w:t>
            </w:r>
          </w:p>
        </w:tc>
        <w:tc>
          <w:tcPr>
            <w:tcW w:w="1864" w:type="dxa"/>
            <w:tcMar>
              <w:top w:w="0" w:type="dxa"/>
              <w:left w:w="108" w:type="dxa"/>
              <w:bottom w:w="0" w:type="dxa"/>
              <w:right w:w="108" w:type="dxa"/>
            </w:tcMar>
            <w:vAlign w:val="center"/>
          </w:tcPr>
          <w:p w:rsidR="00BD5820" w:rsidRDefault="00F64314">
            <w:pPr>
              <w:pStyle w:val="Style2"/>
              <w:adjustRightInd w:val="0"/>
              <w:snapToGrid w:val="0"/>
              <w:ind w:firstLineChars="0" w:firstLine="0"/>
              <w:jc w:val="center"/>
              <w:rPr>
                <w:szCs w:val="21"/>
              </w:rPr>
            </w:pPr>
            <w:r>
              <w:rPr>
                <w:szCs w:val="21"/>
              </w:rPr>
              <w:t>250</w:t>
            </w:r>
          </w:p>
        </w:tc>
        <w:tc>
          <w:tcPr>
            <w:tcW w:w="892" w:type="dxa"/>
            <w:vAlign w:val="center"/>
          </w:tcPr>
          <w:p w:rsidR="00BD5820" w:rsidRDefault="00F64314">
            <w:pPr>
              <w:pStyle w:val="Style2"/>
              <w:adjustRightInd w:val="0"/>
              <w:snapToGrid w:val="0"/>
              <w:ind w:firstLineChars="0" w:firstLine="0"/>
              <w:jc w:val="center"/>
              <w:rPr>
                <w:szCs w:val="21"/>
              </w:rPr>
            </w:pPr>
            <w:r>
              <w:rPr>
                <w:rFonts w:hint="eastAsia"/>
                <w:szCs w:val="21"/>
              </w:rPr>
              <w:t>20</w:t>
            </w:r>
          </w:p>
        </w:tc>
        <w:tc>
          <w:tcPr>
            <w:tcW w:w="1870" w:type="dxa"/>
            <w:vAlign w:val="center"/>
          </w:tcPr>
          <w:p w:rsidR="00BD5820" w:rsidRDefault="00F64314">
            <w:pPr>
              <w:pStyle w:val="Style2"/>
              <w:adjustRightInd w:val="0"/>
              <w:snapToGrid w:val="0"/>
              <w:ind w:firstLineChars="0" w:firstLine="0"/>
              <w:jc w:val="center"/>
              <w:rPr>
                <w:szCs w:val="21"/>
              </w:rPr>
            </w:pPr>
            <w:r>
              <w:rPr>
                <w:rFonts w:hint="eastAsia"/>
                <w:szCs w:val="21"/>
              </w:rPr>
              <w:t>菌落总数</w:t>
            </w:r>
          </w:p>
        </w:tc>
        <w:tc>
          <w:tcPr>
            <w:tcW w:w="1495" w:type="dxa"/>
            <w:vAlign w:val="center"/>
          </w:tcPr>
          <w:p w:rsidR="00BD5820" w:rsidRDefault="00F64314">
            <w:pPr>
              <w:pStyle w:val="Style2"/>
              <w:adjustRightInd w:val="0"/>
              <w:snapToGrid w:val="0"/>
              <w:ind w:firstLineChars="0" w:firstLine="0"/>
              <w:jc w:val="center"/>
              <w:rPr>
                <w:szCs w:val="21"/>
              </w:rPr>
            </w:pPr>
            <w:r>
              <w:rPr>
                <w:rFonts w:hint="eastAsia"/>
                <w:szCs w:val="21"/>
              </w:rPr>
              <w:t>100</w:t>
            </w:r>
            <w:r>
              <w:rPr>
                <w:rFonts w:hint="eastAsia"/>
                <w:szCs w:val="21"/>
              </w:rPr>
              <w:t>（</w:t>
            </w:r>
            <w:r>
              <w:rPr>
                <w:rFonts w:hint="eastAsia"/>
                <w:szCs w:val="21"/>
              </w:rPr>
              <w:t>CFU/mL</w:t>
            </w:r>
            <w:r>
              <w:rPr>
                <w:rFonts w:hint="eastAsia"/>
                <w:szCs w:val="21"/>
              </w:rPr>
              <w:t>）</w:t>
            </w:r>
          </w:p>
        </w:tc>
      </w:tr>
      <w:tr w:rsidR="00BD5820">
        <w:trPr>
          <w:trHeight w:val="232"/>
          <w:jc w:val="center"/>
        </w:trPr>
        <w:tc>
          <w:tcPr>
            <w:tcW w:w="703" w:type="dxa"/>
            <w:tcMar>
              <w:top w:w="0" w:type="dxa"/>
              <w:left w:w="108" w:type="dxa"/>
              <w:bottom w:w="0" w:type="dxa"/>
              <w:right w:w="108" w:type="dxa"/>
            </w:tcMar>
            <w:vAlign w:val="center"/>
          </w:tcPr>
          <w:p w:rsidR="00BD5820" w:rsidRDefault="00F64314">
            <w:pPr>
              <w:pStyle w:val="Style2"/>
              <w:adjustRightInd w:val="0"/>
              <w:snapToGrid w:val="0"/>
              <w:ind w:firstLineChars="0" w:firstLine="0"/>
              <w:jc w:val="center"/>
              <w:rPr>
                <w:szCs w:val="21"/>
              </w:rPr>
            </w:pPr>
            <w:r>
              <w:rPr>
                <w:szCs w:val="21"/>
              </w:rPr>
              <w:t>10</w:t>
            </w:r>
          </w:p>
        </w:tc>
        <w:tc>
          <w:tcPr>
            <w:tcW w:w="2053" w:type="dxa"/>
            <w:tcMar>
              <w:top w:w="0" w:type="dxa"/>
              <w:left w:w="108" w:type="dxa"/>
              <w:bottom w:w="0" w:type="dxa"/>
              <w:right w:w="108" w:type="dxa"/>
            </w:tcMar>
            <w:vAlign w:val="center"/>
          </w:tcPr>
          <w:p w:rsidR="00BD5820" w:rsidRDefault="00F64314">
            <w:pPr>
              <w:pStyle w:val="Style2"/>
              <w:adjustRightInd w:val="0"/>
              <w:snapToGrid w:val="0"/>
              <w:ind w:firstLineChars="0" w:firstLine="0"/>
              <w:jc w:val="center"/>
              <w:rPr>
                <w:szCs w:val="21"/>
                <w:lang w:val="zh-CN"/>
              </w:rPr>
            </w:pPr>
            <w:r>
              <w:rPr>
                <w:szCs w:val="21"/>
                <w:lang w:val="zh-CN"/>
              </w:rPr>
              <w:t>硫化物</w:t>
            </w:r>
          </w:p>
        </w:tc>
        <w:tc>
          <w:tcPr>
            <w:tcW w:w="1864" w:type="dxa"/>
            <w:tcMar>
              <w:top w:w="0" w:type="dxa"/>
              <w:left w:w="108" w:type="dxa"/>
              <w:bottom w:w="0" w:type="dxa"/>
              <w:right w:w="108" w:type="dxa"/>
            </w:tcMar>
            <w:vAlign w:val="center"/>
          </w:tcPr>
          <w:p w:rsidR="00BD5820" w:rsidRDefault="00F64314">
            <w:pPr>
              <w:pStyle w:val="Style2"/>
              <w:adjustRightInd w:val="0"/>
              <w:snapToGrid w:val="0"/>
              <w:ind w:firstLineChars="0" w:firstLine="0"/>
              <w:jc w:val="center"/>
              <w:rPr>
                <w:szCs w:val="21"/>
              </w:rPr>
            </w:pPr>
            <w:r>
              <w:rPr>
                <w:rFonts w:hint="eastAsia"/>
                <w:szCs w:val="21"/>
              </w:rPr>
              <w:t>0.02</w:t>
            </w:r>
          </w:p>
        </w:tc>
        <w:tc>
          <w:tcPr>
            <w:tcW w:w="892" w:type="dxa"/>
            <w:vAlign w:val="center"/>
          </w:tcPr>
          <w:p w:rsidR="00BD5820" w:rsidRDefault="00F64314">
            <w:pPr>
              <w:pStyle w:val="Style2"/>
              <w:adjustRightInd w:val="0"/>
              <w:snapToGrid w:val="0"/>
              <w:ind w:firstLineChars="0" w:firstLine="0"/>
              <w:jc w:val="center"/>
              <w:rPr>
                <w:szCs w:val="21"/>
              </w:rPr>
            </w:pPr>
            <w:r>
              <w:rPr>
                <w:rFonts w:hint="eastAsia"/>
                <w:szCs w:val="21"/>
              </w:rPr>
              <w:t>21</w:t>
            </w:r>
          </w:p>
        </w:tc>
        <w:tc>
          <w:tcPr>
            <w:tcW w:w="1870" w:type="dxa"/>
            <w:vAlign w:val="center"/>
          </w:tcPr>
          <w:p w:rsidR="00BD5820" w:rsidRDefault="00F64314">
            <w:pPr>
              <w:pStyle w:val="Style2"/>
              <w:adjustRightInd w:val="0"/>
              <w:snapToGrid w:val="0"/>
              <w:ind w:firstLineChars="0" w:firstLine="0"/>
              <w:jc w:val="center"/>
              <w:rPr>
                <w:szCs w:val="21"/>
              </w:rPr>
            </w:pPr>
            <w:r>
              <w:rPr>
                <w:rFonts w:hint="eastAsia"/>
                <w:szCs w:val="21"/>
              </w:rPr>
              <w:t>总大肠菌群</w:t>
            </w:r>
          </w:p>
        </w:tc>
        <w:tc>
          <w:tcPr>
            <w:tcW w:w="1495" w:type="dxa"/>
            <w:vAlign w:val="center"/>
          </w:tcPr>
          <w:p w:rsidR="00BD5820" w:rsidRDefault="00F64314">
            <w:pPr>
              <w:pStyle w:val="Style2"/>
              <w:adjustRightInd w:val="0"/>
              <w:snapToGrid w:val="0"/>
              <w:ind w:firstLineChars="0" w:firstLine="0"/>
              <w:jc w:val="center"/>
              <w:rPr>
                <w:szCs w:val="21"/>
              </w:rPr>
            </w:pPr>
            <w:r>
              <w:rPr>
                <w:rFonts w:hint="eastAsia"/>
                <w:szCs w:val="21"/>
              </w:rPr>
              <w:t>3.0</w:t>
            </w:r>
            <w:r>
              <w:rPr>
                <w:rFonts w:hint="eastAsia"/>
                <w:szCs w:val="21"/>
              </w:rPr>
              <w:t>（</w:t>
            </w:r>
            <w:r>
              <w:rPr>
                <w:rFonts w:hint="eastAsia"/>
                <w:szCs w:val="21"/>
              </w:rPr>
              <w:t>MPN/100mL</w:t>
            </w:r>
            <w:r>
              <w:rPr>
                <w:rFonts w:hint="eastAsia"/>
                <w:szCs w:val="21"/>
              </w:rPr>
              <w:t>）</w:t>
            </w:r>
          </w:p>
        </w:tc>
      </w:tr>
      <w:tr w:rsidR="00BD5820">
        <w:trPr>
          <w:trHeight w:val="232"/>
          <w:jc w:val="center"/>
        </w:trPr>
        <w:tc>
          <w:tcPr>
            <w:tcW w:w="703" w:type="dxa"/>
            <w:tcMar>
              <w:top w:w="0" w:type="dxa"/>
              <w:left w:w="108" w:type="dxa"/>
              <w:bottom w:w="0" w:type="dxa"/>
              <w:right w:w="108" w:type="dxa"/>
            </w:tcMar>
            <w:vAlign w:val="center"/>
          </w:tcPr>
          <w:p w:rsidR="00BD5820" w:rsidRDefault="00F64314">
            <w:pPr>
              <w:pStyle w:val="Style2"/>
              <w:adjustRightInd w:val="0"/>
              <w:snapToGrid w:val="0"/>
              <w:ind w:firstLineChars="0" w:firstLine="0"/>
              <w:jc w:val="center"/>
              <w:rPr>
                <w:szCs w:val="21"/>
              </w:rPr>
            </w:pPr>
            <w:r>
              <w:rPr>
                <w:szCs w:val="21"/>
              </w:rPr>
              <w:t>11</w:t>
            </w:r>
          </w:p>
        </w:tc>
        <w:tc>
          <w:tcPr>
            <w:tcW w:w="2053" w:type="dxa"/>
            <w:tcMar>
              <w:top w:w="0" w:type="dxa"/>
              <w:left w:w="108" w:type="dxa"/>
              <w:bottom w:w="0" w:type="dxa"/>
              <w:right w:w="108" w:type="dxa"/>
            </w:tcMar>
            <w:vAlign w:val="center"/>
          </w:tcPr>
          <w:p w:rsidR="00BD5820" w:rsidRDefault="00F64314">
            <w:pPr>
              <w:pStyle w:val="Style2"/>
              <w:adjustRightInd w:val="0"/>
              <w:snapToGrid w:val="0"/>
              <w:ind w:firstLineChars="0" w:firstLine="0"/>
              <w:jc w:val="center"/>
              <w:rPr>
                <w:szCs w:val="21"/>
              </w:rPr>
            </w:pPr>
            <w:r>
              <w:rPr>
                <w:szCs w:val="21"/>
                <w:lang w:val="zh-CN"/>
              </w:rPr>
              <w:t>砷</w:t>
            </w:r>
          </w:p>
        </w:tc>
        <w:tc>
          <w:tcPr>
            <w:tcW w:w="1864" w:type="dxa"/>
            <w:tcMar>
              <w:top w:w="0" w:type="dxa"/>
              <w:left w:w="108" w:type="dxa"/>
              <w:bottom w:w="0" w:type="dxa"/>
              <w:right w:w="108" w:type="dxa"/>
            </w:tcMar>
            <w:vAlign w:val="center"/>
          </w:tcPr>
          <w:p w:rsidR="00BD5820" w:rsidRDefault="00F64314">
            <w:pPr>
              <w:pStyle w:val="Style2"/>
              <w:adjustRightInd w:val="0"/>
              <w:snapToGrid w:val="0"/>
              <w:ind w:firstLineChars="0" w:firstLine="0"/>
              <w:jc w:val="center"/>
              <w:rPr>
                <w:szCs w:val="21"/>
              </w:rPr>
            </w:pPr>
            <w:r>
              <w:rPr>
                <w:szCs w:val="21"/>
              </w:rPr>
              <w:t>0.01</w:t>
            </w:r>
          </w:p>
        </w:tc>
        <w:tc>
          <w:tcPr>
            <w:tcW w:w="892" w:type="dxa"/>
            <w:vAlign w:val="center"/>
          </w:tcPr>
          <w:p w:rsidR="00BD5820" w:rsidRDefault="00BD5820">
            <w:pPr>
              <w:pStyle w:val="Style2"/>
              <w:adjustRightInd w:val="0"/>
              <w:snapToGrid w:val="0"/>
              <w:ind w:firstLineChars="0" w:firstLine="0"/>
              <w:jc w:val="center"/>
              <w:rPr>
                <w:szCs w:val="21"/>
              </w:rPr>
            </w:pPr>
          </w:p>
        </w:tc>
        <w:tc>
          <w:tcPr>
            <w:tcW w:w="1870" w:type="dxa"/>
            <w:vAlign w:val="center"/>
          </w:tcPr>
          <w:p w:rsidR="00BD5820" w:rsidRDefault="00BD5820">
            <w:pPr>
              <w:pStyle w:val="Style2"/>
              <w:adjustRightInd w:val="0"/>
              <w:snapToGrid w:val="0"/>
              <w:ind w:firstLineChars="0" w:firstLine="0"/>
              <w:jc w:val="center"/>
              <w:rPr>
                <w:szCs w:val="21"/>
              </w:rPr>
            </w:pPr>
          </w:p>
        </w:tc>
        <w:tc>
          <w:tcPr>
            <w:tcW w:w="1495" w:type="dxa"/>
            <w:vAlign w:val="center"/>
          </w:tcPr>
          <w:p w:rsidR="00BD5820" w:rsidRDefault="00BD5820">
            <w:pPr>
              <w:pStyle w:val="Style2"/>
              <w:adjustRightInd w:val="0"/>
              <w:snapToGrid w:val="0"/>
              <w:ind w:firstLineChars="0" w:firstLine="0"/>
              <w:jc w:val="center"/>
              <w:rPr>
                <w:szCs w:val="21"/>
              </w:rPr>
            </w:pPr>
          </w:p>
        </w:tc>
      </w:tr>
    </w:tbl>
    <w:p w:rsidR="00BD5820" w:rsidRDefault="00F64314">
      <w:pPr>
        <w:ind w:firstLine="482"/>
        <w:rPr>
          <w:rFonts w:ascii="Times New Roman" w:cs="Times New Roman"/>
          <w:b/>
        </w:rPr>
      </w:pPr>
      <w:r>
        <w:rPr>
          <w:rFonts w:ascii="Times New Roman" w:cs="Times New Roman"/>
          <w:b/>
        </w:rPr>
        <w:t>4</w:t>
      </w:r>
      <w:r>
        <w:rPr>
          <w:rFonts w:ascii="Times New Roman" w:cs="Times New Roman"/>
          <w:b/>
        </w:rPr>
        <w:t>、声环境质量标准</w:t>
      </w:r>
    </w:p>
    <w:p w:rsidR="00BD5820" w:rsidRDefault="00F64314">
      <w:pPr>
        <w:pStyle w:val="affa"/>
        <w:ind w:firstLine="480"/>
      </w:pPr>
      <w:r>
        <w:t>声环境质量执行《声环境质量标准》（</w:t>
      </w:r>
      <w:r>
        <w:t>GB3096-2008</w:t>
      </w:r>
      <w:r>
        <w:t>）中的</w:t>
      </w:r>
      <w:r>
        <w:t>2</w:t>
      </w:r>
      <w:r>
        <w:t>类声环境功能区标准。</w:t>
      </w:r>
    </w:p>
    <w:p w:rsidR="00BD5820" w:rsidRDefault="00F64314">
      <w:pPr>
        <w:pStyle w:val="10"/>
        <w:rPr>
          <w:rFonts w:cs="Times New Roman"/>
        </w:rPr>
      </w:pPr>
      <w:r>
        <w:rPr>
          <w:rFonts w:cs="Times New Roman"/>
        </w:rPr>
        <w:t>表</w:t>
      </w:r>
      <w:r>
        <w:rPr>
          <w:rFonts w:cs="Times New Roman"/>
        </w:rPr>
        <w:t xml:space="preserve">1.5-4  </w:t>
      </w:r>
      <w:r>
        <w:rPr>
          <w:rFonts w:cs="Times New Roman"/>
        </w:rPr>
        <w:t>环境噪声标准限值（</w:t>
      </w:r>
      <w:r>
        <w:rPr>
          <w:rFonts w:cs="Times New Roman"/>
        </w:rPr>
        <w:t>GB3096-2008</w:t>
      </w:r>
      <w:r>
        <w:rPr>
          <w:rFonts w:cs="Times New Roman"/>
        </w:rPr>
        <w:t>）</w:t>
      </w:r>
      <w:r>
        <w:rPr>
          <w:rFonts w:cs="Times New Roman"/>
        </w:rPr>
        <w:t xml:space="preserve">  </w:t>
      </w:r>
      <w:r>
        <w:rPr>
          <w:rFonts w:cs="Times New Roman"/>
        </w:rPr>
        <w:t>单位：</w:t>
      </w:r>
      <w:r>
        <w:rPr>
          <w:rFonts w:cs="Times New Roman"/>
        </w:rPr>
        <w:t>dB</w:t>
      </w:r>
      <w:r>
        <w:rPr>
          <w:rFonts w:cs="Times New Roman"/>
        </w:rPr>
        <w:t>（</w:t>
      </w:r>
      <w:r>
        <w:rPr>
          <w:rFonts w:cs="Times New Roman"/>
        </w:rPr>
        <w:t>A</w:t>
      </w:r>
      <w:r>
        <w:rPr>
          <w:rFonts w:cs="Times New Roman"/>
        </w:rPr>
        <w:t>）</w:t>
      </w:r>
    </w:p>
    <w:tbl>
      <w:tblPr>
        <w:tblW w:w="5323" w:type="pct"/>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tblPr>
      <w:tblGrid>
        <w:gridCol w:w="2201"/>
        <w:gridCol w:w="3321"/>
        <w:gridCol w:w="3321"/>
      </w:tblGrid>
      <w:tr w:rsidR="00BD5820">
        <w:trPr>
          <w:trHeight w:hRule="exact" w:val="356"/>
          <w:jc w:val="center"/>
        </w:trPr>
        <w:tc>
          <w:tcPr>
            <w:tcW w:w="1244" w:type="pct"/>
            <w:vAlign w:val="center"/>
          </w:tcPr>
          <w:p w:rsidR="00BD5820" w:rsidRDefault="00F64314">
            <w:pPr>
              <w:topLinePunct w:val="0"/>
              <w:adjustRightInd/>
              <w:spacing w:line="240" w:lineRule="auto"/>
              <w:ind w:firstLineChars="0" w:firstLine="0"/>
              <w:jc w:val="center"/>
              <w:rPr>
                <w:rFonts w:ascii="Times New Roman" w:cs="Times New Roman"/>
                <w:b/>
                <w:bCs/>
                <w:kern w:val="2"/>
                <w:sz w:val="21"/>
              </w:rPr>
            </w:pPr>
            <w:r>
              <w:rPr>
                <w:rFonts w:ascii="Times New Roman" w:cs="Times New Roman"/>
                <w:b/>
                <w:bCs/>
                <w:kern w:val="2"/>
                <w:sz w:val="21"/>
              </w:rPr>
              <w:t>声环境功能区类别</w:t>
            </w:r>
          </w:p>
        </w:tc>
        <w:tc>
          <w:tcPr>
            <w:tcW w:w="1878" w:type="pct"/>
            <w:vAlign w:val="center"/>
          </w:tcPr>
          <w:p w:rsidR="00BD5820" w:rsidRDefault="00F64314">
            <w:pPr>
              <w:topLinePunct w:val="0"/>
              <w:adjustRightInd/>
              <w:spacing w:line="240" w:lineRule="auto"/>
              <w:ind w:firstLineChars="0" w:firstLine="0"/>
              <w:jc w:val="center"/>
              <w:rPr>
                <w:rFonts w:ascii="Times New Roman" w:cs="Times New Roman"/>
                <w:b/>
                <w:bCs/>
                <w:kern w:val="2"/>
                <w:sz w:val="21"/>
              </w:rPr>
            </w:pPr>
            <w:r>
              <w:rPr>
                <w:rFonts w:ascii="Times New Roman" w:cs="Times New Roman"/>
                <w:b/>
                <w:bCs/>
                <w:kern w:val="2"/>
                <w:sz w:val="21"/>
              </w:rPr>
              <w:t>昼间</w:t>
            </w:r>
          </w:p>
        </w:tc>
        <w:tc>
          <w:tcPr>
            <w:tcW w:w="1878" w:type="pct"/>
            <w:vAlign w:val="center"/>
          </w:tcPr>
          <w:p w:rsidR="00BD5820" w:rsidRDefault="00F64314">
            <w:pPr>
              <w:topLinePunct w:val="0"/>
              <w:adjustRightInd/>
              <w:spacing w:line="240" w:lineRule="auto"/>
              <w:ind w:firstLineChars="0" w:firstLine="0"/>
              <w:jc w:val="center"/>
              <w:rPr>
                <w:rFonts w:ascii="Times New Roman" w:cs="Times New Roman"/>
                <w:b/>
                <w:bCs/>
                <w:kern w:val="2"/>
                <w:sz w:val="21"/>
              </w:rPr>
            </w:pPr>
            <w:r>
              <w:rPr>
                <w:rFonts w:ascii="Times New Roman" w:cs="Times New Roman"/>
                <w:b/>
                <w:bCs/>
                <w:kern w:val="2"/>
                <w:sz w:val="21"/>
              </w:rPr>
              <w:t>夜间</w:t>
            </w:r>
          </w:p>
        </w:tc>
      </w:tr>
      <w:tr w:rsidR="00BD5820">
        <w:trPr>
          <w:trHeight w:hRule="exact" w:val="356"/>
          <w:jc w:val="center"/>
        </w:trPr>
        <w:tc>
          <w:tcPr>
            <w:tcW w:w="1244" w:type="pct"/>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2</w:t>
            </w:r>
            <w:r>
              <w:rPr>
                <w:rFonts w:ascii="Times New Roman" w:cs="Times New Roman"/>
                <w:kern w:val="2"/>
                <w:sz w:val="21"/>
              </w:rPr>
              <w:t>类</w:t>
            </w:r>
          </w:p>
        </w:tc>
        <w:tc>
          <w:tcPr>
            <w:tcW w:w="1878" w:type="pct"/>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60</w:t>
            </w:r>
          </w:p>
        </w:tc>
        <w:tc>
          <w:tcPr>
            <w:tcW w:w="1878" w:type="pct"/>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50</w:t>
            </w:r>
          </w:p>
        </w:tc>
      </w:tr>
    </w:tbl>
    <w:p w:rsidR="00BD5820" w:rsidRDefault="00F64314">
      <w:pPr>
        <w:pStyle w:val="affa"/>
        <w:ind w:firstLine="482"/>
        <w:rPr>
          <w:b/>
          <w:bCs/>
        </w:rPr>
      </w:pPr>
      <w:r>
        <w:rPr>
          <w:b/>
          <w:bCs/>
        </w:rPr>
        <w:t>5</w:t>
      </w:r>
      <w:r>
        <w:rPr>
          <w:b/>
          <w:bCs/>
        </w:rPr>
        <w:t>、土壤环境质量标准</w:t>
      </w:r>
    </w:p>
    <w:p w:rsidR="00BD5820" w:rsidRDefault="00F64314">
      <w:pPr>
        <w:pStyle w:val="affa"/>
        <w:ind w:firstLine="480"/>
      </w:pPr>
      <w:r>
        <w:t>项目</w:t>
      </w:r>
      <w:r>
        <w:rPr>
          <w:rFonts w:hint="eastAsia"/>
        </w:rPr>
        <w:t>周边</w:t>
      </w:r>
      <w:r>
        <w:t>区域属于农业用地，土壤环境质量执行</w:t>
      </w:r>
      <w:r w:rsidRPr="003F23CB">
        <w:rPr>
          <w:color w:val="FF0000"/>
        </w:rPr>
        <w:t>《土壤环境质量</w:t>
      </w:r>
      <w:r w:rsidRPr="003F23CB">
        <w:rPr>
          <w:rFonts w:hint="eastAsia"/>
          <w:color w:val="FF0000"/>
        </w:rPr>
        <w:t xml:space="preserve"> </w:t>
      </w:r>
      <w:r w:rsidRPr="003F23CB">
        <w:rPr>
          <w:color w:val="FF0000"/>
        </w:rPr>
        <w:t>农用地土</w:t>
      </w:r>
      <w:r w:rsidRPr="003F23CB">
        <w:rPr>
          <w:color w:val="FF0000"/>
        </w:rPr>
        <w:lastRenderedPageBreak/>
        <w:t>壤污染风险管控标准（试行）》（</w:t>
      </w:r>
      <w:r w:rsidRPr="003F23CB">
        <w:rPr>
          <w:color w:val="FF0000"/>
        </w:rPr>
        <w:t>GB15618-2018</w:t>
      </w:r>
      <w:r w:rsidR="003F23CB" w:rsidRPr="003F23CB">
        <w:rPr>
          <w:color w:val="FF0000"/>
        </w:rPr>
        <w:t>）中风险筛选值</w:t>
      </w:r>
      <w:r>
        <w:rPr>
          <w:rFonts w:hint="eastAsia"/>
        </w:rPr>
        <w:t>；项目站场内土壤执行</w:t>
      </w:r>
      <w:r>
        <w:t>《土壤环境质量</w:t>
      </w:r>
      <w:r>
        <w:t xml:space="preserve"> </w:t>
      </w:r>
      <w:r>
        <w:t>建设用地土壤污染风险管控标准（试行）》（</w:t>
      </w:r>
      <w:r>
        <w:t>GB 36600-2018</w:t>
      </w:r>
      <w:r>
        <w:t>）</w:t>
      </w:r>
      <w:r>
        <w:rPr>
          <w:rFonts w:hint="eastAsia"/>
        </w:rPr>
        <w:t>第二类用地</w:t>
      </w:r>
      <w:r>
        <w:t>风险筛选值。</w:t>
      </w:r>
    </w:p>
    <w:p w:rsidR="00BD5820" w:rsidRDefault="00F64314">
      <w:pPr>
        <w:pStyle w:val="10"/>
        <w:rPr>
          <w:rFonts w:cs="Times New Roman"/>
        </w:rPr>
      </w:pPr>
      <w:r>
        <w:rPr>
          <w:rFonts w:cs="Times New Roman"/>
        </w:rPr>
        <w:t>表</w:t>
      </w:r>
      <w:r>
        <w:rPr>
          <w:rFonts w:cs="Times New Roman"/>
        </w:rPr>
        <w:t xml:space="preserve">1.5-5  </w:t>
      </w:r>
      <w:r>
        <w:rPr>
          <w:rFonts w:cs="Times New Roman"/>
        </w:rPr>
        <w:t>农用地土壤污染风险筛选值（基本项目）</w:t>
      </w:r>
      <w:r>
        <w:rPr>
          <w:rFonts w:cs="Times New Roman"/>
        </w:rPr>
        <w:t xml:space="preserve">   </w:t>
      </w:r>
      <w:r>
        <w:rPr>
          <w:rFonts w:cs="Times New Roman"/>
        </w:rPr>
        <w:t>单位</w:t>
      </w:r>
      <w:r>
        <w:rPr>
          <w:rFonts w:cs="Times New Roman"/>
        </w:rPr>
        <w:t>mg/kg</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44"/>
        <w:gridCol w:w="720"/>
        <w:gridCol w:w="1398"/>
        <w:gridCol w:w="1221"/>
        <w:gridCol w:w="1430"/>
        <w:gridCol w:w="1761"/>
        <w:gridCol w:w="1248"/>
      </w:tblGrid>
      <w:tr w:rsidR="00BD5820">
        <w:trPr>
          <w:trHeight w:val="120"/>
          <w:jc w:val="center"/>
        </w:trPr>
        <w:tc>
          <w:tcPr>
            <w:tcW w:w="789" w:type="dxa"/>
            <w:vMerge w:val="restart"/>
            <w:tcBorders>
              <w:top w:val="single" w:sz="12" w:space="0" w:color="000000"/>
              <w:left w:val="nil"/>
              <w:bottom w:val="single" w:sz="2" w:space="0" w:color="000000"/>
              <w:right w:val="single" w:sz="2" w:space="0" w:color="000000"/>
            </w:tcBorders>
            <w:vAlign w:val="center"/>
          </w:tcPr>
          <w:p w:rsidR="00BD5820" w:rsidRDefault="00F64314">
            <w:pPr>
              <w:pStyle w:val="10"/>
              <w:spacing w:line="240" w:lineRule="auto"/>
              <w:rPr>
                <w:rFonts w:cs="Times New Roman"/>
              </w:rPr>
            </w:pPr>
            <w:r>
              <w:rPr>
                <w:rFonts w:cs="Times New Roman"/>
              </w:rPr>
              <w:t>序号</w:t>
            </w:r>
          </w:p>
        </w:tc>
        <w:tc>
          <w:tcPr>
            <w:tcW w:w="2265" w:type="dxa"/>
            <w:gridSpan w:val="2"/>
            <w:vMerge w:val="restart"/>
            <w:tcBorders>
              <w:top w:val="single" w:sz="1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rPr>
            </w:pPr>
            <w:r>
              <w:rPr>
                <w:rFonts w:cs="Times New Roman"/>
              </w:rPr>
              <w:t>污染物项目</w:t>
            </w:r>
          </w:p>
        </w:tc>
        <w:tc>
          <w:tcPr>
            <w:tcW w:w="6083" w:type="dxa"/>
            <w:gridSpan w:val="4"/>
            <w:tcBorders>
              <w:top w:val="single" w:sz="12" w:space="0" w:color="000000"/>
              <w:left w:val="single" w:sz="2" w:space="0" w:color="000000"/>
              <w:bottom w:val="single" w:sz="2" w:space="0" w:color="000000"/>
              <w:right w:val="nil"/>
            </w:tcBorders>
            <w:vAlign w:val="center"/>
          </w:tcPr>
          <w:p w:rsidR="00BD5820" w:rsidRDefault="00F64314">
            <w:pPr>
              <w:pStyle w:val="10"/>
              <w:spacing w:line="240" w:lineRule="auto"/>
              <w:rPr>
                <w:rFonts w:cs="Times New Roman"/>
              </w:rPr>
            </w:pPr>
            <w:r>
              <w:rPr>
                <w:rFonts w:cs="Times New Roman"/>
              </w:rPr>
              <w:t>风险筛选值</w:t>
            </w:r>
          </w:p>
        </w:tc>
      </w:tr>
      <w:tr w:rsidR="00BD5820">
        <w:trPr>
          <w:trHeight w:val="120"/>
          <w:jc w:val="center"/>
        </w:trPr>
        <w:tc>
          <w:tcPr>
            <w:tcW w:w="789" w:type="dxa"/>
            <w:vMerge/>
            <w:tcBorders>
              <w:top w:val="single" w:sz="2" w:space="0" w:color="000000"/>
              <w:left w:val="nil"/>
              <w:bottom w:val="single" w:sz="2" w:space="0" w:color="000000"/>
              <w:right w:val="single" w:sz="2" w:space="0" w:color="000000"/>
            </w:tcBorders>
            <w:vAlign w:val="center"/>
          </w:tcPr>
          <w:p w:rsidR="00BD5820" w:rsidRDefault="00BD5820">
            <w:pPr>
              <w:pStyle w:val="10"/>
              <w:spacing w:line="240" w:lineRule="auto"/>
              <w:rPr>
                <w:rFonts w:cs="Times New Roman"/>
              </w:rPr>
            </w:pPr>
          </w:p>
        </w:tc>
        <w:tc>
          <w:tcPr>
            <w:tcW w:w="2265" w:type="dxa"/>
            <w:gridSpan w:val="2"/>
            <w:vMerge/>
            <w:tcBorders>
              <w:top w:val="single" w:sz="2" w:space="0" w:color="000000"/>
              <w:left w:val="single" w:sz="2" w:space="0" w:color="000000"/>
              <w:bottom w:val="single" w:sz="2" w:space="0" w:color="000000"/>
              <w:right w:val="single" w:sz="2" w:space="0" w:color="000000"/>
            </w:tcBorders>
            <w:vAlign w:val="center"/>
          </w:tcPr>
          <w:p w:rsidR="00BD5820" w:rsidRDefault="00BD5820">
            <w:pPr>
              <w:pStyle w:val="10"/>
              <w:spacing w:line="240" w:lineRule="auto"/>
              <w:rPr>
                <w:rFonts w:cs="Times New Roman"/>
              </w:rPr>
            </w:pPr>
          </w:p>
        </w:tc>
        <w:tc>
          <w:tcPr>
            <w:tcW w:w="1309"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rPr>
            </w:pPr>
            <w:r>
              <w:rPr>
                <w:rFonts w:cs="Times New Roman"/>
              </w:rPr>
              <w:t>pH≤5.5</w:t>
            </w:r>
          </w:p>
        </w:tc>
        <w:tc>
          <w:tcPr>
            <w:tcW w:w="1537"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rPr>
            </w:pPr>
            <w:r>
              <w:rPr>
                <w:rFonts w:cs="Times New Roman"/>
              </w:rPr>
              <w:t>5.5</w:t>
            </w:r>
            <w:r>
              <w:rPr>
                <w:rFonts w:cs="Times New Roman"/>
              </w:rPr>
              <w:t>＜</w:t>
            </w:r>
            <w:r>
              <w:rPr>
                <w:rFonts w:cs="Times New Roman"/>
              </w:rPr>
              <w:t>pH≤6.5</w:t>
            </w:r>
          </w:p>
        </w:tc>
        <w:tc>
          <w:tcPr>
            <w:tcW w:w="1898"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rPr>
            </w:pPr>
            <w:r>
              <w:rPr>
                <w:rFonts w:cs="Times New Roman"/>
              </w:rPr>
              <w:t>6.5</w:t>
            </w:r>
            <w:r>
              <w:rPr>
                <w:rFonts w:cs="Times New Roman"/>
              </w:rPr>
              <w:t>＜</w:t>
            </w:r>
            <w:r>
              <w:rPr>
                <w:rFonts w:cs="Times New Roman"/>
              </w:rPr>
              <w:t>pH≤7.5</w:t>
            </w:r>
          </w:p>
        </w:tc>
        <w:tc>
          <w:tcPr>
            <w:tcW w:w="1339" w:type="dxa"/>
            <w:tcBorders>
              <w:top w:val="single" w:sz="2" w:space="0" w:color="000000"/>
              <w:left w:val="single" w:sz="2" w:space="0" w:color="000000"/>
              <w:bottom w:val="single" w:sz="2" w:space="0" w:color="000000"/>
              <w:right w:val="nil"/>
            </w:tcBorders>
            <w:vAlign w:val="center"/>
          </w:tcPr>
          <w:p w:rsidR="00BD5820" w:rsidRDefault="00F64314">
            <w:pPr>
              <w:pStyle w:val="10"/>
              <w:spacing w:line="240" w:lineRule="auto"/>
              <w:rPr>
                <w:rFonts w:cs="Times New Roman"/>
              </w:rPr>
            </w:pPr>
            <w:r>
              <w:rPr>
                <w:rFonts w:cs="Times New Roman"/>
              </w:rPr>
              <w:t>pH</w:t>
            </w:r>
            <w:r>
              <w:rPr>
                <w:rFonts w:cs="Times New Roman"/>
              </w:rPr>
              <w:t>＞</w:t>
            </w:r>
            <w:r>
              <w:rPr>
                <w:rFonts w:cs="Times New Roman"/>
              </w:rPr>
              <w:t>7.5</w:t>
            </w:r>
          </w:p>
        </w:tc>
      </w:tr>
      <w:tr w:rsidR="00BD5820">
        <w:trPr>
          <w:trHeight w:val="270"/>
          <w:jc w:val="center"/>
        </w:trPr>
        <w:tc>
          <w:tcPr>
            <w:tcW w:w="789" w:type="dxa"/>
            <w:vMerge w:val="restart"/>
            <w:tcBorders>
              <w:top w:val="single" w:sz="2" w:space="0" w:color="000000"/>
              <w:left w:val="nil"/>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1</w:t>
            </w:r>
          </w:p>
        </w:tc>
        <w:tc>
          <w:tcPr>
            <w:tcW w:w="763" w:type="dxa"/>
            <w:vMerge w:val="restart"/>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镉</w:t>
            </w:r>
          </w:p>
        </w:tc>
        <w:tc>
          <w:tcPr>
            <w:tcW w:w="1502"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水田</w:t>
            </w:r>
          </w:p>
        </w:tc>
        <w:tc>
          <w:tcPr>
            <w:tcW w:w="1309"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0.3</w:t>
            </w:r>
          </w:p>
        </w:tc>
        <w:tc>
          <w:tcPr>
            <w:tcW w:w="1537"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0.4</w:t>
            </w:r>
          </w:p>
        </w:tc>
        <w:tc>
          <w:tcPr>
            <w:tcW w:w="1898"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0.6</w:t>
            </w:r>
          </w:p>
        </w:tc>
        <w:tc>
          <w:tcPr>
            <w:tcW w:w="1339" w:type="dxa"/>
            <w:tcBorders>
              <w:top w:val="single" w:sz="2" w:space="0" w:color="000000"/>
              <w:left w:val="single" w:sz="2" w:space="0" w:color="000000"/>
              <w:bottom w:val="single" w:sz="2" w:space="0" w:color="000000"/>
              <w:right w:val="nil"/>
            </w:tcBorders>
            <w:vAlign w:val="center"/>
          </w:tcPr>
          <w:p w:rsidR="00BD5820" w:rsidRDefault="00F64314">
            <w:pPr>
              <w:pStyle w:val="10"/>
              <w:spacing w:line="240" w:lineRule="auto"/>
              <w:rPr>
                <w:rFonts w:cs="Times New Roman"/>
                <w:b w:val="0"/>
                <w:bCs/>
              </w:rPr>
            </w:pPr>
            <w:r>
              <w:rPr>
                <w:rFonts w:cs="Times New Roman"/>
                <w:b w:val="0"/>
                <w:bCs/>
              </w:rPr>
              <w:t>0.8</w:t>
            </w:r>
          </w:p>
        </w:tc>
      </w:tr>
      <w:tr w:rsidR="00BD5820">
        <w:trPr>
          <w:trHeight w:val="285"/>
          <w:jc w:val="center"/>
        </w:trPr>
        <w:tc>
          <w:tcPr>
            <w:tcW w:w="789" w:type="dxa"/>
            <w:vMerge/>
            <w:tcBorders>
              <w:top w:val="single" w:sz="2" w:space="0" w:color="000000"/>
              <w:left w:val="nil"/>
              <w:bottom w:val="single" w:sz="2" w:space="0" w:color="000000"/>
              <w:right w:val="single" w:sz="2" w:space="0" w:color="000000"/>
            </w:tcBorders>
            <w:vAlign w:val="center"/>
          </w:tcPr>
          <w:p w:rsidR="00BD5820" w:rsidRDefault="00BD5820">
            <w:pPr>
              <w:pStyle w:val="10"/>
              <w:spacing w:line="240" w:lineRule="auto"/>
              <w:rPr>
                <w:rFonts w:cs="Times New Roman"/>
                <w:b w:val="0"/>
                <w:bCs/>
              </w:rPr>
            </w:pPr>
          </w:p>
        </w:tc>
        <w:tc>
          <w:tcPr>
            <w:tcW w:w="763" w:type="dxa"/>
            <w:vMerge/>
            <w:tcBorders>
              <w:top w:val="single" w:sz="2" w:space="0" w:color="000000"/>
              <w:left w:val="single" w:sz="2" w:space="0" w:color="000000"/>
              <w:bottom w:val="single" w:sz="2" w:space="0" w:color="000000"/>
              <w:right w:val="single" w:sz="2" w:space="0" w:color="000000"/>
            </w:tcBorders>
            <w:vAlign w:val="center"/>
          </w:tcPr>
          <w:p w:rsidR="00BD5820" w:rsidRDefault="00BD5820">
            <w:pPr>
              <w:pStyle w:val="10"/>
              <w:spacing w:line="240" w:lineRule="auto"/>
              <w:rPr>
                <w:rFonts w:cs="Times New Roman"/>
                <w:b w:val="0"/>
                <w:bCs/>
              </w:rPr>
            </w:pPr>
          </w:p>
        </w:tc>
        <w:tc>
          <w:tcPr>
            <w:tcW w:w="1502"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其他</w:t>
            </w:r>
          </w:p>
        </w:tc>
        <w:tc>
          <w:tcPr>
            <w:tcW w:w="1309"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0.3</w:t>
            </w:r>
          </w:p>
        </w:tc>
        <w:tc>
          <w:tcPr>
            <w:tcW w:w="1537"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0.3</w:t>
            </w:r>
          </w:p>
        </w:tc>
        <w:tc>
          <w:tcPr>
            <w:tcW w:w="1898"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0.3</w:t>
            </w:r>
          </w:p>
        </w:tc>
        <w:tc>
          <w:tcPr>
            <w:tcW w:w="1339" w:type="dxa"/>
            <w:tcBorders>
              <w:top w:val="single" w:sz="2" w:space="0" w:color="000000"/>
              <w:left w:val="single" w:sz="2" w:space="0" w:color="000000"/>
              <w:bottom w:val="single" w:sz="2" w:space="0" w:color="000000"/>
              <w:right w:val="nil"/>
            </w:tcBorders>
            <w:vAlign w:val="center"/>
          </w:tcPr>
          <w:p w:rsidR="00BD5820" w:rsidRDefault="00F64314">
            <w:pPr>
              <w:pStyle w:val="10"/>
              <w:spacing w:line="240" w:lineRule="auto"/>
              <w:rPr>
                <w:rFonts w:cs="Times New Roman"/>
                <w:b w:val="0"/>
                <w:bCs/>
              </w:rPr>
            </w:pPr>
            <w:r>
              <w:rPr>
                <w:rFonts w:cs="Times New Roman"/>
                <w:b w:val="0"/>
                <w:bCs/>
              </w:rPr>
              <w:t>0.6</w:t>
            </w:r>
          </w:p>
        </w:tc>
      </w:tr>
      <w:tr w:rsidR="00BD5820">
        <w:trPr>
          <w:trHeight w:val="285"/>
          <w:jc w:val="center"/>
        </w:trPr>
        <w:tc>
          <w:tcPr>
            <w:tcW w:w="789" w:type="dxa"/>
            <w:vMerge w:val="restart"/>
            <w:tcBorders>
              <w:top w:val="single" w:sz="2" w:space="0" w:color="000000"/>
              <w:left w:val="nil"/>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2</w:t>
            </w:r>
          </w:p>
        </w:tc>
        <w:tc>
          <w:tcPr>
            <w:tcW w:w="763" w:type="dxa"/>
            <w:vMerge w:val="restart"/>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汞</w:t>
            </w:r>
          </w:p>
        </w:tc>
        <w:tc>
          <w:tcPr>
            <w:tcW w:w="1502"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水田</w:t>
            </w:r>
          </w:p>
        </w:tc>
        <w:tc>
          <w:tcPr>
            <w:tcW w:w="1309"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0.5</w:t>
            </w:r>
          </w:p>
        </w:tc>
        <w:tc>
          <w:tcPr>
            <w:tcW w:w="1537"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0.5</w:t>
            </w:r>
          </w:p>
        </w:tc>
        <w:tc>
          <w:tcPr>
            <w:tcW w:w="1898"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0.6</w:t>
            </w:r>
          </w:p>
        </w:tc>
        <w:tc>
          <w:tcPr>
            <w:tcW w:w="1339" w:type="dxa"/>
            <w:tcBorders>
              <w:top w:val="single" w:sz="2" w:space="0" w:color="000000"/>
              <w:left w:val="single" w:sz="2" w:space="0" w:color="000000"/>
              <w:bottom w:val="single" w:sz="2" w:space="0" w:color="000000"/>
              <w:right w:val="nil"/>
            </w:tcBorders>
            <w:vAlign w:val="center"/>
          </w:tcPr>
          <w:p w:rsidR="00BD5820" w:rsidRDefault="00F64314">
            <w:pPr>
              <w:pStyle w:val="10"/>
              <w:spacing w:line="240" w:lineRule="auto"/>
              <w:rPr>
                <w:rFonts w:cs="Times New Roman"/>
                <w:b w:val="0"/>
                <w:bCs/>
              </w:rPr>
            </w:pPr>
            <w:r>
              <w:rPr>
                <w:rFonts w:cs="Times New Roman"/>
                <w:b w:val="0"/>
                <w:bCs/>
              </w:rPr>
              <w:t>1.0</w:t>
            </w:r>
          </w:p>
        </w:tc>
      </w:tr>
      <w:tr w:rsidR="00BD5820">
        <w:trPr>
          <w:trHeight w:val="270"/>
          <w:jc w:val="center"/>
        </w:trPr>
        <w:tc>
          <w:tcPr>
            <w:tcW w:w="789" w:type="dxa"/>
            <w:vMerge/>
            <w:tcBorders>
              <w:top w:val="single" w:sz="2" w:space="0" w:color="000000"/>
              <w:left w:val="nil"/>
              <w:bottom w:val="single" w:sz="2" w:space="0" w:color="000000"/>
              <w:right w:val="single" w:sz="2" w:space="0" w:color="000000"/>
            </w:tcBorders>
            <w:vAlign w:val="center"/>
          </w:tcPr>
          <w:p w:rsidR="00BD5820" w:rsidRDefault="00BD5820">
            <w:pPr>
              <w:pStyle w:val="10"/>
              <w:spacing w:line="240" w:lineRule="auto"/>
              <w:rPr>
                <w:rFonts w:cs="Times New Roman"/>
                <w:b w:val="0"/>
                <w:bCs/>
              </w:rPr>
            </w:pPr>
          </w:p>
        </w:tc>
        <w:tc>
          <w:tcPr>
            <w:tcW w:w="763" w:type="dxa"/>
            <w:vMerge/>
            <w:tcBorders>
              <w:top w:val="single" w:sz="2" w:space="0" w:color="000000"/>
              <w:left w:val="single" w:sz="2" w:space="0" w:color="000000"/>
              <w:bottom w:val="single" w:sz="2" w:space="0" w:color="000000"/>
              <w:right w:val="single" w:sz="2" w:space="0" w:color="000000"/>
            </w:tcBorders>
            <w:vAlign w:val="center"/>
          </w:tcPr>
          <w:p w:rsidR="00BD5820" w:rsidRDefault="00BD5820">
            <w:pPr>
              <w:pStyle w:val="10"/>
              <w:spacing w:line="240" w:lineRule="auto"/>
              <w:rPr>
                <w:rFonts w:cs="Times New Roman"/>
                <w:b w:val="0"/>
                <w:bCs/>
              </w:rPr>
            </w:pPr>
          </w:p>
        </w:tc>
        <w:tc>
          <w:tcPr>
            <w:tcW w:w="1502"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其他</w:t>
            </w:r>
          </w:p>
        </w:tc>
        <w:tc>
          <w:tcPr>
            <w:tcW w:w="1309"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1.3</w:t>
            </w:r>
          </w:p>
        </w:tc>
        <w:tc>
          <w:tcPr>
            <w:tcW w:w="1537"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1.8</w:t>
            </w:r>
          </w:p>
        </w:tc>
        <w:tc>
          <w:tcPr>
            <w:tcW w:w="1898"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2.4</w:t>
            </w:r>
          </w:p>
        </w:tc>
        <w:tc>
          <w:tcPr>
            <w:tcW w:w="1339" w:type="dxa"/>
            <w:tcBorders>
              <w:top w:val="single" w:sz="2" w:space="0" w:color="000000"/>
              <w:left w:val="single" w:sz="2" w:space="0" w:color="000000"/>
              <w:bottom w:val="single" w:sz="2" w:space="0" w:color="000000"/>
              <w:right w:val="nil"/>
            </w:tcBorders>
            <w:vAlign w:val="center"/>
          </w:tcPr>
          <w:p w:rsidR="00BD5820" w:rsidRDefault="00F64314">
            <w:pPr>
              <w:pStyle w:val="10"/>
              <w:spacing w:line="240" w:lineRule="auto"/>
              <w:rPr>
                <w:rFonts w:cs="Times New Roman"/>
                <w:b w:val="0"/>
                <w:bCs/>
              </w:rPr>
            </w:pPr>
            <w:r>
              <w:rPr>
                <w:rFonts w:cs="Times New Roman"/>
                <w:b w:val="0"/>
                <w:bCs/>
              </w:rPr>
              <w:t>3.4</w:t>
            </w:r>
          </w:p>
        </w:tc>
      </w:tr>
      <w:tr w:rsidR="00BD5820">
        <w:trPr>
          <w:trHeight w:val="285"/>
          <w:jc w:val="center"/>
        </w:trPr>
        <w:tc>
          <w:tcPr>
            <w:tcW w:w="789" w:type="dxa"/>
            <w:vMerge w:val="restart"/>
            <w:tcBorders>
              <w:top w:val="single" w:sz="2" w:space="0" w:color="000000"/>
              <w:left w:val="nil"/>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3</w:t>
            </w:r>
          </w:p>
        </w:tc>
        <w:tc>
          <w:tcPr>
            <w:tcW w:w="763" w:type="dxa"/>
            <w:vMerge w:val="restart"/>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砷</w:t>
            </w:r>
          </w:p>
        </w:tc>
        <w:tc>
          <w:tcPr>
            <w:tcW w:w="1502"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水田</w:t>
            </w:r>
          </w:p>
        </w:tc>
        <w:tc>
          <w:tcPr>
            <w:tcW w:w="1309"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30</w:t>
            </w:r>
          </w:p>
        </w:tc>
        <w:tc>
          <w:tcPr>
            <w:tcW w:w="1537"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30</w:t>
            </w:r>
          </w:p>
        </w:tc>
        <w:tc>
          <w:tcPr>
            <w:tcW w:w="1898"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25</w:t>
            </w:r>
          </w:p>
        </w:tc>
        <w:tc>
          <w:tcPr>
            <w:tcW w:w="1339" w:type="dxa"/>
            <w:tcBorders>
              <w:top w:val="single" w:sz="2" w:space="0" w:color="000000"/>
              <w:left w:val="single" w:sz="2" w:space="0" w:color="000000"/>
              <w:bottom w:val="single" w:sz="2" w:space="0" w:color="000000"/>
              <w:right w:val="nil"/>
            </w:tcBorders>
            <w:vAlign w:val="center"/>
          </w:tcPr>
          <w:p w:rsidR="00BD5820" w:rsidRDefault="00F64314">
            <w:pPr>
              <w:pStyle w:val="10"/>
              <w:spacing w:line="240" w:lineRule="auto"/>
              <w:rPr>
                <w:rFonts w:cs="Times New Roman"/>
                <w:b w:val="0"/>
                <w:bCs/>
              </w:rPr>
            </w:pPr>
            <w:r>
              <w:rPr>
                <w:rFonts w:cs="Times New Roman"/>
                <w:b w:val="0"/>
                <w:bCs/>
              </w:rPr>
              <w:t>20</w:t>
            </w:r>
          </w:p>
        </w:tc>
      </w:tr>
      <w:tr w:rsidR="00BD5820">
        <w:trPr>
          <w:trHeight w:val="270"/>
          <w:jc w:val="center"/>
        </w:trPr>
        <w:tc>
          <w:tcPr>
            <w:tcW w:w="789" w:type="dxa"/>
            <w:vMerge/>
            <w:tcBorders>
              <w:top w:val="single" w:sz="2" w:space="0" w:color="000000"/>
              <w:left w:val="nil"/>
              <w:bottom w:val="single" w:sz="2" w:space="0" w:color="000000"/>
              <w:right w:val="single" w:sz="2" w:space="0" w:color="000000"/>
            </w:tcBorders>
            <w:vAlign w:val="center"/>
          </w:tcPr>
          <w:p w:rsidR="00BD5820" w:rsidRDefault="00BD5820">
            <w:pPr>
              <w:pStyle w:val="10"/>
              <w:spacing w:line="240" w:lineRule="auto"/>
              <w:rPr>
                <w:rFonts w:cs="Times New Roman"/>
                <w:b w:val="0"/>
                <w:bCs/>
              </w:rPr>
            </w:pPr>
          </w:p>
        </w:tc>
        <w:tc>
          <w:tcPr>
            <w:tcW w:w="763" w:type="dxa"/>
            <w:vMerge/>
            <w:tcBorders>
              <w:top w:val="single" w:sz="2" w:space="0" w:color="000000"/>
              <w:left w:val="single" w:sz="2" w:space="0" w:color="000000"/>
              <w:bottom w:val="single" w:sz="2" w:space="0" w:color="000000"/>
              <w:right w:val="single" w:sz="2" w:space="0" w:color="000000"/>
            </w:tcBorders>
            <w:vAlign w:val="center"/>
          </w:tcPr>
          <w:p w:rsidR="00BD5820" w:rsidRDefault="00BD5820">
            <w:pPr>
              <w:pStyle w:val="10"/>
              <w:spacing w:line="240" w:lineRule="auto"/>
              <w:rPr>
                <w:rFonts w:cs="Times New Roman"/>
                <w:b w:val="0"/>
                <w:bCs/>
              </w:rPr>
            </w:pPr>
          </w:p>
        </w:tc>
        <w:tc>
          <w:tcPr>
            <w:tcW w:w="1502"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其他</w:t>
            </w:r>
          </w:p>
        </w:tc>
        <w:tc>
          <w:tcPr>
            <w:tcW w:w="1309"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40</w:t>
            </w:r>
          </w:p>
        </w:tc>
        <w:tc>
          <w:tcPr>
            <w:tcW w:w="1537"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40</w:t>
            </w:r>
          </w:p>
        </w:tc>
        <w:tc>
          <w:tcPr>
            <w:tcW w:w="1898"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30</w:t>
            </w:r>
          </w:p>
        </w:tc>
        <w:tc>
          <w:tcPr>
            <w:tcW w:w="1339" w:type="dxa"/>
            <w:tcBorders>
              <w:top w:val="single" w:sz="2" w:space="0" w:color="000000"/>
              <w:left w:val="single" w:sz="2" w:space="0" w:color="000000"/>
              <w:bottom w:val="single" w:sz="2" w:space="0" w:color="000000"/>
              <w:right w:val="nil"/>
            </w:tcBorders>
            <w:vAlign w:val="center"/>
          </w:tcPr>
          <w:p w:rsidR="00BD5820" w:rsidRDefault="00F64314">
            <w:pPr>
              <w:pStyle w:val="10"/>
              <w:spacing w:line="240" w:lineRule="auto"/>
              <w:rPr>
                <w:rFonts w:cs="Times New Roman"/>
                <w:b w:val="0"/>
                <w:bCs/>
              </w:rPr>
            </w:pPr>
            <w:r>
              <w:rPr>
                <w:rFonts w:cs="Times New Roman"/>
                <w:b w:val="0"/>
                <w:bCs/>
              </w:rPr>
              <w:t>25</w:t>
            </w:r>
          </w:p>
        </w:tc>
      </w:tr>
      <w:tr w:rsidR="00BD5820">
        <w:trPr>
          <w:trHeight w:val="285"/>
          <w:jc w:val="center"/>
        </w:trPr>
        <w:tc>
          <w:tcPr>
            <w:tcW w:w="789" w:type="dxa"/>
            <w:vMerge w:val="restart"/>
            <w:tcBorders>
              <w:top w:val="single" w:sz="2" w:space="0" w:color="000000"/>
              <w:left w:val="nil"/>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4</w:t>
            </w:r>
          </w:p>
        </w:tc>
        <w:tc>
          <w:tcPr>
            <w:tcW w:w="763" w:type="dxa"/>
            <w:vMerge w:val="restart"/>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铅</w:t>
            </w:r>
          </w:p>
        </w:tc>
        <w:tc>
          <w:tcPr>
            <w:tcW w:w="1502"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水田</w:t>
            </w:r>
          </w:p>
        </w:tc>
        <w:tc>
          <w:tcPr>
            <w:tcW w:w="1309"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80</w:t>
            </w:r>
          </w:p>
        </w:tc>
        <w:tc>
          <w:tcPr>
            <w:tcW w:w="1537"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100</w:t>
            </w:r>
          </w:p>
        </w:tc>
        <w:tc>
          <w:tcPr>
            <w:tcW w:w="1898"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140</w:t>
            </w:r>
          </w:p>
        </w:tc>
        <w:tc>
          <w:tcPr>
            <w:tcW w:w="1339" w:type="dxa"/>
            <w:tcBorders>
              <w:top w:val="single" w:sz="2" w:space="0" w:color="000000"/>
              <w:left w:val="single" w:sz="2" w:space="0" w:color="000000"/>
              <w:bottom w:val="single" w:sz="2" w:space="0" w:color="000000"/>
              <w:right w:val="nil"/>
            </w:tcBorders>
            <w:vAlign w:val="center"/>
          </w:tcPr>
          <w:p w:rsidR="00BD5820" w:rsidRDefault="00F64314">
            <w:pPr>
              <w:pStyle w:val="10"/>
              <w:spacing w:line="240" w:lineRule="auto"/>
              <w:rPr>
                <w:rFonts w:cs="Times New Roman"/>
                <w:b w:val="0"/>
                <w:bCs/>
              </w:rPr>
            </w:pPr>
            <w:r>
              <w:rPr>
                <w:rFonts w:cs="Times New Roman"/>
                <w:b w:val="0"/>
                <w:bCs/>
              </w:rPr>
              <w:t>240</w:t>
            </w:r>
          </w:p>
        </w:tc>
      </w:tr>
      <w:tr w:rsidR="00BD5820">
        <w:trPr>
          <w:trHeight w:val="285"/>
          <w:jc w:val="center"/>
        </w:trPr>
        <w:tc>
          <w:tcPr>
            <w:tcW w:w="789" w:type="dxa"/>
            <w:vMerge/>
            <w:tcBorders>
              <w:top w:val="single" w:sz="2" w:space="0" w:color="000000"/>
              <w:left w:val="nil"/>
              <w:bottom w:val="single" w:sz="2" w:space="0" w:color="000000"/>
              <w:right w:val="single" w:sz="2" w:space="0" w:color="000000"/>
            </w:tcBorders>
            <w:vAlign w:val="center"/>
          </w:tcPr>
          <w:p w:rsidR="00BD5820" w:rsidRDefault="00BD5820">
            <w:pPr>
              <w:pStyle w:val="10"/>
              <w:spacing w:line="240" w:lineRule="auto"/>
              <w:rPr>
                <w:rFonts w:cs="Times New Roman"/>
                <w:b w:val="0"/>
                <w:bCs/>
              </w:rPr>
            </w:pPr>
          </w:p>
        </w:tc>
        <w:tc>
          <w:tcPr>
            <w:tcW w:w="763" w:type="dxa"/>
            <w:vMerge/>
            <w:tcBorders>
              <w:top w:val="single" w:sz="2" w:space="0" w:color="000000"/>
              <w:left w:val="single" w:sz="2" w:space="0" w:color="000000"/>
              <w:bottom w:val="single" w:sz="2" w:space="0" w:color="000000"/>
              <w:right w:val="single" w:sz="2" w:space="0" w:color="000000"/>
            </w:tcBorders>
            <w:vAlign w:val="center"/>
          </w:tcPr>
          <w:p w:rsidR="00BD5820" w:rsidRDefault="00BD5820">
            <w:pPr>
              <w:pStyle w:val="10"/>
              <w:spacing w:line="240" w:lineRule="auto"/>
              <w:rPr>
                <w:rFonts w:cs="Times New Roman"/>
                <w:b w:val="0"/>
                <w:bCs/>
              </w:rPr>
            </w:pPr>
          </w:p>
        </w:tc>
        <w:tc>
          <w:tcPr>
            <w:tcW w:w="1502"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其他</w:t>
            </w:r>
          </w:p>
        </w:tc>
        <w:tc>
          <w:tcPr>
            <w:tcW w:w="1309"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70</w:t>
            </w:r>
          </w:p>
        </w:tc>
        <w:tc>
          <w:tcPr>
            <w:tcW w:w="1537"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90</w:t>
            </w:r>
          </w:p>
        </w:tc>
        <w:tc>
          <w:tcPr>
            <w:tcW w:w="1898"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120</w:t>
            </w:r>
          </w:p>
        </w:tc>
        <w:tc>
          <w:tcPr>
            <w:tcW w:w="1339" w:type="dxa"/>
            <w:tcBorders>
              <w:top w:val="single" w:sz="2" w:space="0" w:color="000000"/>
              <w:left w:val="single" w:sz="2" w:space="0" w:color="000000"/>
              <w:bottom w:val="single" w:sz="2" w:space="0" w:color="000000"/>
              <w:right w:val="nil"/>
            </w:tcBorders>
            <w:vAlign w:val="center"/>
          </w:tcPr>
          <w:p w:rsidR="00BD5820" w:rsidRDefault="00F64314">
            <w:pPr>
              <w:pStyle w:val="10"/>
              <w:spacing w:line="240" w:lineRule="auto"/>
              <w:rPr>
                <w:rFonts w:cs="Times New Roman"/>
                <w:b w:val="0"/>
                <w:bCs/>
              </w:rPr>
            </w:pPr>
            <w:r>
              <w:rPr>
                <w:rFonts w:cs="Times New Roman"/>
                <w:b w:val="0"/>
                <w:bCs/>
              </w:rPr>
              <w:t>170</w:t>
            </w:r>
          </w:p>
        </w:tc>
      </w:tr>
      <w:tr w:rsidR="00BD5820">
        <w:trPr>
          <w:trHeight w:val="285"/>
          <w:jc w:val="center"/>
        </w:trPr>
        <w:tc>
          <w:tcPr>
            <w:tcW w:w="789" w:type="dxa"/>
            <w:vMerge w:val="restart"/>
            <w:tcBorders>
              <w:top w:val="single" w:sz="2" w:space="0" w:color="000000"/>
              <w:left w:val="nil"/>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5</w:t>
            </w:r>
          </w:p>
        </w:tc>
        <w:tc>
          <w:tcPr>
            <w:tcW w:w="763" w:type="dxa"/>
            <w:vMerge w:val="restart"/>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铬</w:t>
            </w:r>
          </w:p>
        </w:tc>
        <w:tc>
          <w:tcPr>
            <w:tcW w:w="1502"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水田</w:t>
            </w:r>
          </w:p>
        </w:tc>
        <w:tc>
          <w:tcPr>
            <w:tcW w:w="1309"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250</w:t>
            </w:r>
          </w:p>
        </w:tc>
        <w:tc>
          <w:tcPr>
            <w:tcW w:w="1537"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250</w:t>
            </w:r>
          </w:p>
        </w:tc>
        <w:tc>
          <w:tcPr>
            <w:tcW w:w="1898"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300</w:t>
            </w:r>
          </w:p>
        </w:tc>
        <w:tc>
          <w:tcPr>
            <w:tcW w:w="1339" w:type="dxa"/>
            <w:tcBorders>
              <w:top w:val="single" w:sz="2" w:space="0" w:color="000000"/>
              <w:left w:val="single" w:sz="2" w:space="0" w:color="000000"/>
              <w:bottom w:val="single" w:sz="2" w:space="0" w:color="000000"/>
              <w:right w:val="nil"/>
            </w:tcBorders>
            <w:vAlign w:val="center"/>
          </w:tcPr>
          <w:p w:rsidR="00BD5820" w:rsidRDefault="00F64314">
            <w:pPr>
              <w:pStyle w:val="10"/>
              <w:spacing w:line="240" w:lineRule="auto"/>
              <w:rPr>
                <w:rFonts w:cs="Times New Roman"/>
                <w:b w:val="0"/>
                <w:bCs/>
              </w:rPr>
            </w:pPr>
            <w:r>
              <w:rPr>
                <w:rFonts w:cs="Times New Roman"/>
                <w:b w:val="0"/>
                <w:bCs/>
              </w:rPr>
              <w:t>350</w:t>
            </w:r>
          </w:p>
        </w:tc>
      </w:tr>
      <w:tr w:rsidR="00BD5820">
        <w:trPr>
          <w:trHeight w:val="270"/>
          <w:jc w:val="center"/>
        </w:trPr>
        <w:tc>
          <w:tcPr>
            <w:tcW w:w="789" w:type="dxa"/>
            <w:vMerge/>
            <w:tcBorders>
              <w:top w:val="single" w:sz="2" w:space="0" w:color="000000"/>
              <w:left w:val="nil"/>
              <w:bottom w:val="single" w:sz="2" w:space="0" w:color="000000"/>
              <w:right w:val="single" w:sz="2" w:space="0" w:color="000000"/>
            </w:tcBorders>
            <w:vAlign w:val="center"/>
          </w:tcPr>
          <w:p w:rsidR="00BD5820" w:rsidRDefault="00BD5820">
            <w:pPr>
              <w:pStyle w:val="10"/>
              <w:spacing w:line="240" w:lineRule="auto"/>
              <w:rPr>
                <w:rFonts w:cs="Times New Roman"/>
                <w:b w:val="0"/>
                <w:bCs/>
              </w:rPr>
            </w:pPr>
          </w:p>
        </w:tc>
        <w:tc>
          <w:tcPr>
            <w:tcW w:w="763" w:type="dxa"/>
            <w:vMerge/>
            <w:tcBorders>
              <w:top w:val="single" w:sz="2" w:space="0" w:color="000000"/>
              <w:left w:val="single" w:sz="2" w:space="0" w:color="000000"/>
              <w:bottom w:val="single" w:sz="2" w:space="0" w:color="000000"/>
              <w:right w:val="single" w:sz="2" w:space="0" w:color="000000"/>
            </w:tcBorders>
            <w:vAlign w:val="center"/>
          </w:tcPr>
          <w:p w:rsidR="00BD5820" w:rsidRDefault="00BD5820">
            <w:pPr>
              <w:pStyle w:val="10"/>
              <w:spacing w:line="240" w:lineRule="auto"/>
              <w:rPr>
                <w:rFonts w:cs="Times New Roman"/>
                <w:b w:val="0"/>
                <w:bCs/>
              </w:rPr>
            </w:pPr>
          </w:p>
        </w:tc>
        <w:tc>
          <w:tcPr>
            <w:tcW w:w="1502"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其他</w:t>
            </w:r>
          </w:p>
        </w:tc>
        <w:tc>
          <w:tcPr>
            <w:tcW w:w="1309"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150</w:t>
            </w:r>
          </w:p>
        </w:tc>
        <w:tc>
          <w:tcPr>
            <w:tcW w:w="1537"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150</w:t>
            </w:r>
          </w:p>
        </w:tc>
        <w:tc>
          <w:tcPr>
            <w:tcW w:w="1898"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200</w:t>
            </w:r>
          </w:p>
        </w:tc>
        <w:tc>
          <w:tcPr>
            <w:tcW w:w="1339" w:type="dxa"/>
            <w:tcBorders>
              <w:top w:val="single" w:sz="2" w:space="0" w:color="000000"/>
              <w:left w:val="single" w:sz="2" w:space="0" w:color="000000"/>
              <w:bottom w:val="single" w:sz="2" w:space="0" w:color="000000"/>
              <w:right w:val="nil"/>
            </w:tcBorders>
            <w:vAlign w:val="center"/>
          </w:tcPr>
          <w:p w:rsidR="00BD5820" w:rsidRDefault="00F64314">
            <w:pPr>
              <w:pStyle w:val="10"/>
              <w:spacing w:line="240" w:lineRule="auto"/>
              <w:rPr>
                <w:rFonts w:cs="Times New Roman"/>
                <w:b w:val="0"/>
                <w:bCs/>
              </w:rPr>
            </w:pPr>
            <w:r>
              <w:rPr>
                <w:rFonts w:cs="Times New Roman"/>
                <w:b w:val="0"/>
                <w:bCs/>
              </w:rPr>
              <w:t>250</w:t>
            </w:r>
          </w:p>
        </w:tc>
      </w:tr>
      <w:tr w:rsidR="00BD5820">
        <w:trPr>
          <w:trHeight w:val="285"/>
          <w:jc w:val="center"/>
        </w:trPr>
        <w:tc>
          <w:tcPr>
            <w:tcW w:w="789" w:type="dxa"/>
            <w:vMerge w:val="restart"/>
            <w:tcBorders>
              <w:top w:val="single" w:sz="2" w:space="0" w:color="000000"/>
              <w:left w:val="nil"/>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6</w:t>
            </w:r>
          </w:p>
        </w:tc>
        <w:tc>
          <w:tcPr>
            <w:tcW w:w="763" w:type="dxa"/>
            <w:vMerge w:val="restart"/>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铜</w:t>
            </w:r>
          </w:p>
        </w:tc>
        <w:tc>
          <w:tcPr>
            <w:tcW w:w="1502"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果园</w:t>
            </w:r>
          </w:p>
        </w:tc>
        <w:tc>
          <w:tcPr>
            <w:tcW w:w="1309"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150</w:t>
            </w:r>
          </w:p>
        </w:tc>
        <w:tc>
          <w:tcPr>
            <w:tcW w:w="1537"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150</w:t>
            </w:r>
          </w:p>
        </w:tc>
        <w:tc>
          <w:tcPr>
            <w:tcW w:w="1898"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200</w:t>
            </w:r>
          </w:p>
        </w:tc>
        <w:tc>
          <w:tcPr>
            <w:tcW w:w="1339" w:type="dxa"/>
            <w:tcBorders>
              <w:top w:val="single" w:sz="2" w:space="0" w:color="000000"/>
              <w:left w:val="single" w:sz="2" w:space="0" w:color="000000"/>
              <w:bottom w:val="single" w:sz="2" w:space="0" w:color="000000"/>
              <w:right w:val="nil"/>
            </w:tcBorders>
            <w:vAlign w:val="center"/>
          </w:tcPr>
          <w:p w:rsidR="00BD5820" w:rsidRDefault="00F64314">
            <w:pPr>
              <w:pStyle w:val="10"/>
              <w:spacing w:line="240" w:lineRule="auto"/>
              <w:rPr>
                <w:rFonts w:cs="Times New Roman"/>
                <w:b w:val="0"/>
                <w:bCs/>
              </w:rPr>
            </w:pPr>
            <w:r>
              <w:rPr>
                <w:rFonts w:cs="Times New Roman"/>
                <w:b w:val="0"/>
                <w:bCs/>
              </w:rPr>
              <w:t>200</w:t>
            </w:r>
          </w:p>
        </w:tc>
      </w:tr>
      <w:tr w:rsidR="00BD5820">
        <w:trPr>
          <w:trHeight w:val="153"/>
          <w:jc w:val="center"/>
        </w:trPr>
        <w:tc>
          <w:tcPr>
            <w:tcW w:w="789" w:type="dxa"/>
            <w:vMerge/>
            <w:tcBorders>
              <w:top w:val="single" w:sz="2" w:space="0" w:color="000000"/>
              <w:left w:val="nil"/>
              <w:bottom w:val="single" w:sz="2" w:space="0" w:color="000000"/>
              <w:right w:val="single" w:sz="2" w:space="0" w:color="000000"/>
            </w:tcBorders>
            <w:vAlign w:val="center"/>
          </w:tcPr>
          <w:p w:rsidR="00BD5820" w:rsidRDefault="00BD5820">
            <w:pPr>
              <w:pStyle w:val="10"/>
              <w:spacing w:line="240" w:lineRule="auto"/>
              <w:rPr>
                <w:rFonts w:cs="Times New Roman"/>
                <w:b w:val="0"/>
                <w:bCs/>
              </w:rPr>
            </w:pPr>
          </w:p>
        </w:tc>
        <w:tc>
          <w:tcPr>
            <w:tcW w:w="763" w:type="dxa"/>
            <w:vMerge/>
            <w:tcBorders>
              <w:top w:val="single" w:sz="2" w:space="0" w:color="000000"/>
              <w:left w:val="single" w:sz="2" w:space="0" w:color="000000"/>
              <w:bottom w:val="single" w:sz="2" w:space="0" w:color="000000"/>
              <w:right w:val="single" w:sz="2" w:space="0" w:color="000000"/>
            </w:tcBorders>
            <w:vAlign w:val="center"/>
          </w:tcPr>
          <w:p w:rsidR="00BD5820" w:rsidRDefault="00BD5820">
            <w:pPr>
              <w:pStyle w:val="10"/>
              <w:spacing w:line="240" w:lineRule="auto"/>
              <w:rPr>
                <w:rFonts w:cs="Times New Roman"/>
                <w:b w:val="0"/>
                <w:bCs/>
              </w:rPr>
            </w:pPr>
          </w:p>
        </w:tc>
        <w:tc>
          <w:tcPr>
            <w:tcW w:w="1502"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其他</w:t>
            </w:r>
          </w:p>
        </w:tc>
        <w:tc>
          <w:tcPr>
            <w:tcW w:w="1309"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50</w:t>
            </w:r>
          </w:p>
        </w:tc>
        <w:tc>
          <w:tcPr>
            <w:tcW w:w="1537"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50</w:t>
            </w:r>
          </w:p>
        </w:tc>
        <w:tc>
          <w:tcPr>
            <w:tcW w:w="1898"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100</w:t>
            </w:r>
          </w:p>
        </w:tc>
        <w:tc>
          <w:tcPr>
            <w:tcW w:w="1339" w:type="dxa"/>
            <w:tcBorders>
              <w:top w:val="single" w:sz="2" w:space="0" w:color="000000"/>
              <w:left w:val="single" w:sz="2" w:space="0" w:color="000000"/>
              <w:bottom w:val="single" w:sz="2" w:space="0" w:color="000000"/>
              <w:right w:val="nil"/>
            </w:tcBorders>
            <w:vAlign w:val="center"/>
          </w:tcPr>
          <w:p w:rsidR="00BD5820" w:rsidRDefault="00F64314">
            <w:pPr>
              <w:pStyle w:val="10"/>
              <w:spacing w:line="240" w:lineRule="auto"/>
              <w:rPr>
                <w:rFonts w:cs="Times New Roman"/>
                <w:b w:val="0"/>
                <w:bCs/>
              </w:rPr>
            </w:pPr>
            <w:r>
              <w:rPr>
                <w:rFonts w:cs="Times New Roman"/>
                <w:b w:val="0"/>
                <w:bCs/>
              </w:rPr>
              <w:t>100</w:t>
            </w:r>
          </w:p>
        </w:tc>
      </w:tr>
      <w:tr w:rsidR="00BD5820">
        <w:trPr>
          <w:trHeight w:val="136"/>
          <w:jc w:val="center"/>
        </w:trPr>
        <w:tc>
          <w:tcPr>
            <w:tcW w:w="789" w:type="dxa"/>
            <w:tcBorders>
              <w:top w:val="single" w:sz="2" w:space="0" w:color="000000"/>
              <w:left w:val="nil"/>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7</w:t>
            </w:r>
          </w:p>
        </w:tc>
        <w:tc>
          <w:tcPr>
            <w:tcW w:w="2265" w:type="dxa"/>
            <w:gridSpan w:val="2"/>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镍</w:t>
            </w:r>
          </w:p>
        </w:tc>
        <w:tc>
          <w:tcPr>
            <w:tcW w:w="1309"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60</w:t>
            </w:r>
          </w:p>
        </w:tc>
        <w:tc>
          <w:tcPr>
            <w:tcW w:w="1537"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70</w:t>
            </w:r>
          </w:p>
        </w:tc>
        <w:tc>
          <w:tcPr>
            <w:tcW w:w="1898"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100</w:t>
            </w:r>
          </w:p>
        </w:tc>
        <w:tc>
          <w:tcPr>
            <w:tcW w:w="1339" w:type="dxa"/>
            <w:tcBorders>
              <w:top w:val="single" w:sz="2" w:space="0" w:color="000000"/>
              <w:left w:val="single" w:sz="2" w:space="0" w:color="000000"/>
              <w:bottom w:val="single" w:sz="2" w:space="0" w:color="000000"/>
              <w:right w:val="nil"/>
            </w:tcBorders>
            <w:vAlign w:val="center"/>
          </w:tcPr>
          <w:p w:rsidR="00BD5820" w:rsidRDefault="00F64314">
            <w:pPr>
              <w:pStyle w:val="10"/>
              <w:spacing w:line="240" w:lineRule="auto"/>
              <w:rPr>
                <w:rFonts w:cs="Times New Roman"/>
                <w:b w:val="0"/>
                <w:bCs/>
              </w:rPr>
            </w:pPr>
            <w:r>
              <w:rPr>
                <w:rFonts w:cs="Times New Roman"/>
                <w:b w:val="0"/>
                <w:bCs/>
              </w:rPr>
              <w:t>190</w:t>
            </w:r>
          </w:p>
        </w:tc>
      </w:tr>
      <w:tr w:rsidR="00BD5820">
        <w:trPr>
          <w:trHeight w:val="285"/>
          <w:jc w:val="center"/>
        </w:trPr>
        <w:tc>
          <w:tcPr>
            <w:tcW w:w="789" w:type="dxa"/>
            <w:tcBorders>
              <w:top w:val="single" w:sz="2" w:space="0" w:color="000000"/>
              <w:left w:val="nil"/>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8</w:t>
            </w:r>
          </w:p>
        </w:tc>
        <w:tc>
          <w:tcPr>
            <w:tcW w:w="2265" w:type="dxa"/>
            <w:gridSpan w:val="2"/>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锌</w:t>
            </w:r>
          </w:p>
        </w:tc>
        <w:tc>
          <w:tcPr>
            <w:tcW w:w="1309"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200</w:t>
            </w:r>
          </w:p>
        </w:tc>
        <w:tc>
          <w:tcPr>
            <w:tcW w:w="1537"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200</w:t>
            </w:r>
          </w:p>
        </w:tc>
        <w:tc>
          <w:tcPr>
            <w:tcW w:w="1898"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10"/>
              <w:spacing w:line="240" w:lineRule="auto"/>
              <w:rPr>
                <w:rFonts w:cs="Times New Roman"/>
                <w:b w:val="0"/>
                <w:bCs/>
              </w:rPr>
            </w:pPr>
            <w:r>
              <w:rPr>
                <w:rFonts w:cs="Times New Roman"/>
                <w:b w:val="0"/>
                <w:bCs/>
              </w:rPr>
              <w:t>250</w:t>
            </w:r>
          </w:p>
        </w:tc>
        <w:tc>
          <w:tcPr>
            <w:tcW w:w="1339" w:type="dxa"/>
            <w:tcBorders>
              <w:top w:val="single" w:sz="2" w:space="0" w:color="000000"/>
              <w:left w:val="single" w:sz="2" w:space="0" w:color="000000"/>
              <w:bottom w:val="single" w:sz="2" w:space="0" w:color="000000"/>
              <w:right w:val="nil"/>
            </w:tcBorders>
            <w:vAlign w:val="center"/>
          </w:tcPr>
          <w:p w:rsidR="00BD5820" w:rsidRDefault="00F64314">
            <w:pPr>
              <w:pStyle w:val="10"/>
              <w:spacing w:line="240" w:lineRule="auto"/>
              <w:rPr>
                <w:rFonts w:cs="Times New Roman"/>
                <w:b w:val="0"/>
                <w:bCs/>
              </w:rPr>
            </w:pPr>
            <w:r>
              <w:rPr>
                <w:rFonts w:cs="Times New Roman"/>
                <w:b w:val="0"/>
                <w:bCs/>
              </w:rPr>
              <w:t>300</w:t>
            </w:r>
          </w:p>
        </w:tc>
      </w:tr>
      <w:tr w:rsidR="00BD5820">
        <w:trPr>
          <w:trHeight w:val="285"/>
          <w:jc w:val="center"/>
        </w:trPr>
        <w:tc>
          <w:tcPr>
            <w:tcW w:w="9137" w:type="dxa"/>
            <w:gridSpan w:val="7"/>
            <w:tcBorders>
              <w:top w:val="single" w:sz="2" w:space="0" w:color="000000"/>
              <w:left w:val="nil"/>
              <w:bottom w:val="single" w:sz="12" w:space="0" w:color="000000"/>
              <w:right w:val="nil"/>
            </w:tcBorders>
            <w:vAlign w:val="center"/>
          </w:tcPr>
          <w:p w:rsidR="00BD5820" w:rsidRDefault="00F64314">
            <w:pPr>
              <w:pStyle w:val="10"/>
              <w:spacing w:line="240" w:lineRule="auto"/>
              <w:rPr>
                <w:rFonts w:cs="Times New Roman"/>
                <w:b w:val="0"/>
                <w:bCs/>
              </w:rPr>
            </w:pPr>
            <w:r>
              <w:rPr>
                <w:rFonts w:cs="Times New Roman"/>
                <w:b w:val="0"/>
                <w:bCs/>
              </w:rPr>
              <w:t>注：重金属和类金属砷均按元素总量计。对于水旱轮作地，采用较严格的风险筛选值。</w:t>
            </w:r>
          </w:p>
        </w:tc>
      </w:tr>
    </w:tbl>
    <w:p w:rsidR="00BD5820" w:rsidRDefault="00F64314">
      <w:pPr>
        <w:pStyle w:val="affa"/>
        <w:ind w:firstLine="422"/>
        <w:rPr>
          <w:b/>
          <w:sz w:val="21"/>
          <w:szCs w:val="21"/>
        </w:rPr>
      </w:pPr>
      <w:r>
        <w:rPr>
          <w:b/>
          <w:sz w:val="21"/>
          <w:szCs w:val="21"/>
        </w:rPr>
        <w:t>表</w:t>
      </w:r>
      <w:r>
        <w:rPr>
          <w:b/>
          <w:sz w:val="21"/>
          <w:szCs w:val="21"/>
        </w:rPr>
        <w:t>1.5-</w:t>
      </w:r>
      <w:r>
        <w:rPr>
          <w:rFonts w:hint="eastAsia"/>
          <w:b/>
          <w:sz w:val="21"/>
          <w:szCs w:val="21"/>
        </w:rPr>
        <w:t xml:space="preserve">6  </w:t>
      </w:r>
      <w:r>
        <w:rPr>
          <w:rFonts w:hint="eastAsia"/>
          <w:b/>
          <w:sz w:val="21"/>
          <w:szCs w:val="21"/>
        </w:rPr>
        <w:t>土壤环境质量标准</w:t>
      </w:r>
      <w:r>
        <w:rPr>
          <w:rFonts w:hint="eastAsia"/>
          <w:b/>
          <w:sz w:val="21"/>
          <w:szCs w:val="21"/>
        </w:rPr>
        <w:t xml:space="preserve"> </w:t>
      </w:r>
      <w:r>
        <w:rPr>
          <w:rFonts w:hint="eastAsia"/>
          <w:b/>
          <w:sz w:val="21"/>
          <w:szCs w:val="21"/>
        </w:rPr>
        <w:t>建设用地土壤污染风险管控标准（试行）</w:t>
      </w:r>
      <w:r>
        <w:rPr>
          <w:rFonts w:hint="eastAsia"/>
          <w:b/>
          <w:sz w:val="21"/>
          <w:szCs w:val="21"/>
        </w:rPr>
        <w:t xml:space="preserve"> </w:t>
      </w:r>
      <w:r>
        <w:rPr>
          <w:rFonts w:hint="eastAsia"/>
          <w:b/>
          <w:sz w:val="21"/>
          <w:szCs w:val="21"/>
        </w:rPr>
        <w:t>单位：</w:t>
      </w:r>
      <w:r>
        <w:rPr>
          <w:rFonts w:hint="eastAsia"/>
          <w:b/>
          <w:sz w:val="21"/>
          <w:szCs w:val="21"/>
        </w:rPr>
        <w:t>mg/kg</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899"/>
        <w:gridCol w:w="2489"/>
        <w:gridCol w:w="2489"/>
        <w:gridCol w:w="2645"/>
      </w:tblGrid>
      <w:tr w:rsidR="00BD5820">
        <w:trPr>
          <w:cantSplit/>
          <w:trHeight w:val="20"/>
          <w:jc w:val="center"/>
        </w:trPr>
        <w:tc>
          <w:tcPr>
            <w:tcW w:w="959" w:type="dxa"/>
            <w:vMerge w:val="restart"/>
            <w:vAlign w:val="center"/>
          </w:tcPr>
          <w:p w:rsidR="00BD5820" w:rsidRDefault="00F64314">
            <w:pPr>
              <w:pStyle w:val="aff7"/>
              <w:rPr>
                <w:b/>
                <w:sz w:val="21"/>
                <w:szCs w:val="21"/>
              </w:rPr>
            </w:pPr>
            <w:r>
              <w:rPr>
                <w:b/>
                <w:sz w:val="21"/>
                <w:szCs w:val="21"/>
              </w:rPr>
              <w:t>序号</w:t>
            </w:r>
          </w:p>
        </w:tc>
        <w:tc>
          <w:tcPr>
            <w:tcW w:w="2693" w:type="dxa"/>
            <w:vMerge w:val="restart"/>
            <w:vAlign w:val="center"/>
          </w:tcPr>
          <w:p w:rsidR="00BD5820" w:rsidRDefault="00F64314">
            <w:pPr>
              <w:pStyle w:val="aff7"/>
              <w:rPr>
                <w:b/>
                <w:sz w:val="21"/>
                <w:szCs w:val="21"/>
              </w:rPr>
            </w:pPr>
            <w:r>
              <w:rPr>
                <w:b/>
                <w:sz w:val="21"/>
                <w:szCs w:val="21"/>
              </w:rPr>
              <w:t>污染物项目</w:t>
            </w:r>
          </w:p>
        </w:tc>
        <w:tc>
          <w:tcPr>
            <w:tcW w:w="2693" w:type="dxa"/>
            <w:vAlign w:val="center"/>
          </w:tcPr>
          <w:p w:rsidR="00BD5820" w:rsidRDefault="00F64314">
            <w:pPr>
              <w:pStyle w:val="aff7"/>
              <w:rPr>
                <w:b/>
                <w:sz w:val="21"/>
                <w:szCs w:val="21"/>
              </w:rPr>
            </w:pPr>
            <w:r>
              <w:rPr>
                <w:b/>
                <w:sz w:val="21"/>
                <w:szCs w:val="21"/>
              </w:rPr>
              <w:t>筛选值</w:t>
            </w:r>
          </w:p>
        </w:tc>
        <w:tc>
          <w:tcPr>
            <w:tcW w:w="2863" w:type="dxa"/>
            <w:vAlign w:val="center"/>
          </w:tcPr>
          <w:p w:rsidR="00BD5820" w:rsidRDefault="00F64314">
            <w:pPr>
              <w:pStyle w:val="aff7"/>
              <w:rPr>
                <w:b/>
                <w:sz w:val="21"/>
                <w:szCs w:val="21"/>
              </w:rPr>
            </w:pPr>
            <w:r>
              <w:rPr>
                <w:b/>
                <w:sz w:val="21"/>
                <w:szCs w:val="21"/>
              </w:rPr>
              <w:t>管制值</w:t>
            </w:r>
          </w:p>
        </w:tc>
      </w:tr>
      <w:tr w:rsidR="00BD5820">
        <w:trPr>
          <w:cantSplit/>
          <w:trHeight w:val="20"/>
          <w:jc w:val="center"/>
        </w:trPr>
        <w:tc>
          <w:tcPr>
            <w:tcW w:w="959" w:type="dxa"/>
            <w:vMerge/>
            <w:vAlign w:val="center"/>
          </w:tcPr>
          <w:p w:rsidR="00BD5820" w:rsidRDefault="00BD5820">
            <w:pPr>
              <w:pStyle w:val="aff7"/>
              <w:rPr>
                <w:b/>
                <w:sz w:val="21"/>
                <w:szCs w:val="21"/>
              </w:rPr>
            </w:pPr>
          </w:p>
        </w:tc>
        <w:tc>
          <w:tcPr>
            <w:tcW w:w="2693" w:type="dxa"/>
            <w:vMerge/>
            <w:vAlign w:val="center"/>
          </w:tcPr>
          <w:p w:rsidR="00BD5820" w:rsidRDefault="00BD5820">
            <w:pPr>
              <w:pStyle w:val="aff7"/>
              <w:rPr>
                <w:b/>
                <w:sz w:val="21"/>
                <w:szCs w:val="21"/>
              </w:rPr>
            </w:pPr>
          </w:p>
        </w:tc>
        <w:tc>
          <w:tcPr>
            <w:tcW w:w="2693" w:type="dxa"/>
            <w:vAlign w:val="center"/>
          </w:tcPr>
          <w:p w:rsidR="00BD5820" w:rsidRDefault="00F64314">
            <w:pPr>
              <w:pStyle w:val="aff7"/>
              <w:rPr>
                <w:b/>
                <w:sz w:val="21"/>
                <w:szCs w:val="21"/>
              </w:rPr>
            </w:pPr>
            <w:r>
              <w:rPr>
                <w:b/>
                <w:sz w:val="21"/>
                <w:szCs w:val="21"/>
              </w:rPr>
              <w:t>第二类用地</w:t>
            </w:r>
          </w:p>
        </w:tc>
        <w:tc>
          <w:tcPr>
            <w:tcW w:w="2863" w:type="dxa"/>
            <w:vAlign w:val="center"/>
          </w:tcPr>
          <w:p w:rsidR="00BD5820" w:rsidRDefault="00F64314">
            <w:pPr>
              <w:pStyle w:val="aff7"/>
              <w:rPr>
                <w:b/>
                <w:sz w:val="21"/>
                <w:szCs w:val="21"/>
              </w:rPr>
            </w:pPr>
            <w:r>
              <w:rPr>
                <w:b/>
                <w:sz w:val="21"/>
                <w:szCs w:val="21"/>
              </w:rPr>
              <w:t>第二类用地</w:t>
            </w:r>
          </w:p>
        </w:tc>
      </w:tr>
      <w:tr w:rsidR="00BD5820">
        <w:trPr>
          <w:cantSplit/>
          <w:trHeight w:val="20"/>
          <w:jc w:val="center"/>
        </w:trPr>
        <w:tc>
          <w:tcPr>
            <w:tcW w:w="9208" w:type="dxa"/>
            <w:gridSpan w:val="4"/>
            <w:vAlign w:val="center"/>
          </w:tcPr>
          <w:p w:rsidR="00BD5820" w:rsidRDefault="00F64314">
            <w:pPr>
              <w:pStyle w:val="aff7"/>
              <w:jc w:val="both"/>
              <w:rPr>
                <w:sz w:val="21"/>
                <w:szCs w:val="21"/>
              </w:rPr>
            </w:pPr>
            <w:r>
              <w:rPr>
                <w:sz w:val="21"/>
                <w:szCs w:val="21"/>
              </w:rPr>
              <w:t>重金属和无机物</w:t>
            </w:r>
          </w:p>
        </w:tc>
      </w:tr>
      <w:tr w:rsidR="00BD5820">
        <w:trPr>
          <w:cantSplit/>
          <w:trHeight w:val="20"/>
          <w:jc w:val="center"/>
        </w:trPr>
        <w:tc>
          <w:tcPr>
            <w:tcW w:w="959" w:type="dxa"/>
            <w:vAlign w:val="center"/>
          </w:tcPr>
          <w:p w:rsidR="00BD5820" w:rsidRDefault="00F64314">
            <w:pPr>
              <w:pStyle w:val="aff7"/>
              <w:rPr>
                <w:sz w:val="21"/>
                <w:szCs w:val="21"/>
              </w:rPr>
            </w:pPr>
            <w:r>
              <w:rPr>
                <w:sz w:val="21"/>
                <w:szCs w:val="21"/>
              </w:rPr>
              <w:t>1</w:t>
            </w:r>
          </w:p>
        </w:tc>
        <w:tc>
          <w:tcPr>
            <w:tcW w:w="2693" w:type="dxa"/>
            <w:vAlign w:val="center"/>
          </w:tcPr>
          <w:p w:rsidR="00BD5820" w:rsidRDefault="00F64314">
            <w:pPr>
              <w:pStyle w:val="aff7"/>
              <w:rPr>
                <w:sz w:val="21"/>
                <w:szCs w:val="21"/>
              </w:rPr>
            </w:pPr>
            <w:r>
              <w:rPr>
                <w:sz w:val="21"/>
                <w:szCs w:val="21"/>
              </w:rPr>
              <w:t>砷</w:t>
            </w:r>
          </w:p>
        </w:tc>
        <w:tc>
          <w:tcPr>
            <w:tcW w:w="2693" w:type="dxa"/>
            <w:vAlign w:val="center"/>
          </w:tcPr>
          <w:p w:rsidR="00BD5820" w:rsidRDefault="00F64314">
            <w:pPr>
              <w:pStyle w:val="aff7"/>
              <w:rPr>
                <w:sz w:val="21"/>
                <w:szCs w:val="21"/>
              </w:rPr>
            </w:pPr>
            <w:r>
              <w:rPr>
                <w:sz w:val="21"/>
                <w:szCs w:val="21"/>
              </w:rPr>
              <w:t>60</w:t>
            </w:r>
          </w:p>
        </w:tc>
        <w:tc>
          <w:tcPr>
            <w:tcW w:w="2863" w:type="dxa"/>
            <w:vAlign w:val="center"/>
          </w:tcPr>
          <w:p w:rsidR="00BD5820" w:rsidRDefault="00F64314">
            <w:pPr>
              <w:pStyle w:val="aff7"/>
              <w:rPr>
                <w:sz w:val="21"/>
                <w:szCs w:val="21"/>
              </w:rPr>
            </w:pPr>
            <w:r>
              <w:rPr>
                <w:sz w:val="21"/>
                <w:szCs w:val="21"/>
              </w:rPr>
              <w:t>140</w:t>
            </w:r>
          </w:p>
        </w:tc>
      </w:tr>
      <w:tr w:rsidR="00BD5820">
        <w:trPr>
          <w:cantSplit/>
          <w:trHeight w:val="20"/>
          <w:jc w:val="center"/>
        </w:trPr>
        <w:tc>
          <w:tcPr>
            <w:tcW w:w="959" w:type="dxa"/>
            <w:vAlign w:val="center"/>
          </w:tcPr>
          <w:p w:rsidR="00BD5820" w:rsidRDefault="00F64314">
            <w:pPr>
              <w:pStyle w:val="aff7"/>
              <w:rPr>
                <w:sz w:val="21"/>
                <w:szCs w:val="21"/>
              </w:rPr>
            </w:pPr>
            <w:r>
              <w:rPr>
                <w:sz w:val="21"/>
                <w:szCs w:val="21"/>
              </w:rPr>
              <w:t>2</w:t>
            </w:r>
          </w:p>
        </w:tc>
        <w:tc>
          <w:tcPr>
            <w:tcW w:w="2693" w:type="dxa"/>
            <w:vAlign w:val="center"/>
          </w:tcPr>
          <w:p w:rsidR="00BD5820" w:rsidRDefault="00F64314">
            <w:pPr>
              <w:pStyle w:val="aff7"/>
              <w:rPr>
                <w:sz w:val="21"/>
                <w:szCs w:val="21"/>
              </w:rPr>
            </w:pPr>
            <w:r>
              <w:rPr>
                <w:sz w:val="21"/>
                <w:szCs w:val="21"/>
              </w:rPr>
              <w:t>镉</w:t>
            </w:r>
          </w:p>
        </w:tc>
        <w:tc>
          <w:tcPr>
            <w:tcW w:w="2693" w:type="dxa"/>
            <w:vAlign w:val="center"/>
          </w:tcPr>
          <w:p w:rsidR="00BD5820" w:rsidRDefault="00F64314">
            <w:pPr>
              <w:pStyle w:val="aff7"/>
              <w:rPr>
                <w:sz w:val="21"/>
                <w:szCs w:val="21"/>
              </w:rPr>
            </w:pPr>
            <w:r>
              <w:rPr>
                <w:sz w:val="21"/>
                <w:szCs w:val="21"/>
              </w:rPr>
              <w:t>65</w:t>
            </w:r>
          </w:p>
        </w:tc>
        <w:tc>
          <w:tcPr>
            <w:tcW w:w="2863" w:type="dxa"/>
            <w:vAlign w:val="center"/>
          </w:tcPr>
          <w:p w:rsidR="00BD5820" w:rsidRDefault="00F64314">
            <w:pPr>
              <w:pStyle w:val="aff7"/>
              <w:rPr>
                <w:sz w:val="21"/>
                <w:szCs w:val="21"/>
              </w:rPr>
            </w:pPr>
            <w:r>
              <w:rPr>
                <w:sz w:val="21"/>
                <w:szCs w:val="21"/>
              </w:rPr>
              <w:t>172</w:t>
            </w:r>
          </w:p>
        </w:tc>
      </w:tr>
      <w:tr w:rsidR="00BD5820">
        <w:trPr>
          <w:cantSplit/>
          <w:trHeight w:val="20"/>
          <w:jc w:val="center"/>
        </w:trPr>
        <w:tc>
          <w:tcPr>
            <w:tcW w:w="959" w:type="dxa"/>
            <w:vAlign w:val="center"/>
          </w:tcPr>
          <w:p w:rsidR="00BD5820" w:rsidRDefault="00F64314">
            <w:pPr>
              <w:pStyle w:val="aff7"/>
              <w:rPr>
                <w:sz w:val="21"/>
                <w:szCs w:val="21"/>
              </w:rPr>
            </w:pPr>
            <w:r>
              <w:rPr>
                <w:sz w:val="21"/>
                <w:szCs w:val="21"/>
              </w:rPr>
              <w:t>3</w:t>
            </w:r>
          </w:p>
        </w:tc>
        <w:tc>
          <w:tcPr>
            <w:tcW w:w="2693" w:type="dxa"/>
            <w:vAlign w:val="center"/>
          </w:tcPr>
          <w:p w:rsidR="00BD5820" w:rsidRDefault="00F64314">
            <w:pPr>
              <w:pStyle w:val="aff7"/>
              <w:rPr>
                <w:sz w:val="21"/>
                <w:szCs w:val="21"/>
              </w:rPr>
            </w:pPr>
            <w:r>
              <w:rPr>
                <w:sz w:val="21"/>
                <w:szCs w:val="21"/>
              </w:rPr>
              <w:t>铬（六价）</w:t>
            </w:r>
          </w:p>
        </w:tc>
        <w:tc>
          <w:tcPr>
            <w:tcW w:w="2693" w:type="dxa"/>
            <w:vAlign w:val="center"/>
          </w:tcPr>
          <w:p w:rsidR="00BD5820" w:rsidRDefault="00F64314">
            <w:pPr>
              <w:pStyle w:val="aff7"/>
              <w:rPr>
                <w:sz w:val="21"/>
                <w:szCs w:val="21"/>
              </w:rPr>
            </w:pPr>
            <w:r>
              <w:rPr>
                <w:sz w:val="21"/>
                <w:szCs w:val="21"/>
              </w:rPr>
              <w:t>5.7</w:t>
            </w:r>
          </w:p>
        </w:tc>
        <w:tc>
          <w:tcPr>
            <w:tcW w:w="2863" w:type="dxa"/>
            <w:vAlign w:val="center"/>
          </w:tcPr>
          <w:p w:rsidR="00BD5820" w:rsidRDefault="00F64314">
            <w:pPr>
              <w:pStyle w:val="aff7"/>
              <w:rPr>
                <w:sz w:val="21"/>
                <w:szCs w:val="21"/>
              </w:rPr>
            </w:pPr>
            <w:r>
              <w:rPr>
                <w:sz w:val="21"/>
                <w:szCs w:val="21"/>
              </w:rPr>
              <w:t>78</w:t>
            </w:r>
          </w:p>
        </w:tc>
      </w:tr>
      <w:tr w:rsidR="00BD5820">
        <w:trPr>
          <w:cantSplit/>
          <w:trHeight w:val="20"/>
          <w:jc w:val="center"/>
        </w:trPr>
        <w:tc>
          <w:tcPr>
            <w:tcW w:w="959" w:type="dxa"/>
            <w:vAlign w:val="center"/>
          </w:tcPr>
          <w:p w:rsidR="00BD5820" w:rsidRDefault="00F64314">
            <w:pPr>
              <w:pStyle w:val="aff7"/>
              <w:rPr>
                <w:sz w:val="21"/>
                <w:szCs w:val="21"/>
              </w:rPr>
            </w:pPr>
            <w:r>
              <w:rPr>
                <w:sz w:val="21"/>
                <w:szCs w:val="21"/>
              </w:rPr>
              <w:t>4</w:t>
            </w:r>
          </w:p>
        </w:tc>
        <w:tc>
          <w:tcPr>
            <w:tcW w:w="2693" w:type="dxa"/>
            <w:vAlign w:val="center"/>
          </w:tcPr>
          <w:p w:rsidR="00BD5820" w:rsidRDefault="00F64314">
            <w:pPr>
              <w:pStyle w:val="aff7"/>
              <w:rPr>
                <w:sz w:val="21"/>
                <w:szCs w:val="21"/>
              </w:rPr>
            </w:pPr>
            <w:r>
              <w:rPr>
                <w:sz w:val="21"/>
                <w:szCs w:val="21"/>
              </w:rPr>
              <w:t>铜</w:t>
            </w:r>
          </w:p>
        </w:tc>
        <w:tc>
          <w:tcPr>
            <w:tcW w:w="2693" w:type="dxa"/>
            <w:vAlign w:val="center"/>
          </w:tcPr>
          <w:p w:rsidR="00BD5820" w:rsidRDefault="00F64314">
            <w:pPr>
              <w:pStyle w:val="aff7"/>
              <w:rPr>
                <w:sz w:val="21"/>
                <w:szCs w:val="21"/>
              </w:rPr>
            </w:pPr>
            <w:r>
              <w:rPr>
                <w:sz w:val="21"/>
                <w:szCs w:val="21"/>
              </w:rPr>
              <w:t>18000</w:t>
            </w:r>
          </w:p>
        </w:tc>
        <w:tc>
          <w:tcPr>
            <w:tcW w:w="2863" w:type="dxa"/>
            <w:vAlign w:val="center"/>
          </w:tcPr>
          <w:p w:rsidR="00BD5820" w:rsidRDefault="00F64314">
            <w:pPr>
              <w:pStyle w:val="aff7"/>
              <w:rPr>
                <w:sz w:val="21"/>
                <w:szCs w:val="21"/>
              </w:rPr>
            </w:pPr>
            <w:r>
              <w:rPr>
                <w:sz w:val="21"/>
                <w:szCs w:val="21"/>
              </w:rPr>
              <w:t>36000</w:t>
            </w:r>
          </w:p>
        </w:tc>
      </w:tr>
      <w:tr w:rsidR="00BD5820">
        <w:trPr>
          <w:cantSplit/>
          <w:trHeight w:val="20"/>
          <w:jc w:val="center"/>
        </w:trPr>
        <w:tc>
          <w:tcPr>
            <w:tcW w:w="959" w:type="dxa"/>
            <w:vAlign w:val="center"/>
          </w:tcPr>
          <w:p w:rsidR="00BD5820" w:rsidRDefault="00F64314">
            <w:pPr>
              <w:pStyle w:val="aff7"/>
              <w:rPr>
                <w:sz w:val="21"/>
                <w:szCs w:val="21"/>
              </w:rPr>
            </w:pPr>
            <w:r>
              <w:rPr>
                <w:sz w:val="21"/>
                <w:szCs w:val="21"/>
              </w:rPr>
              <w:t>5</w:t>
            </w:r>
          </w:p>
        </w:tc>
        <w:tc>
          <w:tcPr>
            <w:tcW w:w="2693" w:type="dxa"/>
            <w:vAlign w:val="center"/>
          </w:tcPr>
          <w:p w:rsidR="00BD5820" w:rsidRDefault="00F64314">
            <w:pPr>
              <w:pStyle w:val="aff7"/>
              <w:rPr>
                <w:sz w:val="21"/>
                <w:szCs w:val="21"/>
              </w:rPr>
            </w:pPr>
            <w:r>
              <w:rPr>
                <w:sz w:val="21"/>
                <w:szCs w:val="21"/>
              </w:rPr>
              <w:t>铅</w:t>
            </w:r>
          </w:p>
        </w:tc>
        <w:tc>
          <w:tcPr>
            <w:tcW w:w="2693" w:type="dxa"/>
            <w:vAlign w:val="center"/>
          </w:tcPr>
          <w:p w:rsidR="00BD5820" w:rsidRDefault="00F64314">
            <w:pPr>
              <w:pStyle w:val="aff7"/>
              <w:rPr>
                <w:sz w:val="21"/>
                <w:szCs w:val="21"/>
              </w:rPr>
            </w:pPr>
            <w:r>
              <w:rPr>
                <w:sz w:val="21"/>
                <w:szCs w:val="21"/>
              </w:rPr>
              <w:t>800</w:t>
            </w:r>
          </w:p>
        </w:tc>
        <w:tc>
          <w:tcPr>
            <w:tcW w:w="2863" w:type="dxa"/>
            <w:vAlign w:val="center"/>
          </w:tcPr>
          <w:p w:rsidR="00BD5820" w:rsidRDefault="00F64314">
            <w:pPr>
              <w:pStyle w:val="aff7"/>
              <w:rPr>
                <w:sz w:val="21"/>
                <w:szCs w:val="21"/>
              </w:rPr>
            </w:pPr>
            <w:r>
              <w:rPr>
                <w:sz w:val="21"/>
                <w:szCs w:val="21"/>
              </w:rPr>
              <w:t>2500</w:t>
            </w:r>
          </w:p>
        </w:tc>
      </w:tr>
      <w:tr w:rsidR="00BD5820">
        <w:trPr>
          <w:cantSplit/>
          <w:trHeight w:val="20"/>
          <w:jc w:val="center"/>
        </w:trPr>
        <w:tc>
          <w:tcPr>
            <w:tcW w:w="959" w:type="dxa"/>
            <w:vAlign w:val="center"/>
          </w:tcPr>
          <w:p w:rsidR="00BD5820" w:rsidRDefault="00F64314">
            <w:pPr>
              <w:pStyle w:val="aff7"/>
              <w:rPr>
                <w:sz w:val="21"/>
                <w:szCs w:val="21"/>
              </w:rPr>
            </w:pPr>
            <w:r>
              <w:rPr>
                <w:sz w:val="21"/>
                <w:szCs w:val="21"/>
              </w:rPr>
              <w:t>6</w:t>
            </w:r>
          </w:p>
        </w:tc>
        <w:tc>
          <w:tcPr>
            <w:tcW w:w="2693" w:type="dxa"/>
            <w:vAlign w:val="center"/>
          </w:tcPr>
          <w:p w:rsidR="00BD5820" w:rsidRDefault="00F64314">
            <w:pPr>
              <w:pStyle w:val="aff7"/>
              <w:rPr>
                <w:sz w:val="21"/>
                <w:szCs w:val="21"/>
              </w:rPr>
            </w:pPr>
            <w:r>
              <w:rPr>
                <w:sz w:val="21"/>
                <w:szCs w:val="21"/>
              </w:rPr>
              <w:t>汞</w:t>
            </w:r>
          </w:p>
        </w:tc>
        <w:tc>
          <w:tcPr>
            <w:tcW w:w="2693" w:type="dxa"/>
            <w:vAlign w:val="center"/>
          </w:tcPr>
          <w:p w:rsidR="00BD5820" w:rsidRDefault="00F64314">
            <w:pPr>
              <w:pStyle w:val="aff7"/>
              <w:rPr>
                <w:sz w:val="21"/>
                <w:szCs w:val="21"/>
              </w:rPr>
            </w:pPr>
            <w:r>
              <w:rPr>
                <w:sz w:val="21"/>
                <w:szCs w:val="21"/>
              </w:rPr>
              <w:t>38</w:t>
            </w:r>
          </w:p>
        </w:tc>
        <w:tc>
          <w:tcPr>
            <w:tcW w:w="2863" w:type="dxa"/>
            <w:vAlign w:val="center"/>
          </w:tcPr>
          <w:p w:rsidR="00BD5820" w:rsidRDefault="00F64314">
            <w:pPr>
              <w:pStyle w:val="aff7"/>
              <w:rPr>
                <w:sz w:val="21"/>
                <w:szCs w:val="21"/>
              </w:rPr>
            </w:pPr>
            <w:r>
              <w:rPr>
                <w:sz w:val="21"/>
                <w:szCs w:val="21"/>
              </w:rPr>
              <w:t>82</w:t>
            </w:r>
          </w:p>
        </w:tc>
      </w:tr>
      <w:tr w:rsidR="00BD5820">
        <w:trPr>
          <w:cantSplit/>
          <w:trHeight w:val="20"/>
          <w:jc w:val="center"/>
        </w:trPr>
        <w:tc>
          <w:tcPr>
            <w:tcW w:w="959" w:type="dxa"/>
            <w:vAlign w:val="center"/>
          </w:tcPr>
          <w:p w:rsidR="00BD5820" w:rsidRDefault="00F64314">
            <w:pPr>
              <w:pStyle w:val="aff7"/>
              <w:rPr>
                <w:sz w:val="21"/>
                <w:szCs w:val="21"/>
              </w:rPr>
            </w:pPr>
            <w:r>
              <w:rPr>
                <w:sz w:val="21"/>
                <w:szCs w:val="21"/>
              </w:rPr>
              <w:t>7</w:t>
            </w:r>
          </w:p>
        </w:tc>
        <w:tc>
          <w:tcPr>
            <w:tcW w:w="2693" w:type="dxa"/>
            <w:vAlign w:val="center"/>
          </w:tcPr>
          <w:p w:rsidR="00BD5820" w:rsidRDefault="00F64314">
            <w:pPr>
              <w:pStyle w:val="aff7"/>
              <w:rPr>
                <w:sz w:val="21"/>
                <w:szCs w:val="21"/>
              </w:rPr>
            </w:pPr>
            <w:r>
              <w:rPr>
                <w:sz w:val="21"/>
                <w:szCs w:val="21"/>
              </w:rPr>
              <w:t>镍</w:t>
            </w:r>
          </w:p>
        </w:tc>
        <w:tc>
          <w:tcPr>
            <w:tcW w:w="2693" w:type="dxa"/>
            <w:vAlign w:val="center"/>
          </w:tcPr>
          <w:p w:rsidR="00BD5820" w:rsidRDefault="00F64314">
            <w:pPr>
              <w:pStyle w:val="aff7"/>
              <w:rPr>
                <w:sz w:val="21"/>
                <w:szCs w:val="21"/>
              </w:rPr>
            </w:pPr>
            <w:r>
              <w:rPr>
                <w:sz w:val="21"/>
                <w:szCs w:val="21"/>
              </w:rPr>
              <w:t>900</w:t>
            </w:r>
          </w:p>
        </w:tc>
        <w:tc>
          <w:tcPr>
            <w:tcW w:w="2863" w:type="dxa"/>
            <w:vAlign w:val="center"/>
          </w:tcPr>
          <w:p w:rsidR="00BD5820" w:rsidRDefault="00F64314">
            <w:pPr>
              <w:pStyle w:val="aff7"/>
              <w:rPr>
                <w:sz w:val="21"/>
                <w:szCs w:val="21"/>
              </w:rPr>
            </w:pPr>
            <w:r>
              <w:rPr>
                <w:sz w:val="21"/>
                <w:szCs w:val="21"/>
              </w:rPr>
              <w:t>2000</w:t>
            </w:r>
          </w:p>
        </w:tc>
      </w:tr>
      <w:tr w:rsidR="00BD5820">
        <w:trPr>
          <w:cantSplit/>
          <w:trHeight w:val="20"/>
          <w:jc w:val="center"/>
        </w:trPr>
        <w:tc>
          <w:tcPr>
            <w:tcW w:w="9208" w:type="dxa"/>
            <w:gridSpan w:val="4"/>
            <w:vAlign w:val="center"/>
          </w:tcPr>
          <w:p w:rsidR="00BD5820" w:rsidRDefault="00F64314">
            <w:pPr>
              <w:pStyle w:val="aff7"/>
              <w:jc w:val="both"/>
              <w:rPr>
                <w:sz w:val="21"/>
                <w:szCs w:val="21"/>
              </w:rPr>
            </w:pPr>
            <w:r>
              <w:rPr>
                <w:sz w:val="21"/>
                <w:szCs w:val="21"/>
              </w:rPr>
              <w:t>挥发性有机物</w:t>
            </w:r>
          </w:p>
        </w:tc>
      </w:tr>
      <w:tr w:rsidR="00BD5820">
        <w:trPr>
          <w:cantSplit/>
          <w:trHeight w:val="20"/>
          <w:jc w:val="center"/>
        </w:trPr>
        <w:tc>
          <w:tcPr>
            <w:tcW w:w="959" w:type="dxa"/>
            <w:vAlign w:val="center"/>
          </w:tcPr>
          <w:p w:rsidR="00BD5820" w:rsidRDefault="00F64314">
            <w:pPr>
              <w:pStyle w:val="aff7"/>
              <w:rPr>
                <w:sz w:val="21"/>
                <w:szCs w:val="21"/>
              </w:rPr>
            </w:pPr>
            <w:r>
              <w:rPr>
                <w:sz w:val="21"/>
                <w:szCs w:val="21"/>
              </w:rPr>
              <w:t>8</w:t>
            </w:r>
          </w:p>
        </w:tc>
        <w:tc>
          <w:tcPr>
            <w:tcW w:w="2693" w:type="dxa"/>
            <w:vAlign w:val="center"/>
          </w:tcPr>
          <w:p w:rsidR="00BD5820" w:rsidRDefault="00F64314">
            <w:pPr>
              <w:pStyle w:val="aff7"/>
              <w:rPr>
                <w:sz w:val="21"/>
                <w:szCs w:val="21"/>
              </w:rPr>
            </w:pPr>
            <w:r>
              <w:rPr>
                <w:sz w:val="21"/>
                <w:szCs w:val="21"/>
              </w:rPr>
              <w:t>四氯化碳</w:t>
            </w:r>
          </w:p>
        </w:tc>
        <w:tc>
          <w:tcPr>
            <w:tcW w:w="2693" w:type="dxa"/>
            <w:vAlign w:val="center"/>
          </w:tcPr>
          <w:p w:rsidR="00BD5820" w:rsidRDefault="00F64314">
            <w:pPr>
              <w:pStyle w:val="aff7"/>
              <w:rPr>
                <w:sz w:val="21"/>
                <w:szCs w:val="21"/>
              </w:rPr>
            </w:pPr>
            <w:r>
              <w:rPr>
                <w:sz w:val="21"/>
                <w:szCs w:val="21"/>
              </w:rPr>
              <w:t>2.8</w:t>
            </w:r>
          </w:p>
        </w:tc>
        <w:tc>
          <w:tcPr>
            <w:tcW w:w="2863" w:type="dxa"/>
            <w:vAlign w:val="center"/>
          </w:tcPr>
          <w:p w:rsidR="00BD5820" w:rsidRDefault="00F64314">
            <w:pPr>
              <w:pStyle w:val="aff7"/>
              <w:rPr>
                <w:sz w:val="21"/>
                <w:szCs w:val="21"/>
              </w:rPr>
            </w:pPr>
            <w:r>
              <w:rPr>
                <w:sz w:val="21"/>
                <w:szCs w:val="21"/>
              </w:rPr>
              <w:t>36</w:t>
            </w:r>
          </w:p>
        </w:tc>
      </w:tr>
      <w:tr w:rsidR="00BD5820">
        <w:trPr>
          <w:cantSplit/>
          <w:trHeight w:val="20"/>
          <w:jc w:val="center"/>
        </w:trPr>
        <w:tc>
          <w:tcPr>
            <w:tcW w:w="959" w:type="dxa"/>
            <w:vAlign w:val="center"/>
          </w:tcPr>
          <w:p w:rsidR="00BD5820" w:rsidRDefault="00F64314">
            <w:pPr>
              <w:pStyle w:val="aff7"/>
              <w:rPr>
                <w:sz w:val="21"/>
                <w:szCs w:val="21"/>
              </w:rPr>
            </w:pPr>
            <w:r>
              <w:rPr>
                <w:sz w:val="21"/>
                <w:szCs w:val="21"/>
              </w:rPr>
              <w:t>9</w:t>
            </w:r>
          </w:p>
        </w:tc>
        <w:tc>
          <w:tcPr>
            <w:tcW w:w="2693" w:type="dxa"/>
            <w:vAlign w:val="center"/>
          </w:tcPr>
          <w:p w:rsidR="00BD5820" w:rsidRDefault="00F64314">
            <w:pPr>
              <w:pStyle w:val="aff7"/>
              <w:rPr>
                <w:sz w:val="21"/>
                <w:szCs w:val="21"/>
              </w:rPr>
            </w:pPr>
            <w:r>
              <w:rPr>
                <w:sz w:val="21"/>
                <w:szCs w:val="21"/>
              </w:rPr>
              <w:t>氯仿</w:t>
            </w:r>
          </w:p>
        </w:tc>
        <w:tc>
          <w:tcPr>
            <w:tcW w:w="2693" w:type="dxa"/>
            <w:vAlign w:val="center"/>
          </w:tcPr>
          <w:p w:rsidR="00BD5820" w:rsidRDefault="00F64314">
            <w:pPr>
              <w:pStyle w:val="aff7"/>
              <w:rPr>
                <w:sz w:val="21"/>
                <w:szCs w:val="21"/>
              </w:rPr>
            </w:pPr>
            <w:r>
              <w:rPr>
                <w:sz w:val="21"/>
                <w:szCs w:val="21"/>
              </w:rPr>
              <w:t>0.9</w:t>
            </w:r>
          </w:p>
        </w:tc>
        <w:tc>
          <w:tcPr>
            <w:tcW w:w="2863" w:type="dxa"/>
            <w:vAlign w:val="center"/>
          </w:tcPr>
          <w:p w:rsidR="00BD5820" w:rsidRDefault="00F64314">
            <w:pPr>
              <w:pStyle w:val="aff7"/>
              <w:rPr>
                <w:sz w:val="21"/>
                <w:szCs w:val="21"/>
              </w:rPr>
            </w:pPr>
            <w:r>
              <w:rPr>
                <w:sz w:val="21"/>
                <w:szCs w:val="21"/>
              </w:rPr>
              <w:t>10</w:t>
            </w:r>
          </w:p>
        </w:tc>
      </w:tr>
      <w:tr w:rsidR="00BD5820">
        <w:trPr>
          <w:cantSplit/>
          <w:trHeight w:val="20"/>
          <w:jc w:val="center"/>
        </w:trPr>
        <w:tc>
          <w:tcPr>
            <w:tcW w:w="959" w:type="dxa"/>
            <w:vAlign w:val="center"/>
          </w:tcPr>
          <w:p w:rsidR="00BD5820" w:rsidRDefault="00F64314">
            <w:pPr>
              <w:pStyle w:val="aff7"/>
              <w:rPr>
                <w:sz w:val="21"/>
                <w:szCs w:val="21"/>
              </w:rPr>
            </w:pPr>
            <w:r>
              <w:rPr>
                <w:sz w:val="21"/>
                <w:szCs w:val="21"/>
              </w:rPr>
              <w:t>10</w:t>
            </w:r>
          </w:p>
        </w:tc>
        <w:tc>
          <w:tcPr>
            <w:tcW w:w="2693" w:type="dxa"/>
            <w:vAlign w:val="center"/>
          </w:tcPr>
          <w:p w:rsidR="00BD5820" w:rsidRDefault="00F64314">
            <w:pPr>
              <w:pStyle w:val="aff7"/>
              <w:rPr>
                <w:sz w:val="21"/>
                <w:szCs w:val="21"/>
              </w:rPr>
            </w:pPr>
            <w:r>
              <w:rPr>
                <w:sz w:val="21"/>
                <w:szCs w:val="21"/>
              </w:rPr>
              <w:t>氯甲烷</w:t>
            </w:r>
          </w:p>
        </w:tc>
        <w:tc>
          <w:tcPr>
            <w:tcW w:w="2693" w:type="dxa"/>
            <w:vAlign w:val="center"/>
          </w:tcPr>
          <w:p w:rsidR="00BD5820" w:rsidRDefault="00F64314">
            <w:pPr>
              <w:pStyle w:val="aff7"/>
              <w:rPr>
                <w:sz w:val="21"/>
                <w:szCs w:val="21"/>
              </w:rPr>
            </w:pPr>
            <w:r>
              <w:rPr>
                <w:sz w:val="21"/>
                <w:szCs w:val="21"/>
              </w:rPr>
              <w:t>37</w:t>
            </w:r>
          </w:p>
        </w:tc>
        <w:tc>
          <w:tcPr>
            <w:tcW w:w="2863" w:type="dxa"/>
            <w:vAlign w:val="center"/>
          </w:tcPr>
          <w:p w:rsidR="00BD5820" w:rsidRDefault="00F64314">
            <w:pPr>
              <w:pStyle w:val="aff7"/>
              <w:rPr>
                <w:sz w:val="21"/>
                <w:szCs w:val="21"/>
              </w:rPr>
            </w:pPr>
            <w:r>
              <w:rPr>
                <w:sz w:val="21"/>
                <w:szCs w:val="21"/>
              </w:rPr>
              <w:t>120</w:t>
            </w:r>
          </w:p>
        </w:tc>
      </w:tr>
      <w:tr w:rsidR="00BD5820">
        <w:trPr>
          <w:cantSplit/>
          <w:trHeight w:val="20"/>
          <w:jc w:val="center"/>
        </w:trPr>
        <w:tc>
          <w:tcPr>
            <w:tcW w:w="959" w:type="dxa"/>
            <w:vAlign w:val="center"/>
          </w:tcPr>
          <w:p w:rsidR="00BD5820" w:rsidRDefault="00F64314">
            <w:pPr>
              <w:pStyle w:val="aff7"/>
              <w:rPr>
                <w:sz w:val="21"/>
                <w:szCs w:val="21"/>
              </w:rPr>
            </w:pPr>
            <w:r>
              <w:rPr>
                <w:sz w:val="21"/>
                <w:szCs w:val="21"/>
              </w:rPr>
              <w:t>11</w:t>
            </w:r>
          </w:p>
        </w:tc>
        <w:tc>
          <w:tcPr>
            <w:tcW w:w="2693" w:type="dxa"/>
            <w:vAlign w:val="center"/>
          </w:tcPr>
          <w:p w:rsidR="00BD5820" w:rsidRDefault="00F64314">
            <w:pPr>
              <w:pStyle w:val="aff7"/>
              <w:rPr>
                <w:sz w:val="21"/>
                <w:szCs w:val="21"/>
              </w:rPr>
            </w:pPr>
            <w:r>
              <w:rPr>
                <w:sz w:val="21"/>
                <w:szCs w:val="21"/>
              </w:rPr>
              <w:t>1,1-</w:t>
            </w:r>
            <w:r>
              <w:rPr>
                <w:sz w:val="21"/>
                <w:szCs w:val="21"/>
              </w:rPr>
              <w:t>二氯乙烷</w:t>
            </w:r>
          </w:p>
        </w:tc>
        <w:tc>
          <w:tcPr>
            <w:tcW w:w="2693" w:type="dxa"/>
            <w:vAlign w:val="center"/>
          </w:tcPr>
          <w:p w:rsidR="00BD5820" w:rsidRDefault="00F64314">
            <w:pPr>
              <w:pStyle w:val="aff7"/>
              <w:rPr>
                <w:sz w:val="21"/>
                <w:szCs w:val="21"/>
              </w:rPr>
            </w:pPr>
            <w:r>
              <w:rPr>
                <w:sz w:val="21"/>
                <w:szCs w:val="21"/>
              </w:rPr>
              <w:t>9</w:t>
            </w:r>
          </w:p>
        </w:tc>
        <w:tc>
          <w:tcPr>
            <w:tcW w:w="2863" w:type="dxa"/>
            <w:vAlign w:val="center"/>
          </w:tcPr>
          <w:p w:rsidR="00BD5820" w:rsidRDefault="00F64314">
            <w:pPr>
              <w:pStyle w:val="aff7"/>
              <w:rPr>
                <w:sz w:val="21"/>
                <w:szCs w:val="21"/>
              </w:rPr>
            </w:pPr>
            <w:r>
              <w:rPr>
                <w:sz w:val="21"/>
                <w:szCs w:val="21"/>
              </w:rPr>
              <w:t>100</w:t>
            </w:r>
          </w:p>
        </w:tc>
      </w:tr>
      <w:tr w:rsidR="00BD5820">
        <w:trPr>
          <w:cantSplit/>
          <w:trHeight w:val="20"/>
          <w:jc w:val="center"/>
        </w:trPr>
        <w:tc>
          <w:tcPr>
            <w:tcW w:w="959" w:type="dxa"/>
            <w:vAlign w:val="center"/>
          </w:tcPr>
          <w:p w:rsidR="00BD5820" w:rsidRDefault="00F64314">
            <w:pPr>
              <w:pStyle w:val="aff7"/>
              <w:rPr>
                <w:sz w:val="21"/>
                <w:szCs w:val="21"/>
              </w:rPr>
            </w:pPr>
            <w:r>
              <w:rPr>
                <w:sz w:val="21"/>
                <w:szCs w:val="21"/>
              </w:rPr>
              <w:t>12</w:t>
            </w:r>
          </w:p>
        </w:tc>
        <w:tc>
          <w:tcPr>
            <w:tcW w:w="2693" w:type="dxa"/>
            <w:vAlign w:val="center"/>
          </w:tcPr>
          <w:p w:rsidR="00BD5820" w:rsidRDefault="00F64314">
            <w:pPr>
              <w:pStyle w:val="aff7"/>
              <w:rPr>
                <w:sz w:val="21"/>
                <w:szCs w:val="21"/>
              </w:rPr>
            </w:pPr>
            <w:r>
              <w:rPr>
                <w:sz w:val="21"/>
                <w:szCs w:val="21"/>
              </w:rPr>
              <w:t>1,2-</w:t>
            </w:r>
            <w:r>
              <w:rPr>
                <w:sz w:val="21"/>
                <w:szCs w:val="21"/>
              </w:rPr>
              <w:t>二氯乙烷</w:t>
            </w:r>
          </w:p>
        </w:tc>
        <w:tc>
          <w:tcPr>
            <w:tcW w:w="2693" w:type="dxa"/>
            <w:vAlign w:val="center"/>
          </w:tcPr>
          <w:p w:rsidR="00BD5820" w:rsidRDefault="00F64314">
            <w:pPr>
              <w:pStyle w:val="aff7"/>
              <w:rPr>
                <w:sz w:val="21"/>
                <w:szCs w:val="21"/>
              </w:rPr>
            </w:pPr>
            <w:r>
              <w:rPr>
                <w:sz w:val="21"/>
                <w:szCs w:val="21"/>
              </w:rPr>
              <w:t>5</w:t>
            </w:r>
          </w:p>
        </w:tc>
        <w:tc>
          <w:tcPr>
            <w:tcW w:w="2863" w:type="dxa"/>
            <w:vAlign w:val="center"/>
          </w:tcPr>
          <w:p w:rsidR="00BD5820" w:rsidRDefault="00F64314">
            <w:pPr>
              <w:pStyle w:val="aff7"/>
              <w:rPr>
                <w:sz w:val="21"/>
                <w:szCs w:val="21"/>
              </w:rPr>
            </w:pPr>
            <w:r>
              <w:rPr>
                <w:sz w:val="21"/>
                <w:szCs w:val="21"/>
              </w:rPr>
              <w:t>21</w:t>
            </w:r>
          </w:p>
        </w:tc>
      </w:tr>
      <w:tr w:rsidR="00BD5820">
        <w:trPr>
          <w:cantSplit/>
          <w:trHeight w:val="20"/>
          <w:jc w:val="center"/>
        </w:trPr>
        <w:tc>
          <w:tcPr>
            <w:tcW w:w="959" w:type="dxa"/>
            <w:vAlign w:val="center"/>
          </w:tcPr>
          <w:p w:rsidR="00BD5820" w:rsidRDefault="00F64314">
            <w:pPr>
              <w:pStyle w:val="aff7"/>
              <w:rPr>
                <w:sz w:val="21"/>
                <w:szCs w:val="21"/>
              </w:rPr>
            </w:pPr>
            <w:r>
              <w:rPr>
                <w:sz w:val="21"/>
                <w:szCs w:val="21"/>
              </w:rPr>
              <w:t>13</w:t>
            </w:r>
          </w:p>
        </w:tc>
        <w:tc>
          <w:tcPr>
            <w:tcW w:w="2693" w:type="dxa"/>
            <w:vAlign w:val="center"/>
          </w:tcPr>
          <w:p w:rsidR="00BD5820" w:rsidRDefault="00F64314">
            <w:pPr>
              <w:pStyle w:val="aff7"/>
              <w:rPr>
                <w:sz w:val="21"/>
                <w:szCs w:val="21"/>
              </w:rPr>
            </w:pPr>
            <w:r>
              <w:rPr>
                <w:sz w:val="21"/>
                <w:szCs w:val="21"/>
              </w:rPr>
              <w:t>1,1-</w:t>
            </w:r>
            <w:r>
              <w:rPr>
                <w:sz w:val="21"/>
                <w:szCs w:val="21"/>
              </w:rPr>
              <w:t>二氯乙烯</w:t>
            </w:r>
          </w:p>
        </w:tc>
        <w:tc>
          <w:tcPr>
            <w:tcW w:w="2693" w:type="dxa"/>
            <w:vAlign w:val="center"/>
          </w:tcPr>
          <w:p w:rsidR="00BD5820" w:rsidRDefault="00F64314">
            <w:pPr>
              <w:pStyle w:val="aff7"/>
              <w:rPr>
                <w:sz w:val="21"/>
                <w:szCs w:val="21"/>
              </w:rPr>
            </w:pPr>
            <w:r>
              <w:rPr>
                <w:sz w:val="21"/>
                <w:szCs w:val="21"/>
              </w:rPr>
              <w:t>66</w:t>
            </w:r>
          </w:p>
        </w:tc>
        <w:tc>
          <w:tcPr>
            <w:tcW w:w="2863" w:type="dxa"/>
            <w:vAlign w:val="center"/>
          </w:tcPr>
          <w:p w:rsidR="00BD5820" w:rsidRDefault="00F64314">
            <w:pPr>
              <w:pStyle w:val="aff7"/>
              <w:rPr>
                <w:sz w:val="21"/>
                <w:szCs w:val="21"/>
              </w:rPr>
            </w:pPr>
            <w:r>
              <w:rPr>
                <w:sz w:val="21"/>
                <w:szCs w:val="21"/>
              </w:rPr>
              <w:t>200</w:t>
            </w:r>
          </w:p>
        </w:tc>
      </w:tr>
      <w:tr w:rsidR="00BD5820">
        <w:trPr>
          <w:cantSplit/>
          <w:trHeight w:val="20"/>
          <w:jc w:val="center"/>
        </w:trPr>
        <w:tc>
          <w:tcPr>
            <w:tcW w:w="959" w:type="dxa"/>
            <w:vAlign w:val="center"/>
          </w:tcPr>
          <w:p w:rsidR="00BD5820" w:rsidRDefault="00F64314">
            <w:pPr>
              <w:pStyle w:val="aff7"/>
              <w:rPr>
                <w:sz w:val="21"/>
                <w:szCs w:val="21"/>
              </w:rPr>
            </w:pPr>
            <w:r>
              <w:rPr>
                <w:sz w:val="21"/>
                <w:szCs w:val="21"/>
              </w:rPr>
              <w:t>14</w:t>
            </w:r>
          </w:p>
        </w:tc>
        <w:tc>
          <w:tcPr>
            <w:tcW w:w="2693" w:type="dxa"/>
            <w:vAlign w:val="center"/>
          </w:tcPr>
          <w:p w:rsidR="00BD5820" w:rsidRDefault="00F64314">
            <w:pPr>
              <w:pStyle w:val="aff7"/>
              <w:rPr>
                <w:sz w:val="21"/>
                <w:szCs w:val="21"/>
              </w:rPr>
            </w:pPr>
            <w:r>
              <w:rPr>
                <w:sz w:val="21"/>
                <w:szCs w:val="21"/>
              </w:rPr>
              <w:t>顺</w:t>
            </w:r>
            <w:r>
              <w:rPr>
                <w:sz w:val="21"/>
                <w:szCs w:val="21"/>
              </w:rPr>
              <w:t>1,2-</w:t>
            </w:r>
            <w:r>
              <w:rPr>
                <w:sz w:val="21"/>
                <w:szCs w:val="21"/>
              </w:rPr>
              <w:t>二氯乙烯</w:t>
            </w:r>
          </w:p>
        </w:tc>
        <w:tc>
          <w:tcPr>
            <w:tcW w:w="2693" w:type="dxa"/>
            <w:vAlign w:val="center"/>
          </w:tcPr>
          <w:p w:rsidR="00BD5820" w:rsidRDefault="00F64314">
            <w:pPr>
              <w:pStyle w:val="aff7"/>
              <w:rPr>
                <w:sz w:val="21"/>
                <w:szCs w:val="21"/>
              </w:rPr>
            </w:pPr>
            <w:r>
              <w:rPr>
                <w:sz w:val="21"/>
                <w:szCs w:val="21"/>
              </w:rPr>
              <w:t>596</w:t>
            </w:r>
          </w:p>
        </w:tc>
        <w:tc>
          <w:tcPr>
            <w:tcW w:w="2863" w:type="dxa"/>
            <w:vAlign w:val="center"/>
          </w:tcPr>
          <w:p w:rsidR="00BD5820" w:rsidRDefault="00F64314">
            <w:pPr>
              <w:pStyle w:val="aff7"/>
              <w:rPr>
                <w:sz w:val="21"/>
                <w:szCs w:val="21"/>
              </w:rPr>
            </w:pPr>
            <w:r>
              <w:rPr>
                <w:sz w:val="21"/>
                <w:szCs w:val="21"/>
              </w:rPr>
              <w:t>2000</w:t>
            </w:r>
          </w:p>
        </w:tc>
      </w:tr>
      <w:tr w:rsidR="00BD5820">
        <w:trPr>
          <w:cantSplit/>
          <w:trHeight w:val="20"/>
          <w:jc w:val="center"/>
        </w:trPr>
        <w:tc>
          <w:tcPr>
            <w:tcW w:w="959" w:type="dxa"/>
            <w:vAlign w:val="center"/>
          </w:tcPr>
          <w:p w:rsidR="00BD5820" w:rsidRDefault="00F64314">
            <w:pPr>
              <w:pStyle w:val="aff7"/>
              <w:rPr>
                <w:sz w:val="21"/>
                <w:szCs w:val="21"/>
              </w:rPr>
            </w:pPr>
            <w:r>
              <w:rPr>
                <w:sz w:val="21"/>
                <w:szCs w:val="21"/>
              </w:rPr>
              <w:t>15</w:t>
            </w:r>
          </w:p>
        </w:tc>
        <w:tc>
          <w:tcPr>
            <w:tcW w:w="2693" w:type="dxa"/>
            <w:vAlign w:val="center"/>
          </w:tcPr>
          <w:p w:rsidR="00BD5820" w:rsidRDefault="00F64314">
            <w:pPr>
              <w:pStyle w:val="aff7"/>
              <w:rPr>
                <w:sz w:val="21"/>
                <w:szCs w:val="21"/>
              </w:rPr>
            </w:pPr>
            <w:r>
              <w:rPr>
                <w:sz w:val="21"/>
                <w:szCs w:val="21"/>
              </w:rPr>
              <w:t>反</w:t>
            </w:r>
            <w:r>
              <w:rPr>
                <w:sz w:val="21"/>
                <w:szCs w:val="21"/>
              </w:rPr>
              <w:t>1,2-</w:t>
            </w:r>
            <w:r>
              <w:rPr>
                <w:sz w:val="21"/>
                <w:szCs w:val="21"/>
              </w:rPr>
              <w:t>二氯乙烯</w:t>
            </w:r>
          </w:p>
        </w:tc>
        <w:tc>
          <w:tcPr>
            <w:tcW w:w="2693" w:type="dxa"/>
            <w:vAlign w:val="center"/>
          </w:tcPr>
          <w:p w:rsidR="00BD5820" w:rsidRDefault="00F64314">
            <w:pPr>
              <w:pStyle w:val="aff7"/>
              <w:rPr>
                <w:sz w:val="21"/>
                <w:szCs w:val="21"/>
              </w:rPr>
            </w:pPr>
            <w:r>
              <w:rPr>
                <w:sz w:val="21"/>
                <w:szCs w:val="21"/>
              </w:rPr>
              <w:t>54</w:t>
            </w:r>
          </w:p>
        </w:tc>
        <w:tc>
          <w:tcPr>
            <w:tcW w:w="2863" w:type="dxa"/>
            <w:vAlign w:val="center"/>
          </w:tcPr>
          <w:p w:rsidR="00BD5820" w:rsidRDefault="00F64314">
            <w:pPr>
              <w:pStyle w:val="aff7"/>
              <w:rPr>
                <w:sz w:val="21"/>
                <w:szCs w:val="21"/>
              </w:rPr>
            </w:pPr>
            <w:r>
              <w:rPr>
                <w:sz w:val="21"/>
                <w:szCs w:val="21"/>
              </w:rPr>
              <w:t>163</w:t>
            </w:r>
          </w:p>
        </w:tc>
      </w:tr>
      <w:tr w:rsidR="00BD5820">
        <w:trPr>
          <w:cantSplit/>
          <w:trHeight w:val="20"/>
          <w:jc w:val="center"/>
        </w:trPr>
        <w:tc>
          <w:tcPr>
            <w:tcW w:w="959" w:type="dxa"/>
            <w:vAlign w:val="center"/>
          </w:tcPr>
          <w:p w:rsidR="00BD5820" w:rsidRDefault="00F64314">
            <w:pPr>
              <w:pStyle w:val="aff7"/>
              <w:rPr>
                <w:sz w:val="21"/>
                <w:szCs w:val="21"/>
              </w:rPr>
            </w:pPr>
            <w:r>
              <w:rPr>
                <w:sz w:val="21"/>
                <w:szCs w:val="21"/>
              </w:rPr>
              <w:lastRenderedPageBreak/>
              <w:t>16</w:t>
            </w:r>
          </w:p>
        </w:tc>
        <w:tc>
          <w:tcPr>
            <w:tcW w:w="2693" w:type="dxa"/>
            <w:vAlign w:val="center"/>
          </w:tcPr>
          <w:p w:rsidR="00BD5820" w:rsidRDefault="00F64314">
            <w:pPr>
              <w:pStyle w:val="aff7"/>
              <w:rPr>
                <w:sz w:val="21"/>
                <w:szCs w:val="21"/>
              </w:rPr>
            </w:pPr>
            <w:r>
              <w:rPr>
                <w:sz w:val="21"/>
                <w:szCs w:val="21"/>
              </w:rPr>
              <w:t>二氯甲烷</w:t>
            </w:r>
          </w:p>
        </w:tc>
        <w:tc>
          <w:tcPr>
            <w:tcW w:w="2693" w:type="dxa"/>
            <w:vAlign w:val="center"/>
          </w:tcPr>
          <w:p w:rsidR="00BD5820" w:rsidRDefault="00F64314">
            <w:pPr>
              <w:pStyle w:val="aff7"/>
              <w:rPr>
                <w:sz w:val="21"/>
                <w:szCs w:val="21"/>
              </w:rPr>
            </w:pPr>
            <w:r>
              <w:rPr>
                <w:sz w:val="21"/>
                <w:szCs w:val="21"/>
              </w:rPr>
              <w:t>616</w:t>
            </w:r>
          </w:p>
        </w:tc>
        <w:tc>
          <w:tcPr>
            <w:tcW w:w="2863" w:type="dxa"/>
            <w:vAlign w:val="center"/>
          </w:tcPr>
          <w:p w:rsidR="00BD5820" w:rsidRDefault="00F64314">
            <w:pPr>
              <w:pStyle w:val="aff7"/>
              <w:rPr>
                <w:sz w:val="21"/>
                <w:szCs w:val="21"/>
              </w:rPr>
            </w:pPr>
            <w:r>
              <w:rPr>
                <w:sz w:val="21"/>
                <w:szCs w:val="21"/>
              </w:rPr>
              <w:t>2000</w:t>
            </w:r>
          </w:p>
        </w:tc>
      </w:tr>
      <w:tr w:rsidR="00BD5820">
        <w:trPr>
          <w:cantSplit/>
          <w:trHeight w:val="20"/>
          <w:jc w:val="center"/>
        </w:trPr>
        <w:tc>
          <w:tcPr>
            <w:tcW w:w="959" w:type="dxa"/>
            <w:vAlign w:val="center"/>
          </w:tcPr>
          <w:p w:rsidR="00BD5820" w:rsidRDefault="00F64314">
            <w:pPr>
              <w:pStyle w:val="aff7"/>
              <w:rPr>
                <w:sz w:val="21"/>
                <w:szCs w:val="21"/>
              </w:rPr>
            </w:pPr>
            <w:r>
              <w:rPr>
                <w:sz w:val="21"/>
                <w:szCs w:val="21"/>
              </w:rPr>
              <w:t>17</w:t>
            </w:r>
          </w:p>
        </w:tc>
        <w:tc>
          <w:tcPr>
            <w:tcW w:w="2693" w:type="dxa"/>
            <w:vAlign w:val="center"/>
          </w:tcPr>
          <w:p w:rsidR="00BD5820" w:rsidRDefault="00F64314">
            <w:pPr>
              <w:pStyle w:val="aff7"/>
              <w:rPr>
                <w:sz w:val="21"/>
                <w:szCs w:val="21"/>
              </w:rPr>
            </w:pPr>
            <w:r>
              <w:rPr>
                <w:sz w:val="21"/>
                <w:szCs w:val="21"/>
              </w:rPr>
              <w:t>1,2-</w:t>
            </w:r>
            <w:r>
              <w:rPr>
                <w:sz w:val="21"/>
                <w:szCs w:val="21"/>
              </w:rPr>
              <w:t>二氯丙烷</w:t>
            </w:r>
          </w:p>
        </w:tc>
        <w:tc>
          <w:tcPr>
            <w:tcW w:w="2693" w:type="dxa"/>
            <w:vAlign w:val="center"/>
          </w:tcPr>
          <w:p w:rsidR="00BD5820" w:rsidRDefault="00F64314">
            <w:pPr>
              <w:pStyle w:val="aff7"/>
              <w:rPr>
                <w:sz w:val="21"/>
                <w:szCs w:val="21"/>
              </w:rPr>
            </w:pPr>
            <w:r>
              <w:rPr>
                <w:sz w:val="21"/>
                <w:szCs w:val="21"/>
              </w:rPr>
              <w:t>5</w:t>
            </w:r>
          </w:p>
        </w:tc>
        <w:tc>
          <w:tcPr>
            <w:tcW w:w="2863" w:type="dxa"/>
            <w:vAlign w:val="center"/>
          </w:tcPr>
          <w:p w:rsidR="00BD5820" w:rsidRDefault="00F64314">
            <w:pPr>
              <w:pStyle w:val="aff7"/>
              <w:rPr>
                <w:sz w:val="21"/>
                <w:szCs w:val="21"/>
              </w:rPr>
            </w:pPr>
            <w:r>
              <w:rPr>
                <w:sz w:val="21"/>
                <w:szCs w:val="21"/>
              </w:rPr>
              <w:t>47</w:t>
            </w:r>
          </w:p>
        </w:tc>
      </w:tr>
      <w:tr w:rsidR="00BD5820">
        <w:trPr>
          <w:cantSplit/>
          <w:trHeight w:val="20"/>
          <w:jc w:val="center"/>
        </w:trPr>
        <w:tc>
          <w:tcPr>
            <w:tcW w:w="959" w:type="dxa"/>
            <w:vAlign w:val="center"/>
          </w:tcPr>
          <w:p w:rsidR="00BD5820" w:rsidRDefault="00F64314">
            <w:pPr>
              <w:pStyle w:val="aff7"/>
              <w:rPr>
                <w:sz w:val="21"/>
                <w:szCs w:val="21"/>
              </w:rPr>
            </w:pPr>
            <w:r>
              <w:rPr>
                <w:sz w:val="21"/>
                <w:szCs w:val="21"/>
              </w:rPr>
              <w:t>18</w:t>
            </w:r>
          </w:p>
        </w:tc>
        <w:tc>
          <w:tcPr>
            <w:tcW w:w="2693" w:type="dxa"/>
            <w:vAlign w:val="center"/>
          </w:tcPr>
          <w:p w:rsidR="00BD5820" w:rsidRDefault="00F64314">
            <w:pPr>
              <w:pStyle w:val="aff7"/>
              <w:rPr>
                <w:sz w:val="21"/>
                <w:szCs w:val="21"/>
              </w:rPr>
            </w:pPr>
            <w:r>
              <w:rPr>
                <w:sz w:val="21"/>
                <w:szCs w:val="21"/>
              </w:rPr>
              <w:t>1,1,1,2-</w:t>
            </w:r>
            <w:r>
              <w:rPr>
                <w:sz w:val="21"/>
                <w:szCs w:val="21"/>
              </w:rPr>
              <w:t>四氯乙烷</w:t>
            </w:r>
          </w:p>
        </w:tc>
        <w:tc>
          <w:tcPr>
            <w:tcW w:w="2693" w:type="dxa"/>
            <w:vAlign w:val="center"/>
          </w:tcPr>
          <w:p w:rsidR="00BD5820" w:rsidRDefault="00F64314">
            <w:pPr>
              <w:pStyle w:val="aff7"/>
              <w:rPr>
                <w:sz w:val="21"/>
                <w:szCs w:val="21"/>
              </w:rPr>
            </w:pPr>
            <w:r>
              <w:rPr>
                <w:sz w:val="21"/>
                <w:szCs w:val="21"/>
              </w:rPr>
              <w:t>10</w:t>
            </w:r>
          </w:p>
        </w:tc>
        <w:tc>
          <w:tcPr>
            <w:tcW w:w="2863" w:type="dxa"/>
            <w:vAlign w:val="center"/>
          </w:tcPr>
          <w:p w:rsidR="00BD5820" w:rsidRDefault="00F64314">
            <w:pPr>
              <w:pStyle w:val="aff7"/>
              <w:rPr>
                <w:sz w:val="21"/>
                <w:szCs w:val="21"/>
              </w:rPr>
            </w:pPr>
            <w:r>
              <w:rPr>
                <w:sz w:val="21"/>
                <w:szCs w:val="21"/>
              </w:rPr>
              <w:t>100</w:t>
            </w:r>
          </w:p>
        </w:tc>
      </w:tr>
      <w:tr w:rsidR="00BD5820">
        <w:trPr>
          <w:cantSplit/>
          <w:trHeight w:val="20"/>
          <w:jc w:val="center"/>
        </w:trPr>
        <w:tc>
          <w:tcPr>
            <w:tcW w:w="959" w:type="dxa"/>
            <w:vAlign w:val="center"/>
          </w:tcPr>
          <w:p w:rsidR="00BD5820" w:rsidRDefault="00F64314">
            <w:pPr>
              <w:pStyle w:val="aff7"/>
              <w:rPr>
                <w:sz w:val="21"/>
                <w:szCs w:val="21"/>
              </w:rPr>
            </w:pPr>
            <w:r>
              <w:rPr>
                <w:sz w:val="21"/>
                <w:szCs w:val="21"/>
              </w:rPr>
              <w:t>19</w:t>
            </w:r>
          </w:p>
        </w:tc>
        <w:tc>
          <w:tcPr>
            <w:tcW w:w="2693" w:type="dxa"/>
            <w:vAlign w:val="center"/>
          </w:tcPr>
          <w:p w:rsidR="00BD5820" w:rsidRDefault="00F64314">
            <w:pPr>
              <w:pStyle w:val="aff7"/>
              <w:rPr>
                <w:sz w:val="21"/>
                <w:szCs w:val="21"/>
              </w:rPr>
            </w:pPr>
            <w:r>
              <w:rPr>
                <w:sz w:val="21"/>
                <w:szCs w:val="21"/>
              </w:rPr>
              <w:t>1,1,2,2-</w:t>
            </w:r>
            <w:r>
              <w:rPr>
                <w:sz w:val="21"/>
                <w:szCs w:val="21"/>
              </w:rPr>
              <w:t>四氯乙烷</w:t>
            </w:r>
          </w:p>
        </w:tc>
        <w:tc>
          <w:tcPr>
            <w:tcW w:w="2693" w:type="dxa"/>
            <w:vAlign w:val="center"/>
          </w:tcPr>
          <w:p w:rsidR="00BD5820" w:rsidRDefault="00F64314">
            <w:pPr>
              <w:pStyle w:val="aff7"/>
              <w:rPr>
                <w:sz w:val="21"/>
                <w:szCs w:val="21"/>
              </w:rPr>
            </w:pPr>
            <w:r>
              <w:rPr>
                <w:sz w:val="21"/>
                <w:szCs w:val="21"/>
              </w:rPr>
              <w:t>6.8</w:t>
            </w:r>
          </w:p>
        </w:tc>
        <w:tc>
          <w:tcPr>
            <w:tcW w:w="2863" w:type="dxa"/>
            <w:vAlign w:val="center"/>
          </w:tcPr>
          <w:p w:rsidR="00BD5820" w:rsidRDefault="00F64314">
            <w:pPr>
              <w:pStyle w:val="aff7"/>
              <w:rPr>
                <w:sz w:val="21"/>
                <w:szCs w:val="21"/>
              </w:rPr>
            </w:pPr>
            <w:r>
              <w:rPr>
                <w:sz w:val="21"/>
                <w:szCs w:val="21"/>
              </w:rPr>
              <w:t>50</w:t>
            </w:r>
          </w:p>
        </w:tc>
      </w:tr>
      <w:tr w:rsidR="00BD5820">
        <w:trPr>
          <w:cantSplit/>
          <w:trHeight w:val="20"/>
          <w:jc w:val="center"/>
        </w:trPr>
        <w:tc>
          <w:tcPr>
            <w:tcW w:w="959" w:type="dxa"/>
            <w:vAlign w:val="center"/>
          </w:tcPr>
          <w:p w:rsidR="00BD5820" w:rsidRDefault="00F64314">
            <w:pPr>
              <w:pStyle w:val="aff7"/>
              <w:rPr>
                <w:sz w:val="21"/>
                <w:szCs w:val="21"/>
              </w:rPr>
            </w:pPr>
            <w:r>
              <w:rPr>
                <w:sz w:val="21"/>
                <w:szCs w:val="21"/>
              </w:rPr>
              <w:t>20</w:t>
            </w:r>
          </w:p>
        </w:tc>
        <w:tc>
          <w:tcPr>
            <w:tcW w:w="2693" w:type="dxa"/>
            <w:vAlign w:val="center"/>
          </w:tcPr>
          <w:p w:rsidR="00BD5820" w:rsidRDefault="00F64314">
            <w:pPr>
              <w:pStyle w:val="aff7"/>
              <w:rPr>
                <w:sz w:val="21"/>
                <w:szCs w:val="21"/>
              </w:rPr>
            </w:pPr>
            <w:r>
              <w:rPr>
                <w:sz w:val="21"/>
                <w:szCs w:val="21"/>
              </w:rPr>
              <w:t>四氯乙烯</w:t>
            </w:r>
          </w:p>
        </w:tc>
        <w:tc>
          <w:tcPr>
            <w:tcW w:w="2693" w:type="dxa"/>
            <w:vAlign w:val="center"/>
          </w:tcPr>
          <w:p w:rsidR="00BD5820" w:rsidRDefault="00F64314">
            <w:pPr>
              <w:pStyle w:val="aff7"/>
              <w:rPr>
                <w:sz w:val="21"/>
                <w:szCs w:val="21"/>
              </w:rPr>
            </w:pPr>
            <w:r>
              <w:rPr>
                <w:sz w:val="21"/>
                <w:szCs w:val="21"/>
              </w:rPr>
              <w:t>53</w:t>
            </w:r>
          </w:p>
        </w:tc>
        <w:tc>
          <w:tcPr>
            <w:tcW w:w="2863" w:type="dxa"/>
            <w:vAlign w:val="center"/>
          </w:tcPr>
          <w:p w:rsidR="00BD5820" w:rsidRDefault="00F64314">
            <w:pPr>
              <w:pStyle w:val="aff7"/>
              <w:rPr>
                <w:sz w:val="21"/>
                <w:szCs w:val="21"/>
              </w:rPr>
            </w:pPr>
            <w:r>
              <w:rPr>
                <w:sz w:val="21"/>
                <w:szCs w:val="21"/>
              </w:rPr>
              <w:t>183</w:t>
            </w:r>
          </w:p>
        </w:tc>
      </w:tr>
      <w:tr w:rsidR="00BD5820">
        <w:trPr>
          <w:cantSplit/>
          <w:trHeight w:val="20"/>
          <w:jc w:val="center"/>
        </w:trPr>
        <w:tc>
          <w:tcPr>
            <w:tcW w:w="959" w:type="dxa"/>
            <w:vAlign w:val="center"/>
          </w:tcPr>
          <w:p w:rsidR="00BD5820" w:rsidRDefault="00F64314">
            <w:pPr>
              <w:pStyle w:val="aff7"/>
              <w:rPr>
                <w:sz w:val="21"/>
                <w:szCs w:val="21"/>
              </w:rPr>
            </w:pPr>
            <w:r>
              <w:rPr>
                <w:sz w:val="21"/>
                <w:szCs w:val="21"/>
              </w:rPr>
              <w:t>21</w:t>
            </w:r>
          </w:p>
        </w:tc>
        <w:tc>
          <w:tcPr>
            <w:tcW w:w="2693" w:type="dxa"/>
            <w:vAlign w:val="center"/>
          </w:tcPr>
          <w:p w:rsidR="00BD5820" w:rsidRDefault="00F64314">
            <w:pPr>
              <w:pStyle w:val="aff7"/>
              <w:rPr>
                <w:sz w:val="21"/>
                <w:szCs w:val="21"/>
              </w:rPr>
            </w:pPr>
            <w:r>
              <w:rPr>
                <w:sz w:val="21"/>
                <w:szCs w:val="21"/>
              </w:rPr>
              <w:t>1,1,1-</w:t>
            </w:r>
            <w:r>
              <w:rPr>
                <w:sz w:val="21"/>
                <w:szCs w:val="21"/>
              </w:rPr>
              <w:t>三氯乙烷</w:t>
            </w:r>
          </w:p>
        </w:tc>
        <w:tc>
          <w:tcPr>
            <w:tcW w:w="2693" w:type="dxa"/>
            <w:vAlign w:val="center"/>
          </w:tcPr>
          <w:p w:rsidR="00BD5820" w:rsidRDefault="00F64314">
            <w:pPr>
              <w:pStyle w:val="aff7"/>
              <w:rPr>
                <w:sz w:val="21"/>
                <w:szCs w:val="21"/>
              </w:rPr>
            </w:pPr>
            <w:r>
              <w:rPr>
                <w:sz w:val="21"/>
                <w:szCs w:val="21"/>
              </w:rPr>
              <w:t>840</w:t>
            </w:r>
          </w:p>
        </w:tc>
        <w:tc>
          <w:tcPr>
            <w:tcW w:w="2863" w:type="dxa"/>
            <w:vAlign w:val="center"/>
          </w:tcPr>
          <w:p w:rsidR="00BD5820" w:rsidRDefault="00F64314">
            <w:pPr>
              <w:pStyle w:val="aff7"/>
              <w:rPr>
                <w:sz w:val="21"/>
                <w:szCs w:val="21"/>
              </w:rPr>
            </w:pPr>
            <w:r>
              <w:rPr>
                <w:sz w:val="21"/>
                <w:szCs w:val="21"/>
              </w:rPr>
              <w:t>840</w:t>
            </w:r>
          </w:p>
        </w:tc>
      </w:tr>
      <w:tr w:rsidR="00BD5820">
        <w:trPr>
          <w:cantSplit/>
          <w:trHeight w:val="20"/>
          <w:jc w:val="center"/>
        </w:trPr>
        <w:tc>
          <w:tcPr>
            <w:tcW w:w="959" w:type="dxa"/>
            <w:vAlign w:val="center"/>
          </w:tcPr>
          <w:p w:rsidR="00BD5820" w:rsidRDefault="00F64314">
            <w:pPr>
              <w:pStyle w:val="aff7"/>
              <w:rPr>
                <w:sz w:val="21"/>
                <w:szCs w:val="21"/>
              </w:rPr>
            </w:pPr>
            <w:r>
              <w:rPr>
                <w:sz w:val="21"/>
                <w:szCs w:val="21"/>
              </w:rPr>
              <w:t>22</w:t>
            </w:r>
          </w:p>
        </w:tc>
        <w:tc>
          <w:tcPr>
            <w:tcW w:w="2693" w:type="dxa"/>
            <w:vAlign w:val="center"/>
          </w:tcPr>
          <w:p w:rsidR="00BD5820" w:rsidRDefault="00F64314">
            <w:pPr>
              <w:pStyle w:val="aff7"/>
              <w:rPr>
                <w:sz w:val="21"/>
                <w:szCs w:val="21"/>
              </w:rPr>
            </w:pPr>
            <w:r>
              <w:rPr>
                <w:sz w:val="21"/>
                <w:szCs w:val="21"/>
              </w:rPr>
              <w:t>1,1,2-</w:t>
            </w:r>
            <w:r>
              <w:rPr>
                <w:sz w:val="21"/>
                <w:szCs w:val="21"/>
              </w:rPr>
              <w:t>三氯乙烷</w:t>
            </w:r>
          </w:p>
        </w:tc>
        <w:tc>
          <w:tcPr>
            <w:tcW w:w="2693" w:type="dxa"/>
            <w:vAlign w:val="center"/>
          </w:tcPr>
          <w:p w:rsidR="00BD5820" w:rsidRDefault="00F64314">
            <w:pPr>
              <w:pStyle w:val="aff7"/>
              <w:rPr>
                <w:sz w:val="21"/>
                <w:szCs w:val="21"/>
              </w:rPr>
            </w:pPr>
            <w:r>
              <w:rPr>
                <w:sz w:val="21"/>
                <w:szCs w:val="21"/>
              </w:rPr>
              <w:t>2.8</w:t>
            </w:r>
          </w:p>
        </w:tc>
        <w:tc>
          <w:tcPr>
            <w:tcW w:w="2863" w:type="dxa"/>
            <w:vAlign w:val="center"/>
          </w:tcPr>
          <w:p w:rsidR="00BD5820" w:rsidRDefault="00F64314">
            <w:pPr>
              <w:pStyle w:val="aff7"/>
              <w:rPr>
                <w:sz w:val="21"/>
                <w:szCs w:val="21"/>
              </w:rPr>
            </w:pPr>
            <w:r>
              <w:rPr>
                <w:sz w:val="21"/>
                <w:szCs w:val="21"/>
              </w:rPr>
              <w:t>15</w:t>
            </w:r>
          </w:p>
        </w:tc>
      </w:tr>
      <w:tr w:rsidR="00BD5820">
        <w:trPr>
          <w:cantSplit/>
          <w:trHeight w:val="20"/>
          <w:jc w:val="center"/>
        </w:trPr>
        <w:tc>
          <w:tcPr>
            <w:tcW w:w="959" w:type="dxa"/>
            <w:vAlign w:val="center"/>
          </w:tcPr>
          <w:p w:rsidR="00BD5820" w:rsidRDefault="00F64314">
            <w:pPr>
              <w:pStyle w:val="aff7"/>
              <w:rPr>
                <w:sz w:val="21"/>
                <w:szCs w:val="21"/>
              </w:rPr>
            </w:pPr>
            <w:r>
              <w:rPr>
                <w:sz w:val="21"/>
                <w:szCs w:val="21"/>
              </w:rPr>
              <w:t>23</w:t>
            </w:r>
          </w:p>
        </w:tc>
        <w:tc>
          <w:tcPr>
            <w:tcW w:w="2693" w:type="dxa"/>
            <w:vAlign w:val="center"/>
          </w:tcPr>
          <w:p w:rsidR="00BD5820" w:rsidRDefault="00F64314">
            <w:pPr>
              <w:pStyle w:val="aff7"/>
              <w:rPr>
                <w:sz w:val="21"/>
                <w:szCs w:val="21"/>
              </w:rPr>
            </w:pPr>
            <w:r>
              <w:rPr>
                <w:sz w:val="21"/>
                <w:szCs w:val="21"/>
              </w:rPr>
              <w:t>三氯乙烯</w:t>
            </w:r>
          </w:p>
        </w:tc>
        <w:tc>
          <w:tcPr>
            <w:tcW w:w="2693" w:type="dxa"/>
            <w:vAlign w:val="center"/>
          </w:tcPr>
          <w:p w:rsidR="00BD5820" w:rsidRDefault="00F64314">
            <w:pPr>
              <w:pStyle w:val="aff7"/>
              <w:rPr>
                <w:sz w:val="21"/>
                <w:szCs w:val="21"/>
              </w:rPr>
            </w:pPr>
            <w:r>
              <w:rPr>
                <w:sz w:val="21"/>
                <w:szCs w:val="21"/>
              </w:rPr>
              <w:t>2.8</w:t>
            </w:r>
          </w:p>
        </w:tc>
        <w:tc>
          <w:tcPr>
            <w:tcW w:w="2863" w:type="dxa"/>
            <w:vAlign w:val="center"/>
          </w:tcPr>
          <w:p w:rsidR="00BD5820" w:rsidRDefault="00F64314">
            <w:pPr>
              <w:pStyle w:val="aff7"/>
              <w:rPr>
                <w:sz w:val="21"/>
                <w:szCs w:val="21"/>
              </w:rPr>
            </w:pPr>
            <w:r>
              <w:rPr>
                <w:sz w:val="21"/>
                <w:szCs w:val="21"/>
              </w:rPr>
              <w:t>20</w:t>
            </w:r>
          </w:p>
        </w:tc>
      </w:tr>
      <w:tr w:rsidR="00BD5820">
        <w:trPr>
          <w:cantSplit/>
          <w:trHeight w:val="20"/>
          <w:jc w:val="center"/>
        </w:trPr>
        <w:tc>
          <w:tcPr>
            <w:tcW w:w="959" w:type="dxa"/>
            <w:vAlign w:val="center"/>
          </w:tcPr>
          <w:p w:rsidR="00BD5820" w:rsidRDefault="00F64314">
            <w:pPr>
              <w:pStyle w:val="aff7"/>
              <w:rPr>
                <w:sz w:val="21"/>
                <w:szCs w:val="21"/>
              </w:rPr>
            </w:pPr>
            <w:r>
              <w:rPr>
                <w:sz w:val="21"/>
                <w:szCs w:val="21"/>
              </w:rPr>
              <w:t>24</w:t>
            </w:r>
          </w:p>
        </w:tc>
        <w:tc>
          <w:tcPr>
            <w:tcW w:w="2693" w:type="dxa"/>
            <w:vAlign w:val="center"/>
          </w:tcPr>
          <w:p w:rsidR="00BD5820" w:rsidRDefault="00F64314">
            <w:pPr>
              <w:pStyle w:val="aff7"/>
              <w:rPr>
                <w:sz w:val="21"/>
                <w:szCs w:val="21"/>
              </w:rPr>
            </w:pPr>
            <w:r>
              <w:rPr>
                <w:sz w:val="21"/>
                <w:szCs w:val="21"/>
              </w:rPr>
              <w:t>1,2,3-</w:t>
            </w:r>
            <w:r>
              <w:rPr>
                <w:sz w:val="21"/>
                <w:szCs w:val="21"/>
              </w:rPr>
              <w:t>三氯丙烷</w:t>
            </w:r>
          </w:p>
        </w:tc>
        <w:tc>
          <w:tcPr>
            <w:tcW w:w="2693" w:type="dxa"/>
            <w:vAlign w:val="center"/>
          </w:tcPr>
          <w:p w:rsidR="00BD5820" w:rsidRDefault="00F64314">
            <w:pPr>
              <w:pStyle w:val="aff7"/>
              <w:rPr>
                <w:sz w:val="21"/>
                <w:szCs w:val="21"/>
              </w:rPr>
            </w:pPr>
            <w:r>
              <w:rPr>
                <w:sz w:val="21"/>
                <w:szCs w:val="21"/>
              </w:rPr>
              <w:t>0.5</w:t>
            </w:r>
          </w:p>
        </w:tc>
        <w:tc>
          <w:tcPr>
            <w:tcW w:w="2863" w:type="dxa"/>
            <w:vAlign w:val="center"/>
          </w:tcPr>
          <w:p w:rsidR="00BD5820" w:rsidRDefault="00F64314">
            <w:pPr>
              <w:pStyle w:val="aff7"/>
              <w:rPr>
                <w:sz w:val="21"/>
                <w:szCs w:val="21"/>
              </w:rPr>
            </w:pPr>
            <w:r>
              <w:rPr>
                <w:sz w:val="21"/>
                <w:szCs w:val="21"/>
              </w:rPr>
              <w:t>5</w:t>
            </w:r>
          </w:p>
        </w:tc>
      </w:tr>
      <w:tr w:rsidR="00BD5820">
        <w:trPr>
          <w:cantSplit/>
          <w:trHeight w:val="20"/>
          <w:jc w:val="center"/>
        </w:trPr>
        <w:tc>
          <w:tcPr>
            <w:tcW w:w="959" w:type="dxa"/>
            <w:vAlign w:val="center"/>
          </w:tcPr>
          <w:p w:rsidR="00BD5820" w:rsidRDefault="00F64314">
            <w:pPr>
              <w:pStyle w:val="aff7"/>
              <w:rPr>
                <w:sz w:val="21"/>
                <w:szCs w:val="21"/>
              </w:rPr>
            </w:pPr>
            <w:r>
              <w:rPr>
                <w:sz w:val="21"/>
                <w:szCs w:val="21"/>
              </w:rPr>
              <w:t>25</w:t>
            </w:r>
          </w:p>
        </w:tc>
        <w:tc>
          <w:tcPr>
            <w:tcW w:w="2693" w:type="dxa"/>
            <w:vAlign w:val="center"/>
          </w:tcPr>
          <w:p w:rsidR="00BD5820" w:rsidRDefault="00F64314">
            <w:pPr>
              <w:pStyle w:val="aff7"/>
              <w:rPr>
                <w:sz w:val="21"/>
                <w:szCs w:val="21"/>
              </w:rPr>
            </w:pPr>
            <w:r>
              <w:rPr>
                <w:sz w:val="21"/>
                <w:szCs w:val="21"/>
              </w:rPr>
              <w:t>氯乙烯</w:t>
            </w:r>
          </w:p>
        </w:tc>
        <w:tc>
          <w:tcPr>
            <w:tcW w:w="2693" w:type="dxa"/>
            <w:vAlign w:val="center"/>
          </w:tcPr>
          <w:p w:rsidR="00BD5820" w:rsidRDefault="00F64314">
            <w:pPr>
              <w:pStyle w:val="aff7"/>
              <w:rPr>
                <w:sz w:val="21"/>
                <w:szCs w:val="21"/>
              </w:rPr>
            </w:pPr>
            <w:r>
              <w:rPr>
                <w:sz w:val="21"/>
                <w:szCs w:val="21"/>
              </w:rPr>
              <w:t>0.43</w:t>
            </w:r>
          </w:p>
        </w:tc>
        <w:tc>
          <w:tcPr>
            <w:tcW w:w="2863" w:type="dxa"/>
            <w:vAlign w:val="center"/>
          </w:tcPr>
          <w:p w:rsidR="00BD5820" w:rsidRDefault="00F64314">
            <w:pPr>
              <w:pStyle w:val="aff7"/>
              <w:rPr>
                <w:sz w:val="21"/>
                <w:szCs w:val="21"/>
              </w:rPr>
            </w:pPr>
            <w:r>
              <w:rPr>
                <w:sz w:val="21"/>
                <w:szCs w:val="21"/>
              </w:rPr>
              <w:t>4.3</w:t>
            </w:r>
          </w:p>
        </w:tc>
      </w:tr>
      <w:tr w:rsidR="00BD5820">
        <w:trPr>
          <w:cantSplit/>
          <w:trHeight w:val="20"/>
          <w:jc w:val="center"/>
        </w:trPr>
        <w:tc>
          <w:tcPr>
            <w:tcW w:w="959" w:type="dxa"/>
            <w:vAlign w:val="center"/>
          </w:tcPr>
          <w:p w:rsidR="00BD5820" w:rsidRDefault="00F64314">
            <w:pPr>
              <w:pStyle w:val="aff7"/>
              <w:rPr>
                <w:sz w:val="21"/>
                <w:szCs w:val="21"/>
              </w:rPr>
            </w:pPr>
            <w:r>
              <w:rPr>
                <w:sz w:val="21"/>
                <w:szCs w:val="21"/>
              </w:rPr>
              <w:t>26</w:t>
            </w:r>
          </w:p>
        </w:tc>
        <w:tc>
          <w:tcPr>
            <w:tcW w:w="2693" w:type="dxa"/>
            <w:vAlign w:val="center"/>
          </w:tcPr>
          <w:p w:rsidR="00BD5820" w:rsidRDefault="00F64314">
            <w:pPr>
              <w:pStyle w:val="aff7"/>
              <w:rPr>
                <w:sz w:val="21"/>
                <w:szCs w:val="21"/>
              </w:rPr>
            </w:pPr>
            <w:r>
              <w:rPr>
                <w:sz w:val="21"/>
                <w:szCs w:val="21"/>
              </w:rPr>
              <w:t>苯</w:t>
            </w:r>
          </w:p>
        </w:tc>
        <w:tc>
          <w:tcPr>
            <w:tcW w:w="2693" w:type="dxa"/>
            <w:vAlign w:val="center"/>
          </w:tcPr>
          <w:p w:rsidR="00BD5820" w:rsidRDefault="00F64314">
            <w:pPr>
              <w:pStyle w:val="aff7"/>
              <w:rPr>
                <w:sz w:val="21"/>
                <w:szCs w:val="21"/>
              </w:rPr>
            </w:pPr>
            <w:r>
              <w:rPr>
                <w:sz w:val="21"/>
                <w:szCs w:val="21"/>
              </w:rPr>
              <w:t>4</w:t>
            </w:r>
          </w:p>
        </w:tc>
        <w:tc>
          <w:tcPr>
            <w:tcW w:w="2863" w:type="dxa"/>
            <w:vAlign w:val="center"/>
          </w:tcPr>
          <w:p w:rsidR="00BD5820" w:rsidRDefault="00F64314">
            <w:pPr>
              <w:pStyle w:val="aff7"/>
              <w:rPr>
                <w:sz w:val="21"/>
                <w:szCs w:val="21"/>
              </w:rPr>
            </w:pPr>
            <w:r>
              <w:rPr>
                <w:sz w:val="21"/>
                <w:szCs w:val="21"/>
              </w:rPr>
              <w:t>40</w:t>
            </w:r>
          </w:p>
        </w:tc>
      </w:tr>
      <w:tr w:rsidR="00BD5820">
        <w:trPr>
          <w:cantSplit/>
          <w:trHeight w:val="20"/>
          <w:jc w:val="center"/>
        </w:trPr>
        <w:tc>
          <w:tcPr>
            <w:tcW w:w="959" w:type="dxa"/>
            <w:vAlign w:val="center"/>
          </w:tcPr>
          <w:p w:rsidR="00BD5820" w:rsidRDefault="00F64314">
            <w:pPr>
              <w:pStyle w:val="aff7"/>
              <w:rPr>
                <w:sz w:val="21"/>
                <w:szCs w:val="21"/>
              </w:rPr>
            </w:pPr>
            <w:r>
              <w:rPr>
                <w:sz w:val="21"/>
                <w:szCs w:val="21"/>
              </w:rPr>
              <w:t>27</w:t>
            </w:r>
          </w:p>
        </w:tc>
        <w:tc>
          <w:tcPr>
            <w:tcW w:w="2693" w:type="dxa"/>
            <w:vAlign w:val="center"/>
          </w:tcPr>
          <w:p w:rsidR="00BD5820" w:rsidRDefault="00F64314">
            <w:pPr>
              <w:pStyle w:val="aff7"/>
              <w:rPr>
                <w:sz w:val="21"/>
                <w:szCs w:val="21"/>
              </w:rPr>
            </w:pPr>
            <w:r>
              <w:rPr>
                <w:sz w:val="21"/>
                <w:szCs w:val="21"/>
              </w:rPr>
              <w:t>氯苯</w:t>
            </w:r>
          </w:p>
        </w:tc>
        <w:tc>
          <w:tcPr>
            <w:tcW w:w="2693" w:type="dxa"/>
            <w:vAlign w:val="center"/>
          </w:tcPr>
          <w:p w:rsidR="00BD5820" w:rsidRDefault="00F64314">
            <w:pPr>
              <w:pStyle w:val="aff7"/>
              <w:rPr>
                <w:sz w:val="21"/>
                <w:szCs w:val="21"/>
              </w:rPr>
            </w:pPr>
            <w:r>
              <w:rPr>
                <w:sz w:val="21"/>
                <w:szCs w:val="21"/>
              </w:rPr>
              <w:t>270</w:t>
            </w:r>
          </w:p>
        </w:tc>
        <w:tc>
          <w:tcPr>
            <w:tcW w:w="2863" w:type="dxa"/>
            <w:vAlign w:val="center"/>
          </w:tcPr>
          <w:p w:rsidR="00BD5820" w:rsidRDefault="00F64314">
            <w:pPr>
              <w:pStyle w:val="aff7"/>
              <w:rPr>
                <w:sz w:val="21"/>
                <w:szCs w:val="21"/>
              </w:rPr>
            </w:pPr>
            <w:r>
              <w:rPr>
                <w:sz w:val="21"/>
                <w:szCs w:val="21"/>
              </w:rPr>
              <w:t>1000</w:t>
            </w:r>
          </w:p>
        </w:tc>
      </w:tr>
      <w:tr w:rsidR="00BD5820">
        <w:trPr>
          <w:cantSplit/>
          <w:trHeight w:val="20"/>
          <w:jc w:val="center"/>
        </w:trPr>
        <w:tc>
          <w:tcPr>
            <w:tcW w:w="959" w:type="dxa"/>
            <w:vAlign w:val="center"/>
          </w:tcPr>
          <w:p w:rsidR="00BD5820" w:rsidRDefault="00F64314">
            <w:pPr>
              <w:pStyle w:val="aff7"/>
              <w:rPr>
                <w:sz w:val="21"/>
                <w:szCs w:val="21"/>
              </w:rPr>
            </w:pPr>
            <w:r>
              <w:rPr>
                <w:sz w:val="21"/>
                <w:szCs w:val="21"/>
              </w:rPr>
              <w:t>28</w:t>
            </w:r>
          </w:p>
        </w:tc>
        <w:tc>
          <w:tcPr>
            <w:tcW w:w="2693" w:type="dxa"/>
            <w:vAlign w:val="center"/>
          </w:tcPr>
          <w:p w:rsidR="00BD5820" w:rsidRDefault="00F64314">
            <w:pPr>
              <w:pStyle w:val="aff7"/>
              <w:rPr>
                <w:sz w:val="21"/>
                <w:szCs w:val="21"/>
              </w:rPr>
            </w:pPr>
            <w:r>
              <w:rPr>
                <w:sz w:val="21"/>
                <w:szCs w:val="21"/>
              </w:rPr>
              <w:t>1,2-</w:t>
            </w:r>
            <w:r>
              <w:rPr>
                <w:sz w:val="21"/>
                <w:szCs w:val="21"/>
              </w:rPr>
              <w:t>二氯苯</w:t>
            </w:r>
          </w:p>
        </w:tc>
        <w:tc>
          <w:tcPr>
            <w:tcW w:w="2693" w:type="dxa"/>
            <w:vAlign w:val="center"/>
          </w:tcPr>
          <w:p w:rsidR="00BD5820" w:rsidRDefault="00F64314">
            <w:pPr>
              <w:pStyle w:val="aff7"/>
              <w:rPr>
                <w:sz w:val="21"/>
                <w:szCs w:val="21"/>
              </w:rPr>
            </w:pPr>
            <w:r>
              <w:rPr>
                <w:sz w:val="21"/>
                <w:szCs w:val="21"/>
              </w:rPr>
              <w:t>560</w:t>
            </w:r>
          </w:p>
        </w:tc>
        <w:tc>
          <w:tcPr>
            <w:tcW w:w="2863" w:type="dxa"/>
            <w:vAlign w:val="center"/>
          </w:tcPr>
          <w:p w:rsidR="00BD5820" w:rsidRDefault="00F64314">
            <w:pPr>
              <w:pStyle w:val="aff7"/>
              <w:rPr>
                <w:sz w:val="21"/>
                <w:szCs w:val="21"/>
              </w:rPr>
            </w:pPr>
            <w:r>
              <w:rPr>
                <w:sz w:val="21"/>
                <w:szCs w:val="21"/>
              </w:rPr>
              <w:t>560</w:t>
            </w:r>
          </w:p>
        </w:tc>
      </w:tr>
      <w:tr w:rsidR="00BD5820">
        <w:trPr>
          <w:cantSplit/>
          <w:trHeight w:val="20"/>
          <w:jc w:val="center"/>
        </w:trPr>
        <w:tc>
          <w:tcPr>
            <w:tcW w:w="959" w:type="dxa"/>
            <w:vAlign w:val="center"/>
          </w:tcPr>
          <w:p w:rsidR="00BD5820" w:rsidRDefault="00F64314">
            <w:pPr>
              <w:pStyle w:val="aff7"/>
              <w:rPr>
                <w:sz w:val="21"/>
                <w:szCs w:val="21"/>
              </w:rPr>
            </w:pPr>
            <w:r>
              <w:rPr>
                <w:sz w:val="21"/>
                <w:szCs w:val="21"/>
              </w:rPr>
              <w:t>29</w:t>
            </w:r>
          </w:p>
        </w:tc>
        <w:tc>
          <w:tcPr>
            <w:tcW w:w="2693" w:type="dxa"/>
            <w:vAlign w:val="center"/>
          </w:tcPr>
          <w:p w:rsidR="00BD5820" w:rsidRDefault="00F64314">
            <w:pPr>
              <w:pStyle w:val="aff7"/>
              <w:rPr>
                <w:sz w:val="21"/>
                <w:szCs w:val="21"/>
              </w:rPr>
            </w:pPr>
            <w:r>
              <w:rPr>
                <w:sz w:val="21"/>
                <w:szCs w:val="21"/>
              </w:rPr>
              <w:t>1,4-</w:t>
            </w:r>
            <w:r>
              <w:rPr>
                <w:sz w:val="21"/>
                <w:szCs w:val="21"/>
              </w:rPr>
              <w:t>二氯苯</w:t>
            </w:r>
          </w:p>
        </w:tc>
        <w:tc>
          <w:tcPr>
            <w:tcW w:w="2693" w:type="dxa"/>
            <w:vAlign w:val="center"/>
          </w:tcPr>
          <w:p w:rsidR="00BD5820" w:rsidRDefault="00F64314">
            <w:pPr>
              <w:pStyle w:val="aff7"/>
              <w:rPr>
                <w:sz w:val="21"/>
                <w:szCs w:val="21"/>
              </w:rPr>
            </w:pPr>
            <w:r>
              <w:rPr>
                <w:sz w:val="21"/>
                <w:szCs w:val="21"/>
              </w:rPr>
              <w:t>20</w:t>
            </w:r>
          </w:p>
        </w:tc>
        <w:tc>
          <w:tcPr>
            <w:tcW w:w="2863" w:type="dxa"/>
            <w:vAlign w:val="center"/>
          </w:tcPr>
          <w:p w:rsidR="00BD5820" w:rsidRDefault="00F64314">
            <w:pPr>
              <w:pStyle w:val="aff7"/>
              <w:rPr>
                <w:sz w:val="21"/>
                <w:szCs w:val="21"/>
              </w:rPr>
            </w:pPr>
            <w:r>
              <w:rPr>
                <w:sz w:val="21"/>
                <w:szCs w:val="21"/>
              </w:rPr>
              <w:t>200</w:t>
            </w:r>
          </w:p>
        </w:tc>
      </w:tr>
      <w:tr w:rsidR="00BD5820">
        <w:trPr>
          <w:cantSplit/>
          <w:trHeight w:val="20"/>
          <w:jc w:val="center"/>
        </w:trPr>
        <w:tc>
          <w:tcPr>
            <w:tcW w:w="959" w:type="dxa"/>
            <w:vAlign w:val="center"/>
          </w:tcPr>
          <w:p w:rsidR="00BD5820" w:rsidRDefault="00F64314">
            <w:pPr>
              <w:pStyle w:val="aff7"/>
              <w:rPr>
                <w:sz w:val="21"/>
                <w:szCs w:val="21"/>
              </w:rPr>
            </w:pPr>
            <w:r>
              <w:rPr>
                <w:sz w:val="21"/>
                <w:szCs w:val="21"/>
              </w:rPr>
              <w:t>30</w:t>
            </w:r>
          </w:p>
        </w:tc>
        <w:tc>
          <w:tcPr>
            <w:tcW w:w="2693" w:type="dxa"/>
            <w:vAlign w:val="center"/>
          </w:tcPr>
          <w:p w:rsidR="00BD5820" w:rsidRDefault="00F64314">
            <w:pPr>
              <w:pStyle w:val="aff7"/>
              <w:rPr>
                <w:sz w:val="21"/>
                <w:szCs w:val="21"/>
              </w:rPr>
            </w:pPr>
            <w:r>
              <w:rPr>
                <w:sz w:val="21"/>
                <w:szCs w:val="21"/>
              </w:rPr>
              <w:t>乙苯</w:t>
            </w:r>
          </w:p>
        </w:tc>
        <w:tc>
          <w:tcPr>
            <w:tcW w:w="2693" w:type="dxa"/>
            <w:vAlign w:val="center"/>
          </w:tcPr>
          <w:p w:rsidR="00BD5820" w:rsidRDefault="00F64314">
            <w:pPr>
              <w:pStyle w:val="aff7"/>
              <w:rPr>
                <w:sz w:val="21"/>
                <w:szCs w:val="21"/>
              </w:rPr>
            </w:pPr>
            <w:r>
              <w:rPr>
                <w:sz w:val="21"/>
                <w:szCs w:val="21"/>
              </w:rPr>
              <w:t>28</w:t>
            </w:r>
          </w:p>
        </w:tc>
        <w:tc>
          <w:tcPr>
            <w:tcW w:w="2863" w:type="dxa"/>
            <w:vAlign w:val="center"/>
          </w:tcPr>
          <w:p w:rsidR="00BD5820" w:rsidRDefault="00F64314">
            <w:pPr>
              <w:pStyle w:val="aff7"/>
              <w:rPr>
                <w:sz w:val="21"/>
                <w:szCs w:val="21"/>
              </w:rPr>
            </w:pPr>
            <w:r>
              <w:rPr>
                <w:sz w:val="21"/>
                <w:szCs w:val="21"/>
              </w:rPr>
              <w:t>280</w:t>
            </w:r>
          </w:p>
        </w:tc>
      </w:tr>
      <w:tr w:rsidR="00BD5820">
        <w:trPr>
          <w:cantSplit/>
          <w:trHeight w:val="20"/>
          <w:jc w:val="center"/>
        </w:trPr>
        <w:tc>
          <w:tcPr>
            <w:tcW w:w="959" w:type="dxa"/>
            <w:vAlign w:val="center"/>
          </w:tcPr>
          <w:p w:rsidR="00BD5820" w:rsidRDefault="00F64314">
            <w:pPr>
              <w:pStyle w:val="aff7"/>
              <w:rPr>
                <w:sz w:val="21"/>
                <w:szCs w:val="21"/>
              </w:rPr>
            </w:pPr>
            <w:r>
              <w:rPr>
                <w:sz w:val="21"/>
                <w:szCs w:val="21"/>
              </w:rPr>
              <w:t>31</w:t>
            </w:r>
          </w:p>
        </w:tc>
        <w:tc>
          <w:tcPr>
            <w:tcW w:w="2693" w:type="dxa"/>
            <w:vAlign w:val="center"/>
          </w:tcPr>
          <w:p w:rsidR="00BD5820" w:rsidRDefault="00F64314">
            <w:pPr>
              <w:pStyle w:val="aff7"/>
              <w:rPr>
                <w:sz w:val="21"/>
                <w:szCs w:val="21"/>
              </w:rPr>
            </w:pPr>
            <w:r>
              <w:rPr>
                <w:sz w:val="21"/>
                <w:szCs w:val="21"/>
              </w:rPr>
              <w:t>苯乙烯</w:t>
            </w:r>
          </w:p>
        </w:tc>
        <w:tc>
          <w:tcPr>
            <w:tcW w:w="2693" w:type="dxa"/>
            <w:vAlign w:val="center"/>
          </w:tcPr>
          <w:p w:rsidR="00BD5820" w:rsidRDefault="00F64314">
            <w:pPr>
              <w:pStyle w:val="aff7"/>
              <w:rPr>
                <w:sz w:val="21"/>
                <w:szCs w:val="21"/>
              </w:rPr>
            </w:pPr>
            <w:r>
              <w:rPr>
                <w:sz w:val="21"/>
                <w:szCs w:val="21"/>
              </w:rPr>
              <w:t>1290</w:t>
            </w:r>
          </w:p>
        </w:tc>
        <w:tc>
          <w:tcPr>
            <w:tcW w:w="2863" w:type="dxa"/>
            <w:vAlign w:val="center"/>
          </w:tcPr>
          <w:p w:rsidR="00BD5820" w:rsidRDefault="00F64314">
            <w:pPr>
              <w:pStyle w:val="aff7"/>
              <w:rPr>
                <w:sz w:val="21"/>
                <w:szCs w:val="21"/>
              </w:rPr>
            </w:pPr>
            <w:r>
              <w:rPr>
                <w:sz w:val="21"/>
                <w:szCs w:val="21"/>
              </w:rPr>
              <w:t>1290</w:t>
            </w:r>
          </w:p>
        </w:tc>
      </w:tr>
      <w:tr w:rsidR="00BD5820">
        <w:trPr>
          <w:cantSplit/>
          <w:trHeight w:val="20"/>
          <w:jc w:val="center"/>
        </w:trPr>
        <w:tc>
          <w:tcPr>
            <w:tcW w:w="959" w:type="dxa"/>
            <w:vAlign w:val="center"/>
          </w:tcPr>
          <w:p w:rsidR="00BD5820" w:rsidRDefault="00F64314">
            <w:pPr>
              <w:pStyle w:val="aff7"/>
              <w:rPr>
                <w:sz w:val="21"/>
                <w:szCs w:val="21"/>
              </w:rPr>
            </w:pPr>
            <w:r>
              <w:rPr>
                <w:sz w:val="21"/>
                <w:szCs w:val="21"/>
              </w:rPr>
              <w:t>32</w:t>
            </w:r>
          </w:p>
        </w:tc>
        <w:tc>
          <w:tcPr>
            <w:tcW w:w="2693" w:type="dxa"/>
            <w:vAlign w:val="center"/>
          </w:tcPr>
          <w:p w:rsidR="00BD5820" w:rsidRDefault="00F64314">
            <w:pPr>
              <w:pStyle w:val="aff7"/>
              <w:rPr>
                <w:sz w:val="21"/>
                <w:szCs w:val="21"/>
              </w:rPr>
            </w:pPr>
            <w:r>
              <w:rPr>
                <w:sz w:val="21"/>
                <w:szCs w:val="21"/>
              </w:rPr>
              <w:t>甲苯</w:t>
            </w:r>
          </w:p>
        </w:tc>
        <w:tc>
          <w:tcPr>
            <w:tcW w:w="2693" w:type="dxa"/>
            <w:vAlign w:val="center"/>
          </w:tcPr>
          <w:p w:rsidR="00BD5820" w:rsidRDefault="00F64314">
            <w:pPr>
              <w:pStyle w:val="aff7"/>
              <w:rPr>
                <w:sz w:val="21"/>
                <w:szCs w:val="21"/>
              </w:rPr>
            </w:pPr>
            <w:r>
              <w:rPr>
                <w:sz w:val="21"/>
                <w:szCs w:val="21"/>
              </w:rPr>
              <w:t>1200</w:t>
            </w:r>
          </w:p>
        </w:tc>
        <w:tc>
          <w:tcPr>
            <w:tcW w:w="2863" w:type="dxa"/>
            <w:vAlign w:val="center"/>
          </w:tcPr>
          <w:p w:rsidR="00BD5820" w:rsidRDefault="00F64314">
            <w:pPr>
              <w:pStyle w:val="aff7"/>
              <w:rPr>
                <w:sz w:val="21"/>
                <w:szCs w:val="21"/>
              </w:rPr>
            </w:pPr>
            <w:r>
              <w:rPr>
                <w:sz w:val="21"/>
                <w:szCs w:val="21"/>
              </w:rPr>
              <w:t>1200</w:t>
            </w:r>
          </w:p>
        </w:tc>
      </w:tr>
      <w:tr w:rsidR="00BD5820">
        <w:trPr>
          <w:cantSplit/>
          <w:trHeight w:val="20"/>
          <w:jc w:val="center"/>
        </w:trPr>
        <w:tc>
          <w:tcPr>
            <w:tcW w:w="959" w:type="dxa"/>
            <w:vAlign w:val="center"/>
          </w:tcPr>
          <w:p w:rsidR="00BD5820" w:rsidRDefault="00F64314">
            <w:pPr>
              <w:pStyle w:val="aff7"/>
              <w:rPr>
                <w:sz w:val="21"/>
                <w:szCs w:val="21"/>
              </w:rPr>
            </w:pPr>
            <w:r>
              <w:rPr>
                <w:sz w:val="21"/>
                <w:szCs w:val="21"/>
              </w:rPr>
              <w:t>33</w:t>
            </w:r>
          </w:p>
        </w:tc>
        <w:tc>
          <w:tcPr>
            <w:tcW w:w="2693" w:type="dxa"/>
            <w:vAlign w:val="center"/>
          </w:tcPr>
          <w:p w:rsidR="00BD5820" w:rsidRDefault="00F64314">
            <w:pPr>
              <w:pStyle w:val="aff7"/>
              <w:rPr>
                <w:sz w:val="21"/>
                <w:szCs w:val="21"/>
              </w:rPr>
            </w:pPr>
            <w:r>
              <w:rPr>
                <w:sz w:val="21"/>
                <w:szCs w:val="21"/>
              </w:rPr>
              <w:t>间二甲苯</w:t>
            </w:r>
            <w:r>
              <w:rPr>
                <w:sz w:val="21"/>
                <w:szCs w:val="21"/>
              </w:rPr>
              <w:t>+</w:t>
            </w:r>
            <w:r>
              <w:rPr>
                <w:sz w:val="21"/>
                <w:szCs w:val="21"/>
              </w:rPr>
              <w:t>对二甲苯</w:t>
            </w:r>
          </w:p>
        </w:tc>
        <w:tc>
          <w:tcPr>
            <w:tcW w:w="2693" w:type="dxa"/>
            <w:vAlign w:val="center"/>
          </w:tcPr>
          <w:p w:rsidR="00BD5820" w:rsidRDefault="00F64314">
            <w:pPr>
              <w:pStyle w:val="aff7"/>
              <w:rPr>
                <w:sz w:val="21"/>
                <w:szCs w:val="21"/>
              </w:rPr>
            </w:pPr>
            <w:r>
              <w:rPr>
                <w:sz w:val="21"/>
                <w:szCs w:val="21"/>
              </w:rPr>
              <w:t>570</w:t>
            </w:r>
          </w:p>
        </w:tc>
        <w:tc>
          <w:tcPr>
            <w:tcW w:w="2863" w:type="dxa"/>
            <w:vAlign w:val="center"/>
          </w:tcPr>
          <w:p w:rsidR="00BD5820" w:rsidRDefault="00F64314">
            <w:pPr>
              <w:pStyle w:val="aff7"/>
              <w:rPr>
                <w:sz w:val="21"/>
                <w:szCs w:val="21"/>
              </w:rPr>
            </w:pPr>
            <w:r>
              <w:rPr>
                <w:sz w:val="21"/>
                <w:szCs w:val="21"/>
              </w:rPr>
              <w:t>570</w:t>
            </w:r>
          </w:p>
        </w:tc>
      </w:tr>
      <w:tr w:rsidR="00BD5820">
        <w:trPr>
          <w:cantSplit/>
          <w:trHeight w:val="20"/>
          <w:jc w:val="center"/>
        </w:trPr>
        <w:tc>
          <w:tcPr>
            <w:tcW w:w="959" w:type="dxa"/>
            <w:vAlign w:val="center"/>
          </w:tcPr>
          <w:p w:rsidR="00BD5820" w:rsidRDefault="00F64314">
            <w:pPr>
              <w:pStyle w:val="aff7"/>
              <w:rPr>
                <w:sz w:val="21"/>
                <w:szCs w:val="21"/>
              </w:rPr>
            </w:pPr>
            <w:r>
              <w:rPr>
                <w:sz w:val="21"/>
                <w:szCs w:val="21"/>
              </w:rPr>
              <w:t>34</w:t>
            </w:r>
          </w:p>
        </w:tc>
        <w:tc>
          <w:tcPr>
            <w:tcW w:w="2693" w:type="dxa"/>
            <w:vAlign w:val="center"/>
          </w:tcPr>
          <w:p w:rsidR="00BD5820" w:rsidRDefault="00F64314">
            <w:pPr>
              <w:pStyle w:val="aff7"/>
              <w:rPr>
                <w:sz w:val="21"/>
                <w:szCs w:val="21"/>
              </w:rPr>
            </w:pPr>
            <w:r>
              <w:rPr>
                <w:sz w:val="21"/>
                <w:szCs w:val="21"/>
              </w:rPr>
              <w:t>邻二甲苯</w:t>
            </w:r>
          </w:p>
        </w:tc>
        <w:tc>
          <w:tcPr>
            <w:tcW w:w="2693" w:type="dxa"/>
            <w:vAlign w:val="center"/>
          </w:tcPr>
          <w:p w:rsidR="00BD5820" w:rsidRDefault="00F64314">
            <w:pPr>
              <w:pStyle w:val="aff7"/>
              <w:rPr>
                <w:sz w:val="21"/>
                <w:szCs w:val="21"/>
              </w:rPr>
            </w:pPr>
            <w:r>
              <w:rPr>
                <w:sz w:val="21"/>
                <w:szCs w:val="21"/>
              </w:rPr>
              <w:t>640</w:t>
            </w:r>
          </w:p>
        </w:tc>
        <w:tc>
          <w:tcPr>
            <w:tcW w:w="2863" w:type="dxa"/>
            <w:vAlign w:val="center"/>
          </w:tcPr>
          <w:p w:rsidR="00BD5820" w:rsidRDefault="00F64314">
            <w:pPr>
              <w:pStyle w:val="aff7"/>
              <w:rPr>
                <w:sz w:val="21"/>
                <w:szCs w:val="21"/>
              </w:rPr>
            </w:pPr>
            <w:r>
              <w:rPr>
                <w:sz w:val="21"/>
                <w:szCs w:val="21"/>
              </w:rPr>
              <w:t>640</w:t>
            </w:r>
          </w:p>
        </w:tc>
      </w:tr>
      <w:tr w:rsidR="00BD5820">
        <w:trPr>
          <w:cantSplit/>
          <w:trHeight w:val="20"/>
          <w:jc w:val="center"/>
        </w:trPr>
        <w:tc>
          <w:tcPr>
            <w:tcW w:w="9208" w:type="dxa"/>
            <w:gridSpan w:val="4"/>
            <w:vAlign w:val="center"/>
          </w:tcPr>
          <w:p w:rsidR="00BD5820" w:rsidRDefault="00F64314">
            <w:pPr>
              <w:pStyle w:val="aff7"/>
              <w:jc w:val="both"/>
              <w:rPr>
                <w:sz w:val="21"/>
                <w:szCs w:val="21"/>
              </w:rPr>
            </w:pPr>
            <w:r>
              <w:rPr>
                <w:sz w:val="21"/>
                <w:szCs w:val="21"/>
              </w:rPr>
              <w:t>半挥发性有机物</w:t>
            </w:r>
          </w:p>
        </w:tc>
      </w:tr>
      <w:tr w:rsidR="00BD5820">
        <w:trPr>
          <w:cantSplit/>
          <w:trHeight w:val="20"/>
          <w:jc w:val="center"/>
        </w:trPr>
        <w:tc>
          <w:tcPr>
            <w:tcW w:w="959" w:type="dxa"/>
            <w:vAlign w:val="center"/>
          </w:tcPr>
          <w:p w:rsidR="00BD5820" w:rsidRDefault="00F64314">
            <w:pPr>
              <w:pStyle w:val="aff7"/>
              <w:rPr>
                <w:sz w:val="21"/>
                <w:szCs w:val="21"/>
              </w:rPr>
            </w:pPr>
            <w:r>
              <w:rPr>
                <w:sz w:val="21"/>
                <w:szCs w:val="21"/>
              </w:rPr>
              <w:t>35</w:t>
            </w:r>
          </w:p>
        </w:tc>
        <w:tc>
          <w:tcPr>
            <w:tcW w:w="2693" w:type="dxa"/>
            <w:vAlign w:val="center"/>
          </w:tcPr>
          <w:p w:rsidR="00BD5820" w:rsidRDefault="00F64314">
            <w:pPr>
              <w:pStyle w:val="aff7"/>
              <w:rPr>
                <w:sz w:val="21"/>
                <w:szCs w:val="21"/>
              </w:rPr>
            </w:pPr>
            <w:r>
              <w:rPr>
                <w:sz w:val="21"/>
                <w:szCs w:val="21"/>
              </w:rPr>
              <w:t>硝基苯</w:t>
            </w:r>
          </w:p>
        </w:tc>
        <w:tc>
          <w:tcPr>
            <w:tcW w:w="2693" w:type="dxa"/>
            <w:vAlign w:val="center"/>
          </w:tcPr>
          <w:p w:rsidR="00BD5820" w:rsidRDefault="00F64314">
            <w:pPr>
              <w:pStyle w:val="aff7"/>
              <w:rPr>
                <w:sz w:val="21"/>
                <w:szCs w:val="21"/>
              </w:rPr>
            </w:pPr>
            <w:r>
              <w:rPr>
                <w:sz w:val="21"/>
                <w:szCs w:val="21"/>
              </w:rPr>
              <w:t>76</w:t>
            </w:r>
          </w:p>
        </w:tc>
        <w:tc>
          <w:tcPr>
            <w:tcW w:w="2863" w:type="dxa"/>
            <w:vAlign w:val="center"/>
          </w:tcPr>
          <w:p w:rsidR="00BD5820" w:rsidRDefault="00F64314">
            <w:pPr>
              <w:pStyle w:val="aff7"/>
              <w:rPr>
                <w:sz w:val="21"/>
                <w:szCs w:val="21"/>
              </w:rPr>
            </w:pPr>
            <w:r>
              <w:rPr>
                <w:sz w:val="21"/>
                <w:szCs w:val="21"/>
              </w:rPr>
              <w:t>760</w:t>
            </w:r>
          </w:p>
        </w:tc>
      </w:tr>
      <w:tr w:rsidR="00BD5820">
        <w:trPr>
          <w:cantSplit/>
          <w:trHeight w:val="20"/>
          <w:jc w:val="center"/>
        </w:trPr>
        <w:tc>
          <w:tcPr>
            <w:tcW w:w="959" w:type="dxa"/>
            <w:vAlign w:val="center"/>
          </w:tcPr>
          <w:p w:rsidR="00BD5820" w:rsidRDefault="00F64314">
            <w:pPr>
              <w:pStyle w:val="aff7"/>
              <w:rPr>
                <w:sz w:val="21"/>
                <w:szCs w:val="21"/>
              </w:rPr>
            </w:pPr>
            <w:r>
              <w:rPr>
                <w:sz w:val="21"/>
                <w:szCs w:val="21"/>
              </w:rPr>
              <w:t>36</w:t>
            </w:r>
          </w:p>
        </w:tc>
        <w:tc>
          <w:tcPr>
            <w:tcW w:w="2693" w:type="dxa"/>
            <w:vAlign w:val="center"/>
          </w:tcPr>
          <w:p w:rsidR="00BD5820" w:rsidRDefault="00F64314">
            <w:pPr>
              <w:pStyle w:val="aff7"/>
              <w:rPr>
                <w:sz w:val="21"/>
                <w:szCs w:val="21"/>
              </w:rPr>
            </w:pPr>
            <w:r>
              <w:rPr>
                <w:sz w:val="21"/>
                <w:szCs w:val="21"/>
              </w:rPr>
              <w:t>苯胺</w:t>
            </w:r>
          </w:p>
        </w:tc>
        <w:tc>
          <w:tcPr>
            <w:tcW w:w="2693" w:type="dxa"/>
            <w:vAlign w:val="center"/>
          </w:tcPr>
          <w:p w:rsidR="00BD5820" w:rsidRDefault="00F64314">
            <w:pPr>
              <w:pStyle w:val="aff7"/>
              <w:rPr>
                <w:sz w:val="21"/>
                <w:szCs w:val="21"/>
              </w:rPr>
            </w:pPr>
            <w:r>
              <w:rPr>
                <w:sz w:val="21"/>
                <w:szCs w:val="21"/>
              </w:rPr>
              <w:t>260</w:t>
            </w:r>
          </w:p>
        </w:tc>
        <w:tc>
          <w:tcPr>
            <w:tcW w:w="2863" w:type="dxa"/>
            <w:vAlign w:val="center"/>
          </w:tcPr>
          <w:p w:rsidR="00BD5820" w:rsidRDefault="00F64314">
            <w:pPr>
              <w:pStyle w:val="aff7"/>
              <w:rPr>
                <w:sz w:val="21"/>
                <w:szCs w:val="21"/>
              </w:rPr>
            </w:pPr>
            <w:r>
              <w:rPr>
                <w:sz w:val="21"/>
                <w:szCs w:val="21"/>
              </w:rPr>
              <w:t>663</w:t>
            </w:r>
          </w:p>
        </w:tc>
      </w:tr>
      <w:tr w:rsidR="00BD5820">
        <w:trPr>
          <w:cantSplit/>
          <w:trHeight w:val="20"/>
          <w:jc w:val="center"/>
        </w:trPr>
        <w:tc>
          <w:tcPr>
            <w:tcW w:w="959" w:type="dxa"/>
            <w:vAlign w:val="center"/>
          </w:tcPr>
          <w:p w:rsidR="00BD5820" w:rsidRDefault="00F64314">
            <w:pPr>
              <w:pStyle w:val="aff7"/>
              <w:rPr>
                <w:sz w:val="21"/>
                <w:szCs w:val="21"/>
              </w:rPr>
            </w:pPr>
            <w:r>
              <w:rPr>
                <w:sz w:val="21"/>
                <w:szCs w:val="21"/>
              </w:rPr>
              <w:t>37</w:t>
            </w:r>
          </w:p>
        </w:tc>
        <w:tc>
          <w:tcPr>
            <w:tcW w:w="2693" w:type="dxa"/>
            <w:vAlign w:val="center"/>
          </w:tcPr>
          <w:p w:rsidR="00BD5820" w:rsidRDefault="00F64314">
            <w:pPr>
              <w:pStyle w:val="aff7"/>
              <w:rPr>
                <w:sz w:val="21"/>
                <w:szCs w:val="21"/>
              </w:rPr>
            </w:pPr>
            <w:r>
              <w:rPr>
                <w:sz w:val="21"/>
                <w:szCs w:val="21"/>
              </w:rPr>
              <w:t>2-</w:t>
            </w:r>
            <w:r>
              <w:rPr>
                <w:sz w:val="21"/>
                <w:szCs w:val="21"/>
              </w:rPr>
              <w:t>氯酚</w:t>
            </w:r>
          </w:p>
        </w:tc>
        <w:tc>
          <w:tcPr>
            <w:tcW w:w="2693" w:type="dxa"/>
            <w:vAlign w:val="center"/>
          </w:tcPr>
          <w:p w:rsidR="00BD5820" w:rsidRDefault="00F64314">
            <w:pPr>
              <w:pStyle w:val="aff7"/>
              <w:rPr>
                <w:sz w:val="21"/>
                <w:szCs w:val="21"/>
              </w:rPr>
            </w:pPr>
            <w:r>
              <w:rPr>
                <w:sz w:val="21"/>
                <w:szCs w:val="21"/>
              </w:rPr>
              <w:t>2256</w:t>
            </w:r>
          </w:p>
        </w:tc>
        <w:tc>
          <w:tcPr>
            <w:tcW w:w="2863" w:type="dxa"/>
            <w:vAlign w:val="center"/>
          </w:tcPr>
          <w:p w:rsidR="00BD5820" w:rsidRDefault="00F64314">
            <w:pPr>
              <w:pStyle w:val="aff7"/>
              <w:rPr>
                <w:sz w:val="21"/>
                <w:szCs w:val="21"/>
              </w:rPr>
            </w:pPr>
            <w:r>
              <w:rPr>
                <w:sz w:val="21"/>
                <w:szCs w:val="21"/>
              </w:rPr>
              <w:t>4500</w:t>
            </w:r>
          </w:p>
        </w:tc>
      </w:tr>
      <w:tr w:rsidR="00BD5820">
        <w:trPr>
          <w:cantSplit/>
          <w:trHeight w:val="20"/>
          <w:jc w:val="center"/>
        </w:trPr>
        <w:tc>
          <w:tcPr>
            <w:tcW w:w="959" w:type="dxa"/>
            <w:vAlign w:val="center"/>
          </w:tcPr>
          <w:p w:rsidR="00BD5820" w:rsidRDefault="00F64314">
            <w:pPr>
              <w:pStyle w:val="aff7"/>
              <w:rPr>
                <w:sz w:val="21"/>
                <w:szCs w:val="21"/>
              </w:rPr>
            </w:pPr>
            <w:r>
              <w:rPr>
                <w:sz w:val="21"/>
                <w:szCs w:val="21"/>
              </w:rPr>
              <w:t>38</w:t>
            </w:r>
          </w:p>
        </w:tc>
        <w:tc>
          <w:tcPr>
            <w:tcW w:w="2693" w:type="dxa"/>
            <w:vAlign w:val="center"/>
          </w:tcPr>
          <w:p w:rsidR="00BD5820" w:rsidRDefault="00F64314">
            <w:pPr>
              <w:pStyle w:val="aff7"/>
              <w:rPr>
                <w:sz w:val="21"/>
                <w:szCs w:val="21"/>
              </w:rPr>
            </w:pPr>
            <w:r>
              <w:rPr>
                <w:sz w:val="21"/>
                <w:szCs w:val="21"/>
              </w:rPr>
              <w:t>苯并</w:t>
            </w:r>
            <w:r>
              <w:rPr>
                <w:sz w:val="21"/>
                <w:szCs w:val="21"/>
              </w:rPr>
              <w:t>[a]</w:t>
            </w:r>
            <w:r>
              <w:rPr>
                <w:sz w:val="21"/>
                <w:szCs w:val="21"/>
              </w:rPr>
              <w:t>蒽</w:t>
            </w:r>
          </w:p>
        </w:tc>
        <w:tc>
          <w:tcPr>
            <w:tcW w:w="2693" w:type="dxa"/>
            <w:vAlign w:val="center"/>
          </w:tcPr>
          <w:p w:rsidR="00BD5820" w:rsidRDefault="00F64314">
            <w:pPr>
              <w:pStyle w:val="aff7"/>
              <w:rPr>
                <w:sz w:val="21"/>
                <w:szCs w:val="21"/>
              </w:rPr>
            </w:pPr>
            <w:r>
              <w:rPr>
                <w:sz w:val="21"/>
                <w:szCs w:val="21"/>
              </w:rPr>
              <w:t>15</w:t>
            </w:r>
          </w:p>
        </w:tc>
        <w:tc>
          <w:tcPr>
            <w:tcW w:w="2863" w:type="dxa"/>
            <w:vAlign w:val="center"/>
          </w:tcPr>
          <w:p w:rsidR="00BD5820" w:rsidRDefault="00F64314">
            <w:pPr>
              <w:pStyle w:val="aff7"/>
              <w:rPr>
                <w:sz w:val="21"/>
                <w:szCs w:val="21"/>
              </w:rPr>
            </w:pPr>
            <w:r>
              <w:rPr>
                <w:sz w:val="21"/>
                <w:szCs w:val="21"/>
              </w:rPr>
              <w:t>151</w:t>
            </w:r>
          </w:p>
        </w:tc>
      </w:tr>
      <w:tr w:rsidR="00BD5820">
        <w:trPr>
          <w:cantSplit/>
          <w:trHeight w:val="20"/>
          <w:jc w:val="center"/>
        </w:trPr>
        <w:tc>
          <w:tcPr>
            <w:tcW w:w="959" w:type="dxa"/>
            <w:vAlign w:val="center"/>
          </w:tcPr>
          <w:p w:rsidR="00BD5820" w:rsidRDefault="00F64314">
            <w:pPr>
              <w:pStyle w:val="aff7"/>
              <w:rPr>
                <w:sz w:val="21"/>
                <w:szCs w:val="21"/>
              </w:rPr>
            </w:pPr>
            <w:r>
              <w:rPr>
                <w:sz w:val="21"/>
                <w:szCs w:val="21"/>
              </w:rPr>
              <w:t>39</w:t>
            </w:r>
          </w:p>
        </w:tc>
        <w:tc>
          <w:tcPr>
            <w:tcW w:w="2693" w:type="dxa"/>
            <w:vAlign w:val="center"/>
          </w:tcPr>
          <w:p w:rsidR="00BD5820" w:rsidRDefault="00F64314">
            <w:pPr>
              <w:pStyle w:val="aff7"/>
              <w:rPr>
                <w:sz w:val="21"/>
                <w:szCs w:val="21"/>
              </w:rPr>
            </w:pPr>
            <w:r>
              <w:rPr>
                <w:sz w:val="21"/>
                <w:szCs w:val="21"/>
              </w:rPr>
              <w:t>苯并</w:t>
            </w:r>
            <w:r>
              <w:rPr>
                <w:sz w:val="21"/>
                <w:szCs w:val="21"/>
              </w:rPr>
              <w:t>[a]</w:t>
            </w:r>
            <w:r>
              <w:rPr>
                <w:sz w:val="21"/>
                <w:szCs w:val="21"/>
              </w:rPr>
              <w:t>芘</w:t>
            </w:r>
          </w:p>
        </w:tc>
        <w:tc>
          <w:tcPr>
            <w:tcW w:w="2693" w:type="dxa"/>
            <w:vAlign w:val="center"/>
          </w:tcPr>
          <w:p w:rsidR="00BD5820" w:rsidRDefault="00F64314">
            <w:pPr>
              <w:pStyle w:val="aff7"/>
              <w:rPr>
                <w:sz w:val="21"/>
                <w:szCs w:val="21"/>
              </w:rPr>
            </w:pPr>
            <w:r>
              <w:rPr>
                <w:sz w:val="21"/>
                <w:szCs w:val="21"/>
              </w:rPr>
              <w:t>1.5</w:t>
            </w:r>
          </w:p>
        </w:tc>
        <w:tc>
          <w:tcPr>
            <w:tcW w:w="2863" w:type="dxa"/>
            <w:vAlign w:val="center"/>
          </w:tcPr>
          <w:p w:rsidR="00BD5820" w:rsidRDefault="00F64314">
            <w:pPr>
              <w:pStyle w:val="aff7"/>
              <w:rPr>
                <w:sz w:val="21"/>
                <w:szCs w:val="21"/>
              </w:rPr>
            </w:pPr>
            <w:r>
              <w:rPr>
                <w:sz w:val="21"/>
                <w:szCs w:val="21"/>
              </w:rPr>
              <w:t>15</w:t>
            </w:r>
          </w:p>
        </w:tc>
      </w:tr>
      <w:tr w:rsidR="00BD5820">
        <w:trPr>
          <w:cantSplit/>
          <w:trHeight w:val="20"/>
          <w:jc w:val="center"/>
        </w:trPr>
        <w:tc>
          <w:tcPr>
            <w:tcW w:w="959" w:type="dxa"/>
            <w:vAlign w:val="center"/>
          </w:tcPr>
          <w:p w:rsidR="00BD5820" w:rsidRDefault="00F64314">
            <w:pPr>
              <w:pStyle w:val="aff7"/>
              <w:rPr>
                <w:sz w:val="21"/>
                <w:szCs w:val="21"/>
              </w:rPr>
            </w:pPr>
            <w:r>
              <w:rPr>
                <w:sz w:val="21"/>
                <w:szCs w:val="21"/>
              </w:rPr>
              <w:t>40</w:t>
            </w:r>
          </w:p>
        </w:tc>
        <w:tc>
          <w:tcPr>
            <w:tcW w:w="2693" w:type="dxa"/>
            <w:vAlign w:val="center"/>
          </w:tcPr>
          <w:p w:rsidR="00BD5820" w:rsidRDefault="00F64314">
            <w:pPr>
              <w:pStyle w:val="aff7"/>
              <w:rPr>
                <w:sz w:val="21"/>
                <w:szCs w:val="21"/>
              </w:rPr>
            </w:pPr>
            <w:r>
              <w:rPr>
                <w:sz w:val="21"/>
                <w:szCs w:val="21"/>
              </w:rPr>
              <w:t>苯并</w:t>
            </w:r>
            <w:r>
              <w:rPr>
                <w:sz w:val="21"/>
                <w:szCs w:val="21"/>
              </w:rPr>
              <w:t>[b]</w:t>
            </w:r>
            <w:r>
              <w:rPr>
                <w:sz w:val="21"/>
                <w:szCs w:val="21"/>
              </w:rPr>
              <w:t>荧蒽</w:t>
            </w:r>
          </w:p>
        </w:tc>
        <w:tc>
          <w:tcPr>
            <w:tcW w:w="2693" w:type="dxa"/>
            <w:vAlign w:val="center"/>
          </w:tcPr>
          <w:p w:rsidR="00BD5820" w:rsidRDefault="00F64314">
            <w:pPr>
              <w:pStyle w:val="aff7"/>
              <w:rPr>
                <w:sz w:val="21"/>
                <w:szCs w:val="21"/>
              </w:rPr>
            </w:pPr>
            <w:r>
              <w:rPr>
                <w:sz w:val="21"/>
                <w:szCs w:val="21"/>
              </w:rPr>
              <w:t>15</w:t>
            </w:r>
          </w:p>
        </w:tc>
        <w:tc>
          <w:tcPr>
            <w:tcW w:w="2863" w:type="dxa"/>
            <w:vAlign w:val="center"/>
          </w:tcPr>
          <w:p w:rsidR="00BD5820" w:rsidRDefault="00F64314">
            <w:pPr>
              <w:pStyle w:val="aff7"/>
              <w:rPr>
                <w:sz w:val="21"/>
                <w:szCs w:val="21"/>
              </w:rPr>
            </w:pPr>
            <w:r>
              <w:rPr>
                <w:sz w:val="21"/>
                <w:szCs w:val="21"/>
              </w:rPr>
              <w:t>151</w:t>
            </w:r>
          </w:p>
        </w:tc>
      </w:tr>
      <w:tr w:rsidR="00BD5820">
        <w:trPr>
          <w:cantSplit/>
          <w:trHeight w:val="20"/>
          <w:jc w:val="center"/>
        </w:trPr>
        <w:tc>
          <w:tcPr>
            <w:tcW w:w="959" w:type="dxa"/>
            <w:vAlign w:val="center"/>
          </w:tcPr>
          <w:p w:rsidR="00BD5820" w:rsidRDefault="00F64314">
            <w:pPr>
              <w:pStyle w:val="aff7"/>
              <w:rPr>
                <w:sz w:val="21"/>
                <w:szCs w:val="21"/>
              </w:rPr>
            </w:pPr>
            <w:r>
              <w:rPr>
                <w:sz w:val="21"/>
                <w:szCs w:val="21"/>
              </w:rPr>
              <w:t>41</w:t>
            </w:r>
          </w:p>
        </w:tc>
        <w:tc>
          <w:tcPr>
            <w:tcW w:w="2693" w:type="dxa"/>
            <w:vAlign w:val="center"/>
          </w:tcPr>
          <w:p w:rsidR="00BD5820" w:rsidRDefault="00F64314">
            <w:pPr>
              <w:pStyle w:val="aff7"/>
              <w:rPr>
                <w:sz w:val="21"/>
                <w:szCs w:val="21"/>
              </w:rPr>
            </w:pPr>
            <w:r>
              <w:rPr>
                <w:sz w:val="21"/>
                <w:szCs w:val="21"/>
              </w:rPr>
              <w:t>苯并</w:t>
            </w:r>
            <w:r>
              <w:rPr>
                <w:sz w:val="21"/>
                <w:szCs w:val="21"/>
              </w:rPr>
              <w:t>[k]</w:t>
            </w:r>
            <w:r>
              <w:rPr>
                <w:sz w:val="21"/>
                <w:szCs w:val="21"/>
              </w:rPr>
              <w:t>荧蒽</w:t>
            </w:r>
          </w:p>
        </w:tc>
        <w:tc>
          <w:tcPr>
            <w:tcW w:w="2693" w:type="dxa"/>
            <w:vAlign w:val="center"/>
          </w:tcPr>
          <w:p w:rsidR="00BD5820" w:rsidRDefault="00F64314">
            <w:pPr>
              <w:pStyle w:val="aff7"/>
              <w:rPr>
                <w:sz w:val="21"/>
                <w:szCs w:val="21"/>
              </w:rPr>
            </w:pPr>
            <w:r>
              <w:rPr>
                <w:sz w:val="21"/>
                <w:szCs w:val="21"/>
              </w:rPr>
              <w:t>151</w:t>
            </w:r>
          </w:p>
        </w:tc>
        <w:tc>
          <w:tcPr>
            <w:tcW w:w="2863" w:type="dxa"/>
            <w:vAlign w:val="center"/>
          </w:tcPr>
          <w:p w:rsidR="00BD5820" w:rsidRDefault="00F64314">
            <w:pPr>
              <w:pStyle w:val="aff7"/>
              <w:rPr>
                <w:sz w:val="21"/>
                <w:szCs w:val="21"/>
              </w:rPr>
            </w:pPr>
            <w:r>
              <w:rPr>
                <w:sz w:val="21"/>
                <w:szCs w:val="21"/>
              </w:rPr>
              <w:t>1500</w:t>
            </w:r>
          </w:p>
        </w:tc>
      </w:tr>
      <w:tr w:rsidR="00BD5820">
        <w:trPr>
          <w:cantSplit/>
          <w:trHeight w:val="20"/>
          <w:jc w:val="center"/>
        </w:trPr>
        <w:tc>
          <w:tcPr>
            <w:tcW w:w="959" w:type="dxa"/>
            <w:vAlign w:val="center"/>
          </w:tcPr>
          <w:p w:rsidR="00BD5820" w:rsidRDefault="00F64314">
            <w:pPr>
              <w:pStyle w:val="aff7"/>
              <w:rPr>
                <w:sz w:val="21"/>
                <w:szCs w:val="21"/>
              </w:rPr>
            </w:pPr>
            <w:r>
              <w:rPr>
                <w:sz w:val="21"/>
                <w:szCs w:val="21"/>
              </w:rPr>
              <w:t>42</w:t>
            </w:r>
          </w:p>
        </w:tc>
        <w:tc>
          <w:tcPr>
            <w:tcW w:w="2693" w:type="dxa"/>
            <w:vAlign w:val="center"/>
          </w:tcPr>
          <w:p w:rsidR="00BD5820" w:rsidRDefault="00F64314">
            <w:pPr>
              <w:pStyle w:val="aff7"/>
              <w:rPr>
                <w:sz w:val="21"/>
                <w:szCs w:val="21"/>
              </w:rPr>
            </w:pPr>
            <w:r>
              <w:rPr>
                <w:bCs/>
                <w:sz w:val="21"/>
                <w:szCs w:val="21"/>
              </w:rPr>
              <w:t>䓛</w:t>
            </w:r>
          </w:p>
        </w:tc>
        <w:tc>
          <w:tcPr>
            <w:tcW w:w="2693" w:type="dxa"/>
            <w:vAlign w:val="center"/>
          </w:tcPr>
          <w:p w:rsidR="00BD5820" w:rsidRDefault="00F64314">
            <w:pPr>
              <w:pStyle w:val="aff7"/>
              <w:rPr>
                <w:sz w:val="21"/>
                <w:szCs w:val="21"/>
              </w:rPr>
            </w:pPr>
            <w:r>
              <w:rPr>
                <w:sz w:val="21"/>
                <w:szCs w:val="21"/>
              </w:rPr>
              <w:t>1293</w:t>
            </w:r>
          </w:p>
        </w:tc>
        <w:tc>
          <w:tcPr>
            <w:tcW w:w="2863" w:type="dxa"/>
            <w:vAlign w:val="center"/>
          </w:tcPr>
          <w:p w:rsidR="00BD5820" w:rsidRDefault="00F64314">
            <w:pPr>
              <w:pStyle w:val="aff7"/>
              <w:rPr>
                <w:sz w:val="21"/>
                <w:szCs w:val="21"/>
              </w:rPr>
            </w:pPr>
            <w:r>
              <w:rPr>
                <w:sz w:val="21"/>
                <w:szCs w:val="21"/>
              </w:rPr>
              <w:t>12900</w:t>
            </w:r>
          </w:p>
        </w:tc>
      </w:tr>
      <w:tr w:rsidR="00BD5820">
        <w:trPr>
          <w:cantSplit/>
          <w:trHeight w:val="20"/>
          <w:jc w:val="center"/>
        </w:trPr>
        <w:tc>
          <w:tcPr>
            <w:tcW w:w="959" w:type="dxa"/>
            <w:vAlign w:val="center"/>
          </w:tcPr>
          <w:p w:rsidR="00BD5820" w:rsidRDefault="00F64314">
            <w:pPr>
              <w:pStyle w:val="aff7"/>
              <w:rPr>
                <w:sz w:val="21"/>
                <w:szCs w:val="21"/>
              </w:rPr>
            </w:pPr>
            <w:r>
              <w:rPr>
                <w:sz w:val="21"/>
                <w:szCs w:val="21"/>
              </w:rPr>
              <w:t>43</w:t>
            </w:r>
          </w:p>
        </w:tc>
        <w:tc>
          <w:tcPr>
            <w:tcW w:w="2693" w:type="dxa"/>
            <w:vAlign w:val="center"/>
          </w:tcPr>
          <w:p w:rsidR="00BD5820" w:rsidRDefault="00F64314">
            <w:pPr>
              <w:pStyle w:val="aff7"/>
              <w:rPr>
                <w:sz w:val="21"/>
                <w:szCs w:val="21"/>
              </w:rPr>
            </w:pPr>
            <w:r>
              <w:rPr>
                <w:sz w:val="21"/>
                <w:szCs w:val="21"/>
              </w:rPr>
              <w:t>二苯并</w:t>
            </w:r>
            <w:r>
              <w:rPr>
                <w:sz w:val="21"/>
                <w:szCs w:val="21"/>
              </w:rPr>
              <w:t>[a,h]</w:t>
            </w:r>
            <w:r>
              <w:rPr>
                <w:sz w:val="21"/>
                <w:szCs w:val="21"/>
              </w:rPr>
              <w:t>蒽</w:t>
            </w:r>
          </w:p>
        </w:tc>
        <w:tc>
          <w:tcPr>
            <w:tcW w:w="2693" w:type="dxa"/>
            <w:vAlign w:val="center"/>
          </w:tcPr>
          <w:p w:rsidR="00BD5820" w:rsidRDefault="00F64314">
            <w:pPr>
              <w:pStyle w:val="aff7"/>
              <w:rPr>
                <w:sz w:val="21"/>
                <w:szCs w:val="21"/>
              </w:rPr>
            </w:pPr>
            <w:r>
              <w:rPr>
                <w:sz w:val="21"/>
                <w:szCs w:val="21"/>
              </w:rPr>
              <w:t>1.5</w:t>
            </w:r>
          </w:p>
        </w:tc>
        <w:tc>
          <w:tcPr>
            <w:tcW w:w="2863" w:type="dxa"/>
            <w:vAlign w:val="center"/>
          </w:tcPr>
          <w:p w:rsidR="00BD5820" w:rsidRDefault="00F64314">
            <w:pPr>
              <w:pStyle w:val="aff7"/>
              <w:rPr>
                <w:sz w:val="21"/>
                <w:szCs w:val="21"/>
              </w:rPr>
            </w:pPr>
            <w:r>
              <w:rPr>
                <w:sz w:val="21"/>
                <w:szCs w:val="21"/>
              </w:rPr>
              <w:t>15</w:t>
            </w:r>
          </w:p>
        </w:tc>
      </w:tr>
      <w:tr w:rsidR="00BD5820">
        <w:trPr>
          <w:cantSplit/>
          <w:trHeight w:val="20"/>
          <w:jc w:val="center"/>
        </w:trPr>
        <w:tc>
          <w:tcPr>
            <w:tcW w:w="959" w:type="dxa"/>
            <w:vAlign w:val="center"/>
          </w:tcPr>
          <w:p w:rsidR="00BD5820" w:rsidRDefault="00F64314">
            <w:pPr>
              <w:pStyle w:val="aff7"/>
              <w:rPr>
                <w:sz w:val="21"/>
                <w:szCs w:val="21"/>
              </w:rPr>
            </w:pPr>
            <w:r>
              <w:rPr>
                <w:sz w:val="21"/>
                <w:szCs w:val="21"/>
              </w:rPr>
              <w:t>44</w:t>
            </w:r>
          </w:p>
        </w:tc>
        <w:tc>
          <w:tcPr>
            <w:tcW w:w="2693" w:type="dxa"/>
            <w:vAlign w:val="center"/>
          </w:tcPr>
          <w:p w:rsidR="00BD5820" w:rsidRDefault="00F64314">
            <w:pPr>
              <w:pStyle w:val="aff7"/>
              <w:rPr>
                <w:sz w:val="21"/>
                <w:szCs w:val="21"/>
              </w:rPr>
            </w:pPr>
            <w:r>
              <w:rPr>
                <w:sz w:val="21"/>
                <w:szCs w:val="21"/>
              </w:rPr>
              <w:t>茚并</w:t>
            </w:r>
            <w:r>
              <w:rPr>
                <w:sz w:val="21"/>
                <w:szCs w:val="21"/>
              </w:rPr>
              <w:t>[1,2,3-cd]</w:t>
            </w:r>
            <w:r>
              <w:rPr>
                <w:sz w:val="21"/>
                <w:szCs w:val="21"/>
              </w:rPr>
              <w:t>芘</w:t>
            </w:r>
          </w:p>
        </w:tc>
        <w:tc>
          <w:tcPr>
            <w:tcW w:w="2693" w:type="dxa"/>
            <w:vAlign w:val="center"/>
          </w:tcPr>
          <w:p w:rsidR="00BD5820" w:rsidRDefault="00F64314">
            <w:pPr>
              <w:pStyle w:val="aff7"/>
              <w:rPr>
                <w:sz w:val="21"/>
                <w:szCs w:val="21"/>
              </w:rPr>
            </w:pPr>
            <w:r>
              <w:rPr>
                <w:sz w:val="21"/>
                <w:szCs w:val="21"/>
              </w:rPr>
              <w:t>15</w:t>
            </w:r>
          </w:p>
        </w:tc>
        <w:tc>
          <w:tcPr>
            <w:tcW w:w="2863" w:type="dxa"/>
            <w:vAlign w:val="center"/>
          </w:tcPr>
          <w:p w:rsidR="00BD5820" w:rsidRDefault="00F64314">
            <w:pPr>
              <w:pStyle w:val="aff7"/>
              <w:rPr>
                <w:sz w:val="21"/>
                <w:szCs w:val="21"/>
              </w:rPr>
            </w:pPr>
            <w:r>
              <w:rPr>
                <w:sz w:val="21"/>
                <w:szCs w:val="21"/>
              </w:rPr>
              <w:t>151</w:t>
            </w:r>
          </w:p>
        </w:tc>
      </w:tr>
      <w:tr w:rsidR="00BD5820">
        <w:trPr>
          <w:cantSplit/>
          <w:trHeight w:val="20"/>
          <w:jc w:val="center"/>
        </w:trPr>
        <w:tc>
          <w:tcPr>
            <w:tcW w:w="959" w:type="dxa"/>
            <w:vAlign w:val="center"/>
          </w:tcPr>
          <w:p w:rsidR="00BD5820" w:rsidRDefault="00F64314">
            <w:pPr>
              <w:pStyle w:val="aff7"/>
              <w:rPr>
                <w:sz w:val="21"/>
                <w:szCs w:val="21"/>
              </w:rPr>
            </w:pPr>
            <w:r>
              <w:rPr>
                <w:sz w:val="21"/>
                <w:szCs w:val="21"/>
              </w:rPr>
              <w:t>45</w:t>
            </w:r>
          </w:p>
        </w:tc>
        <w:tc>
          <w:tcPr>
            <w:tcW w:w="2693" w:type="dxa"/>
            <w:vAlign w:val="center"/>
          </w:tcPr>
          <w:p w:rsidR="00BD5820" w:rsidRDefault="00F64314">
            <w:pPr>
              <w:pStyle w:val="aff7"/>
              <w:rPr>
                <w:sz w:val="21"/>
                <w:szCs w:val="21"/>
              </w:rPr>
            </w:pPr>
            <w:r>
              <w:rPr>
                <w:sz w:val="21"/>
                <w:szCs w:val="21"/>
              </w:rPr>
              <w:t>萘</w:t>
            </w:r>
          </w:p>
        </w:tc>
        <w:tc>
          <w:tcPr>
            <w:tcW w:w="2693" w:type="dxa"/>
            <w:vAlign w:val="center"/>
          </w:tcPr>
          <w:p w:rsidR="00BD5820" w:rsidRDefault="00F64314">
            <w:pPr>
              <w:pStyle w:val="aff7"/>
              <w:rPr>
                <w:sz w:val="21"/>
                <w:szCs w:val="21"/>
              </w:rPr>
            </w:pPr>
            <w:r>
              <w:rPr>
                <w:sz w:val="21"/>
                <w:szCs w:val="21"/>
              </w:rPr>
              <w:t>70</w:t>
            </w:r>
          </w:p>
        </w:tc>
        <w:tc>
          <w:tcPr>
            <w:tcW w:w="2863" w:type="dxa"/>
            <w:vAlign w:val="center"/>
          </w:tcPr>
          <w:p w:rsidR="00BD5820" w:rsidRDefault="00F64314">
            <w:pPr>
              <w:pStyle w:val="aff7"/>
              <w:rPr>
                <w:sz w:val="21"/>
                <w:szCs w:val="21"/>
              </w:rPr>
            </w:pPr>
            <w:r>
              <w:rPr>
                <w:sz w:val="21"/>
                <w:szCs w:val="21"/>
              </w:rPr>
              <w:t>700</w:t>
            </w:r>
          </w:p>
        </w:tc>
      </w:tr>
    </w:tbl>
    <w:p w:rsidR="00BD5820" w:rsidRDefault="00BD5820">
      <w:pPr>
        <w:pStyle w:val="affa"/>
        <w:ind w:firstLine="480"/>
      </w:pPr>
    </w:p>
    <w:p w:rsidR="00BD5820" w:rsidRDefault="00BD5820">
      <w:pPr>
        <w:pStyle w:val="affa"/>
        <w:ind w:firstLine="480"/>
      </w:pPr>
    </w:p>
    <w:p w:rsidR="00BD5820" w:rsidRDefault="00F64314">
      <w:pPr>
        <w:pStyle w:val="10"/>
        <w:rPr>
          <w:rFonts w:cs="Times New Roman"/>
        </w:rPr>
      </w:pPr>
      <w:r>
        <w:rPr>
          <w:rFonts w:cs="Times New Roman"/>
        </w:rPr>
        <w:br w:type="page"/>
      </w:r>
    </w:p>
    <w:p w:rsidR="00BD5820" w:rsidRDefault="00F64314">
      <w:pPr>
        <w:keepNext/>
        <w:keepLines/>
        <w:ind w:firstLineChars="0" w:firstLine="0"/>
        <w:outlineLvl w:val="2"/>
        <w:rPr>
          <w:rFonts w:ascii="Times New Roman" w:cs="Times New Roman"/>
          <w:b/>
          <w:szCs w:val="32"/>
        </w:rPr>
      </w:pPr>
      <w:r>
        <w:rPr>
          <w:rFonts w:ascii="Times New Roman" w:cs="Times New Roman"/>
          <w:b/>
          <w:szCs w:val="32"/>
        </w:rPr>
        <w:lastRenderedPageBreak/>
        <w:t xml:space="preserve">1.5.2 </w:t>
      </w:r>
      <w:r>
        <w:rPr>
          <w:rFonts w:ascii="Times New Roman" w:cs="Times New Roman"/>
          <w:b/>
          <w:szCs w:val="32"/>
        </w:rPr>
        <w:t>污染物排放标准</w:t>
      </w:r>
    </w:p>
    <w:p w:rsidR="00BD5820" w:rsidRDefault="00F64314">
      <w:pPr>
        <w:ind w:firstLine="482"/>
        <w:rPr>
          <w:rFonts w:ascii="Times New Roman" w:cs="Times New Roman"/>
          <w:b/>
          <w:bCs/>
        </w:rPr>
      </w:pPr>
      <w:r>
        <w:rPr>
          <w:rFonts w:ascii="Times New Roman" w:cs="Times New Roman"/>
          <w:b/>
          <w:bCs/>
        </w:rPr>
        <w:t>1</w:t>
      </w:r>
      <w:r>
        <w:rPr>
          <w:rFonts w:ascii="Times New Roman" w:cs="Times New Roman"/>
          <w:b/>
          <w:bCs/>
        </w:rPr>
        <w:t>、废气</w:t>
      </w:r>
    </w:p>
    <w:p w:rsidR="00BD5820" w:rsidRDefault="00F64314">
      <w:pPr>
        <w:pStyle w:val="affa"/>
        <w:ind w:firstLine="480"/>
      </w:pPr>
      <w:r w:rsidRPr="000B3353">
        <w:rPr>
          <w:rFonts w:hint="eastAsia"/>
          <w:color w:val="FF0000"/>
        </w:rPr>
        <w:t>施工</w:t>
      </w:r>
      <w:r w:rsidRPr="000B3353">
        <w:rPr>
          <w:color w:val="FF0000"/>
        </w:rPr>
        <w:t>扬尘</w:t>
      </w:r>
      <w:r w:rsidR="000B3353" w:rsidRPr="000B3353">
        <w:rPr>
          <w:rFonts w:hint="eastAsia"/>
          <w:color w:val="FF0000"/>
        </w:rPr>
        <w:t>、</w:t>
      </w:r>
      <w:r w:rsidRPr="000B3353">
        <w:rPr>
          <w:color w:val="FF0000"/>
        </w:rPr>
        <w:t>焊接烟尘</w:t>
      </w:r>
      <w:r w:rsidR="00862119" w:rsidRPr="000B3353">
        <w:rPr>
          <w:rFonts w:hint="eastAsia"/>
          <w:color w:val="FF0000"/>
        </w:rPr>
        <w:t>以</w:t>
      </w:r>
      <w:r w:rsidR="00862119" w:rsidRPr="00862119">
        <w:rPr>
          <w:rFonts w:hint="eastAsia"/>
          <w:color w:val="FF0000"/>
        </w:rPr>
        <w:t>及</w:t>
      </w:r>
      <w:r w:rsidR="00394B9A" w:rsidRPr="00862119">
        <w:rPr>
          <w:rFonts w:hint="eastAsia"/>
          <w:color w:val="FF0000"/>
        </w:rPr>
        <w:t>运</w:t>
      </w:r>
      <w:r w:rsidR="00394B9A" w:rsidRPr="00394B9A">
        <w:rPr>
          <w:rFonts w:hint="eastAsia"/>
          <w:color w:val="FF0000"/>
        </w:rPr>
        <w:t>营期放空废气中</w:t>
      </w:r>
      <w:r w:rsidR="00394B9A" w:rsidRPr="00394B9A">
        <w:rPr>
          <w:color w:val="FF0000"/>
        </w:rPr>
        <w:t>SO</w:t>
      </w:r>
      <w:r w:rsidR="00394B9A" w:rsidRPr="00394B9A">
        <w:rPr>
          <w:color w:val="FF0000"/>
          <w:vertAlign w:val="subscript"/>
        </w:rPr>
        <w:t>2</w:t>
      </w:r>
      <w:r w:rsidR="00394B9A" w:rsidRPr="00394B9A">
        <w:rPr>
          <w:rFonts w:hint="eastAsia"/>
          <w:color w:val="FF0000"/>
        </w:rPr>
        <w:t>、</w:t>
      </w:r>
      <w:r w:rsidR="00394B9A" w:rsidRPr="00394B9A">
        <w:rPr>
          <w:color w:val="FF0000"/>
        </w:rPr>
        <w:t>NO</w:t>
      </w:r>
      <w:r w:rsidR="00394B9A" w:rsidRPr="00394B9A">
        <w:rPr>
          <w:color w:val="FF0000"/>
          <w:vertAlign w:val="subscript"/>
        </w:rPr>
        <w:t>x</w:t>
      </w:r>
      <w:r>
        <w:t>执行《大气污染物综合排放标准》（</w:t>
      </w:r>
      <w:r>
        <w:t>GB 16297-1996</w:t>
      </w:r>
      <w:r>
        <w:t>）表</w:t>
      </w:r>
      <w:r>
        <w:t>2</w:t>
      </w:r>
      <w:r>
        <w:t>中的二级标准</w:t>
      </w:r>
      <w:r w:rsidR="00394B9A">
        <w:rPr>
          <w:rFonts w:hint="eastAsia"/>
        </w:rPr>
        <w:t>，</w:t>
      </w:r>
      <w:r>
        <w:rPr>
          <w:rFonts w:hint="eastAsia"/>
        </w:rPr>
        <w:t>。</w:t>
      </w:r>
    </w:p>
    <w:p w:rsidR="00BD5820" w:rsidRDefault="00F64314" w:rsidP="00511129">
      <w:pPr>
        <w:topLinePunct w:val="0"/>
        <w:snapToGrid w:val="0"/>
        <w:spacing w:beforeLines="50"/>
        <w:ind w:firstLineChars="0" w:firstLine="480"/>
        <w:jc w:val="center"/>
        <w:rPr>
          <w:rFonts w:ascii="Times New Roman" w:cs="Times New Roman"/>
          <w:b/>
          <w:kern w:val="2"/>
          <w:sz w:val="21"/>
          <w:szCs w:val="20"/>
        </w:rPr>
      </w:pPr>
      <w:r>
        <w:rPr>
          <w:rFonts w:ascii="Times New Roman" w:cs="Times New Roman"/>
          <w:b/>
          <w:kern w:val="2"/>
          <w:sz w:val="21"/>
          <w:szCs w:val="20"/>
        </w:rPr>
        <w:t>表</w:t>
      </w:r>
      <w:r>
        <w:rPr>
          <w:rFonts w:ascii="Times New Roman" w:cs="Times New Roman"/>
          <w:b/>
          <w:kern w:val="2"/>
          <w:sz w:val="21"/>
          <w:szCs w:val="20"/>
        </w:rPr>
        <w:t>1.5-</w:t>
      </w:r>
      <w:r>
        <w:rPr>
          <w:rFonts w:ascii="Times New Roman" w:cs="Times New Roman" w:hint="eastAsia"/>
          <w:b/>
          <w:kern w:val="2"/>
          <w:sz w:val="21"/>
          <w:szCs w:val="20"/>
        </w:rPr>
        <w:t>7</w:t>
      </w:r>
      <w:r>
        <w:rPr>
          <w:rFonts w:ascii="Times New Roman" w:cs="Times New Roman"/>
          <w:b/>
          <w:kern w:val="2"/>
          <w:sz w:val="21"/>
          <w:szCs w:val="20"/>
        </w:rPr>
        <w:t xml:space="preserve">  </w:t>
      </w:r>
      <w:r>
        <w:rPr>
          <w:rFonts w:ascii="Times New Roman" w:cs="Times New Roman"/>
          <w:b/>
          <w:kern w:val="2"/>
          <w:sz w:val="21"/>
          <w:szCs w:val="20"/>
        </w:rPr>
        <w:t>其他废气排放执行标准</w:t>
      </w:r>
      <w:r>
        <w:rPr>
          <w:rFonts w:ascii="Times New Roman" w:cs="Times New Roman"/>
          <w:b/>
          <w:kern w:val="2"/>
          <w:sz w:val="21"/>
          <w:szCs w:val="20"/>
        </w:rPr>
        <w:t xml:space="preserve">  </w:t>
      </w:r>
      <w:r>
        <w:rPr>
          <w:rFonts w:ascii="Times New Roman" w:cs="Times New Roman"/>
          <w:b/>
          <w:kern w:val="2"/>
          <w:sz w:val="21"/>
          <w:szCs w:val="20"/>
        </w:rPr>
        <w:t>单位：</w:t>
      </w:r>
      <w:r>
        <w:rPr>
          <w:rFonts w:ascii="Times New Roman" w:cs="Times New Roman"/>
          <w:b/>
          <w:kern w:val="2"/>
          <w:sz w:val="21"/>
          <w:szCs w:val="20"/>
        </w:rPr>
        <w:t>mg/m</w:t>
      </w:r>
      <w:r>
        <w:rPr>
          <w:rFonts w:ascii="Times New Roman" w:cs="Times New Roman"/>
          <w:b/>
          <w:kern w:val="2"/>
          <w:sz w:val="21"/>
          <w:szCs w:val="20"/>
          <w:vertAlign w:val="superscript"/>
        </w:rPr>
        <w:t>3</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731"/>
        <w:gridCol w:w="1632"/>
        <w:gridCol w:w="1103"/>
        <w:gridCol w:w="1596"/>
        <w:gridCol w:w="2460"/>
      </w:tblGrid>
      <w:tr w:rsidR="00394B9A" w:rsidTr="00394B9A">
        <w:trPr>
          <w:jc w:val="center"/>
        </w:trPr>
        <w:tc>
          <w:tcPr>
            <w:tcW w:w="1731" w:type="dxa"/>
            <w:vAlign w:val="center"/>
          </w:tcPr>
          <w:p w:rsidR="00394B9A" w:rsidRDefault="00394B9A">
            <w:pPr>
              <w:widowControl/>
              <w:topLinePunct w:val="0"/>
              <w:snapToGrid w:val="0"/>
              <w:spacing w:line="240" w:lineRule="auto"/>
              <w:ind w:firstLineChars="0" w:firstLine="0"/>
              <w:jc w:val="center"/>
              <w:rPr>
                <w:rFonts w:ascii="Times New Roman" w:cs="Times New Roman"/>
                <w:b/>
                <w:kern w:val="2"/>
                <w:sz w:val="21"/>
                <w:szCs w:val="21"/>
              </w:rPr>
            </w:pPr>
            <w:r>
              <w:rPr>
                <w:rFonts w:ascii="Times New Roman" w:hAnsi="宋体" w:cs="Times New Roman"/>
                <w:b/>
                <w:kern w:val="2"/>
                <w:sz w:val="21"/>
                <w:szCs w:val="21"/>
              </w:rPr>
              <w:t>标准</w:t>
            </w:r>
          </w:p>
        </w:tc>
        <w:tc>
          <w:tcPr>
            <w:tcW w:w="1632" w:type="dxa"/>
            <w:vAlign w:val="center"/>
          </w:tcPr>
          <w:p w:rsidR="00394B9A" w:rsidRDefault="00394B9A">
            <w:pPr>
              <w:widowControl/>
              <w:topLinePunct w:val="0"/>
              <w:snapToGrid w:val="0"/>
              <w:spacing w:line="240" w:lineRule="auto"/>
              <w:ind w:firstLineChars="0" w:firstLine="0"/>
              <w:jc w:val="center"/>
              <w:rPr>
                <w:rFonts w:ascii="Times New Roman" w:cs="Times New Roman"/>
                <w:b/>
                <w:kern w:val="2"/>
                <w:sz w:val="21"/>
                <w:szCs w:val="21"/>
              </w:rPr>
            </w:pPr>
            <w:r>
              <w:rPr>
                <w:rFonts w:ascii="Times New Roman" w:hAnsi="宋体" w:cs="Times New Roman"/>
                <w:b/>
                <w:kern w:val="2"/>
                <w:sz w:val="21"/>
                <w:szCs w:val="21"/>
              </w:rPr>
              <w:t>项目</w:t>
            </w:r>
          </w:p>
        </w:tc>
        <w:tc>
          <w:tcPr>
            <w:tcW w:w="1103" w:type="dxa"/>
            <w:vAlign w:val="center"/>
          </w:tcPr>
          <w:p w:rsidR="00394B9A" w:rsidRDefault="00394B9A">
            <w:pPr>
              <w:widowControl/>
              <w:topLinePunct w:val="0"/>
              <w:snapToGrid w:val="0"/>
              <w:spacing w:line="240" w:lineRule="auto"/>
              <w:ind w:firstLineChars="0" w:firstLine="0"/>
              <w:jc w:val="center"/>
              <w:rPr>
                <w:rFonts w:ascii="Times New Roman" w:cs="Times New Roman"/>
                <w:b/>
                <w:kern w:val="2"/>
                <w:sz w:val="21"/>
                <w:szCs w:val="21"/>
              </w:rPr>
            </w:pPr>
            <w:r>
              <w:rPr>
                <w:rFonts w:ascii="Times New Roman" w:cs="Times New Roman"/>
                <w:b/>
                <w:kern w:val="2"/>
                <w:sz w:val="21"/>
                <w:szCs w:val="21"/>
              </w:rPr>
              <w:t>SO</w:t>
            </w:r>
            <w:r>
              <w:rPr>
                <w:rFonts w:ascii="Times New Roman" w:cs="Times New Roman"/>
                <w:b/>
                <w:kern w:val="2"/>
                <w:sz w:val="21"/>
                <w:szCs w:val="21"/>
                <w:vertAlign w:val="subscript"/>
              </w:rPr>
              <w:t>2</w:t>
            </w:r>
          </w:p>
        </w:tc>
        <w:tc>
          <w:tcPr>
            <w:tcW w:w="1596" w:type="dxa"/>
            <w:vAlign w:val="center"/>
          </w:tcPr>
          <w:p w:rsidR="00394B9A" w:rsidRDefault="00394B9A">
            <w:pPr>
              <w:widowControl/>
              <w:topLinePunct w:val="0"/>
              <w:snapToGrid w:val="0"/>
              <w:spacing w:line="240" w:lineRule="auto"/>
              <w:ind w:firstLineChars="0" w:firstLine="0"/>
              <w:jc w:val="center"/>
              <w:rPr>
                <w:rFonts w:ascii="Times New Roman" w:cs="Times New Roman"/>
                <w:b/>
                <w:kern w:val="2"/>
                <w:sz w:val="21"/>
                <w:szCs w:val="21"/>
              </w:rPr>
            </w:pPr>
            <w:r>
              <w:rPr>
                <w:rFonts w:ascii="Times New Roman" w:cs="Times New Roman"/>
                <w:b/>
                <w:kern w:val="2"/>
                <w:sz w:val="21"/>
                <w:szCs w:val="21"/>
              </w:rPr>
              <w:t>NO</w:t>
            </w:r>
            <w:r>
              <w:rPr>
                <w:rFonts w:ascii="Times New Roman" w:cs="Times New Roman"/>
                <w:b/>
                <w:kern w:val="2"/>
                <w:sz w:val="21"/>
                <w:szCs w:val="21"/>
                <w:vertAlign w:val="subscript"/>
              </w:rPr>
              <w:t>x</w:t>
            </w:r>
          </w:p>
        </w:tc>
        <w:tc>
          <w:tcPr>
            <w:tcW w:w="2460" w:type="dxa"/>
            <w:vAlign w:val="center"/>
          </w:tcPr>
          <w:p w:rsidR="00394B9A" w:rsidRDefault="00394B9A">
            <w:pPr>
              <w:widowControl/>
              <w:topLinePunct w:val="0"/>
              <w:snapToGrid w:val="0"/>
              <w:spacing w:line="240" w:lineRule="auto"/>
              <w:ind w:left="152" w:hangingChars="72" w:hanging="152"/>
              <w:jc w:val="center"/>
              <w:rPr>
                <w:rFonts w:ascii="Times New Roman" w:cs="Times New Roman"/>
                <w:b/>
                <w:kern w:val="2"/>
                <w:sz w:val="21"/>
                <w:szCs w:val="21"/>
              </w:rPr>
            </w:pPr>
            <w:r>
              <w:rPr>
                <w:rFonts w:ascii="Times New Roman" w:hAnsi="宋体" w:cs="Times New Roman"/>
                <w:b/>
                <w:kern w:val="2"/>
                <w:sz w:val="21"/>
                <w:szCs w:val="21"/>
              </w:rPr>
              <w:t>颗粒物</w:t>
            </w:r>
          </w:p>
        </w:tc>
      </w:tr>
      <w:tr w:rsidR="00394B9A" w:rsidTr="00394B9A">
        <w:trPr>
          <w:trHeight w:val="300"/>
          <w:jc w:val="center"/>
        </w:trPr>
        <w:tc>
          <w:tcPr>
            <w:tcW w:w="1731" w:type="dxa"/>
            <w:vAlign w:val="center"/>
          </w:tcPr>
          <w:p w:rsidR="00394B9A" w:rsidRDefault="00394B9A">
            <w:pPr>
              <w:widowControl/>
              <w:topLinePunct w:val="0"/>
              <w:snapToGrid w:val="0"/>
              <w:spacing w:line="240" w:lineRule="auto"/>
              <w:ind w:firstLineChars="0" w:firstLine="0"/>
              <w:jc w:val="center"/>
              <w:rPr>
                <w:rFonts w:ascii="Times New Roman" w:cs="Times New Roman"/>
                <w:kern w:val="2"/>
                <w:sz w:val="21"/>
                <w:szCs w:val="21"/>
              </w:rPr>
            </w:pPr>
            <w:r>
              <w:rPr>
                <w:rFonts w:ascii="Times New Roman" w:hAnsi="宋体" w:cs="Times New Roman"/>
                <w:kern w:val="2"/>
                <w:sz w:val="21"/>
                <w:szCs w:val="21"/>
              </w:rPr>
              <w:t>大气污染物综合排放标准</w:t>
            </w:r>
          </w:p>
        </w:tc>
        <w:tc>
          <w:tcPr>
            <w:tcW w:w="1632" w:type="dxa"/>
            <w:vAlign w:val="center"/>
          </w:tcPr>
          <w:p w:rsidR="00394B9A" w:rsidRDefault="00394B9A">
            <w:pPr>
              <w:widowControl/>
              <w:topLinePunct w:val="0"/>
              <w:snapToGrid w:val="0"/>
              <w:spacing w:line="240" w:lineRule="auto"/>
              <w:ind w:firstLineChars="0" w:firstLine="0"/>
              <w:jc w:val="center"/>
              <w:rPr>
                <w:rFonts w:ascii="Times New Roman" w:cs="Times New Roman"/>
                <w:kern w:val="2"/>
                <w:sz w:val="21"/>
                <w:szCs w:val="21"/>
              </w:rPr>
            </w:pPr>
            <w:r>
              <w:rPr>
                <w:rFonts w:ascii="Times New Roman" w:hAnsi="宋体" w:cs="Times New Roman"/>
                <w:kern w:val="2"/>
                <w:sz w:val="21"/>
                <w:szCs w:val="21"/>
              </w:rPr>
              <w:t>周界外浓度最高点</w:t>
            </w:r>
          </w:p>
        </w:tc>
        <w:tc>
          <w:tcPr>
            <w:tcW w:w="1103" w:type="dxa"/>
            <w:vAlign w:val="center"/>
          </w:tcPr>
          <w:p w:rsidR="00394B9A" w:rsidRDefault="00394B9A">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0.40</w:t>
            </w:r>
          </w:p>
        </w:tc>
        <w:tc>
          <w:tcPr>
            <w:tcW w:w="1596" w:type="dxa"/>
            <w:vAlign w:val="center"/>
          </w:tcPr>
          <w:p w:rsidR="00394B9A" w:rsidRDefault="00394B9A">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0.1</w:t>
            </w:r>
            <w:r>
              <w:rPr>
                <w:rFonts w:ascii="Times New Roman" w:cs="Times New Roman" w:hint="eastAsia"/>
                <w:kern w:val="2"/>
                <w:sz w:val="21"/>
                <w:szCs w:val="21"/>
              </w:rPr>
              <w:t>2</w:t>
            </w:r>
          </w:p>
        </w:tc>
        <w:tc>
          <w:tcPr>
            <w:tcW w:w="2460" w:type="dxa"/>
            <w:vAlign w:val="center"/>
          </w:tcPr>
          <w:p w:rsidR="00394B9A" w:rsidRDefault="00394B9A">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1.0</w:t>
            </w:r>
          </w:p>
        </w:tc>
      </w:tr>
    </w:tbl>
    <w:p w:rsidR="00BD5820" w:rsidRDefault="00F64314">
      <w:pPr>
        <w:pStyle w:val="affa"/>
        <w:ind w:firstLine="480"/>
        <w:rPr>
          <w:szCs w:val="24"/>
        </w:rPr>
      </w:pPr>
      <w:r>
        <w:t>营运期</w:t>
      </w:r>
      <w:r>
        <w:rPr>
          <w:rFonts w:hint="eastAsia"/>
        </w:rPr>
        <w:t>非甲烷总烃执行《陆上石油天然气开采工业大气污染物排放标准》（</w:t>
      </w:r>
      <w:r>
        <w:rPr>
          <w:rFonts w:hint="eastAsia"/>
        </w:rPr>
        <w:t>GB39728-2020</w:t>
      </w:r>
      <w:r>
        <w:rPr>
          <w:rFonts w:hint="eastAsia"/>
        </w:rPr>
        <w:t>）；</w:t>
      </w:r>
      <w:r>
        <w:t>食堂油烟执行</w:t>
      </w:r>
      <w:r>
        <w:rPr>
          <w:rFonts w:hint="eastAsia"/>
        </w:rPr>
        <w:t>《饮食业油烟排放标准》（</w:t>
      </w:r>
      <w:r>
        <w:t>GB</w:t>
      </w:r>
      <w:r>
        <w:rPr>
          <w:rFonts w:hint="eastAsia"/>
        </w:rPr>
        <w:t>18483</w:t>
      </w:r>
      <w:r>
        <w:t>-20</w:t>
      </w:r>
      <w:r>
        <w:rPr>
          <w:rFonts w:hint="eastAsia"/>
        </w:rPr>
        <w:t>01</w:t>
      </w:r>
      <w:r>
        <w:rPr>
          <w:rFonts w:hint="eastAsia"/>
        </w:rPr>
        <w:t>）</w:t>
      </w:r>
      <w:r>
        <w:t>。</w:t>
      </w:r>
      <w:r>
        <w:rPr>
          <w:szCs w:val="24"/>
        </w:rPr>
        <w:t>具体执行标准详见表</w:t>
      </w:r>
      <w:r>
        <w:rPr>
          <w:rFonts w:hint="eastAsia"/>
          <w:szCs w:val="24"/>
        </w:rPr>
        <w:t>1.5-8~1.5-9</w:t>
      </w:r>
      <w:r>
        <w:rPr>
          <w:szCs w:val="24"/>
        </w:rPr>
        <w:t>。</w:t>
      </w:r>
    </w:p>
    <w:p w:rsidR="00BD5820" w:rsidRDefault="00F64314" w:rsidP="00511129">
      <w:pPr>
        <w:topLinePunct w:val="0"/>
        <w:snapToGrid w:val="0"/>
        <w:spacing w:beforeLines="50"/>
        <w:ind w:firstLineChars="0" w:firstLine="480"/>
        <w:jc w:val="center"/>
        <w:rPr>
          <w:rFonts w:ascii="Times New Roman" w:cs="Times New Roman"/>
          <w:b/>
          <w:kern w:val="2"/>
          <w:sz w:val="21"/>
          <w:szCs w:val="20"/>
        </w:rPr>
      </w:pPr>
      <w:r>
        <w:rPr>
          <w:rFonts w:ascii="Times New Roman" w:cs="Times New Roman"/>
          <w:b/>
          <w:kern w:val="2"/>
          <w:sz w:val="21"/>
          <w:szCs w:val="20"/>
        </w:rPr>
        <w:t>表</w:t>
      </w:r>
      <w:r>
        <w:rPr>
          <w:rFonts w:ascii="Times New Roman" w:cs="Times New Roman"/>
          <w:b/>
          <w:kern w:val="2"/>
          <w:sz w:val="21"/>
          <w:szCs w:val="20"/>
        </w:rPr>
        <w:t>1.5-</w:t>
      </w:r>
      <w:r>
        <w:rPr>
          <w:rFonts w:ascii="Times New Roman" w:cs="Times New Roman" w:hint="eastAsia"/>
          <w:b/>
          <w:kern w:val="2"/>
          <w:sz w:val="21"/>
          <w:szCs w:val="20"/>
        </w:rPr>
        <w:t>8</w:t>
      </w:r>
      <w:r>
        <w:rPr>
          <w:rFonts w:ascii="Times New Roman" w:cs="Times New Roman"/>
          <w:b/>
          <w:kern w:val="2"/>
          <w:sz w:val="21"/>
          <w:szCs w:val="20"/>
        </w:rPr>
        <w:t xml:space="preserve"> </w:t>
      </w:r>
      <w:r>
        <w:rPr>
          <w:rFonts w:ascii="Times New Roman" w:cs="Times New Roman" w:hint="eastAsia"/>
          <w:b/>
          <w:kern w:val="2"/>
          <w:sz w:val="21"/>
          <w:szCs w:val="20"/>
        </w:rPr>
        <w:t>陆上石油天然气开采工业大气污染物排放标准</w:t>
      </w:r>
      <w:r>
        <w:rPr>
          <w:rFonts w:ascii="Times New Roman" w:cs="Times New Roman"/>
          <w:b/>
          <w:kern w:val="2"/>
          <w:sz w:val="21"/>
          <w:szCs w:val="20"/>
        </w:rPr>
        <w:t xml:space="preserve">  </w:t>
      </w:r>
      <w:r>
        <w:rPr>
          <w:rFonts w:ascii="Times New Roman" w:cs="Times New Roman"/>
          <w:b/>
          <w:kern w:val="2"/>
          <w:sz w:val="21"/>
          <w:szCs w:val="20"/>
        </w:rPr>
        <w:t>单位：</w:t>
      </w:r>
      <w:r>
        <w:rPr>
          <w:rFonts w:ascii="Times New Roman" w:cs="Times New Roman"/>
          <w:b/>
          <w:kern w:val="2"/>
          <w:sz w:val="21"/>
          <w:szCs w:val="20"/>
        </w:rPr>
        <w:t>mg/m</w:t>
      </w:r>
      <w:r>
        <w:rPr>
          <w:rFonts w:ascii="Times New Roman" w:cs="Times New Roman"/>
          <w:b/>
          <w:kern w:val="2"/>
          <w:sz w:val="21"/>
          <w:szCs w:val="20"/>
          <w:vertAlign w:val="superscript"/>
        </w:rPr>
        <w:t>3</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3363"/>
        <w:gridCol w:w="5159"/>
      </w:tblGrid>
      <w:tr w:rsidR="00BD5820">
        <w:trPr>
          <w:jc w:val="center"/>
        </w:trPr>
        <w:tc>
          <w:tcPr>
            <w:tcW w:w="3363" w:type="dxa"/>
            <w:vAlign w:val="center"/>
          </w:tcPr>
          <w:p w:rsidR="00BD5820" w:rsidRDefault="00F64314">
            <w:pPr>
              <w:widowControl/>
              <w:topLinePunct w:val="0"/>
              <w:snapToGrid w:val="0"/>
              <w:spacing w:line="240" w:lineRule="auto"/>
              <w:ind w:firstLineChars="0" w:firstLine="0"/>
              <w:jc w:val="center"/>
              <w:rPr>
                <w:rFonts w:ascii="Times New Roman" w:cs="Times New Roman"/>
                <w:b/>
                <w:kern w:val="2"/>
                <w:sz w:val="21"/>
                <w:szCs w:val="21"/>
              </w:rPr>
            </w:pPr>
            <w:r>
              <w:rPr>
                <w:rFonts w:ascii="Times New Roman" w:hAnsi="宋体" w:cs="Times New Roman"/>
                <w:b/>
                <w:kern w:val="2"/>
                <w:sz w:val="21"/>
                <w:szCs w:val="21"/>
              </w:rPr>
              <w:t>项目</w:t>
            </w:r>
          </w:p>
        </w:tc>
        <w:tc>
          <w:tcPr>
            <w:tcW w:w="5159" w:type="dxa"/>
            <w:vAlign w:val="center"/>
          </w:tcPr>
          <w:p w:rsidR="00BD5820" w:rsidRDefault="00F64314">
            <w:pPr>
              <w:widowControl/>
              <w:topLinePunct w:val="0"/>
              <w:snapToGrid w:val="0"/>
              <w:spacing w:line="240" w:lineRule="auto"/>
              <w:ind w:left="152" w:hangingChars="72" w:hanging="152"/>
              <w:jc w:val="center"/>
              <w:rPr>
                <w:rFonts w:ascii="Times New Roman" w:cs="Times New Roman"/>
                <w:b/>
                <w:kern w:val="2"/>
                <w:sz w:val="21"/>
                <w:szCs w:val="21"/>
              </w:rPr>
            </w:pPr>
            <w:r>
              <w:rPr>
                <w:rFonts w:ascii="Times New Roman" w:cs="Times New Roman" w:hint="eastAsia"/>
                <w:b/>
                <w:kern w:val="2"/>
                <w:sz w:val="21"/>
                <w:szCs w:val="21"/>
              </w:rPr>
              <w:t>非甲烷总烃</w:t>
            </w:r>
          </w:p>
        </w:tc>
      </w:tr>
      <w:tr w:rsidR="00BD5820">
        <w:trPr>
          <w:trHeight w:val="300"/>
          <w:jc w:val="center"/>
        </w:trPr>
        <w:tc>
          <w:tcPr>
            <w:tcW w:w="3363"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hAnsi="宋体" w:cs="Times New Roman" w:hint="eastAsia"/>
                <w:kern w:val="2"/>
                <w:sz w:val="21"/>
                <w:szCs w:val="21"/>
              </w:rPr>
              <w:t>企业边界污染物控制要求</w:t>
            </w:r>
          </w:p>
        </w:tc>
        <w:tc>
          <w:tcPr>
            <w:tcW w:w="5159"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4.0</w:t>
            </w:r>
          </w:p>
        </w:tc>
      </w:tr>
    </w:tbl>
    <w:p w:rsidR="00BD5820" w:rsidRDefault="00F64314">
      <w:pPr>
        <w:topLinePunct w:val="0"/>
        <w:adjustRightInd/>
        <w:spacing w:line="240" w:lineRule="auto"/>
        <w:ind w:firstLineChars="0" w:firstLine="0"/>
        <w:jc w:val="center"/>
        <w:rPr>
          <w:rFonts w:ascii="Times New Roman" w:cs="Times New Roman"/>
          <w:b/>
          <w:bCs/>
          <w:kern w:val="2"/>
          <w:sz w:val="21"/>
          <w:szCs w:val="21"/>
        </w:rPr>
      </w:pPr>
      <w:r>
        <w:rPr>
          <w:rFonts w:ascii="Times New Roman" w:cs="Times New Roman" w:hint="eastAsia"/>
          <w:b/>
          <w:bCs/>
          <w:kern w:val="2"/>
          <w:sz w:val="21"/>
          <w:szCs w:val="21"/>
        </w:rPr>
        <w:t>表</w:t>
      </w:r>
      <w:r>
        <w:rPr>
          <w:rFonts w:ascii="Times New Roman" w:cs="Times New Roman"/>
          <w:b/>
          <w:bCs/>
          <w:kern w:val="2"/>
          <w:sz w:val="21"/>
          <w:szCs w:val="21"/>
        </w:rPr>
        <w:t>1.5-</w:t>
      </w:r>
      <w:r>
        <w:rPr>
          <w:rFonts w:ascii="Times New Roman" w:cs="Times New Roman" w:hint="eastAsia"/>
          <w:b/>
          <w:bCs/>
          <w:kern w:val="2"/>
          <w:sz w:val="21"/>
          <w:szCs w:val="21"/>
        </w:rPr>
        <w:t xml:space="preserve">9  </w:t>
      </w:r>
      <w:r>
        <w:rPr>
          <w:rFonts w:ascii="Times New Roman" w:cs="Times New Roman" w:hint="eastAsia"/>
          <w:b/>
          <w:bCs/>
          <w:kern w:val="2"/>
          <w:sz w:val="21"/>
          <w:szCs w:val="21"/>
        </w:rPr>
        <w:t>饮食业油烟排放标准</w:t>
      </w:r>
    </w:p>
    <w:tbl>
      <w:tblPr>
        <w:tblW w:w="8787"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3206"/>
        <w:gridCol w:w="5581"/>
      </w:tblGrid>
      <w:tr w:rsidR="00BD5820">
        <w:trPr>
          <w:cantSplit/>
          <w:trHeight w:val="386"/>
          <w:jc w:val="center"/>
        </w:trPr>
        <w:tc>
          <w:tcPr>
            <w:tcW w:w="3206"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污染物项目</w:t>
            </w:r>
          </w:p>
        </w:tc>
        <w:tc>
          <w:tcPr>
            <w:tcW w:w="5581"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最高允许排放浓度</w:t>
            </w:r>
            <w:r>
              <w:rPr>
                <w:rFonts w:ascii="Times New Roman" w:cs="Times New Roman" w:hint="eastAsia"/>
                <w:kern w:val="2"/>
                <w:sz w:val="21"/>
                <w:szCs w:val="21"/>
              </w:rPr>
              <w:t>(mg/m</w:t>
            </w:r>
            <w:r>
              <w:rPr>
                <w:rFonts w:ascii="Times New Roman" w:cs="Times New Roman" w:hint="eastAsia"/>
                <w:kern w:val="2"/>
                <w:sz w:val="21"/>
                <w:szCs w:val="21"/>
                <w:vertAlign w:val="superscript"/>
              </w:rPr>
              <w:t>3</w:t>
            </w:r>
            <w:r>
              <w:rPr>
                <w:rFonts w:ascii="Times New Roman" w:cs="Times New Roman" w:hint="eastAsia"/>
                <w:kern w:val="2"/>
                <w:sz w:val="21"/>
                <w:szCs w:val="21"/>
              </w:rPr>
              <w:t>)</w:t>
            </w:r>
          </w:p>
        </w:tc>
      </w:tr>
      <w:tr w:rsidR="00BD5820">
        <w:trPr>
          <w:cantSplit/>
          <w:trHeight w:val="386"/>
          <w:jc w:val="center"/>
        </w:trPr>
        <w:tc>
          <w:tcPr>
            <w:tcW w:w="3206"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油烟</w:t>
            </w:r>
          </w:p>
        </w:tc>
        <w:tc>
          <w:tcPr>
            <w:tcW w:w="5581"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2.0</w:t>
            </w:r>
          </w:p>
        </w:tc>
      </w:tr>
    </w:tbl>
    <w:p w:rsidR="00BD5820" w:rsidRDefault="00F64314">
      <w:pPr>
        <w:pStyle w:val="affa"/>
        <w:ind w:firstLine="482"/>
        <w:rPr>
          <w:b/>
          <w:bCs/>
        </w:rPr>
      </w:pPr>
      <w:r>
        <w:rPr>
          <w:b/>
          <w:bCs/>
        </w:rPr>
        <w:t>2</w:t>
      </w:r>
      <w:r>
        <w:rPr>
          <w:b/>
          <w:bCs/>
        </w:rPr>
        <w:t>、废水</w:t>
      </w:r>
    </w:p>
    <w:p w:rsidR="00BD5820" w:rsidRDefault="00F64314">
      <w:pPr>
        <w:pStyle w:val="affa"/>
        <w:ind w:firstLine="480"/>
      </w:pPr>
      <w:r>
        <w:t>本项目</w:t>
      </w:r>
      <w:r>
        <w:rPr>
          <w:spacing w:val="-8"/>
          <w:szCs w:val="21"/>
        </w:rPr>
        <w:t>施工期管线施工人员生活污水依托租用附近居民房收集处理</w:t>
      </w:r>
      <w:r>
        <w:rPr>
          <w:rFonts w:hint="eastAsia"/>
          <w:spacing w:val="-8"/>
          <w:szCs w:val="21"/>
        </w:rPr>
        <w:t>；站场</w:t>
      </w:r>
      <w:r>
        <w:rPr>
          <w:spacing w:val="-8"/>
          <w:szCs w:val="21"/>
        </w:rPr>
        <w:t>施工</w:t>
      </w:r>
      <w:bookmarkStart w:id="71" w:name="OLE_LINK6"/>
      <w:r>
        <w:rPr>
          <w:rFonts w:hint="eastAsia"/>
          <w:spacing w:val="-8"/>
          <w:szCs w:val="21"/>
        </w:rPr>
        <w:t>入厕生活污水</w:t>
      </w:r>
      <w:bookmarkEnd w:id="71"/>
      <w:r>
        <w:rPr>
          <w:rFonts w:hint="eastAsia"/>
          <w:spacing w:val="-8"/>
          <w:szCs w:val="21"/>
        </w:rPr>
        <w:t>依托</w:t>
      </w:r>
      <w:r>
        <w:rPr>
          <w:bCs/>
          <w:spacing w:val="-8"/>
          <w:szCs w:val="21"/>
        </w:rPr>
        <w:t>生态环保厕所收集处理</w:t>
      </w:r>
      <w:r>
        <w:t>后，用作周边农肥，不外排</w:t>
      </w:r>
      <w:r>
        <w:rPr>
          <w:rFonts w:hint="eastAsia"/>
        </w:rPr>
        <w:t>；员工洗澡、食堂废水经单独收集后拉运至普光镇场镇污水处理厂处理，执行《城镇污水处理厂污染物排放标准》一级</w:t>
      </w:r>
      <w:r>
        <w:rPr>
          <w:rFonts w:hint="eastAsia"/>
        </w:rPr>
        <w:t>B</w:t>
      </w:r>
      <w:r>
        <w:rPr>
          <w:rFonts w:hint="eastAsia"/>
        </w:rPr>
        <w:t>标准</w:t>
      </w:r>
      <w:r>
        <w:rPr>
          <w:rFonts w:hint="eastAsia"/>
          <w:spacing w:val="-8"/>
          <w:szCs w:val="21"/>
        </w:rPr>
        <w:t>；施工机械、车辆清洗废水经沉淀池沉淀后循环使用，不外排；清管试压废水经沉淀池沉淀后回用作绿化用水</w:t>
      </w:r>
      <w:bookmarkStart w:id="72" w:name="_Hlk80470696"/>
      <w:r>
        <w:rPr>
          <w:rFonts w:hint="eastAsia"/>
        </w:rPr>
        <w:t>。本项目运营期产生的气田水分别经普光</w:t>
      </w:r>
      <w:r>
        <w:rPr>
          <w:rFonts w:hint="eastAsia"/>
        </w:rPr>
        <w:t>3#</w:t>
      </w:r>
      <w:r>
        <w:rPr>
          <w:rFonts w:hint="eastAsia"/>
        </w:rPr>
        <w:t>水处理站、</w:t>
      </w:r>
      <w:r>
        <w:rPr>
          <w:rFonts w:hint="eastAsia"/>
        </w:rPr>
        <w:t>1#</w:t>
      </w:r>
      <w:r>
        <w:rPr>
          <w:rFonts w:hint="eastAsia"/>
        </w:rPr>
        <w:t>污水处理站集中处理，水处理采用新建预处理流程，满足压裂液配制要求，剩余采出水然后进入深度水处理站处理后回用，不外排</w:t>
      </w:r>
      <w:r>
        <w:t>。</w:t>
      </w:r>
      <w:r w:rsidR="001B55AD" w:rsidRPr="001B55AD">
        <w:t>深度处理后污水水质达到《水务管理技术要求第</w:t>
      </w:r>
      <w:r w:rsidR="001B55AD" w:rsidRPr="001B55AD">
        <w:t>2</w:t>
      </w:r>
      <w:r w:rsidR="001B55AD" w:rsidRPr="001B55AD">
        <w:t>部分：循环水》</w:t>
      </w:r>
      <w:r w:rsidR="001B55AD" w:rsidRPr="001B55AD">
        <w:rPr>
          <w:rFonts w:hint="eastAsia"/>
        </w:rPr>
        <w:t>（</w:t>
      </w:r>
      <w:r w:rsidR="001B55AD" w:rsidRPr="001B55AD">
        <w:t>Q/SH0628.2-2014</w:t>
      </w:r>
      <w:r w:rsidR="001B55AD" w:rsidRPr="001B55AD">
        <w:rPr>
          <w:rFonts w:hint="eastAsia"/>
        </w:rPr>
        <w:t>）</w:t>
      </w:r>
      <w:r w:rsidR="001B55AD" w:rsidRPr="001B55AD">
        <w:t>中污水回用于循环冷却水补充水水质要求，作为普光天然气净化厂循环冷却水回用；浓缩水水质达到《碎屑岩油藏注水水质推荐指标》（</w:t>
      </w:r>
      <w:r w:rsidR="001B55AD" w:rsidRPr="001B55AD">
        <w:t>SY/T5329-2012</w:t>
      </w:r>
      <w:r w:rsidR="001B55AD" w:rsidRPr="001B55AD">
        <w:t>）回注水水质要求，优先输送至普光</w:t>
      </w:r>
      <w:r w:rsidR="001B55AD" w:rsidRPr="001B55AD">
        <w:t>11</w:t>
      </w:r>
      <w:r w:rsidR="001B55AD" w:rsidRPr="001B55AD">
        <w:t>井回注，当普光</w:t>
      </w:r>
      <w:r w:rsidR="001B55AD" w:rsidRPr="001B55AD">
        <w:t>11</w:t>
      </w:r>
      <w:r w:rsidR="001B55AD" w:rsidRPr="001B55AD">
        <w:t>井回注能力不足时，通过罐车</w:t>
      </w:r>
      <w:r w:rsidR="001B55AD" w:rsidRPr="001B55AD">
        <w:rPr>
          <w:rFonts w:hint="eastAsia"/>
        </w:rPr>
        <w:t>拉运</w:t>
      </w:r>
      <w:r w:rsidR="001B55AD" w:rsidRPr="001B55AD">
        <w:t>至毛开</w:t>
      </w:r>
      <w:r w:rsidR="001B55AD" w:rsidRPr="001B55AD">
        <w:t>1</w:t>
      </w:r>
      <w:r w:rsidR="001B55AD" w:rsidRPr="001B55AD">
        <w:t>井、普光</w:t>
      </w:r>
      <w:r w:rsidR="001B55AD" w:rsidRPr="001B55AD">
        <w:t>7</w:t>
      </w:r>
      <w:r w:rsidR="001B55AD" w:rsidRPr="001B55AD">
        <w:t>井回注</w:t>
      </w:r>
      <w:r w:rsidR="001B55AD">
        <w:rPr>
          <w:rFonts w:hint="eastAsia"/>
        </w:rPr>
        <w:t>。</w:t>
      </w:r>
    </w:p>
    <w:bookmarkEnd w:id="72"/>
    <w:p w:rsidR="00BD5820" w:rsidRDefault="00F64314">
      <w:pPr>
        <w:pStyle w:val="affa"/>
        <w:ind w:firstLine="482"/>
        <w:rPr>
          <w:b/>
          <w:bCs/>
        </w:rPr>
      </w:pPr>
      <w:r>
        <w:rPr>
          <w:b/>
          <w:bCs/>
        </w:rPr>
        <w:t>3</w:t>
      </w:r>
      <w:r>
        <w:rPr>
          <w:b/>
          <w:bCs/>
        </w:rPr>
        <w:t>、噪声</w:t>
      </w:r>
    </w:p>
    <w:p w:rsidR="00BD5820" w:rsidRDefault="00F64314">
      <w:pPr>
        <w:pStyle w:val="affa"/>
        <w:ind w:firstLine="480"/>
      </w:pPr>
      <w:r>
        <w:lastRenderedPageBreak/>
        <w:t>运营期噪声执行《工业企业厂界环境噪声排放标准》（</w:t>
      </w:r>
      <w:r>
        <w:t>GB12348-2008</w:t>
      </w:r>
      <w:r>
        <w:t>）中的</w:t>
      </w:r>
      <w:r>
        <w:t>2</w:t>
      </w:r>
      <w:r>
        <w:t>类标准。</w:t>
      </w:r>
    </w:p>
    <w:p w:rsidR="00BD5820" w:rsidRDefault="00F64314">
      <w:pPr>
        <w:pStyle w:val="10"/>
        <w:rPr>
          <w:rFonts w:cs="Times New Roman"/>
        </w:rPr>
      </w:pPr>
      <w:r>
        <w:rPr>
          <w:rFonts w:cs="Times New Roman"/>
        </w:rPr>
        <w:t>表</w:t>
      </w:r>
      <w:r>
        <w:rPr>
          <w:rFonts w:cs="Times New Roman"/>
        </w:rPr>
        <w:t>1.5-</w:t>
      </w:r>
      <w:r>
        <w:rPr>
          <w:rStyle w:val="Charf2"/>
          <w:rFonts w:hint="eastAsia"/>
        </w:rPr>
        <w:t>10</w:t>
      </w:r>
      <w:r>
        <w:rPr>
          <w:rStyle w:val="Charf2"/>
        </w:rPr>
        <w:t xml:space="preserve">  </w:t>
      </w:r>
      <w:r>
        <w:rPr>
          <w:rFonts w:cs="Times New Roman"/>
        </w:rPr>
        <w:t>工业企业厂界环境噪声排放标准</w:t>
      </w:r>
      <w:r>
        <w:rPr>
          <w:rFonts w:cs="Times New Roman"/>
        </w:rPr>
        <w:t xml:space="preserve">   </w:t>
      </w:r>
      <w:r>
        <w:rPr>
          <w:rFonts w:cs="Times New Roman"/>
        </w:rPr>
        <w:t>单位：</w:t>
      </w:r>
      <w:r>
        <w:rPr>
          <w:rFonts w:cs="Times New Roman"/>
        </w:rPr>
        <w:t>dB(A)</w:t>
      </w:r>
    </w:p>
    <w:tbl>
      <w:tblPr>
        <w:tblW w:w="5249" w:type="pct"/>
        <w:jc w:val="center"/>
        <w:tblCellMar>
          <w:left w:w="0" w:type="dxa"/>
          <w:right w:w="0" w:type="dxa"/>
        </w:tblCellMar>
        <w:tblLook w:val="04A0"/>
      </w:tblPr>
      <w:tblGrid>
        <w:gridCol w:w="3238"/>
        <w:gridCol w:w="2742"/>
        <w:gridCol w:w="2740"/>
      </w:tblGrid>
      <w:tr w:rsidR="00BD5820">
        <w:trPr>
          <w:trHeight w:hRule="exact" w:val="311"/>
          <w:jc w:val="center"/>
        </w:trPr>
        <w:tc>
          <w:tcPr>
            <w:tcW w:w="1857" w:type="pct"/>
            <w:tcBorders>
              <w:top w:val="single" w:sz="12" w:space="0" w:color="000000"/>
              <w:left w:val="nil"/>
              <w:bottom w:val="single" w:sz="4" w:space="0" w:color="000000"/>
              <w:right w:val="single" w:sz="4" w:space="0" w:color="000000"/>
            </w:tcBorders>
            <w:vAlign w:val="center"/>
          </w:tcPr>
          <w:p w:rsidR="00BD5820" w:rsidRDefault="00F64314">
            <w:pPr>
              <w:pStyle w:val="afff1"/>
              <w:rPr>
                <w:b/>
                <w:bCs/>
              </w:rPr>
            </w:pPr>
            <w:r>
              <w:rPr>
                <w:b/>
                <w:bCs/>
              </w:rPr>
              <w:t>类别</w:t>
            </w:r>
          </w:p>
        </w:tc>
        <w:tc>
          <w:tcPr>
            <w:tcW w:w="1572" w:type="pct"/>
            <w:tcBorders>
              <w:top w:val="single" w:sz="12" w:space="0" w:color="000000"/>
              <w:left w:val="single" w:sz="4" w:space="0" w:color="000000"/>
              <w:bottom w:val="single" w:sz="4" w:space="0" w:color="000000"/>
              <w:right w:val="single" w:sz="4" w:space="0" w:color="000000"/>
            </w:tcBorders>
            <w:vAlign w:val="center"/>
          </w:tcPr>
          <w:p w:rsidR="00BD5820" w:rsidRDefault="00F64314">
            <w:pPr>
              <w:pStyle w:val="afff1"/>
              <w:rPr>
                <w:b/>
                <w:bCs/>
              </w:rPr>
            </w:pPr>
            <w:r>
              <w:rPr>
                <w:b/>
                <w:bCs/>
              </w:rPr>
              <w:t>昼间</w:t>
            </w:r>
          </w:p>
        </w:tc>
        <w:tc>
          <w:tcPr>
            <w:tcW w:w="1571" w:type="pct"/>
            <w:tcBorders>
              <w:top w:val="single" w:sz="12" w:space="0" w:color="000000"/>
              <w:left w:val="single" w:sz="4" w:space="0" w:color="000000"/>
              <w:bottom w:val="single" w:sz="4" w:space="0" w:color="000000"/>
              <w:right w:val="nil"/>
            </w:tcBorders>
            <w:vAlign w:val="center"/>
          </w:tcPr>
          <w:p w:rsidR="00BD5820" w:rsidRDefault="00F64314">
            <w:pPr>
              <w:pStyle w:val="afff1"/>
              <w:rPr>
                <w:b/>
                <w:bCs/>
              </w:rPr>
            </w:pPr>
            <w:r>
              <w:rPr>
                <w:b/>
                <w:bCs/>
              </w:rPr>
              <w:t>夜间</w:t>
            </w:r>
          </w:p>
        </w:tc>
      </w:tr>
      <w:tr w:rsidR="00BD5820">
        <w:trPr>
          <w:trHeight w:hRule="exact" w:val="344"/>
          <w:jc w:val="center"/>
        </w:trPr>
        <w:tc>
          <w:tcPr>
            <w:tcW w:w="1857" w:type="pct"/>
            <w:tcBorders>
              <w:top w:val="single" w:sz="4" w:space="0" w:color="000000"/>
              <w:left w:val="nil"/>
              <w:bottom w:val="single" w:sz="12" w:space="0" w:color="000000"/>
              <w:right w:val="single" w:sz="4" w:space="0" w:color="000000"/>
            </w:tcBorders>
            <w:vAlign w:val="center"/>
          </w:tcPr>
          <w:p w:rsidR="00BD5820" w:rsidRDefault="00F64314">
            <w:pPr>
              <w:pStyle w:val="afff1"/>
            </w:pPr>
            <w:r>
              <w:t>2</w:t>
            </w:r>
            <w:r>
              <w:t>类</w:t>
            </w:r>
          </w:p>
        </w:tc>
        <w:tc>
          <w:tcPr>
            <w:tcW w:w="1572" w:type="pct"/>
            <w:tcBorders>
              <w:top w:val="single" w:sz="4" w:space="0" w:color="000000"/>
              <w:left w:val="single" w:sz="4" w:space="0" w:color="000000"/>
              <w:bottom w:val="single" w:sz="12" w:space="0" w:color="000000"/>
              <w:right w:val="single" w:sz="4" w:space="0" w:color="000000"/>
            </w:tcBorders>
            <w:vAlign w:val="center"/>
          </w:tcPr>
          <w:p w:rsidR="00BD5820" w:rsidRDefault="00F64314">
            <w:pPr>
              <w:pStyle w:val="afff1"/>
            </w:pPr>
            <w:r>
              <w:t>60</w:t>
            </w:r>
          </w:p>
        </w:tc>
        <w:tc>
          <w:tcPr>
            <w:tcW w:w="1571" w:type="pct"/>
            <w:tcBorders>
              <w:top w:val="single" w:sz="4" w:space="0" w:color="000000"/>
              <w:left w:val="single" w:sz="4" w:space="0" w:color="000000"/>
              <w:bottom w:val="single" w:sz="12" w:space="0" w:color="000000"/>
              <w:right w:val="nil"/>
            </w:tcBorders>
            <w:vAlign w:val="center"/>
          </w:tcPr>
          <w:p w:rsidR="00BD5820" w:rsidRDefault="00F64314">
            <w:pPr>
              <w:pStyle w:val="afff1"/>
            </w:pPr>
            <w:r>
              <w:t>50</w:t>
            </w:r>
          </w:p>
        </w:tc>
      </w:tr>
    </w:tbl>
    <w:p w:rsidR="00BD5820" w:rsidRDefault="00F64314">
      <w:pPr>
        <w:pStyle w:val="affa"/>
        <w:ind w:firstLine="480"/>
      </w:pPr>
      <w:r>
        <w:t>施工期噪声采用《建筑施工场界环境噪声排放标准》（</w:t>
      </w:r>
      <w:r>
        <w:t>GB12523-2011</w:t>
      </w:r>
      <w:r>
        <w:t>）标准。</w:t>
      </w:r>
    </w:p>
    <w:p w:rsidR="00BD5820" w:rsidRDefault="00F64314">
      <w:pPr>
        <w:pStyle w:val="10"/>
        <w:rPr>
          <w:rFonts w:cs="Times New Roman"/>
        </w:rPr>
      </w:pPr>
      <w:r>
        <w:rPr>
          <w:rFonts w:cs="Times New Roman"/>
        </w:rPr>
        <w:t>表</w:t>
      </w:r>
      <w:r>
        <w:rPr>
          <w:rFonts w:cs="Times New Roman"/>
        </w:rPr>
        <w:t>1.5-1</w:t>
      </w:r>
      <w:r>
        <w:rPr>
          <w:rFonts w:cs="Times New Roman" w:hint="eastAsia"/>
        </w:rPr>
        <w:t>1</w:t>
      </w:r>
      <w:r>
        <w:rPr>
          <w:rFonts w:cs="Times New Roman"/>
        </w:rPr>
        <w:t xml:space="preserve">  </w:t>
      </w:r>
      <w:r>
        <w:rPr>
          <w:rFonts w:cs="Times New Roman"/>
        </w:rPr>
        <w:t>建筑施工场界噪声限值</w:t>
      </w:r>
      <w:r>
        <w:rPr>
          <w:rFonts w:cs="Times New Roman"/>
        </w:rPr>
        <w:t xml:space="preserve">  </w:t>
      </w:r>
      <w:r>
        <w:rPr>
          <w:rFonts w:cs="Times New Roman"/>
        </w:rPr>
        <w:t>单位：</w:t>
      </w:r>
      <w:r>
        <w:rPr>
          <w:rFonts w:cs="Times New Roman"/>
        </w:rPr>
        <w:t>dB(A)</w:t>
      </w:r>
    </w:p>
    <w:tbl>
      <w:tblPr>
        <w:tblW w:w="8699" w:type="dxa"/>
        <w:jc w:val="center"/>
        <w:tblCellMar>
          <w:left w:w="0" w:type="dxa"/>
          <w:right w:w="0" w:type="dxa"/>
        </w:tblCellMar>
        <w:tblLook w:val="04A0"/>
      </w:tblPr>
      <w:tblGrid>
        <w:gridCol w:w="5499"/>
        <w:gridCol w:w="1634"/>
        <w:gridCol w:w="1566"/>
      </w:tblGrid>
      <w:tr w:rsidR="00BD5820">
        <w:trPr>
          <w:trHeight w:val="352"/>
          <w:jc w:val="center"/>
        </w:trPr>
        <w:tc>
          <w:tcPr>
            <w:tcW w:w="5499" w:type="dxa"/>
            <w:tcBorders>
              <w:top w:val="single" w:sz="12" w:space="0" w:color="000000"/>
              <w:left w:val="nil"/>
              <w:bottom w:val="single" w:sz="2" w:space="0" w:color="000000"/>
              <w:right w:val="single" w:sz="2" w:space="0" w:color="000000"/>
            </w:tcBorders>
            <w:vAlign w:val="center"/>
          </w:tcPr>
          <w:p w:rsidR="00BD5820" w:rsidRDefault="00F64314">
            <w:pPr>
              <w:pStyle w:val="afff1"/>
              <w:rPr>
                <w:b/>
                <w:bCs/>
              </w:rPr>
            </w:pPr>
            <w:r>
              <w:rPr>
                <w:b/>
                <w:bCs/>
              </w:rPr>
              <w:t>执行标准</w:t>
            </w:r>
          </w:p>
        </w:tc>
        <w:tc>
          <w:tcPr>
            <w:tcW w:w="1634" w:type="dxa"/>
            <w:tcBorders>
              <w:top w:val="single" w:sz="12" w:space="0" w:color="000000"/>
              <w:left w:val="nil"/>
              <w:bottom w:val="single" w:sz="2" w:space="0" w:color="000000"/>
              <w:right w:val="single" w:sz="2" w:space="0" w:color="000000"/>
            </w:tcBorders>
            <w:vAlign w:val="center"/>
          </w:tcPr>
          <w:p w:rsidR="00BD5820" w:rsidRDefault="00F64314">
            <w:pPr>
              <w:pStyle w:val="afff1"/>
              <w:rPr>
                <w:b/>
                <w:bCs/>
              </w:rPr>
            </w:pPr>
            <w:r>
              <w:rPr>
                <w:b/>
                <w:bCs/>
              </w:rPr>
              <w:t>昼间</w:t>
            </w:r>
          </w:p>
        </w:tc>
        <w:tc>
          <w:tcPr>
            <w:tcW w:w="1566" w:type="dxa"/>
            <w:tcBorders>
              <w:top w:val="single" w:sz="12" w:space="0" w:color="000000"/>
              <w:left w:val="single" w:sz="2" w:space="0" w:color="000000"/>
              <w:bottom w:val="single" w:sz="2" w:space="0" w:color="000000"/>
              <w:right w:val="nil"/>
            </w:tcBorders>
            <w:vAlign w:val="center"/>
          </w:tcPr>
          <w:p w:rsidR="00BD5820" w:rsidRDefault="00F64314">
            <w:pPr>
              <w:pStyle w:val="afff1"/>
              <w:rPr>
                <w:b/>
                <w:bCs/>
              </w:rPr>
            </w:pPr>
            <w:r>
              <w:rPr>
                <w:b/>
                <w:bCs/>
              </w:rPr>
              <w:t>夜间</w:t>
            </w:r>
          </w:p>
        </w:tc>
      </w:tr>
      <w:tr w:rsidR="00BD5820">
        <w:trPr>
          <w:trHeight w:val="397"/>
          <w:jc w:val="center"/>
        </w:trPr>
        <w:tc>
          <w:tcPr>
            <w:tcW w:w="5499" w:type="dxa"/>
            <w:tcBorders>
              <w:top w:val="single" w:sz="2" w:space="0" w:color="000000"/>
              <w:left w:val="nil"/>
              <w:bottom w:val="single" w:sz="12" w:space="0" w:color="000000"/>
              <w:right w:val="single" w:sz="2" w:space="0" w:color="000000"/>
            </w:tcBorders>
            <w:vAlign w:val="center"/>
          </w:tcPr>
          <w:p w:rsidR="00BD5820" w:rsidRDefault="00F64314">
            <w:pPr>
              <w:pStyle w:val="afff1"/>
            </w:pPr>
            <w:r>
              <w:t>《建筑施工场界环境噪声排放标准》（</w:t>
            </w:r>
            <w:r>
              <w:t>GB12523-2011</w:t>
            </w:r>
            <w:r>
              <w:t>）</w:t>
            </w:r>
          </w:p>
        </w:tc>
        <w:tc>
          <w:tcPr>
            <w:tcW w:w="1634" w:type="dxa"/>
            <w:tcBorders>
              <w:top w:val="single" w:sz="2" w:space="0" w:color="000000"/>
              <w:left w:val="nil"/>
              <w:bottom w:val="single" w:sz="12" w:space="0" w:color="000000"/>
              <w:right w:val="single" w:sz="2" w:space="0" w:color="000000"/>
            </w:tcBorders>
            <w:vAlign w:val="center"/>
          </w:tcPr>
          <w:p w:rsidR="00BD5820" w:rsidRDefault="00F64314">
            <w:pPr>
              <w:pStyle w:val="afff1"/>
            </w:pPr>
            <w:r>
              <w:t>70</w:t>
            </w:r>
          </w:p>
        </w:tc>
        <w:tc>
          <w:tcPr>
            <w:tcW w:w="1566" w:type="dxa"/>
            <w:tcBorders>
              <w:top w:val="single" w:sz="2" w:space="0" w:color="000000"/>
              <w:left w:val="single" w:sz="2" w:space="0" w:color="000000"/>
              <w:bottom w:val="single" w:sz="12" w:space="0" w:color="000000"/>
              <w:right w:val="nil"/>
            </w:tcBorders>
            <w:vAlign w:val="center"/>
          </w:tcPr>
          <w:p w:rsidR="00BD5820" w:rsidRDefault="00F64314">
            <w:pPr>
              <w:pStyle w:val="afff1"/>
            </w:pPr>
            <w:r>
              <w:t>55</w:t>
            </w:r>
          </w:p>
        </w:tc>
      </w:tr>
    </w:tbl>
    <w:p w:rsidR="00BD5820" w:rsidRDefault="00F64314">
      <w:pPr>
        <w:pStyle w:val="affa"/>
        <w:ind w:firstLine="482"/>
        <w:rPr>
          <w:b/>
          <w:bCs/>
        </w:rPr>
      </w:pPr>
      <w:r>
        <w:rPr>
          <w:b/>
          <w:bCs/>
        </w:rPr>
        <w:t>4</w:t>
      </w:r>
      <w:r>
        <w:rPr>
          <w:b/>
          <w:bCs/>
        </w:rPr>
        <w:t>、固体废物</w:t>
      </w:r>
    </w:p>
    <w:p w:rsidR="00BD5820" w:rsidRPr="00C928E4" w:rsidRDefault="00F64314">
      <w:pPr>
        <w:pStyle w:val="affa"/>
        <w:ind w:firstLine="480"/>
        <w:rPr>
          <w:color w:val="FF0000"/>
          <w:kern w:val="2"/>
          <w:szCs w:val="22"/>
        </w:rPr>
      </w:pPr>
      <w:r>
        <w:rPr>
          <w:kern w:val="2"/>
          <w:szCs w:val="22"/>
        </w:rPr>
        <w:t>（</w:t>
      </w:r>
      <w:r>
        <w:rPr>
          <w:kern w:val="2"/>
          <w:szCs w:val="22"/>
        </w:rPr>
        <w:t>1</w:t>
      </w:r>
      <w:r>
        <w:rPr>
          <w:kern w:val="2"/>
          <w:szCs w:val="22"/>
        </w:rPr>
        <w:t>）一般工业固体废物：</w:t>
      </w:r>
      <w:r w:rsidR="00C928E4" w:rsidRPr="00C928E4">
        <w:rPr>
          <w:color w:val="FF0000"/>
          <w:kern w:val="2"/>
          <w:szCs w:val="22"/>
        </w:rPr>
        <w:t>根据《一般工业固体废物贮存和填埋污染控制标准》（</w:t>
      </w:r>
      <w:r w:rsidR="00C928E4" w:rsidRPr="00C928E4">
        <w:rPr>
          <w:color w:val="FF0000"/>
          <w:kern w:val="2"/>
          <w:szCs w:val="22"/>
        </w:rPr>
        <w:t>GB18599-2020</w:t>
      </w:r>
      <w:r w:rsidR="00C928E4" w:rsidRPr="00C928E4">
        <w:rPr>
          <w:color w:val="FF0000"/>
          <w:kern w:val="2"/>
          <w:szCs w:val="22"/>
        </w:rPr>
        <w:t>），采用库房、包装工具贮存一般工业固体废物，贮存过程应满足相应防渗漏、防雨淋、防扬尘等环境保护要求。</w:t>
      </w:r>
    </w:p>
    <w:p w:rsidR="00BD5820" w:rsidRDefault="00F64314">
      <w:pPr>
        <w:pStyle w:val="affa"/>
        <w:ind w:firstLine="480"/>
        <w:rPr>
          <w:kern w:val="2"/>
          <w:szCs w:val="22"/>
        </w:rPr>
      </w:pPr>
      <w:r>
        <w:rPr>
          <w:kern w:val="2"/>
          <w:szCs w:val="22"/>
        </w:rPr>
        <w:t>（</w:t>
      </w:r>
      <w:r>
        <w:rPr>
          <w:kern w:val="2"/>
          <w:szCs w:val="22"/>
        </w:rPr>
        <w:t>2</w:t>
      </w:r>
      <w:r>
        <w:rPr>
          <w:kern w:val="2"/>
          <w:szCs w:val="22"/>
        </w:rPr>
        <w:t>）</w:t>
      </w:r>
      <w:r>
        <w:rPr>
          <w:szCs w:val="24"/>
        </w:rPr>
        <w:t>危险废物：</w:t>
      </w:r>
      <w:r>
        <w:t>按《国家危险废物名录》</w:t>
      </w:r>
      <w:r>
        <w:rPr>
          <w:rFonts w:hint="eastAsia"/>
        </w:rPr>
        <w:t>（</w:t>
      </w:r>
      <w:r>
        <w:rPr>
          <w:rFonts w:hint="eastAsia"/>
        </w:rPr>
        <w:t>2021</w:t>
      </w:r>
      <w:r>
        <w:rPr>
          <w:rFonts w:hint="eastAsia"/>
        </w:rPr>
        <w:t>年版）</w:t>
      </w:r>
      <w:r>
        <w:t>、</w:t>
      </w:r>
      <w:r w:rsidRPr="00C928E4">
        <w:rPr>
          <w:color w:val="FF0000"/>
        </w:rPr>
        <w:t>《危险废物鉴别标准</w:t>
      </w:r>
      <w:r w:rsidR="00C928E4" w:rsidRPr="00C928E4">
        <w:rPr>
          <w:rFonts w:hint="eastAsia"/>
          <w:color w:val="FF0000"/>
        </w:rPr>
        <w:t xml:space="preserve"> </w:t>
      </w:r>
      <w:r w:rsidR="00C928E4" w:rsidRPr="00C928E4">
        <w:rPr>
          <w:rFonts w:hint="eastAsia"/>
          <w:color w:val="FF0000"/>
        </w:rPr>
        <w:t>通则</w:t>
      </w:r>
      <w:r w:rsidRPr="00C928E4">
        <w:rPr>
          <w:color w:val="FF0000"/>
        </w:rPr>
        <w:t>》（</w:t>
      </w:r>
      <w:r w:rsidRPr="00C928E4">
        <w:rPr>
          <w:color w:val="FF0000"/>
        </w:rPr>
        <w:t>GB5085-20</w:t>
      </w:r>
      <w:r w:rsidR="00C928E4" w:rsidRPr="00C928E4">
        <w:rPr>
          <w:rFonts w:hint="eastAsia"/>
          <w:color w:val="FF0000"/>
        </w:rPr>
        <w:t>19</w:t>
      </w:r>
      <w:r w:rsidRPr="00C928E4">
        <w:rPr>
          <w:color w:val="FF0000"/>
        </w:rPr>
        <w:t>）</w:t>
      </w:r>
      <w:r>
        <w:t>、《危险废物贮存污染控制标准》（</w:t>
      </w:r>
      <w:r>
        <w:t>GB18597-20</w:t>
      </w:r>
      <w:r>
        <w:rPr>
          <w:rFonts w:hint="eastAsia"/>
        </w:rPr>
        <w:t>23</w:t>
      </w:r>
      <w:r>
        <w:t>）和《危险化学品安全管理条例》进行识别、贮存和管理。</w:t>
      </w:r>
    </w:p>
    <w:p w:rsidR="00BD5820" w:rsidRDefault="00F64314">
      <w:pPr>
        <w:keepNext/>
        <w:keepLines/>
        <w:spacing w:before="120"/>
        <w:ind w:firstLineChars="0" w:firstLine="0"/>
        <w:outlineLvl w:val="1"/>
        <w:rPr>
          <w:rFonts w:ascii="Times New Roman" w:cs="Times New Roman"/>
          <w:b/>
          <w:bCs/>
          <w:sz w:val="28"/>
          <w:szCs w:val="32"/>
        </w:rPr>
      </w:pPr>
      <w:bookmarkStart w:id="73" w:name="_Toc32212"/>
      <w:r>
        <w:rPr>
          <w:rFonts w:ascii="Times New Roman" w:cs="Times New Roman"/>
          <w:b/>
          <w:bCs/>
          <w:sz w:val="28"/>
          <w:szCs w:val="32"/>
        </w:rPr>
        <w:t xml:space="preserve">1.6 </w:t>
      </w:r>
      <w:r>
        <w:rPr>
          <w:rFonts w:ascii="Times New Roman" w:cs="Times New Roman"/>
          <w:b/>
          <w:bCs/>
          <w:sz w:val="28"/>
          <w:szCs w:val="32"/>
        </w:rPr>
        <w:t>评价等级</w:t>
      </w:r>
      <w:bookmarkEnd w:id="67"/>
      <w:r>
        <w:rPr>
          <w:rFonts w:ascii="Times New Roman" w:cs="Times New Roman"/>
          <w:b/>
          <w:bCs/>
          <w:sz w:val="28"/>
          <w:szCs w:val="32"/>
        </w:rPr>
        <w:t>及评价范围</w:t>
      </w:r>
      <w:bookmarkEnd w:id="73"/>
    </w:p>
    <w:p w:rsidR="00BD5820" w:rsidRDefault="00F64314">
      <w:pPr>
        <w:keepNext/>
        <w:keepLines/>
        <w:ind w:firstLineChars="0" w:firstLine="0"/>
        <w:outlineLvl w:val="2"/>
        <w:rPr>
          <w:rFonts w:ascii="Times New Roman" w:cs="Times New Roman"/>
          <w:b/>
          <w:szCs w:val="32"/>
        </w:rPr>
      </w:pPr>
      <w:r>
        <w:rPr>
          <w:rFonts w:ascii="Times New Roman" w:cs="Times New Roman"/>
          <w:b/>
          <w:szCs w:val="32"/>
        </w:rPr>
        <w:t xml:space="preserve">1.6.1 </w:t>
      </w:r>
      <w:r>
        <w:rPr>
          <w:rFonts w:ascii="Times New Roman" w:cs="Times New Roman"/>
          <w:b/>
          <w:szCs w:val="32"/>
        </w:rPr>
        <w:t>生态环境</w:t>
      </w:r>
    </w:p>
    <w:p w:rsidR="00BD5820" w:rsidRDefault="00F64314">
      <w:pPr>
        <w:pStyle w:val="affa"/>
        <w:ind w:firstLine="482"/>
        <w:rPr>
          <w:b/>
          <w:bCs/>
        </w:rPr>
      </w:pPr>
      <w:r>
        <w:rPr>
          <w:b/>
          <w:bCs/>
        </w:rPr>
        <w:t>1</w:t>
      </w:r>
      <w:r>
        <w:rPr>
          <w:b/>
          <w:bCs/>
        </w:rPr>
        <w:t>、评价等级</w:t>
      </w:r>
    </w:p>
    <w:p w:rsidR="00BD5820" w:rsidRDefault="00F64314">
      <w:pPr>
        <w:pStyle w:val="affa"/>
        <w:ind w:firstLine="480"/>
      </w:pPr>
      <w:r>
        <w:t>根据《环境影响评价技术导则</w:t>
      </w:r>
      <w:r>
        <w:rPr>
          <w:spacing w:val="-8"/>
        </w:rPr>
        <w:t xml:space="preserve"> </w:t>
      </w:r>
      <w:r>
        <w:t>生态影响》（</w:t>
      </w:r>
      <w:r>
        <w:t>HJ19-2022</w:t>
      </w:r>
      <w:r>
        <w:t>），本项目</w:t>
      </w:r>
      <w:r>
        <w:rPr>
          <w:rFonts w:hint="eastAsia"/>
        </w:rPr>
        <w:t>生态</w:t>
      </w:r>
      <w:r>
        <w:t>环境评价工作等级</w:t>
      </w:r>
      <w:r>
        <w:rPr>
          <w:rFonts w:hint="eastAsia"/>
        </w:rPr>
        <w:t>判定原则及判定结果详见表</w:t>
      </w:r>
      <w:r>
        <w:rPr>
          <w:rFonts w:hint="eastAsia"/>
        </w:rPr>
        <w:t>1.6-1</w:t>
      </w:r>
      <w:r>
        <w:rPr>
          <w:rFonts w:hint="eastAsia"/>
        </w:rPr>
        <w:t>。</w:t>
      </w:r>
    </w:p>
    <w:p w:rsidR="00BD5820" w:rsidRDefault="00F64314">
      <w:pPr>
        <w:pStyle w:val="TOC11"/>
        <w:ind w:firstLine="480"/>
        <w:rPr>
          <w:rFonts w:eastAsia="宋体"/>
        </w:rPr>
      </w:pPr>
      <w:r>
        <w:rPr>
          <w:rFonts w:eastAsia="宋体"/>
        </w:rPr>
        <w:t>表</w:t>
      </w:r>
      <w:r>
        <w:rPr>
          <w:rFonts w:eastAsia="宋体"/>
        </w:rPr>
        <w:t xml:space="preserve">1.6-1  </w:t>
      </w:r>
      <w:r>
        <w:rPr>
          <w:rFonts w:eastAsia="宋体"/>
        </w:rPr>
        <w:t>生态影响评价工作等级判定表</w:t>
      </w:r>
    </w:p>
    <w:tbl>
      <w:tblPr>
        <w:tblW w:w="8973" w:type="dxa"/>
        <w:jc w:val="center"/>
        <w:tblBorders>
          <w:top w:val="single" w:sz="12" w:space="0" w:color="auto"/>
          <w:bottom w:val="single" w:sz="12" w:space="0" w:color="auto"/>
          <w:insideH w:val="single" w:sz="4" w:space="0" w:color="auto"/>
          <w:insideV w:val="single" w:sz="4" w:space="0" w:color="auto"/>
        </w:tblBorders>
        <w:tblLook w:val="04A0"/>
      </w:tblPr>
      <w:tblGrid>
        <w:gridCol w:w="934"/>
        <w:gridCol w:w="5921"/>
        <w:gridCol w:w="2118"/>
      </w:tblGrid>
      <w:tr w:rsidR="00BD5820">
        <w:trPr>
          <w:trHeight w:val="169"/>
          <w:jc w:val="center"/>
        </w:trPr>
        <w:tc>
          <w:tcPr>
            <w:tcW w:w="934" w:type="dxa"/>
            <w:vAlign w:val="center"/>
          </w:tcPr>
          <w:p w:rsidR="00BD5820" w:rsidRDefault="00F64314">
            <w:pPr>
              <w:topLinePunct w:val="0"/>
              <w:snapToGrid w:val="0"/>
              <w:spacing w:line="240" w:lineRule="auto"/>
              <w:ind w:firstLineChars="0" w:firstLine="0"/>
              <w:jc w:val="center"/>
              <w:rPr>
                <w:rFonts w:ascii="Times New Roman" w:cs="Times New Roman"/>
                <w:b/>
                <w:bCs/>
                <w:kern w:val="2"/>
                <w:sz w:val="21"/>
                <w:szCs w:val="18"/>
              </w:rPr>
            </w:pPr>
            <w:r>
              <w:rPr>
                <w:rFonts w:ascii="Times New Roman" w:cs="Times New Roman"/>
                <w:b/>
                <w:bCs/>
                <w:kern w:val="2"/>
                <w:sz w:val="21"/>
                <w:szCs w:val="18"/>
              </w:rPr>
              <w:t>序号</w:t>
            </w:r>
          </w:p>
        </w:tc>
        <w:tc>
          <w:tcPr>
            <w:tcW w:w="5921" w:type="dxa"/>
            <w:vAlign w:val="center"/>
          </w:tcPr>
          <w:p w:rsidR="00BD5820" w:rsidRDefault="00F64314">
            <w:pPr>
              <w:topLinePunct w:val="0"/>
              <w:snapToGrid w:val="0"/>
              <w:spacing w:line="240" w:lineRule="auto"/>
              <w:ind w:firstLineChars="0" w:firstLine="0"/>
              <w:jc w:val="center"/>
              <w:rPr>
                <w:rFonts w:ascii="Times New Roman" w:cs="Times New Roman"/>
                <w:b/>
                <w:bCs/>
                <w:kern w:val="2"/>
                <w:sz w:val="21"/>
                <w:szCs w:val="18"/>
              </w:rPr>
            </w:pPr>
            <w:r>
              <w:rPr>
                <w:rFonts w:ascii="Times New Roman" w:cs="Times New Roman"/>
                <w:b/>
                <w:bCs/>
                <w:kern w:val="2"/>
                <w:sz w:val="21"/>
                <w:szCs w:val="18"/>
              </w:rPr>
              <w:t>导则规定</w:t>
            </w:r>
          </w:p>
        </w:tc>
        <w:tc>
          <w:tcPr>
            <w:tcW w:w="2118" w:type="dxa"/>
            <w:vAlign w:val="center"/>
          </w:tcPr>
          <w:p w:rsidR="00BD5820" w:rsidRDefault="00F64314">
            <w:pPr>
              <w:topLinePunct w:val="0"/>
              <w:snapToGrid w:val="0"/>
              <w:spacing w:line="240" w:lineRule="auto"/>
              <w:ind w:firstLineChars="0" w:firstLine="0"/>
              <w:jc w:val="center"/>
              <w:rPr>
                <w:rFonts w:ascii="Times New Roman" w:cs="Times New Roman"/>
                <w:b/>
                <w:bCs/>
                <w:kern w:val="2"/>
                <w:sz w:val="21"/>
                <w:szCs w:val="18"/>
              </w:rPr>
            </w:pPr>
            <w:r>
              <w:rPr>
                <w:rFonts w:ascii="Times New Roman" w:cs="Times New Roman"/>
                <w:b/>
                <w:bCs/>
                <w:kern w:val="2"/>
                <w:sz w:val="21"/>
                <w:szCs w:val="18"/>
              </w:rPr>
              <w:t>本项目情况</w:t>
            </w:r>
          </w:p>
        </w:tc>
      </w:tr>
      <w:tr w:rsidR="00BD5820">
        <w:trPr>
          <w:trHeight w:val="333"/>
          <w:jc w:val="center"/>
        </w:trPr>
        <w:tc>
          <w:tcPr>
            <w:tcW w:w="934"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18"/>
              </w:rPr>
            </w:pPr>
            <w:r>
              <w:rPr>
                <w:rFonts w:ascii="Times New Roman" w:cs="Times New Roman"/>
                <w:bCs/>
                <w:kern w:val="2"/>
                <w:sz w:val="21"/>
                <w:szCs w:val="18"/>
              </w:rPr>
              <w:t>1</w:t>
            </w:r>
          </w:p>
        </w:tc>
        <w:tc>
          <w:tcPr>
            <w:tcW w:w="5921"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18"/>
              </w:rPr>
            </w:pPr>
            <w:r>
              <w:rPr>
                <w:rFonts w:ascii="Times New Roman" w:cs="Times New Roman"/>
                <w:bCs/>
                <w:kern w:val="2"/>
                <w:sz w:val="21"/>
                <w:szCs w:val="18"/>
              </w:rPr>
              <w:t>a</w:t>
            </w:r>
            <w:r>
              <w:rPr>
                <w:rFonts w:ascii="Times New Roman" w:cs="Times New Roman"/>
                <w:bCs/>
                <w:kern w:val="2"/>
                <w:sz w:val="21"/>
                <w:szCs w:val="18"/>
              </w:rPr>
              <w:t>）涉及国家公园、自然保护区、世界自然遗产、重要生境时，评价等级为一级</w:t>
            </w:r>
          </w:p>
        </w:tc>
        <w:tc>
          <w:tcPr>
            <w:tcW w:w="2118"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18"/>
              </w:rPr>
            </w:pPr>
            <w:r>
              <w:rPr>
                <w:rFonts w:ascii="Times New Roman" w:cs="Times New Roman"/>
                <w:bCs/>
                <w:kern w:val="2"/>
                <w:sz w:val="21"/>
                <w:szCs w:val="18"/>
              </w:rPr>
              <w:t>不涉及</w:t>
            </w:r>
          </w:p>
        </w:tc>
      </w:tr>
      <w:tr w:rsidR="00BD5820">
        <w:trPr>
          <w:trHeight w:val="169"/>
          <w:jc w:val="center"/>
        </w:trPr>
        <w:tc>
          <w:tcPr>
            <w:tcW w:w="934"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18"/>
              </w:rPr>
            </w:pPr>
            <w:r>
              <w:rPr>
                <w:rFonts w:ascii="Times New Roman" w:cs="Times New Roman"/>
                <w:bCs/>
                <w:kern w:val="2"/>
                <w:sz w:val="21"/>
                <w:szCs w:val="18"/>
              </w:rPr>
              <w:t>2</w:t>
            </w:r>
          </w:p>
        </w:tc>
        <w:tc>
          <w:tcPr>
            <w:tcW w:w="5921"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18"/>
              </w:rPr>
            </w:pPr>
            <w:r>
              <w:rPr>
                <w:rFonts w:ascii="Times New Roman" w:cs="Times New Roman"/>
                <w:bCs/>
                <w:kern w:val="2"/>
                <w:sz w:val="21"/>
                <w:szCs w:val="18"/>
              </w:rPr>
              <w:t>b</w:t>
            </w:r>
            <w:r>
              <w:rPr>
                <w:rFonts w:ascii="Times New Roman" w:cs="Times New Roman"/>
                <w:bCs/>
                <w:kern w:val="2"/>
                <w:sz w:val="21"/>
                <w:szCs w:val="18"/>
              </w:rPr>
              <w:t>）涉及自然公园时，评价等级为二级</w:t>
            </w:r>
          </w:p>
        </w:tc>
        <w:tc>
          <w:tcPr>
            <w:tcW w:w="2118"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18"/>
              </w:rPr>
            </w:pPr>
            <w:r>
              <w:rPr>
                <w:rFonts w:ascii="Times New Roman" w:cs="Times New Roman"/>
                <w:bCs/>
                <w:kern w:val="2"/>
                <w:sz w:val="21"/>
                <w:szCs w:val="18"/>
              </w:rPr>
              <w:t>不涉及</w:t>
            </w:r>
          </w:p>
        </w:tc>
      </w:tr>
      <w:tr w:rsidR="00BD5820">
        <w:trPr>
          <w:trHeight w:val="169"/>
          <w:jc w:val="center"/>
        </w:trPr>
        <w:tc>
          <w:tcPr>
            <w:tcW w:w="934"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18"/>
              </w:rPr>
            </w:pPr>
            <w:r>
              <w:rPr>
                <w:rFonts w:ascii="Times New Roman" w:cs="Times New Roman"/>
                <w:bCs/>
                <w:kern w:val="2"/>
                <w:sz w:val="21"/>
                <w:szCs w:val="18"/>
              </w:rPr>
              <w:t>3</w:t>
            </w:r>
          </w:p>
        </w:tc>
        <w:tc>
          <w:tcPr>
            <w:tcW w:w="5921"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18"/>
              </w:rPr>
            </w:pPr>
            <w:r>
              <w:rPr>
                <w:rFonts w:ascii="Times New Roman" w:cs="Times New Roman"/>
                <w:bCs/>
                <w:kern w:val="2"/>
                <w:sz w:val="21"/>
                <w:szCs w:val="18"/>
              </w:rPr>
              <w:t>c</w:t>
            </w:r>
            <w:r>
              <w:rPr>
                <w:rFonts w:ascii="Times New Roman" w:cs="Times New Roman"/>
                <w:bCs/>
                <w:kern w:val="2"/>
                <w:sz w:val="21"/>
                <w:szCs w:val="18"/>
              </w:rPr>
              <w:t>）涉及生态保护红线时，评价等级不低于二级</w:t>
            </w:r>
          </w:p>
        </w:tc>
        <w:tc>
          <w:tcPr>
            <w:tcW w:w="2118"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18"/>
              </w:rPr>
            </w:pPr>
            <w:r>
              <w:rPr>
                <w:rFonts w:ascii="Times New Roman" w:cs="Times New Roman"/>
                <w:bCs/>
                <w:kern w:val="2"/>
                <w:sz w:val="21"/>
                <w:szCs w:val="18"/>
              </w:rPr>
              <w:t>不涉及</w:t>
            </w:r>
          </w:p>
        </w:tc>
      </w:tr>
      <w:tr w:rsidR="00BD5820">
        <w:trPr>
          <w:trHeight w:val="333"/>
          <w:jc w:val="center"/>
        </w:trPr>
        <w:tc>
          <w:tcPr>
            <w:tcW w:w="934"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18"/>
              </w:rPr>
            </w:pPr>
            <w:r>
              <w:rPr>
                <w:rFonts w:ascii="Times New Roman" w:cs="Times New Roman"/>
                <w:bCs/>
                <w:kern w:val="2"/>
                <w:sz w:val="21"/>
                <w:szCs w:val="18"/>
              </w:rPr>
              <w:t>4</w:t>
            </w:r>
          </w:p>
        </w:tc>
        <w:tc>
          <w:tcPr>
            <w:tcW w:w="5921"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18"/>
              </w:rPr>
            </w:pPr>
            <w:r>
              <w:rPr>
                <w:rFonts w:ascii="Times New Roman" w:cs="Times New Roman"/>
                <w:bCs/>
                <w:kern w:val="2"/>
                <w:sz w:val="21"/>
                <w:szCs w:val="18"/>
              </w:rPr>
              <w:t>d</w:t>
            </w:r>
            <w:r>
              <w:rPr>
                <w:rFonts w:ascii="Times New Roman" w:cs="Times New Roman"/>
                <w:bCs/>
                <w:kern w:val="2"/>
                <w:sz w:val="21"/>
                <w:szCs w:val="18"/>
              </w:rPr>
              <w:t>）根据</w:t>
            </w:r>
            <w:r>
              <w:rPr>
                <w:rFonts w:ascii="Times New Roman" w:cs="Times New Roman"/>
                <w:bCs/>
                <w:kern w:val="2"/>
                <w:sz w:val="21"/>
                <w:szCs w:val="18"/>
              </w:rPr>
              <w:t>HJ2.3</w:t>
            </w:r>
            <w:r>
              <w:rPr>
                <w:rFonts w:ascii="Times New Roman" w:cs="Times New Roman"/>
                <w:bCs/>
                <w:kern w:val="2"/>
                <w:sz w:val="21"/>
                <w:szCs w:val="18"/>
              </w:rPr>
              <w:t>判断属于水文要素影响型且地表水评价等级不低于二级的建设项目，生态影响评价等级不低于二级</w:t>
            </w:r>
          </w:p>
        </w:tc>
        <w:tc>
          <w:tcPr>
            <w:tcW w:w="2118"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18"/>
              </w:rPr>
            </w:pPr>
            <w:r>
              <w:rPr>
                <w:rFonts w:ascii="Times New Roman" w:cs="Times New Roman"/>
                <w:bCs/>
                <w:kern w:val="2"/>
                <w:sz w:val="21"/>
                <w:szCs w:val="18"/>
              </w:rPr>
              <w:t>不涉及</w:t>
            </w:r>
          </w:p>
        </w:tc>
      </w:tr>
      <w:tr w:rsidR="00BD5820">
        <w:trPr>
          <w:trHeight w:val="511"/>
          <w:jc w:val="center"/>
        </w:trPr>
        <w:tc>
          <w:tcPr>
            <w:tcW w:w="934"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18"/>
              </w:rPr>
            </w:pPr>
            <w:r>
              <w:rPr>
                <w:rFonts w:ascii="Times New Roman" w:cs="Times New Roman"/>
                <w:bCs/>
                <w:kern w:val="2"/>
                <w:sz w:val="21"/>
                <w:szCs w:val="18"/>
              </w:rPr>
              <w:t>5</w:t>
            </w:r>
          </w:p>
        </w:tc>
        <w:tc>
          <w:tcPr>
            <w:tcW w:w="5921"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18"/>
              </w:rPr>
            </w:pPr>
            <w:r>
              <w:rPr>
                <w:rFonts w:ascii="Times New Roman" w:cs="Times New Roman"/>
                <w:bCs/>
                <w:kern w:val="2"/>
                <w:sz w:val="21"/>
                <w:szCs w:val="18"/>
              </w:rPr>
              <w:t>e</w:t>
            </w:r>
            <w:r>
              <w:rPr>
                <w:rFonts w:ascii="Times New Roman" w:cs="Times New Roman"/>
                <w:bCs/>
                <w:kern w:val="2"/>
                <w:sz w:val="21"/>
                <w:szCs w:val="18"/>
              </w:rPr>
              <w:t>）根据</w:t>
            </w:r>
            <w:r>
              <w:rPr>
                <w:rFonts w:ascii="Times New Roman" w:cs="Times New Roman"/>
                <w:bCs/>
                <w:kern w:val="2"/>
                <w:sz w:val="21"/>
                <w:szCs w:val="18"/>
              </w:rPr>
              <w:t>HJ610</w:t>
            </w:r>
            <w:r>
              <w:rPr>
                <w:rFonts w:ascii="Times New Roman" w:cs="Times New Roman"/>
                <w:bCs/>
                <w:kern w:val="2"/>
                <w:sz w:val="21"/>
                <w:szCs w:val="18"/>
              </w:rPr>
              <w:t>、</w:t>
            </w:r>
            <w:r>
              <w:rPr>
                <w:rFonts w:ascii="Times New Roman" w:cs="Times New Roman"/>
                <w:bCs/>
                <w:kern w:val="2"/>
                <w:sz w:val="21"/>
                <w:szCs w:val="18"/>
              </w:rPr>
              <w:t>HJ964</w:t>
            </w:r>
            <w:r>
              <w:rPr>
                <w:rFonts w:ascii="Times New Roman" w:cs="Times New Roman"/>
                <w:bCs/>
                <w:kern w:val="2"/>
                <w:sz w:val="21"/>
                <w:szCs w:val="18"/>
              </w:rPr>
              <w:t>判断地下水水位或土壤影响范围内分布有天然林、公益林、湿地等生态保护目标的建设项目，生态影响评价等级不低于二级</w:t>
            </w:r>
          </w:p>
        </w:tc>
        <w:tc>
          <w:tcPr>
            <w:tcW w:w="2118" w:type="dxa"/>
            <w:vAlign w:val="center"/>
          </w:tcPr>
          <w:p w:rsidR="00BD5820" w:rsidRPr="00D33F2B" w:rsidRDefault="00F64314">
            <w:pPr>
              <w:topLinePunct w:val="0"/>
              <w:snapToGrid w:val="0"/>
              <w:spacing w:line="240" w:lineRule="auto"/>
              <w:ind w:firstLineChars="0" w:firstLine="0"/>
              <w:jc w:val="center"/>
              <w:rPr>
                <w:rFonts w:ascii="Times New Roman" w:cs="Times New Roman"/>
                <w:bCs/>
                <w:color w:val="FF0000"/>
                <w:kern w:val="2"/>
                <w:sz w:val="21"/>
                <w:szCs w:val="18"/>
              </w:rPr>
            </w:pPr>
            <w:r w:rsidRPr="00D33F2B">
              <w:rPr>
                <w:rFonts w:ascii="Times New Roman" w:cs="Times New Roman"/>
                <w:bCs/>
                <w:color w:val="FF0000"/>
                <w:kern w:val="2"/>
                <w:sz w:val="21"/>
                <w:szCs w:val="18"/>
              </w:rPr>
              <w:t>本项目</w:t>
            </w:r>
            <w:r w:rsidRPr="00D33F2B">
              <w:rPr>
                <w:rFonts w:ascii="Times New Roman" w:cs="Times New Roman" w:hint="eastAsia"/>
                <w:bCs/>
                <w:color w:val="FF0000"/>
                <w:kern w:val="2"/>
                <w:sz w:val="21"/>
                <w:szCs w:val="18"/>
              </w:rPr>
              <w:t>普光气田</w:t>
            </w:r>
            <w:r w:rsidRPr="00D33F2B">
              <w:rPr>
                <w:rFonts w:ascii="Times New Roman" w:cs="Times New Roman"/>
                <w:bCs/>
                <w:color w:val="FF0000"/>
                <w:kern w:val="2"/>
                <w:sz w:val="21"/>
                <w:szCs w:val="18"/>
              </w:rPr>
              <w:t>1#</w:t>
            </w:r>
            <w:r w:rsidRPr="00D33F2B">
              <w:rPr>
                <w:rFonts w:ascii="Times New Roman" w:cs="Times New Roman" w:hint="eastAsia"/>
                <w:bCs/>
                <w:color w:val="FF0000"/>
                <w:kern w:val="2"/>
                <w:sz w:val="21"/>
                <w:szCs w:val="18"/>
              </w:rPr>
              <w:t>增压站</w:t>
            </w:r>
            <w:r w:rsidRPr="00D33F2B">
              <w:rPr>
                <w:rFonts w:ascii="Times New Roman" w:cs="Times New Roman"/>
                <w:bCs/>
                <w:color w:val="FF0000"/>
                <w:kern w:val="2"/>
                <w:sz w:val="21"/>
                <w:szCs w:val="18"/>
              </w:rPr>
              <w:t>土壤影响范围内</w:t>
            </w:r>
            <w:r w:rsidRPr="00D33F2B">
              <w:rPr>
                <w:rFonts w:ascii="Times New Roman" w:cs="Times New Roman" w:hint="eastAsia"/>
                <w:bCs/>
                <w:color w:val="FF0000"/>
                <w:kern w:val="2"/>
                <w:sz w:val="21"/>
                <w:szCs w:val="18"/>
              </w:rPr>
              <w:t>（</w:t>
            </w:r>
            <w:r w:rsidRPr="00D33F2B">
              <w:rPr>
                <w:rFonts w:ascii="Times New Roman" w:cs="Times New Roman" w:hint="eastAsia"/>
                <w:bCs/>
                <w:color w:val="FF0000"/>
                <w:kern w:val="2"/>
                <w:sz w:val="21"/>
                <w:szCs w:val="18"/>
              </w:rPr>
              <w:t>200m</w:t>
            </w:r>
            <w:r w:rsidRPr="00D33F2B">
              <w:rPr>
                <w:rFonts w:ascii="Times New Roman" w:cs="Times New Roman" w:hint="eastAsia"/>
                <w:bCs/>
                <w:color w:val="FF0000"/>
                <w:kern w:val="2"/>
                <w:sz w:val="21"/>
                <w:szCs w:val="18"/>
              </w:rPr>
              <w:t>范围）</w:t>
            </w:r>
            <w:r w:rsidR="00D33F2B" w:rsidRPr="00D33F2B">
              <w:rPr>
                <w:rFonts w:ascii="Times New Roman" w:cs="Times New Roman" w:hint="eastAsia"/>
                <w:bCs/>
                <w:color w:val="FF0000"/>
                <w:kern w:val="2"/>
                <w:sz w:val="21"/>
                <w:szCs w:val="18"/>
              </w:rPr>
              <w:t>以及</w:t>
            </w:r>
            <w:r w:rsidR="00D33F2B" w:rsidRPr="00D33F2B">
              <w:rPr>
                <w:rFonts w:ascii="Times New Roman" w:cs="Times New Roman" w:hint="eastAsia"/>
                <w:bCs/>
                <w:color w:val="FF0000"/>
                <w:kern w:val="2"/>
                <w:sz w:val="21"/>
                <w:szCs w:val="18"/>
              </w:rPr>
              <w:t>P106-P104-1#</w:t>
            </w:r>
            <w:r w:rsidR="00D33F2B" w:rsidRPr="00D33F2B">
              <w:rPr>
                <w:rFonts w:ascii="Times New Roman" w:cs="Times New Roman" w:hint="eastAsia"/>
                <w:bCs/>
                <w:color w:val="FF0000"/>
                <w:kern w:val="2"/>
                <w:sz w:val="21"/>
                <w:szCs w:val="18"/>
              </w:rPr>
              <w:t>增压站</w:t>
            </w:r>
            <w:r w:rsidR="00D33F2B" w:rsidRPr="00D33F2B">
              <w:rPr>
                <w:rFonts w:ascii="Times New Roman" w:cs="Times New Roman" w:hint="eastAsia"/>
                <w:bCs/>
                <w:color w:val="FF0000"/>
                <w:kern w:val="2"/>
                <w:sz w:val="21"/>
                <w:szCs w:val="18"/>
              </w:rPr>
              <w:lastRenderedPageBreak/>
              <w:t>集输管道</w:t>
            </w:r>
            <w:r w:rsidR="00D33F2B" w:rsidRPr="00D33F2B">
              <w:rPr>
                <w:rFonts w:ascii="Times New Roman" w:cs="Times New Roman"/>
                <w:bCs/>
                <w:color w:val="FF0000"/>
                <w:kern w:val="2"/>
                <w:sz w:val="21"/>
                <w:szCs w:val="18"/>
              </w:rPr>
              <w:t>土壤影响范围内</w:t>
            </w:r>
            <w:r w:rsidR="00D33F2B" w:rsidRPr="00D33F2B">
              <w:rPr>
                <w:rFonts w:ascii="Times New Roman" w:cs="Times New Roman" w:hint="eastAsia"/>
                <w:bCs/>
                <w:color w:val="FF0000"/>
                <w:kern w:val="2"/>
                <w:sz w:val="21"/>
                <w:szCs w:val="18"/>
              </w:rPr>
              <w:t>（</w:t>
            </w:r>
            <w:r w:rsidR="00D33F2B" w:rsidRPr="00D33F2B">
              <w:rPr>
                <w:rFonts w:ascii="Times New Roman" w:cs="Times New Roman" w:hint="eastAsia"/>
                <w:bCs/>
                <w:color w:val="FF0000"/>
                <w:kern w:val="2"/>
                <w:sz w:val="21"/>
                <w:szCs w:val="18"/>
              </w:rPr>
              <w:t>200m</w:t>
            </w:r>
            <w:r w:rsidR="00D33F2B" w:rsidRPr="00D33F2B">
              <w:rPr>
                <w:rFonts w:ascii="Times New Roman" w:cs="Times New Roman" w:hint="eastAsia"/>
                <w:bCs/>
                <w:color w:val="FF0000"/>
                <w:kern w:val="2"/>
                <w:sz w:val="21"/>
                <w:szCs w:val="18"/>
              </w:rPr>
              <w:t>范围）</w:t>
            </w:r>
            <w:r w:rsidRPr="00D33F2B">
              <w:rPr>
                <w:rFonts w:ascii="Times New Roman" w:cs="Times New Roman" w:hint="eastAsia"/>
                <w:bCs/>
                <w:color w:val="FF0000"/>
                <w:kern w:val="2"/>
                <w:sz w:val="21"/>
                <w:szCs w:val="18"/>
              </w:rPr>
              <w:t>分布有公益林</w:t>
            </w:r>
            <w:r w:rsidRPr="00D33F2B">
              <w:rPr>
                <w:rFonts w:ascii="Times New Roman" w:cs="Times New Roman"/>
                <w:bCs/>
                <w:color w:val="FF0000"/>
                <w:kern w:val="2"/>
                <w:sz w:val="21"/>
                <w:szCs w:val="18"/>
              </w:rPr>
              <w:t>，</w:t>
            </w:r>
            <w:r w:rsidRPr="00D33F2B">
              <w:rPr>
                <w:rFonts w:ascii="Times New Roman" w:cs="Times New Roman" w:hint="eastAsia"/>
                <w:bCs/>
                <w:color w:val="FF0000"/>
                <w:kern w:val="2"/>
                <w:sz w:val="21"/>
                <w:szCs w:val="18"/>
              </w:rPr>
              <w:t>生态评价</w:t>
            </w:r>
            <w:r w:rsidRPr="00D33F2B">
              <w:rPr>
                <w:rFonts w:ascii="Times New Roman" w:cs="Times New Roman"/>
                <w:bCs/>
                <w:color w:val="FF0000"/>
                <w:kern w:val="2"/>
                <w:sz w:val="21"/>
                <w:szCs w:val="18"/>
              </w:rPr>
              <w:t>等级</w:t>
            </w:r>
            <w:r w:rsidRPr="00D33F2B">
              <w:rPr>
                <w:rFonts w:ascii="Times New Roman" w:cs="Times New Roman" w:hint="eastAsia"/>
                <w:bCs/>
                <w:color w:val="FF0000"/>
                <w:kern w:val="2"/>
                <w:sz w:val="21"/>
                <w:szCs w:val="18"/>
              </w:rPr>
              <w:t>为</w:t>
            </w:r>
            <w:r w:rsidRPr="00D33F2B">
              <w:rPr>
                <w:rFonts w:ascii="Times New Roman" w:cs="Times New Roman"/>
                <w:bCs/>
                <w:color w:val="FF0000"/>
                <w:kern w:val="2"/>
                <w:sz w:val="21"/>
                <w:szCs w:val="18"/>
              </w:rPr>
              <w:t>二级</w:t>
            </w:r>
          </w:p>
        </w:tc>
      </w:tr>
      <w:tr w:rsidR="00BD5820">
        <w:trPr>
          <w:trHeight w:val="511"/>
          <w:jc w:val="center"/>
        </w:trPr>
        <w:tc>
          <w:tcPr>
            <w:tcW w:w="934"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18"/>
              </w:rPr>
            </w:pPr>
            <w:r>
              <w:rPr>
                <w:rFonts w:ascii="Times New Roman" w:cs="Times New Roman"/>
                <w:bCs/>
                <w:kern w:val="2"/>
                <w:sz w:val="21"/>
                <w:szCs w:val="18"/>
              </w:rPr>
              <w:lastRenderedPageBreak/>
              <w:t>6</w:t>
            </w:r>
          </w:p>
        </w:tc>
        <w:tc>
          <w:tcPr>
            <w:tcW w:w="5921"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18"/>
              </w:rPr>
            </w:pPr>
            <w:r>
              <w:rPr>
                <w:rFonts w:ascii="Times New Roman" w:cs="Times New Roman"/>
                <w:bCs/>
                <w:kern w:val="2"/>
                <w:sz w:val="21"/>
                <w:szCs w:val="18"/>
              </w:rPr>
              <w:t>f</w:t>
            </w:r>
            <w:r>
              <w:rPr>
                <w:rFonts w:ascii="Times New Roman" w:cs="Times New Roman"/>
                <w:bCs/>
                <w:kern w:val="2"/>
                <w:sz w:val="21"/>
                <w:szCs w:val="18"/>
              </w:rPr>
              <w:t>）当工程占地规模大于</w:t>
            </w:r>
            <w:r>
              <w:rPr>
                <w:rFonts w:ascii="Times New Roman" w:cs="Times New Roman"/>
                <w:bCs/>
                <w:kern w:val="2"/>
                <w:sz w:val="21"/>
                <w:szCs w:val="18"/>
              </w:rPr>
              <w:t>20km</w:t>
            </w:r>
            <w:r>
              <w:rPr>
                <w:rFonts w:ascii="Times New Roman" w:cs="Times New Roman"/>
                <w:bCs/>
                <w:kern w:val="2"/>
                <w:sz w:val="21"/>
                <w:szCs w:val="18"/>
                <w:vertAlign w:val="superscript"/>
              </w:rPr>
              <w:t>2</w:t>
            </w:r>
            <w:r>
              <w:rPr>
                <w:rFonts w:ascii="Times New Roman" w:cs="Times New Roman"/>
                <w:bCs/>
                <w:kern w:val="2"/>
                <w:sz w:val="21"/>
                <w:szCs w:val="18"/>
              </w:rPr>
              <w:t>时（包括永久和临时占用陆域和水域），评价等级不低于二级；改扩建项目的占地范围以新增占地（包括陆域和水域）确定</w:t>
            </w:r>
          </w:p>
        </w:tc>
        <w:tc>
          <w:tcPr>
            <w:tcW w:w="2118"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18"/>
              </w:rPr>
            </w:pPr>
            <w:r>
              <w:rPr>
                <w:rFonts w:ascii="Times New Roman" w:cs="Times New Roman"/>
                <w:bCs/>
                <w:kern w:val="2"/>
                <w:sz w:val="21"/>
                <w:szCs w:val="18"/>
              </w:rPr>
              <w:t>不涉及</w:t>
            </w:r>
          </w:p>
        </w:tc>
      </w:tr>
      <w:tr w:rsidR="00BD5820">
        <w:trPr>
          <w:trHeight w:val="511"/>
          <w:jc w:val="center"/>
        </w:trPr>
        <w:tc>
          <w:tcPr>
            <w:tcW w:w="934"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18"/>
              </w:rPr>
            </w:pPr>
            <w:r>
              <w:rPr>
                <w:rFonts w:ascii="Times New Roman" w:cs="Times New Roman"/>
                <w:bCs/>
                <w:kern w:val="2"/>
                <w:sz w:val="21"/>
                <w:szCs w:val="18"/>
              </w:rPr>
              <w:t>7</w:t>
            </w:r>
          </w:p>
        </w:tc>
        <w:tc>
          <w:tcPr>
            <w:tcW w:w="5921"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18"/>
              </w:rPr>
            </w:pPr>
            <w:r>
              <w:rPr>
                <w:rFonts w:ascii="Times New Roman" w:cs="Times New Roman" w:hint="eastAsia"/>
                <w:bCs/>
                <w:kern w:val="2"/>
                <w:sz w:val="21"/>
                <w:szCs w:val="18"/>
              </w:rPr>
              <w:t>g</w:t>
            </w:r>
            <w:r>
              <w:rPr>
                <w:rFonts w:ascii="Times New Roman" w:cs="Times New Roman" w:hint="eastAsia"/>
                <w:bCs/>
                <w:kern w:val="2"/>
                <w:sz w:val="21"/>
                <w:szCs w:val="18"/>
              </w:rPr>
              <w:t>）除本条</w:t>
            </w:r>
            <w:r>
              <w:rPr>
                <w:rFonts w:ascii="Times New Roman" w:cs="Times New Roman"/>
                <w:bCs/>
                <w:kern w:val="2"/>
                <w:sz w:val="21"/>
                <w:szCs w:val="18"/>
              </w:rPr>
              <w:t>a</w:t>
            </w:r>
            <w:r>
              <w:rPr>
                <w:rFonts w:ascii="Times New Roman" w:cs="Times New Roman"/>
                <w:bCs/>
                <w:kern w:val="2"/>
                <w:sz w:val="21"/>
                <w:szCs w:val="18"/>
              </w:rPr>
              <w:t>）</w:t>
            </w:r>
            <w:r>
              <w:rPr>
                <w:rFonts w:ascii="Times New Roman" w:cs="Times New Roman" w:hint="eastAsia"/>
                <w:bCs/>
                <w:kern w:val="2"/>
                <w:sz w:val="21"/>
                <w:szCs w:val="18"/>
              </w:rPr>
              <w:t>、</w:t>
            </w:r>
            <w:r>
              <w:rPr>
                <w:rFonts w:ascii="Times New Roman" w:cs="Times New Roman"/>
                <w:bCs/>
                <w:kern w:val="2"/>
                <w:sz w:val="21"/>
                <w:szCs w:val="18"/>
              </w:rPr>
              <w:t>b</w:t>
            </w:r>
            <w:r>
              <w:rPr>
                <w:rFonts w:ascii="Times New Roman" w:cs="Times New Roman"/>
                <w:bCs/>
                <w:kern w:val="2"/>
                <w:sz w:val="21"/>
                <w:szCs w:val="18"/>
              </w:rPr>
              <w:t>）</w:t>
            </w:r>
            <w:r>
              <w:rPr>
                <w:rFonts w:ascii="Times New Roman" w:cs="Times New Roman" w:hint="eastAsia"/>
                <w:bCs/>
                <w:kern w:val="2"/>
                <w:sz w:val="21"/>
                <w:szCs w:val="18"/>
              </w:rPr>
              <w:t>、</w:t>
            </w:r>
            <w:r>
              <w:rPr>
                <w:rFonts w:ascii="Times New Roman" w:cs="Times New Roman"/>
                <w:bCs/>
                <w:kern w:val="2"/>
                <w:sz w:val="21"/>
                <w:szCs w:val="18"/>
              </w:rPr>
              <w:t>c</w:t>
            </w:r>
            <w:r>
              <w:rPr>
                <w:rFonts w:ascii="Times New Roman" w:cs="Times New Roman"/>
                <w:bCs/>
                <w:kern w:val="2"/>
                <w:sz w:val="21"/>
                <w:szCs w:val="18"/>
              </w:rPr>
              <w:t>）</w:t>
            </w:r>
            <w:r>
              <w:rPr>
                <w:rFonts w:ascii="Times New Roman" w:cs="Times New Roman" w:hint="eastAsia"/>
                <w:bCs/>
                <w:kern w:val="2"/>
                <w:sz w:val="21"/>
                <w:szCs w:val="18"/>
              </w:rPr>
              <w:t>、</w:t>
            </w:r>
            <w:r>
              <w:rPr>
                <w:rFonts w:ascii="Times New Roman" w:cs="Times New Roman"/>
                <w:bCs/>
                <w:kern w:val="2"/>
                <w:sz w:val="21"/>
                <w:szCs w:val="18"/>
              </w:rPr>
              <w:t>d</w:t>
            </w:r>
            <w:r>
              <w:rPr>
                <w:rFonts w:ascii="Times New Roman" w:cs="Times New Roman"/>
                <w:bCs/>
                <w:kern w:val="2"/>
                <w:sz w:val="21"/>
                <w:szCs w:val="18"/>
              </w:rPr>
              <w:t>）</w:t>
            </w:r>
            <w:r>
              <w:rPr>
                <w:rFonts w:ascii="Times New Roman" w:cs="Times New Roman" w:hint="eastAsia"/>
                <w:bCs/>
                <w:kern w:val="2"/>
                <w:sz w:val="21"/>
                <w:szCs w:val="18"/>
              </w:rPr>
              <w:t>、</w:t>
            </w:r>
            <w:r>
              <w:rPr>
                <w:rFonts w:ascii="Times New Roman" w:cs="Times New Roman"/>
                <w:bCs/>
                <w:kern w:val="2"/>
                <w:sz w:val="21"/>
                <w:szCs w:val="18"/>
              </w:rPr>
              <w:t>e</w:t>
            </w:r>
            <w:r>
              <w:rPr>
                <w:rFonts w:ascii="Times New Roman" w:cs="Times New Roman"/>
                <w:bCs/>
                <w:kern w:val="2"/>
                <w:sz w:val="21"/>
                <w:szCs w:val="18"/>
              </w:rPr>
              <w:t>）</w:t>
            </w:r>
            <w:r>
              <w:rPr>
                <w:rFonts w:ascii="Times New Roman" w:cs="Times New Roman" w:hint="eastAsia"/>
                <w:bCs/>
                <w:kern w:val="2"/>
                <w:sz w:val="21"/>
                <w:szCs w:val="18"/>
              </w:rPr>
              <w:t>、</w:t>
            </w:r>
            <w:r>
              <w:rPr>
                <w:rFonts w:ascii="Times New Roman" w:cs="Times New Roman"/>
                <w:bCs/>
                <w:kern w:val="2"/>
                <w:sz w:val="21"/>
                <w:szCs w:val="18"/>
              </w:rPr>
              <w:t>f</w:t>
            </w:r>
            <w:r>
              <w:rPr>
                <w:rFonts w:ascii="Times New Roman" w:cs="Times New Roman"/>
                <w:bCs/>
                <w:kern w:val="2"/>
                <w:sz w:val="21"/>
                <w:szCs w:val="18"/>
              </w:rPr>
              <w:t>）</w:t>
            </w:r>
            <w:r>
              <w:rPr>
                <w:rFonts w:ascii="Times New Roman" w:cs="Times New Roman" w:hint="eastAsia"/>
                <w:bCs/>
                <w:kern w:val="2"/>
                <w:sz w:val="21"/>
                <w:szCs w:val="18"/>
              </w:rPr>
              <w:t>外的情况，评价等级为三级</w:t>
            </w:r>
          </w:p>
        </w:tc>
        <w:tc>
          <w:tcPr>
            <w:tcW w:w="2118"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18"/>
              </w:rPr>
            </w:pPr>
            <w:r>
              <w:rPr>
                <w:rFonts w:ascii="Times New Roman" w:cs="Times New Roman"/>
                <w:bCs/>
                <w:kern w:val="2"/>
                <w:sz w:val="21"/>
                <w:szCs w:val="18"/>
              </w:rPr>
              <w:t>不涉及</w:t>
            </w:r>
          </w:p>
        </w:tc>
      </w:tr>
      <w:tr w:rsidR="00BD5820">
        <w:trPr>
          <w:trHeight w:val="511"/>
          <w:jc w:val="center"/>
        </w:trPr>
        <w:tc>
          <w:tcPr>
            <w:tcW w:w="934"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18"/>
              </w:rPr>
            </w:pPr>
            <w:r>
              <w:rPr>
                <w:rFonts w:ascii="Times New Roman" w:cs="Times New Roman"/>
                <w:bCs/>
                <w:kern w:val="2"/>
                <w:sz w:val="21"/>
                <w:szCs w:val="18"/>
              </w:rPr>
              <w:t>8</w:t>
            </w:r>
          </w:p>
        </w:tc>
        <w:tc>
          <w:tcPr>
            <w:tcW w:w="5921"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18"/>
              </w:rPr>
            </w:pPr>
            <w:r>
              <w:rPr>
                <w:rFonts w:ascii="Times New Roman" w:cs="Times New Roman" w:hint="eastAsia"/>
                <w:bCs/>
                <w:kern w:val="2"/>
                <w:sz w:val="21"/>
                <w:szCs w:val="18"/>
              </w:rPr>
              <w:t>h</w:t>
            </w:r>
            <w:r>
              <w:rPr>
                <w:rFonts w:ascii="Times New Roman" w:cs="Times New Roman" w:hint="eastAsia"/>
                <w:bCs/>
                <w:kern w:val="2"/>
                <w:sz w:val="21"/>
                <w:szCs w:val="18"/>
              </w:rPr>
              <w:t>）当评价等级判断同时符合上述多种情况时，应采用其中最高的评价等级</w:t>
            </w:r>
          </w:p>
        </w:tc>
        <w:tc>
          <w:tcPr>
            <w:tcW w:w="2118"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18"/>
              </w:rPr>
            </w:pPr>
            <w:r>
              <w:rPr>
                <w:rFonts w:ascii="Times New Roman" w:cs="Times New Roman" w:hint="eastAsia"/>
                <w:bCs/>
                <w:kern w:val="2"/>
                <w:sz w:val="21"/>
                <w:szCs w:val="18"/>
              </w:rPr>
              <w:t>/</w:t>
            </w:r>
          </w:p>
        </w:tc>
      </w:tr>
      <w:tr w:rsidR="00BD5820">
        <w:trPr>
          <w:trHeight w:val="333"/>
          <w:jc w:val="center"/>
        </w:trPr>
        <w:tc>
          <w:tcPr>
            <w:tcW w:w="934"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18"/>
              </w:rPr>
            </w:pPr>
            <w:r>
              <w:rPr>
                <w:rFonts w:ascii="Times New Roman" w:cs="Times New Roman" w:hint="eastAsia"/>
                <w:bCs/>
                <w:kern w:val="2"/>
                <w:sz w:val="21"/>
                <w:szCs w:val="18"/>
              </w:rPr>
              <w:t>9</w:t>
            </w:r>
          </w:p>
        </w:tc>
        <w:tc>
          <w:tcPr>
            <w:tcW w:w="5921"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18"/>
              </w:rPr>
            </w:pPr>
            <w:r>
              <w:rPr>
                <w:rFonts w:ascii="Times New Roman" w:cs="Times New Roman"/>
                <w:bCs/>
                <w:kern w:val="2"/>
                <w:sz w:val="21"/>
                <w:szCs w:val="18"/>
              </w:rPr>
              <w:t>建设项目涉及经论证对保护生物多样性具有重要意义的区域时，可适当上调评价等级</w:t>
            </w:r>
          </w:p>
        </w:tc>
        <w:tc>
          <w:tcPr>
            <w:tcW w:w="2118"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18"/>
              </w:rPr>
            </w:pPr>
            <w:r>
              <w:rPr>
                <w:rFonts w:ascii="Times New Roman" w:cs="Times New Roman"/>
                <w:bCs/>
                <w:kern w:val="2"/>
                <w:sz w:val="21"/>
                <w:szCs w:val="18"/>
              </w:rPr>
              <w:t>不涉及</w:t>
            </w:r>
          </w:p>
        </w:tc>
      </w:tr>
      <w:tr w:rsidR="00BD5820">
        <w:trPr>
          <w:trHeight w:val="333"/>
          <w:jc w:val="center"/>
        </w:trPr>
        <w:tc>
          <w:tcPr>
            <w:tcW w:w="934"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18"/>
              </w:rPr>
            </w:pPr>
            <w:r>
              <w:rPr>
                <w:rFonts w:ascii="Times New Roman" w:cs="Times New Roman" w:hint="eastAsia"/>
                <w:bCs/>
                <w:kern w:val="2"/>
                <w:sz w:val="21"/>
                <w:szCs w:val="18"/>
              </w:rPr>
              <w:t>10</w:t>
            </w:r>
          </w:p>
        </w:tc>
        <w:tc>
          <w:tcPr>
            <w:tcW w:w="5921"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18"/>
              </w:rPr>
            </w:pPr>
            <w:r>
              <w:rPr>
                <w:rFonts w:ascii="Times New Roman" w:cs="Times New Roman" w:hint="eastAsia"/>
                <w:bCs/>
                <w:kern w:val="2"/>
                <w:sz w:val="21"/>
                <w:szCs w:val="18"/>
              </w:rPr>
              <w:t>建设项目同时涉及陆生、水生生态影响时，可针对陆生生态、水生生态分别判定评价等级</w:t>
            </w:r>
          </w:p>
        </w:tc>
        <w:tc>
          <w:tcPr>
            <w:tcW w:w="2118"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18"/>
              </w:rPr>
            </w:pPr>
            <w:r>
              <w:rPr>
                <w:rFonts w:ascii="Times New Roman" w:cs="Times New Roman" w:hint="eastAsia"/>
                <w:bCs/>
                <w:kern w:val="2"/>
                <w:sz w:val="21"/>
                <w:szCs w:val="18"/>
              </w:rPr>
              <w:t>项目</w:t>
            </w:r>
            <w:r>
              <w:rPr>
                <w:rFonts w:ascii="Times New Roman" w:cs="Times New Roman"/>
                <w:bCs/>
                <w:kern w:val="2"/>
                <w:sz w:val="21"/>
                <w:szCs w:val="18"/>
              </w:rPr>
              <w:t>不涉及</w:t>
            </w:r>
            <w:r>
              <w:rPr>
                <w:rFonts w:ascii="Times New Roman" w:cs="Times New Roman" w:hint="eastAsia"/>
                <w:bCs/>
                <w:kern w:val="2"/>
                <w:sz w:val="21"/>
                <w:szCs w:val="18"/>
              </w:rPr>
              <w:t>水生生态影响</w:t>
            </w:r>
          </w:p>
        </w:tc>
      </w:tr>
      <w:tr w:rsidR="00BD5820">
        <w:trPr>
          <w:trHeight w:val="333"/>
          <w:jc w:val="center"/>
        </w:trPr>
        <w:tc>
          <w:tcPr>
            <w:tcW w:w="934"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18"/>
              </w:rPr>
            </w:pPr>
            <w:r>
              <w:rPr>
                <w:rFonts w:ascii="Times New Roman" w:cs="Times New Roman" w:hint="eastAsia"/>
                <w:bCs/>
                <w:kern w:val="2"/>
                <w:sz w:val="21"/>
                <w:szCs w:val="18"/>
              </w:rPr>
              <w:t>11</w:t>
            </w:r>
          </w:p>
        </w:tc>
        <w:tc>
          <w:tcPr>
            <w:tcW w:w="5921"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18"/>
              </w:rPr>
            </w:pPr>
            <w:r>
              <w:rPr>
                <w:rFonts w:ascii="Times New Roman" w:cs="Times New Roman"/>
                <w:bCs/>
                <w:kern w:val="2"/>
                <w:sz w:val="21"/>
                <w:szCs w:val="18"/>
              </w:rPr>
              <w:t>在矿山开采可能导致矿区土地利用类型明显改变，或拦河闸坝建设可能明显改变水文情势等情况下，评价等级应上调一级</w:t>
            </w:r>
          </w:p>
        </w:tc>
        <w:tc>
          <w:tcPr>
            <w:tcW w:w="2118"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18"/>
              </w:rPr>
            </w:pPr>
            <w:r>
              <w:rPr>
                <w:rFonts w:ascii="Times New Roman" w:cs="Times New Roman"/>
                <w:bCs/>
                <w:kern w:val="2"/>
                <w:sz w:val="21"/>
                <w:szCs w:val="18"/>
              </w:rPr>
              <w:t>不涉及</w:t>
            </w:r>
          </w:p>
        </w:tc>
      </w:tr>
      <w:tr w:rsidR="00BD5820">
        <w:trPr>
          <w:trHeight w:val="526"/>
          <w:jc w:val="center"/>
        </w:trPr>
        <w:tc>
          <w:tcPr>
            <w:tcW w:w="934"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18"/>
              </w:rPr>
            </w:pPr>
            <w:r>
              <w:rPr>
                <w:rFonts w:ascii="Times New Roman" w:cs="Times New Roman" w:hint="eastAsia"/>
                <w:bCs/>
                <w:kern w:val="2"/>
                <w:sz w:val="21"/>
                <w:szCs w:val="18"/>
              </w:rPr>
              <w:t>12</w:t>
            </w:r>
          </w:p>
        </w:tc>
        <w:tc>
          <w:tcPr>
            <w:tcW w:w="5921"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18"/>
              </w:rPr>
            </w:pPr>
            <w:r>
              <w:rPr>
                <w:rFonts w:ascii="Times New Roman" w:cs="Times New Roman" w:hint="eastAsia"/>
                <w:bCs/>
                <w:kern w:val="2"/>
                <w:sz w:val="21"/>
                <w:szCs w:val="18"/>
              </w:rPr>
              <w:t>线性工程可分段确定评价等级。线性工程地下穿越或地表跨越生态敏感区，在生态敏感区范围内无永久、临时占地时，评价等级可下调一级</w:t>
            </w:r>
          </w:p>
        </w:tc>
        <w:tc>
          <w:tcPr>
            <w:tcW w:w="2118"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18"/>
              </w:rPr>
            </w:pPr>
            <w:r>
              <w:rPr>
                <w:rFonts w:ascii="Times New Roman" w:cs="Times New Roman"/>
                <w:bCs/>
                <w:kern w:val="2"/>
                <w:sz w:val="21"/>
                <w:szCs w:val="18"/>
              </w:rPr>
              <w:t>不涉及</w:t>
            </w:r>
          </w:p>
        </w:tc>
      </w:tr>
    </w:tbl>
    <w:p w:rsidR="00BD5820" w:rsidRDefault="00F64314">
      <w:pPr>
        <w:pStyle w:val="affa"/>
        <w:ind w:firstLine="480"/>
      </w:pPr>
      <w:r>
        <w:t>本项目</w:t>
      </w:r>
      <w:r w:rsidR="00C928E4" w:rsidRPr="00C928E4">
        <w:rPr>
          <w:rFonts w:hint="eastAsia"/>
          <w:bCs/>
          <w:color w:val="FF0000"/>
        </w:rPr>
        <w:t>普光气田</w:t>
      </w:r>
      <w:r w:rsidR="00C928E4" w:rsidRPr="00C928E4">
        <w:rPr>
          <w:bCs/>
          <w:color w:val="FF0000"/>
        </w:rPr>
        <w:t>1#</w:t>
      </w:r>
      <w:r w:rsidR="00C928E4" w:rsidRPr="00C928E4">
        <w:rPr>
          <w:rFonts w:hint="eastAsia"/>
          <w:bCs/>
          <w:color w:val="FF0000"/>
        </w:rPr>
        <w:t>增压站</w:t>
      </w:r>
      <w:r w:rsidRPr="00C928E4">
        <w:rPr>
          <w:color w:val="FF0000"/>
        </w:rPr>
        <w:t>土壤影响范围内</w:t>
      </w:r>
      <w:r w:rsidRPr="00C928E4">
        <w:rPr>
          <w:rFonts w:hint="eastAsia"/>
          <w:color w:val="FF0000"/>
        </w:rPr>
        <w:t>（</w:t>
      </w:r>
      <w:r w:rsidRPr="00C928E4">
        <w:rPr>
          <w:rFonts w:hint="eastAsia"/>
          <w:color w:val="FF0000"/>
        </w:rPr>
        <w:t>200m</w:t>
      </w:r>
      <w:r w:rsidRPr="00C928E4">
        <w:rPr>
          <w:rFonts w:hint="eastAsia"/>
          <w:color w:val="FF0000"/>
        </w:rPr>
        <w:t>范围）</w:t>
      </w:r>
      <w:r w:rsidR="00D33F2B" w:rsidRPr="00D33F2B">
        <w:rPr>
          <w:rFonts w:hint="eastAsia"/>
          <w:bCs/>
          <w:color w:val="FF0000"/>
        </w:rPr>
        <w:t>以及</w:t>
      </w:r>
      <w:r w:rsidR="00D33F2B" w:rsidRPr="00D33F2B">
        <w:rPr>
          <w:rFonts w:hint="eastAsia"/>
          <w:bCs/>
          <w:color w:val="FF0000"/>
        </w:rPr>
        <w:t>P106-P104-1#</w:t>
      </w:r>
      <w:r w:rsidR="00D33F2B" w:rsidRPr="00D33F2B">
        <w:rPr>
          <w:rFonts w:hint="eastAsia"/>
          <w:bCs/>
          <w:color w:val="FF0000"/>
        </w:rPr>
        <w:t>增压站集输管道</w:t>
      </w:r>
      <w:r w:rsidR="00D33F2B" w:rsidRPr="00D33F2B">
        <w:rPr>
          <w:bCs/>
          <w:color w:val="FF0000"/>
        </w:rPr>
        <w:t>土壤影响范围内</w:t>
      </w:r>
      <w:r w:rsidR="00D33F2B" w:rsidRPr="00D33F2B">
        <w:rPr>
          <w:rFonts w:hint="eastAsia"/>
          <w:bCs/>
          <w:color w:val="FF0000"/>
        </w:rPr>
        <w:t>（</w:t>
      </w:r>
      <w:r w:rsidR="00D33F2B" w:rsidRPr="00D33F2B">
        <w:rPr>
          <w:rFonts w:hint="eastAsia"/>
          <w:bCs/>
          <w:color w:val="FF0000"/>
        </w:rPr>
        <w:t>200m</w:t>
      </w:r>
      <w:r w:rsidR="00D33F2B" w:rsidRPr="00D33F2B">
        <w:rPr>
          <w:rFonts w:hint="eastAsia"/>
          <w:bCs/>
          <w:color w:val="FF0000"/>
        </w:rPr>
        <w:t>范围）分布有公益林</w:t>
      </w:r>
      <w:r w:rsidRPr="00C928E4">
        <w:rPr>
          <w:rFonts w:hint="eastAsia"/>
          <w:color w:val="FF0000"/>
        </w:rPr>
        <w:t>，属于生态保护目标</w:t>
      </w:r>
      <w:r w:rsidR="00C928E4" w:rsidRPr="00C928E4">
        <w:rPr>
          <w:rFonts w:hint="eastAsia"/>
          <w:color w:val="FF0000"/>
        </w:rPr>
        <w:t>（</w:t>
      </w:r>
      <w:r w:rsidR="00C928E4" w:rsidRPr="00C928E4">
        <w:rPr>
          <w:rFonts w:hint="eastAsia"/>
          <w:bCs/>
          <w:color w:val="FF0000"/>
        </w:rPr>
        <w:t>普光气田</w:t>
      </w:r>
      <w:r w:rsidR="00C928E4" w:rsidRPr="00C928E4">
        <w:rPr>
          <w:rFonts w:hint="eastAsia"/>
          <w:bCs/>
          <w:color w:val="FF0000"/>
        </w:rPr>
        <w:t>2</w:t>
      </w:r>
      <w:r w:rsidR="00C928E4" w:rsidRPr="00C928E4">
        <w:rPr>
          <w:bCs/>
          <w:color w:val="FF0000"/>
        </w:rPr>
        <w:t>#</w:t>
      </w:r>
      <w:r w:rsidR="00C928E4" w:rsidRPr="00C928E4">
        <w:rPr>
          <w:rFonts w:hint="eastAsia"/>
          <w:bCs/>
          <w:color w:val="FF0000"/>
        </w:rPr>
        <w:t>增压站</w:t>
      </w:r>
      <w:r w:rsidR="00C928E4" w:rsidRPr="00C928E4">
        <w:rPr>
          <w:color w:val="FF0000"/>
        </w:rPr>
        <w:t>土壤影响范围内不涉及</w:t>
      </w:r>
      <w:r w:rsidR="00C928E4" w:rsidRPr="00C928E4">
        <w:rPr>
          <w:bCs/>
          <w:color w:val="FF0000"/>
        </w:rPr>
        <w:t>生态保护目标</w:t>
      </w:r>
      <w:r w:rsidR="00C928E4" w:rsidRPr="00C928E4">
        <w:rPr>
          <w:rFonts w:hint="eastAsia"/>
          <w:color w:val="FF0000"/>
        </w:rPr>
        <w:t>）</w:t>
      </w:r>
      <w:r>
        <w:rPr>
          <w:rFonts w:hint="eastAsia"/>
        </w:rPr>
        <w:t>，</w:t>
      </w:r>
      <w:r>
        <w:t>因此，根据项目特点及《环境影响评价技术导则</w:t>
      </w:r>
      <w:r>
        <w:rPr>
          <w:rFonts w:hint="eastAsia"/>
        </w:rPr>
        <w:t xml:space="preserve"> </w:t>
      </w:r>
      <w:r>
        <w:t>生态环境》（</w:t>
      </w:r>
      <w:r>
        <w:t>HJ19-20</w:t>
      </w:r>
      <w:r>
        <w:rPr>
          <w:rFonts w:hint="eastAsia"/>
        </w:rPr>
        <w:t>22</w:t>
      </w:r>
      <w:r>
        <w:t>）生态影响评价等级划分规定，本项目的生态环境影响评价工作等级定为</w:t>
      </w:r>
      <w:r>
        <w:rPr>
          <w:rFonts w:hint="eastAsia"/>
        </w:rPr>
        <w:t>二</w:t>
      </w:r>
      <w:r>
        <w:t>级。</w:t>
      </w:r>
    </w:p>
    <w:p w:rsidR="00BD5820" w:rsidRDefault="00F64314">
      <w:pPr>
        <w:topLinePunct w:val="0"/>
        <w:adjustRightInd/>
        <w:ind w:firstLine="490"/>
        <w:rPr>
          <w:rFonts w:ascii="Times New Roman" w:cs="Times New Roman"/>
          <w:b/>
          <w:bCs/>
          <w:spacing w:val="2"/>
          <w:kern w:val="2"/>
          <w:position w:val="2"/>
          <w:szCs w:val="22"/>
        </w:rPr>
      </w:pPr>
      <w:r>
        <w:rPr>
          <w:rFonts w:ascii="Times New Roman" w:cs="Times New Roman"/>
          <w:b/>
          <w:bCs/>
          <w:spacing w:val="2"/>
          <w:kern w:val="2"/>
          <w:position w:val="2"/>
          <w:szCs w:val="22"/>
        </w:rPr>
        <w:t>2</w:t>
      </w:r>
      <w:r>
        <w:rPr>
          <w:rFonts w:ascii="Times New Roman" w:cs="Times New Roman"/>
          <w:b/>
          <w:bCs/>
          <w:spacing w:val="2"/>
          <w:kern w:val="2"/>
          <w:position w:val="2"/>
          <w:szCs w:val="22"/>
        </w:rPr>
        <w:t>、评价范围</w:t>
      </w:r>
    </w:p>
    <w:p w:rsidR="00BD5820" w:rsidRDefault="00F64314">
      <w:pPr>
        <w:pStyle w:val="affa"/>
        <w:ind w:firstLine="480"/>
      </w:pPr>
      <w:r>
        <w:t>根据《环境影响评价技术导则</w:t>
      </w:r>
      <w:r>
        <w:rPr>
          <w:rFonts w:hint="eastAsia"/>
        </w:rPr>
        <w:t xml:space="preserve"> </w:t>
      </w:r>
      <w:r>
        <w:t>生态影响》（</w:t>
      </w:r>
      <w:r>
        <w:t>HJ19-20</w:t>
      </w:r>
      <w:r>
        <w:rPr>
          <w:rFonts w:hint="eastAsia"/>
        </w:rPr>
        <w:t>22</w:t>
      </w:r>
      <w:r>
        <w:t>）、《环境影响评价技术导则</w:t>
      </w:r>
      <w:r>
        <w:t xml:space="preserve"> </w:t>
      </w:r>
      <w:r>
        <w:t>陆地石油天然气开发建设项目》（</w:t>
      </w:r>
      <w:r>
        <w:t>HJ/T349-2007</w:t>
      </w:r>
      <w:r>
        <w:t>）中关于评价范围的划分原则和本项目现场踏勘调查实际情况，确定本评价范围</w:t>
      </w:r>
      <w:r>
        <w:rPr>
          <w:rFonts w:hint="eastAsia"/>
        </w:rPr>
        <w:t>为</w:t>
      </w:r>
      <w:r>
        <w:t>：</w:t>
      </w:r>
      <w:r>
        <w:rPr>
          <w:rFonts w:hint="eastAsia"/>
          <w:bCs/>
        </w:rPr>
        <w:t>普光气田</w:t>
      </w:r>
      <w:r>
        <w:rPr>
          <w:bCs/>
        </w:rPr>
        <w:t>1#</w:t>
      </w:r>
      <w:r>
        <w:rPr>
          <w:rFonts w:hint="eastAsia"/>
          <w:bCs/>
        </w:rPr>
        <w:t>增压站</w:t>
      </w:r>
      <w:r>
        <w:t>周边</w:t>
      </w:r>
      <w:r>
        <w:rPr>
          <w:rFonts w:hint="eastAsia"/>
        </w:rPr>
        <w:t>20</w:t>
      </w:r>
      <w:r>
        <w:t>00m</w:t>
      </w:r>
      <w:r>
        <w:t>范围。</w:t>
      </w:r>
    </w:p>
    <w:p w:rsidR="00BD5820" w:rsidRDefault="00F64314">
      <w:pPr>
        <w:keepNext/>
        <w:keepLines/>
        <w:ind w:firstLineChars="0" w:firstLine="0"/>
        <w:outlineLvl w:val="2"/>
        <w:rPr>
          <w:rFonts w:ascii="Times New Roman" w:cs="Times New Roman"/>
          <w:b/>
          <w:szCs w:val="32"/>
        </w:rPr>
      </w:pPr>
      <w:r>
        <w:rPr>
          <w:rFonts w:ascii="Times New Roman" w:cs="Times New Roman"/>
          <w:b/>
          <w:szCs w:val="32"/>
        </w:rPr>
        <w:t xml:space="preserve">1.6.2 </w:t>
      </w:r>
      <w:r>
        <w:rPr>
          <w:rFonts w:ascii="Times New Roman" w:cs="Times New Roman"/>
          <w:b/>
          <w:szCs w:val="32"/>
        </w:rPr>
        <w:t>大气环境</w:t>
      </w:r>
    </w:p>
    <w:p w:rsidR="00BD5820" w:rsidRDefault="00F64314">
      <w:pPr>
        <w:ind w:firstLine="490"/>
        <w:rPr>
          <w:rFonts w:ascii="Times New Roman" w:cs="Times New Roman"/>
          <w:b/>
          <w:bCs/>
          <w:spacing w:val="2"/>
          <w:kern w:val="2"/>
          <w:position w:val="2"/>
          <w:szCs w:val="22"/>
        </w:rPr>
      </w:pPr>
      <w:r>
        <w:rPr>
          <w:rFonts w:ascii="Times New Roman" w:cs="Times New Roman"/>
          <w:b/>
          <w:bCs/>
          <w:spacing w:val="2"/>
          <w:kern w:val="2"/>
          <w:position w:val="2"/>
          <w:szCs w:val="22"/>
        </w:rPr>
        <w:t>1</w:t>
      </w:r>
      <w:r>
        <w:rPr>
          <w:rFonts w:ascii="Times New Roman" w:cs="Times New Roman"/>
          <w:b/>
          <w:bCs/>
          <w:spacing w:val="2"/>
          <w:kern w:val="2"/>
          <w:position w:val="2"/>
          <w:szCs w:val="22"/>
        </w:rPr>
        <w:t>、评价等级</w:t>
      </w:r>
    </w:p>
    <w:p w:rsidR="00BD5820" w:rsidRDefault="00F64314">
      <w:pPr>
        <w:pStyle w:val="affa"/>
        <w:ind w:firstLine="480"/>
      </w:pPr>
      <w:r>
        <w:t>本项目施工期大气环境影响为施工机械、车辆的尾气</w:t>
      </w:r>
      <w:r>
        <w:rPr>
          <w:rFonts w:hint="eastAsia"/>
        </w:rPr>
        <w:t>、</w:t>
      </w:r>
      <w:r>
        <w:t>施工扬尘；项目</w:t>
      </w:r>
      <w:r>
        <w:rPr>
          <w:rFonts w:hint="eastAsia"/>
        </w:rPr>
        <w:t>运营期</w:t>
      </w:r>
      <w:r>
        <w:t>正常情况下不对大气环境排放污染物，在非正常生产时有超压和检修时依托</w:t>
      </w:r>
      <w:r>
        <w:t>P102</w:t>
      </w:r>
      <w:r>
        <w:rPr>
          <w:rFonts w:hint="eastAsia"/>
        </w:rPr>
        <w:t>集气站</w:t>
      </w:r>
      <w:r>
        <w:t>已建点火放空系统排放点火放空燃烧废气。根据《环境影响评价技术导则大气环境》（</w:t>
      </w:r>
      <w:r>
        <w:t>HJ2.2-2018</w:t>
      </w:r>
      <w:r>
        <w:t>）：选择正常排放的主要污染物及排放参数，采用估算模式计算各污染物的最大影响程度和最远影响范围，然后按评价工作分级判据进行分级。由于</w:t>
      </w:r>
      <w:r>
        <w:rPr>
          <w:rFonts w:hint="eastAsia"/>
        </w:rPr>
        <w:t>本项目运营期</w:t>
      </w:r>
      <w:r>
        <w:t>正常情况下不对大气环境排放污染物，</w:t>
      </w:r>
      <w:r>
        <w:t>P</w:t>
      </w:r>
      <w:r>
        <w:rPr>
          <w:vertAlign w:val="subscript"/>
        </w:rPr>
        <w:t>i</w:t>
      </w:r>
      <w:r>
        <w:t>=0</w:t>
      </w:r>
      <w:r>
        <w:t>。</w:t>
      </w:r>
      <w:r>
        <w:lastRenderedPageBreak/>
        <w:t>因此，项目大气环境评价等级为三级。</w:t>
      </w:r>
    </w:p>
    <w:p w:rsidR="00BD5820" w:rsidRDefault="00F64314">
      <w:pPr>
        <w:pStyle w:val="affa"/>
        <w:ind w:firstLine="482"/>
        <w:rPr>
          <w:b/>
          <w:bCs/>
        </w:rPr>
      </w:pPr>
      <w:r>
        <w:rPr>
          <w:b/>
          <w:bCs/>
        </w:rPr>
        <w:t>2</w:t>
      </w:r>
      <w:r>
        <w:rPr>
          <w:b/>
          <w:bCs/>
        </w:rPr>
        <w:t>、评价范围</w:t>
      </w:r>
    </w:p>
    <w:p w:rsidR="00BD5820" w:rsidRDefault="00F64314">
      <w:pPr>
        <w:pStyle w:val="affa"/>
        <w:ind w:firstLine="480"/>
      </w:pPr>
      <w:r>
        <w:t>本项目大气评价范围</w:t>
      </w:r>
      <w:r>
        <w:rPr>
          <w:rFonts w:hint="eastAsia"/>
        </w:rPr>
        <w:t>：</w:t>
      </w:r>
      <w:r>
        <w:t>本项目三级评价，不需设置大气环境影响评价范围。</w:t>
      </w:r>
    </w:p>
    <w:p w:rsidR="00BD5820" w:rsidRDefault="00F64314">
      <w:pPr>
        <w:keepNext/>
        <w:keepLines/>
        <w:ind w:firstLineChars="0" w:firstLine="0"/>
        <w:outlineLvl w:val="2"/>
        <w:rPr>
          <w:rFonts w:ascii="Times New Roman" w:cs="Times New Roman"/>
          <w:b/>
          <w:szCs w:val="32"/>
        </w:rPr>
      </w:pPr>
      <w:r>
        <w:rPr>
          <w:rFonts w:ascii="Times New Roman" w:cs="Times New Roman"/>
          <w:b/>
          <w:szCs w:val="32"/>
        </w:rPr>
        <w:t xml:space="preserve">1.6.3 </w:t>
      </w:r>
      <w:r>
        <w:rPr>
          <w:rFonts w:ascii="Times New Roman" w:cs="Times New Roman"/>
          <w:b/>
          <w:szCs w:val="32"/>
        </w:rPr>
        <w:t>地表水环境</w:t>
      </w:r>
    </w:p>
    <w:p w:rsidR="00BD5820" w:rsidRDefault="00F64314">
      <w:pPr>
        <w:ind w:firstLineChars="199" w:firstLine="487"/>
        <w:rPr>
          <w:rFonts w:ascii="Times New Roman" w:cs="Times New Roman"/>
          <w:b/>
          <w:bCs/>
          <w:spacing w:val="2"/>
          <w:kern w:val="2"/>
          <w:position w:val="2"/>
          <w:szCs w:val="22"/>
        </w:rPr>
      </w:pPr>
      <w:r>
        <w:rPr>
          <w:rFonts w:ascii="Times New Roman" w:cs="Times New Roman"/>
          <w:b/>
          <w:bCs/>
          <w:spacing w:val="2"/>
          <w:kern w:val="2"/>
          <w:position w:val="2"/>
          <w:szCs w:val="22"/>
        </w:rPr>
        <w:t>1</w:t>
      </w:r>
      <w:r>
        <w:rPr>
          <w:rFonts w:ascii="Times New Roman" w:cs="Times New Roman"/>
          <w:b/>
          <w:bCs/>
          <w:spacing w:val="2"/>
          <w:kern w:val="2"/>
          <w:position w:val="2"/>
          <w:szCs w:val="22"/>
        </w:rPr>
        <w:t>、评价等级</w:t>
      </w:r>
    </w:p>
    <w:p w:rsidR="00BD5820" w:rsidRDefault="00F64314">
      <w:pPr>
        <w:pStyle w:val="affa"/>
        <w:ind w:firstLine="480"/>
      </w:pPr>
      <w:r>
        <w:t>根据《环境影响评价技术导则</w:t>
      </w:r>
      <w:r>
        <w:t xml:space="preserve"> </w:t>
      </w:r>
      <w:r>
        <w:t>地表水环境》（</w:t>
      </w:r>
      <w:r>
        <w:t>HJ2.3-2018</w:t>
      </w:r>
      <w:r>
        <w:t>）中关于项目评价等级与评价范围的规定及工程分析</w:t>
      </w:r>
      <w:r>
        <w:rPr>
          <w:rFonts w:hint="eastAsia"/>
        </w:rPr>
        <w:t>，</w:t>
      </w:r>
      <w:r>
        <w:rPr>
          <w:spacing w:val="-8"/>
          <w:szCs w:val="21"/>
        </w:rPr>
        <w:t>施工期管线施工人员生活污水依托租用附近居民房收集处理</w:t>
      </w:r>
      <w:r>
        <w:rPr>
          <w:rFonts w:hint="eastAsia"/>
          <w:spacing w:val="-8"/>
          <w:szCs w:val="21"/>
        </w:rPr>
        <w:t>；</w:t>
      </w:r>
      <w:r w:rsidRPr="003C7A6E">
        <w:rPr>
          <w:rFonts w:hint="eastAsia"/>
          <w:color w:val="FF0000"/>
          <w:spacing w:val="-8"/>
          <w:szCs w:val="21"/>
        </w:rPr>
        <w:t>场站</w:t>
      </w:r>
      <w:r w:rsidRPr="003C7A6E">
        <w:rPr>
          <w:color w:val="FF0000"/>
          <w:spacing w:val="-8"/>
          <w:szCs w:val="21"/>
        </w:rPr>
        <w:t>施工</w:t>
      </w:r>
      <w:r w:rsidRPr="003C7A6E">
        <w:rPr>
          <w:rFonts w:hint="eastAsia"/>
          <w:color w:val="FF0000"/>
          <w:spacing w:val="-8"/>
          <w:szCs w:val="21"/>
        </w:rPr>
        <w:t>入厕</w:t>
      </w:r>
      <w:r>
        <w:rPr>
          <w:rFonts w:hint="eastAsia"/>
          <w:spacing w:val="-8"/>
          <w:szCs w:val="21"/>
        </w:rPr>
        <w:t>生活污水依托</w:t>
      </w:r>
      <w:r>
        <w:rPr>
          <w:spacing w:val="-8"/>
          <w:szCs w:val="21"/>
        </w:rPr>
        <w:t>经</w:t>
      </w:r>
      <w:r>
        <w:rPr>
          <w:bCs/>
          <w:spacing w:val="-8"/>
          <w:szCs w:val="21"/>
        </w:rPr>
        <w:t>生态环保厕所收集处理</w:t>
      </w:r>
      <w:r>
        <w:t>后，用作周边农肥，不外排</w:t>
      </w:r>
      <w:r>
        <w:rPr>
          <w:rFonts w:hint="eastAsia"/>
        </w:rPr>
        <w:t>；员工洗澡、食堂废水经单独收集后拉运至普光镇场镇污水处理厂处理</w:t>
      </w:r>
      <w:r>
        <w:rPr>
          <w:rFonts w:hint="eastAsia"/>
          <w:spacing w:val="-8"/>
          <w:szCs w:val="21"/>
        </w:rPr>
        <w:t>；施工机械、车辆清洗废水经沉淀池沉淀后循环使用，不外排；清管试压废水经沉淀池沉淀后回用作绿化用水</w:t>
      </w:r>
      <w:r>
        <w:t>。</w:t>
      </w:r>
      <w:bookmarkStart w:id="74" w:name="_Hlk81048370"/>
      <w:r>
        <w:t>本项目运营期产生的气田水</w:t>
      </w:r>
      <w:r>
        <w:rPr>
          <w:rFonts w:hint="eastAsia"/>
        </w:rPr>
        <w:t>分别经普光</w:t>
      </w:r>
      <w:r>
        <w:rPr>
          <w:rFonts w:hint="eastAsia"/>
        </w:rPr>
        <w:t>3#</w:t>
      </w:r>
      <w:r>
        <w:rPr>
          <w:rFonts w:hint="eastAsia"/>
        </w:rPr>
        <w:t>水处理站、</w:t>
      </w:r>
      <w:r>
        <w:rPr>
          <w:rFonts w:hint="eastAsia"/>
        </w:rPr>
        <w:t>1#</w:t>
      </w:r>
      <w:r>
        <w:rPr>
          <w:rFonts w:hint="eastAsia"/>
        </w:rPr>
        <w:t>污水处理站集中处理，水处理采用新建预处理流程，满足压裂液配制要求，剩余采出水然后进入深度水处理站处理后回用</w:t>
      </w:r>
      <w:r>
        <w:t>，不外排。</w:t>
      </w:r>
      <w:bookmarkEnd w:id="74"/>
      <w:r>
        <w:t>因此，本项目地表水环境影响评价等级定为水污染影响型三级</w:t>
      </w:r>
      <w:r>
        <w:t>B</w:t>
      </w:r>
      <w:r>
        <w:t>。根据建设项目水文要素影响分析，项目不涉及水文要素影响。</w:t>
      </w:r>
    </w:p>
    <w:p w:rsidR="00BD5820" w:rsidRDefault="00F64314">
      <w:pPr>
        <w:ind w:firstLine="490"/>
        <w:rPr>
          <w:rFonts w:ascii="Times New Roman" w:cs="Times New Roman"/>
          <w:b/>
          <w:bCs/>
          <w:spacing w:val="2"/>
          <w:kern w:val="2"/>
          <w:position w:val="2"/>
          <w:szCs w:val="22"/>
        </w:rPr>
      </w:pPr>
      <w:r>
        <w:rPr>
          <w:rFonts w:ascii="Times New Roman" w:cs="Times New Roman"/>
          <w:b/>
          <w:bCs/>
          <w:spacing w:val="2"/>
          <w:kern w:val="2"/>
          <w:position w:val="2"/>
          <w:szCs w:val="22"/>
        </w:rPr>
        <w:t>2</w:t>
      </w:r>
      <w:r>
        <w:rPr>
          <w:rFonts w:ascii="Times New Roman" w:cs="Times New Roman"/>
          <w:b/>
          <w:bCs/>
          <w:spacing w:val="2"/>
          <w:kern w:val="2"/>
          <w:position w:val="2"/>
          <w:szCs w:val="22"/>
        </w:rPr>
        <w:t>、评价范围</w:t>
      </w:r>
    </w:p>
    <w:p w:rsidR="00BD5820" w:rsidRDefault="00F64314">
      <w:pPr>
        <w:ind w:firstLine="480"/>
        <w:rPr>
          <w:rFonts w:ascii="Times New Roman" w:cs="Times New Roman"/>
        </w:rPr>
      </w:pPr>
      <w:r>
        <w:rPr>
          <w:rFonts w:ascii="Times New Roman" w:cs="Times New Roman"/>
        </w:rPr>
        <w:t>根据《环境影响评价技术导则</w:t>
      </w:r>
      <w:r>
        <w:rPr>
          <w:rFonts w:ascii="Times New Roman" w:cs="Times New Roman"/>
        </w:rPr>
        <w:t xml:space="preserve"> </w:t>
      </w:r>
      <w:r>
        <w:rPr>
          <w:rFonts w:ascii="Times New Roman" w:cs="Times New Roman"/>
        </w:rPr>
        <w:t>地表水环境》（</w:t>
      </w:r>
      <w:r>
        <w:rPr>
          <w:rFonts w:ascii="Times New Roman" w:cs="Times New Roman"/>
        </w:rPr>
        <w:t>HJ2.3-2018</w:t>
      </w:r>
      <w:r>
        <w:rPr>
          <w:rFonts w:ascii="Times New Roman" w:cs="Times New Roman"/>
        </w:rPr>
        <w:t>）中第</w:t>
      </w:r>
      <w:r>
        <w:rPr>
          <w:rFonts w:ascii="Times New Roman" w:cs="Times New Roman"/>
        </w:rPr>
        <w:t>5.3.2.2</w:t>
      </w:r>
      <w:r>
        <w:rPr>
          <w:rFonts w:ascii="Times New Roman" w:cs="Times New Roman"/>
        </w:rPr>
        <w:t>条规定，并结合项目实际情况，本次环评地表水环境影响评价不作预测评价，仅对污、废水的产生情况等进行说明，并进行简单的环境影响分析。</w:t>
      </w:r>
    </w:p>
    <w:p w:rsidR="00BD5820" w:rsidRDefault="00F64314">
      <w:pPr>
        <w:ind w:firstLine="480"/>
        <w:rPr>
          <w:rFonts w:ascii="Times New Roman" w:cs="Times New Roman"/>
        </w:rPr>
      </w:pPr>
      <w:r>
        <w:rPr>
          <w:rFonts w:ascii="Times New Roman" w:cs="Times New Roman"/>
        </w:rPr>
        <w:t>因此，本项目不设地表水评价范围。</w:t>
      </w:r>
    </w:p>
    <w:p w:rsidR="00BD5820" w:rsidRDefault="00F64314">
      <w:pPr>
        <w:keepNext/>
        <w:keepLines/>
        <w:ind w:firstLineChars="0" w:firstLine="0"/>
        <w:outlineLvl w:val="2"/>
        <w:rPr>
          <w:rFonts w:ascii="Times New Roman" w:cs="Times New Roman"/>
          <w:b/>
          <w:szCs w:val="32"/>
        </w:rPr>
      </w:pPr>
      <w:r>
        <w:rPr>
          <w:rFonts w:ascii="Times New Roman" w:cs="Times New Roman"/>
          <w:b/>
          <w:szCs w:val="32"/>
        </w:rPr>
        <w:t xml:space="preserve">1.6.4 </w:t>
      </w:r>
      <w:r>
        <w:rPr>
          <w:rFonts w:ascii="Times New Roman" w:cs="Times New Roman"/>
          <w:b/>
          <w:szCs w:val="32"/>
        </w:rPr>
        <w:t>地下水环境</w:t>
      </w:r>
    </w:p>
    <w:p w:rsidR="00BD5820" w:rsidRDefault="00F64314">
      <w:pPr>
        <w:ind w:firstLine="490"/>
        <w:rPr>
          <w:rFonts w:ascii="Times New Roman" w:cs="Times New Roman"/>
          <w:b/>
          <w:bCs/>
          <w:spacing w:val="2"/>
          <w:kern w:val="2"/>
          <w:position w:val="2"/>
          <w:szCs w:val="22"/>
        </w:rPr>
      </w:pPr>
      <w:r>
        <w:rPr>
          <w:rFonts w:ascii="Times New Roman" w:cs="Times New Roman"/>
          <w:b/>
          <w:bCs/>
          <w:spacing w:val="2"/>
          <w:kern w:val="2"/>
          <w:position w:val="2"/>
          <w:szCs w:val="22"/>
        </w:rPr>
        <w:t>1</w:t>
      </w:r>
      <w:r>
        <w:rPr>
          <w:rFonts w:ascii="Times New Roman" w:cs="Times New Roman"/>
          <w:b/>
          <w:bCs/>
          <w:spacing w:val="2"/>
          <w:kern w:val="2"/>
          <w:position w:val="2"/>
          <w:szCs w:val="22"/>
        </w:rPr>
        <w:t>、评价等级</w:t>
      </w:r>
    </w:p>
    <w:p w:rsidR="00BD5820" w:rsidRDefault="00F64314">
      <w:pPr>
        <w:pStyle w:val="affa"/>
        <w:ind w:firstLine="480"/>
      </w:pPr>
      <w:r>
        <w:t>根据《环境影响评价技术导则</w:t>
      </w:r>
      <w:r>
        <w:t xml:space="preserve"> </w:t>
      </w:r>
      <w:r>
        <w:t>地下水环境》（</w:t>
      </w:r>
      <w:r>
        <w:t>HJ610-2016</w:t>
      </w:r>
      <w:r>
        <w:t>）附录</w:t>
      </w:r>
      <w:r>
        <w:t>A</w:t>
      </w:r>
      <w:r>
        <w:t>，</w:t>
      </w:r>
      <w:r>
        <w:t xml:space="preserve"> </w:t>
      </w:r>
      <w:r>
        <w:rPr>
          <w:rFonts w:hint="eastAsia"/>
        </w:rPr>
        <w:t>本项目</w:t>
      </w:r>
      <w:r>
        <w:t>属于</w:t>
      </w:r>
      <w:r>
        <w:t>“F</w:t>
      </w:r>
      <w:r>
        <w:t>石油、天然气第</w:t>
      </w:r>
      <w:r>
        <w:t>38</w:t>
      </w:r>
      <w:r>
        <w:t>项天然气、页岩气开采（含净化）</w:t>
      </w:r>
      <w:r>
        <w:t>”</w:t>
      </w:r>
      <w:r>
        <w:t>，编制环评报告书的</w:t>
      </w:r>
      <w:r>
        <w:t>Ⅱ</w:t>
      </w:r>
      <w:r>
        <w:t>类建设项目</w:t>
      </w:r>
      <w:r>
        <w:rPr>
          <w:rFonts w:hint="eastAsia"/>
        </w:rPr>
        <w:t>，</w:t>
      </w:r>
      <w:r>
        <w:t>其地下水环境影响评价工作等级的划分依据</w:t>
      </w:r>
      <w:r>
        <w:t>II</w:t>
      </w:r>
      <w:r>
        <w:t>类建设项目特征分别进行地下水环境影响评价等级划分。</w:t>
      </w:r>
    </w:p>
    <w:p w:rsidR="00BD5820" w:rsidRDefault="00F64314">
      <w:pPr>
        <w:pStyle w:val="affa"/>
        <w:ind w:firstLine="480"/>
      </w:pPr>
      <w:r>
        <w:t>根据《环境影响评价技术导则</w:t>
      </w:r>
      <w:r>
        <w:t xml:space="preserve"> </w:t>
      </w:r>
      <w:r>
        <w:t>地下水环境》（</w:t>
      </w:r>
      <w:r>
        <w:t>HJ610-2016</w:t>
      </w:r>
      <w:r>
        <w:t>）中地下水环境影响评价工作等级划分原则，地下水评价工作等级应依据建设项目行业类别和地下水环境敏感程度分级进行判定。</w:t>
      </w:r>
    </w:p>
    <w:p w:rsidR="00BD5820" w:rsidRDefault="00F64314">
      <w:pPr>
        <w:pStyle w:val="affa"/>
        <w:ind w:firstLine="480"/>
      </w:pPr>
      <w:r>
        <w:lastRenderedPageBreak/>
        <w:t>根据现场调查和资料收集，评价区范围内有居民分布，</w:t>
      </w:r>
      <w:r>
        <w:rPr>
          <w:rFonts w:hint="eastAsia"/>
        </w:rPr>
        <w:t>站场</w:t>
      </w:r>
      <w:r>
        <w:t>周围分散居民主要以浅层地下水（山泉出露水为主）作为生活饮用水源</w:t>
      </w:r>
      <w:r>
        <w:rPr>
          <w:rFonts w:hint="eastAsia"/>
        </w:rPr>
        <w:t>，</w:t>
      </w:r>
      <w:r>
        <w:t>属于</w:t>
      </w:r>
      <w:r>
        <w:rPr>
          <w:bCs/>
        </w:rPr>
        <w:t>分散式饮用水水源地</w:t>
      </w:r>
      <w:r>
        <w:t>。因此，评价区地下水环境敏感程度定为</w:t>
      </w:r>
      <w:r>
        <w:t>“</w:t>
      </w:r>
      <w:r>
        <w:t>较敏感</w:t>
      </w:r>
      <w:r>
        <w:t>”</w:t>
      </w:r>
      <w:r>
        <w:t>。地下水环境敏感程度识别详见表</w:t>
      </w:r>
      <w:r>
        <w:t>1.6-</w:t>
      </w:r>
      <w:r>
        <w:rPr>
          <w:rFonts w:hint="eastAsia"/>
        </w:rPr>
        <w:t>2</w:t>
      </w:r>
      <w:r>
        <w:t>。</w:t>
      </w:r>
    </w:p>
    <w:p w:rsidR="00BD5820" w:rsidRDefault="00F64314">
      <w:pPr>
        <w:pStyle w:val="10"/>
        <w:rPr>
          <w:rFonts w:cs="Times New Roman"/>
        </w:rPr>
      </w:pPr>
      <w:r>
        <w:rPr>
          <w:rFonts w:cs="Times New Roman"/>
        </w:rPr>
        <w:t>表</w:t>
      </w:r>
      <w:r>
        <w:rPr>
          <w:rFonts w:cs="Times New Roman"/>
        </w:rPr>
        <w:t>1.6-</w:t>
      </w:r>
      <w:r>
        <w:rPr>
          <w:rFonts w:cs="Times New Roman" w:hint="eastAsia"/>
        </w:rPr>
        <w:t>2</w:t>
      </w:r>
      <w:r>
        <w:rPr>
          <w:rFonts w:cs="Times New Roman"/>
        </w:rPr>
        <w:t xml:space="preserve">  </w:t>
      </w:r>
      <w:r>
        <w:rPr>
          <w:rFonts w:cs="Times New Roman"/>
        </w:rPr>
        <w:t>地下水环境敏感程度分级表</w:t>
      </w:r>
    </w:p>
    <w:tbl>
      <w:tblPr>
        <w:tblW w:w="5199" w:type="pct"/>
        <w:jc w:val="center"/>
        <w:tblCellMar>
          <w:left w:w="0" w:type="dxa"/>
          <w:right w:w="0" w:type="dxa"/>
        </w:tblCellMar>
        <w:tblLook w:val="04A0"/>
      </w:tblPr>
      <w:tblGrid>
        <w:gridCol w:w="1277"/>
        <w:gridCol w:w="7360"/>
      </w:tblGrid>
      <w:tr w:rsidR="00BD5820">
        <w:trPr>
          <w:trHeight w:val="19"/>
          <w:jc w:val="center"/>
        </w:trPr>
        <w:tc>
          <w:tcPr>
            <w:tcW w:w="739" w:type="pct"/>
            <w:tcBorders>
              <w:top w:val="single" w:sz="12" w:space="0" w:color="000000"/>
              <w:left w:val="nil"/>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b/>
                <w:bCs/>
                <w:kern w:val="2"/>
                <w:sz w:val="21"/>
              </w:rPr>
            </w:pPr>
            <w:r>
              <w:rPr>
                <w:rFonts w:ascii="Times New Roman" w:cs="Times New Roman"/>
                <w:b/>
                <w:bCs/>
                <w:kern w:val="2"/>
                <w:sz w:val="21"/>
              </w:rPr>
              <w:t>分级</w:t>
            </w:r>
          </w:p>
        </w:tc>
        <w:tc>
          <w:tcPr>
            <w:tcW w:w="4261" w:type="pct"/>
            <w:tcBorders>
              <w:top w:val="single" w:sz="12" w:space="0" w:color="000000"/>
              <w:left w:val="single" w:sz="4" w:space="0" w:color="000000"/>
              <w:bottom w:val="single" w:sz="4" w:space="0" w:color="000000"/>
              <w:right w:val="nil"/>
            </w:tcBorders>
            <w:vAlign w:val="center"/>
          </w:tcPr>
          <w:p w:rsidR="00BD5820" w:rsidRDefault="00F64314">
            <w:pPr>
              <w:topLinePunct w:val="0"/>
              <w:adjustRightInd/>
              <w:spacing w:line="240" w:lineRule="auto"/>
              <w:ind w:firstLineChars="0" w:firstLine="0"/>
              <w:jc w:val="center"/>
              <w:rPr>
                <w:rFonts w:ascii="Times New Roman" w:cs="Times New Roman"/>
                <w:b/>
                <w:bCs/>
                <w:kern w:val="2"/>
                <w:sz w:val="21"/>
              </w:rPr>
            </w:pPr>
            <w:r>
              <w:rPr>
                <w:rFonts w:ascii="Times New Roman" w:cs="Times New Roman"/>
                <w:b/>
                <w:bCs/>
                <w:kern w:val="2"/>
                <w:sz w:val="21"/>
              </w:rPr>
              <w:t>地下水环境敏感特征</w:t>
            </w:r>
          </w:p>
        </w:tc>
      </w:tr>
      <w:tr w:rsidR="00BD5820">
        <w:trPr>
          <w:trHeight w:val="19"/>
          <w:jc w:val="center"/>
        </w:trPr>
        <w:tc>
          <w:tcPr>
            <w:tcW w:w="739" w:type="pct"/>
            <w:tcBorders>
              <w:top w:val="single" w:sz="4" w:space="0" w:color="000000"/>
              <w:left w:val="nil"/>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敏感</w:t>
            </w:r>
          </w:p>
        </w:tc>
        <w:tc>
          <w:tcPr>
            <w:tcW w:w="4261" w:type="pct"/>
            <w:tcBorders>
              <w:top w:val="single" w:sz="4" w:space="0" w:color="000000"/>
              <w:left w:val="single" w:sz="4" w:space="0" w:color="000000"/>
              <w:bottom w:val="single" w:sz="4" w:space="0" w:color="000000"/>
              <w:right w:val="nil"/>
            </w:tcBorders>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集中式饮用水水源（包括已建成的在用、备用、应急水源地，在建和规划的水源地）准保护区；除集中式饮用水水源地以外的国家或地方政府设定的与地下水环境相关的其它保护区，如热水、矿泉水、温泉等特殊地下水资源保护区。</w:t>
            </w:r>
          </w:p>
        </w:tc>
      </w:tr>
      <w:tr w:rsidR="00BD5820">
        <w:trPr>
          <w:trHeight w:val="19"/>
          <w:jc w:val="center"/>
        </w:trPr>
        <w:tc>
          <w:tcPr>
            <w:tcW w:w="739" w:type="pct"/>
            <w:tcBorders>
              <w:top w:val="single" w:sz="4" w:space="0" w:color="000000"/>
              <w:left w:val="nil"/>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较敏感（</w:t>
            </w:r>
            <w:r>
              <w:rPr>
                <w:rFonts w:ascii="Times New Roman" w:cs="Times New Roman"/>
                <w:kern w:val="2"/>
                <w:sz w:val="21"/>
              </w:rPr>
              <w:t>√</w:t>
            </w:r>
            <w:r>
              <w:rPr>
                <w:rFonts w:ascii="Times New Roman" w:cs="Times New Roman"/>
                <w:kern w:val="2"/>
                <w:sz w:val="21"/>
              </w:rPr>
              <w:t>）</w:t>
            </w:r>
          </w:p>
        </w:tc>
        <w:tc>
          <w:tcPr>
            <w:tcW w:w="4261" w:type="pct"/>
            <w:tcBorders>
              <w:top w:val="single" w:sz="4" w:space="0" w:color="000000"/>
              <w:left w:val="single" w:sz="4" w:space="0" w:color="000000"/>
              <w:bottom w:val="single" w:sz="4" w:space="0" w:color="000000"/>
              <w:right w:val="nil"/>
            </w:tcBorders>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集中式饮用水水源（包括已建成的在用、备用、应急水源，在建和规划的饮用水水源）准保护区以外的补给径流区；未划定准保护区的集中水式饮用水水源，其保护区以外的补给径流区；</w:t>
            </w:r>
            <w:r>
              <w:rPr>
                <w:rFonts w:ascii="Times New Roman" w:cs="Times New Roman"/>
                <w:bCs/>
                <w:kern w:val="2"/>
                <w:sz w:val="21"/>
              </w:rPr>
              <w:t>分散式饮用水水源地；</w:t>
            </w:r>
            <w:r>
              <w:rPr>
                <w:rFonts w:ascii="Times New Roman" w:cs="Times New Roman"/>
                <w:kern w:val="2"/>
                <w:sz w:val="21"/>
              </w:rPr>
              <w:t>特殊地下水资源（如矿泉水、温泉等）保护区以外的分布区等其他未列入上述敏感分级的环境敏感区。</w:t>
            </w:r>
          </w:p>
        </w:tc>
      </w:tr>
      <w:tr w:rsidR="00BD5820">
        <w:trPr>
          <w:trHeight w:val="19"/>
          <w:jc w:val="center"/>
        </w:trPr>
        <w:tc>
          <w:tcPr>
            <w:tcW w:w="739" w:type="pct"/>
            <w:tcBorders>
              <w:top w:val="single" w:sz="4" w:space="0" w:color="000000"/>
              <w:left w:val="nil"/>
              <w:bottom w:val="single" w:sz="12"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不敏感</w:t>
            </w:r>
          </w:p>
        </w:tc>
        <w:tc>
          <w:tcPr>
            <w:tcW w:w="4261" w:type="pct"/>
            <w:tcBorders>
              <w:top w:val="single" w:sz="4" w:space="0" w:color="000000"/>
              <w:left w:val="single" w:sz="4" w:space="0" w:color="000000"/>
              <w:bottom w:val="single" w:sz="12" w:space="0" w:color="000000"/>
              <w:right w:val="nil"/>
            </w:tcBorders>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上述地区之外的其它地区。</w:t>
            </w:r>
          </w:p>
        </w:tc>
      </w:tr>
    </w:tbl>
    <w:p w:rsidR="00BD5820" w:rsidRDefault="00F64314">
      <w:pPr>
        <w:pStyle w:val="affa"/>
        <w:ind w:firstLine="480"/>
      </w:pPr>
      <w:r>
        <w:t>根据《环境影响评价技术导则地下水环境》（</w:t>
      </w:r>
      <w:r>
        <w:t>HJ610-2016</w:t>
      </w:r>
      <w:r>
        <w:t>）建设项目地下水环境影响评价工作等级划分见表</w:t>
      </w:r>
      <w:r>
        <w:t>1.6-</w:t>
      </w:r>
      <w:r>
        <w:rPr>
          <w:rFonts w:hint="eastAsia"/>
        </w:rPr>
        <w:t>3</w:t>
      </w:r>
      <w:r>
        <w:t>。</w:t>
      </w:r>
    </w:p>
    <w:p w:rsidR="00BD5820" w:rsidRDefault="00F64314">
      <w:pPr>
        <w:pStyle w:val="10"/>
        <w:rPr>
          <w:rFonts w:cs="Times New Roman"/>
        </w:rPr>
      </w:pPr>
      <w:r>
        <w:rPr>
          <w:rFonts w:cs="Times New Roman"/>
        </w:rPr>
        <w:t>表</w:t>
      </w:r>
      <w:r>
        <w:rPr>
          <w:rFonts w:cs="Times New Roman"/>
        </w:rPr>
        <w:t>1.6-</w:t>
      </w:r>
      <w:r>
        <w:rPr>
          <w:rFonts w:cs="Times New Roman" w:hint="eastAsia"/>
        </w:rPr>
        <w:t>3</w:t>
      </w:r>
      <w:r>
        <w:rPr>
          <w:rFonts w:cs="Times New Roman"/>
        </w:rPr>
        <w:t xml:space="preserve">  </w:t>
      </w:r>
      <w:r>
        <w:rPr>
          <w:rFonts w:cs="Times New Roman"/>
        </w:rPr>
        <w:t>地下水环境影响评价工作等级分级表</w:t>
      </w:r>
    </w:p>
    <w:tbl>
      <w:tblPr>
        <w:tblW w:w="5126" w:type="pct"/>
        <w:jc w:val="center"/>
        <w:tblCellMar>
          <w:left w:w="0" w:type="dxa"/>
          <w:right w:w="0" w:type="dxa"/>
        </w:tblCellMar>
        <w:tblLook w:val="04A0"/>
      </w:tblPr>
      <w:tblGrid>
        <w:gridCol w:w="3108"/>
        <w:gridCol w:w="1824"/>
        <w:gridCol w:w="1829"/>
        <w:gridCol w:w="1754"/>
      </w:tblGrid>
      <w:tr w:rsidR="00BD5820">
        <w:trPr>
          <w:trHeight w:val="19"/>
          <w:jc w:val="center"/>
        </w:trPr>
        <w:tc>
          <w:tcPr>
            <w:tcW w:w="1825" w:type="pct"/>
            <w:tcBorders>
              <w:top w:val="single" w:sz="12" w:space="0" w:color="000000"/>
              <w:left w:val="nil"/>
              <w:bottom w:val="single" w:sz="4" w:space="0" w:color="000000"/>
              <w:right w:val="single" w:sz="4" w:space="0" w:color="000000"/>
              <w:tl2br w:val="single" w:sz="4" w:space="0" w:color="auto"/>
            </w:tcBorders>
          </w:tcPr>
          <w:p w:rsidR="00BD5820" w:rsidRDefault="00F64314">
            <w:pPr>
              <w:topLinePunct w:val="0"/>
              <w:adjustRightInd/>
              <w:spacing w:line="240" w:lineRule="auto"/>
              <w:ind w:firstLineChars="0" w:firstLine="0"/>
              <w:jc w:val="right"/>
              <w:rPr>
                <w:rFonts w:ascii="Times New Roman" w:cs="Times New Roman"/>
                <w:b/>
                <w:bCs/>
                <w:kern w:val="2"/>
                <w:sz w:val="21"/>
              </w:rPr>
            </w:pPr>
            <w:r>
              <w:rPr>
                <w:rFonts w:ascii="Times New Roman" w:cs="Times New Roman"/>
                <w:b/>
                <w:bCs/>
                <w:kern w:val="2"/>
                <w:sz w:val="21"/>
              </w:rPr>
              <w:t>类别</w:t>
            </w:r>
          </w:p>
          <w:p w:rsidR="00BD5820" w:rsidRDefault="00F64314">
            <w:pPr>
              <w:topLinePunct w:val="0"/>
              <w:adjustRightInd/>
              <w:spacing w:line="240" w:lineRule="auto"/>
              <w:ind w:firstLineChars="0" w:firstLine="0"/>
              <w:rPr>
                <w:rFonts w:ascii="Times New Roman" w:cs="Times New Roman"/>
                <w:b/>
                <w:bCs/>
                <w:kern w:val="2"/>
                <w:sz w:val="21"/>
              </w:rPr>
            </w:pPr>
            <w:r>
              <w:rPr>
                <w:rFonts w:ascii="Times New Roman" w:cs="Times New Roman"/>
                <w:b/>
                <w:bCs/>
                <w:kern w:val="2"/>
                <w:sz w:val="21"/>
              </w:rPr>
              <w:t>环境敏感程度</w:t>
            </w:r>
          </w:p>
        </w:tc>
        <w:tc>
          <w:tcPr>
            <w:tcW w:w="1071" w:type="pct"/>
            <w:tcBorders>
              <w:top w:val="single" w:sz="12"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b/>
                <w:bCs/>
                <w:kern w:val="2"/>
                <w:sz w:val="21"/>
              </w:rPr>
            </w:pPr>
            <w:r>
              <w:rPr>
                <w:rFonts w:ascii="Times New Roman" w:cs="Times New Roman"/>
                <w:b/>
                <w:bCs/>
                <w:kern w:val="2"/>
                <w:sz w:val="21"/>
              </w:rPr>
              <w:t>Ⅰ</w:t>
            </w:r>
            <w:r>
              <w:rPr>
                <w:rFonts w:ascii="Times New Roman" w:cs="Times New Roman"/>
                <w:b/>
                <w:bCs/>
                <w:kern w:val="2"/>
                <w:sz w:val="21"/>
              </w:rPr>
              <w:t>类项目</w:t>
            </w:r>
          </w:p>
        </w:tc>
        <w:tc>
          <w:tcPr>
            <w:tcW w:w="1074" w:type="pct"/>
            <w:tcBorders>
              <w:top w:val="single" w:sz="12"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b/>
                <w:bCs/>
                <w:kern w:val="2"/>
                <w:sz w:val="21"/>
              </w:rPr>
            </w:pPr>
            <w:r>
              <w:rPr>
                <w:rFonts w:ascii="Times New Roman" w:cs="Times New Roman"/>
                <w:b/>
                <w:bCs/>
                <w:kern w:val="2"/>
                <w:sz w:val="21"/>
              </w:rPr>
              <w:t>Ⅱ</w:t>
            </w:r>
            <w:r>
              <w:rPr>
                <w:rFonts w:ascii="Times New Roman" w:cs="Times New Roman"/>
                <w:b/>
                <w:bCs/>
                <w:kern w:val="2"/>
                <w:sz w:val="21"/>
              </w:rPr>
              <w:t>类项目</w:t>
            </w:r>
          </w:p>
        </w:tc>
        <w:tc>
          <w:tcPr>
            <w:tcW w:w="1030" w:type="pct"/>
            <w:tcBorders>
              <w:top w:val="single" w:sz="12" w:space="0" w:color="000000"/>
              <w:left w:val="single" w:sz="4" w:space="0" w:color="000000"/>
              <w:bottom w:val="single" w:sz="4" w:space="0" w:color="000000"/>
              <w:right w:val="nil"/>
            </w:tcBorders>
            <w:vAlign w:val="center"/>
          </w:tcPr>
          <w:p w:rsidR="00BD5820" w:rsidRDefault="00F64314">
            <w:pPr>
              <w:topLinePunct w:val="0"/>
              <w:adjustRightInd/>
              <w:spacing w:line="240" w:lineRule="auto"/>
              <w:ind w:firstLineChars="0" w:firstLine="0"/>
              <w:jc w:val="center"/>
              <w:rPr>
                <w:rFonts w:ascii="Times New Roman" w:cs="Times New Roman"/>
                <w:b/>
                <w:bCs/>
                <w:kern w:val="2"/>
                <w:sz w:val="21"/>
              </w:rPr>
            </w:pPr>
            <w:r>
              <w:rPr>
                <w:rFonts w:ascii="Times New Roman" w:cs="Times New Roman"/>
                <w:b/>
                <w:bCs/>
                <w:kern w:val="2"/>
                <w:sz w:val="21"/>
              </w:rPr>
              <w:t>Ⅲ</w:t>
            </w:r>
            <w:r>
              <w:rPr>
                <w:rFonts w:ascii="Times New Roman" w:cs="Times New Roman"/>
                <w:b/>
                <w:bCs/>
                <w:kern w:val="2"/>
                <w:sz w:val="21"/>
              </w:rPr>
              <w:t>类项目</w:t>
            </w:r>
          </w:p>
        </w:tc>
      </w:tr>
      <w:tr w:rsidR="00BD5820">
        <w:trPr>
          <w:trHeight w:val="19"/>
          <w:jc w:val="center"/>
        </w:trPr>
        <w:tc>
          <w:tcPr>
            <w:tcW w:w="1825" w:type="pct"/>
            <w:tcBorders>
              <w:top w:val="single" w:sz="4" w:space="0" w:color="000000"/>
              <w:left w:val="nil"/>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敏感</w:t>
            </w:r>
          </w:p>
        </w:tc>
        <w:tc>
          <w:tcPr>
            <w:tcW w:w="1071"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一</w:t>
            </w:r>
          </w:p>
        </w:tc>
        <w:tc>
          <w:tcPr>
            <w:tcW w:w="1074"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一</w:t>
            </w:r>
          </w:p>
        </w:tc>
        <w:tc>
          <w:tcPr>
            <w:tcW w:w="1030" w:type="pct"/>
            <w:tcBorders>
              <w:top w:val="single" w:sz="4" w:space="0" w:color="000000"/>
              <w:left w:val="single" w:sz="4" w:space="0" w:color="000000"/>
              <w:bottom w:val="single" w:sz="4" w:space="0" w:color="000000"/>
              <w:right w:val="nil"/>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二</w:t>
            </w:r>
          </w:p>
        </w:tc>
      </w:tr>
      <w:tr w:rsidR="00BD5820">
        <w:trPr>
          <w:trHeight w:val="19"/>
          <w:jc w:val="center"/>
        </w:trPr>
        <w:tc>
          <w:tcPr>
            <w:tcW w:w="1825" w:type="pct"/>
            <w:tcBorders>
              <w:top w:val="single" w:sz="4" w:space="0" w:color="000000"/>
              <w:left w:val="nil"/>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较敏感</w:t>
            </w:r>
          </w:p>
        </w:tc>
        <w:tc>
          <w:tcPr>
            <w:tcW w:w="1071"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一</w:t>
            </w:r>
          </w:p>
        </w:tc>
        <w:tc>
          <w:tcPr>
            <w:tcW w:w="1074"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二</w:t>
            </w:r>
            <w:r>
              <w:rPr>
                <w:rFonts w:ascii="Times New Roman" w:cs="Times New Roman"/>
                <w:bCs/>
                <w:kern w:val="2"/>
                <w:sz w:val="21"/>
              </w:rPr>
              <w:t>（</w:t>
            </w:r>
            <w:r>
              <w:rPr>
                <w:rFonts w:ascii="Times New Roman" w:cs="Times New Roman"/>
                <w:bCs/>
                <w:kern w:val="2"/>
                <w:sz w:val="21"/>
              </w:rPr>
              <w:t>√</w:t>
            </w:r>
            <w:r>
              <w:rPr>
                <w:rFonts w:ascii="Times New Roman" w:cs="Times New Roman"/>
                <w:bCs/>
                <w:kern w:val="2"/>
                <w:sz w:val="21"/>
              </w:rPr>
              <w:t>）</w:t>
            </w:r>
          </w:p>
        </w:tc>
        <w:tc>
          <w:tcPr>
            <w:tcW w:w="1030" w:type="pct"/>
            <w:tcBorders>
              <w:top w:val="single" w:sz="4" w:space="0" w:color="000000"/>
              <w:left w:val="single" w:sz="4" w:space="0" w:color="000000"/>
              <w:bottom w:val="single" w:sz="4" w:space="0" w:color="000000"/>
              <w:right w:val="nil"/>
            </w:tcBorders>
            <w:vAlign w:val="center"/>
          </w:tcPr>
          <w:p w:rsidR="00BD5820" w:rsidRPr="000B3353" w:rsidRDefault="00F64314" w:rsidP="000B3353">
            <w:pPr>
              <w:topLinePunct w:val="0"/>
              <w:adjustRightInd/>
              <w:spacing w:line="240" w:lineRule="auto"/>
              <w:ind w:firstLineChars="0" w:firstLine="0"/>
              <w:jc w:val="center"/>
              <w:rPr>
                <w:rFonts w:ascii="Times New Roman" w:cs="Times New Roman"/>
                <w:bCs/>
                <w:color w:val="FF0000"/>
                <w:kern w:val="2"/>
                <w:sz w:val="21"/>
              </w:rPr>
            </w:pPr>
            <w:r w:rsidRPr="000B3353">
              <w:rPr>
                <w:rFonts w:ascii="Times New Roman" w:cs="Times New Roman"/>
                <w:bCs/>
                <w:color w:val="FF0000"/>
                <w:kern w:val="2"/>
                <w:sz w:val="21"/>
              </w:rPr>
              <w:t>三</w:t>
            </w:r>
          </w:p>
        </w:tc>
      </w:tr>
      <w:tr w:rsidR="00BD5820">
        <w:trPr>
          <w:trHeight w:val="19"/>
          <w:jc w:val="center"/>
        </w:trPr>
        <w:tc>
          <w:tcPr>
            <w:tcW w:w="1825" w:type="pct"/>
            <w:tcBorders>
              <w:top w:val="single" w:sz="4" w:space="0" w:color="000000"/>
              <w:left w:val="nil"/>
              <w:bottom w:val="single" w:sz="12"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不敏感</w:t>
            </w:r>
          </w:p>
        </w:tc>
        <w:tc>
          <w:tcPr>
            <w:tcW w:w="1071" w:type="pct"/>
            <w:tcBorders>
              <w:top w:val="single" w:sz="4" w:space="0" w:color="000000"/>
              <w:left w:val="single" w:sz="4" w:space="0" w:color="000000"/>
              <w:bottom w:val="single" w:sz="12"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二</w:t>
            </w:r>
          </w:p>
        </w:tc>
        <w:tc>
          <w:tcPr>
            <w:tcW w:w="1074" w:type="pct"/>
            <w:tcBorders>
              <w:top w:val="single" w:sz="4" w:space="0" w:color="000000"/>
              <w:left w:val="single" w:sz="4" w:space="0" w:color="000000"/>
              <w:bottom w:val="single" w:sz="12"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三</w:t>
            </w:r>
          </w:p>
        </w:tc>
        <w:tc>
          <w:tcPr>
            <w:tcW w:w="1030" w:type="pct"/>
            <w:tcBorders>
              <w:top w:val="single" w:sz="4" w:space="0" w:color="000000"/>
              <w:left w:val="single" w:sz="4" w:space="0" w:color="000000"/>
              <w:bottom w:val="single" w:sz="12" w:space="0" w:color="000000"/>
              <w:right w:val="nil"/>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三</w:t>
            </w:r>
          </w:p>
        </w:tc>
      </w:tr>
    </w:tbl>
    <w:p w:rsidR="00BD5820" w:rsidRDefault="00F64314" w:rsidP="00C74272">
      <w:pPr>
        <w:ind w:firstLineChars="199" w:firstLine="478"/>
        <w:rPr>
          <w:rFonts w:ascii="Times New Roman" w:cs="Times New Roman"/>
        </w:rPr>
      </w:pPr>
      <w:r>
        <w:rPr>
          <w:rFonts w:ascii="Times New Roman" w:cs="Times New Roman"/>
        </w:rPr>
        <w:t>综合以上</w:t>
      </w:r>
      <w:r>
        <w:rPr>
          <w:rFonts w:ascii="Times New Roman" w:cs="Times New Roman"/>
        </w:rPr>
        <w:t>“</w:t>
      </w:r>
      <w:r>
        <w:rPr>
          <w:rFonts w:ascii="Times New Roman" w:cs="Times New Roman"/>
        </w:rPr>
        <w:t>项目类别</w:t>
      </w:r>
      <w:r>
        <w:rPr>
          <w:rFonts w:ascii="Times New Roman" w:cs="Times New Roman"/>
        </w:rPr>
        <w:t>”</w:t>
      </w:r>
      <w:r>
        <w:rPr>
          <w:rFonts w:ascii="Times New Roman" w:cs="Times New Roman"/>
        </w:rPr>
        <w:t>和</w:t>
      </w:r>
      <w:r>
        <w:rPr>
          <w:rFonts w:ascii="Times New Roman" w:cs="Times New Roman"/>
        </w:rPr>
        <w:t>“</w:t>
      </w:r>
      <w:r>
        <w:rPr>
          <w:rFonts w:ascii="Times New Roman" w:cs="Times New Roman"/>
        </w:rPr>
        <w:t>地下水环境敏感程度分级</w:t>
      </w:r>
      <w:r>
        <w:rPr>
          <w:rFonts w:ascii="Times New Roman" w:cs="Times New Roman"/>
        </w:rPr>
        <w:t>”</w:t>
      </w:r>
      <w:r>
        <w:rPr>
          <w:rFonts w:ascii="Times New Roman" w:cs="Times New Roman"/>
        </w:rPr>
        <w:t>结果，查询《环境影响评价技术导则</w:t>
      </w:r>
      <w:r>
        <w:rPr>
          <w:rFonts w:ascii="Times New Roman" w:cs="Times New Roman"/>
        </w:rPr>
        <w:t xml:space="preserve"> </w:t>
      </w:r>
      <w:r>
        <w:rPr>
          <w:rFonts w:ascii="Times New Roman" w:cs="Times New Roman"/>
        </w:rPr>
        <w:t>地下水环境》（</w:t>
      </w:r>
      <w:r>
        <w:rPr>
          <w:rFonts w:ascii="Times New Roman" w:cs="Times New Roman"/>
        </w:rPr>
        <w:t>HJ610-2016</w:t>
      </w:r>
      <w:r>
        <w:rPr>
          <w:rFonts w:ascii="Times New Roman" w:cs="Times New Roman"/>
        </w:rPr>
        <w:t>）建设项目评价工作等级分级表，确定本次建设项目评价工作等级为</w:t>
      </w:r>
      <w:r>
        <w:rPr>
          <w:rFonts w:ascii="Times New Roman" w:cs="Times New Roman"/>
        </w:rPr>
        <w:t>“</w:t>
      </w:r>
      <w:r>
        <w:rPr>
          <w:rFonts w:ascii="Times New Roman" w:cs="Times New Roman" w:hint="eastAsia"/>
        </w:rPr>
        <w:t>二</w:t>
      </w:r>
      <w:r>
        <w:rPr>
          <w:rFonts w:ascii="Times New Roman" w:cs="Times New Roman"/>
        </w:rPr>
        <w:t>级</w:t>
      </w:r>
      <w:r>
        <w:rPr>
          <w:rFonts w:ascii="Times New Roman" w:cs="Times New Roman"/>
        </w:rPr>
        <w:t>”</w:t>
      </w:r>
      <w:r>
        <w:rPr>
          <w:rFonts w:ascii="Times New Roman" w:cs="Times New Roman"/>
        </w:rPr>
        <w:t>。</w:t>
      </w:r>
    </w:p>
    <w:p w:rsidR="00BD5820" w:rsidRDefault="00F64314">
      <w:pPr>
        <w:ind w:firstLine="482"/>
        <w:rPr>
          <w:rFonts w:ascii="Times New Roman" w:cs="Times New Roman"/>
          <w:b/>
          <w:bCs/>
        </w:rPr>
      </w:pPr>
      <w:r>
        <w:rPr>
          <w:rFonts w:ascii="Times New Roman" w:cs="Times New Roman"/>
          <w:b/>
          <w:bCs/>
        </w:rPr>
        <w:t>2</w:t>
      </w:r>
      <w:r>
        <w:rPr>
          <w:rFonts w:ascii="Times New Roman" w:cs="Times New Roman"/>
          <w:b/>
          <w:bCs/>
        </w:rPr>
        <w:t>、评价范围</w:t>
      </w:r>
    </w:p>
    <w:p w:rsidR="00BD5820" w:rsidRDefault="00F64314">
      <w:pPr>
        <w:pStyle w:val="affa"/>
        <w:ind w:firstLine="480"/>
      </w:pPr>
      <w:r>
        <w:rPr>
          <w:rFonts w:ascii="宋体" w:hAnsi="宋体" w:cs="宋体" w:hint="eastAsia"/>
        </w:rPr>
        <w:t>①</w:t>
      </w:r>
      <w:r>
        <w:t>公式计算法</w:t>
      </w:r>
    </w:p>
    <w:p w:rsidR="00BD5820" w:rsidRDefault="00F64314">
      <w:pPr>
        <w:pStyle w:val="affa"/>
        <w:ind w:firstLine="480"/>
      </w:pPr>
      <w:r>
        <w:t>根据《环境影响评价技术导则</w:t>
      </w:r>
      <w:r>
        <w:t xml:space="preserve"> </w:t>
      </w:r>
      <w:r>
        <w:t>地下水环境》</w:t>
      </w:r>
      <w:r w:rsidRPr="000B3353">
        <w:rPr>
          <w:color w:val="FF0000"/>
        </w:rPr>
        <w:t>（</w:t>
      </w:r>
      <w:r w:rsidRPr="000B3353">
        <w:rPr>
          <w:color w:val="FF0000"/>
        </w:rPr>
        <w:t>HJ610-2016</w:t>
      </w:r>
      <w:r w:rsidRPr="000B3353">
        <w:rPr>
          <w:color w:val="FF0000"/>
        </w:rPr>
        <w:t>）</w:t>
      </w:r>
      <w:r>
        <w:t>，当建设项目所在地水文地质条件相对简单，且所掌握的资料能够满足公式计算法的要求时，应采用公式计算法确定：</w:t>
      </w:r>
    </w:p>
    <w:p w:rsidR="00BD5820" w:rsidRDefault="00F64314">
      <w:pPr>
        <w:ind w:firstLineChars="0" w:firstLine="0"/>
        <w:jc w:val="center"/>
        <w:rPr>
          <w:rFonts w:ascii="Times New Roman" w:cs="Times New Roman"/>
        </w:rPr>
      </w:pPr>
      <w:r>
        <w:rPr>
          <w:rFonts w:ascii="Times New Roman" w:cs="Times New Roman"/>
        </w:rPr>
        <w:t>L=α×K×I×T/n</w:t>
      </w:r>
      <w:r>
        <w:rPr>
          <w:rFonts w:ascii="Times New Roman" w:cs="Times New Roman"/>
          <w:vertAlign w:val="subscript"/>
        </w:rPr>
        <w:t>e</w:t>
      </w:r>
    </w:p>
    <w:p w:rsidR="00BD5820" w:rsidRDefault="00F64314">
      <w:pPr>
        <w:ind w:firstLine="480"/>
        <w:rPr>
          <w:rFonts w:ascii="Times New Roman" w:cs="Times New Roman"/>
        </w:rPr>
      </w:pPr>
      <w:r>
        <w:rPr>
          <w:rFonts w:ascii="Times New Roman" w:cs="Times New Roman"/>
        </w:rPr>
        <w:t>式中：</w:t>
      </w:r>
      <w:r>
        <w:rPr>
          <w:rFonts w:ascii="Times New Roman" w:cs="Times New Roman"/>
        </w:rPr>
        <w:t>L—</w:t>
      </w:r>
      <w:r>
        <w:rPr>
          <w:rFonts w:ascii="Times New Roman" w:cs="Times New Roman"/>
        </w:rPr>
        <w:t>下游迁移距离，</w:t>
      </w:r>
      <w:r>
        <w:rPr>
          <w:rFonts w:ascii="Times New Roman" w:cs="Times New Roman"/>
        </w:rPr>
        <w:t>m</w:t>
      </w:r>
      <w:r>
        <w:rPr>
          <w:rFonts w:ascii="Times New Roman" w:cs="Times New Roman"/>
        </w:rPr>
        <w:t>；</w:t>
      </w:r>
    </w:p>
    <w:p w:rsidR="00BD5820" w:rsidRDefault="00F64314">
      <w:pPr>
        <w:ind w:firstLine="480"/>
        <w:rPr>
          <w:rFonts w:ascii="Times New Roman" w:cs="Times New Roman"/>
        </w:rPr>
      </w:pPr>
      <w:r>
        <w:rPr>
          <w:rFonts w:ascii="Times New Roman" w:cs="Times New Roman"/>
        </w:rPr>
        <w:t xml:space="preserve">      α—</w:t>
      </w:r>
      <w:r>
        <w:rPr>
          <w:rFonts w:ascii="Times New Roman" w:cs="Times New Roman"/>
        </w:rPr>
        <w:t>变化系数，</w:t>
      </w:r>
      <w:r>
        <w:rPr>
          <w:rFonts w:ascii="Times New Roman" w:cs="Times New Roman"/>
        </w:rPr>
        <w:t>α≥1</w:t>
      </w:r>
      <w:r>
        <w:rPr>
          <w:rFonts w:ascii="Times New Roman" w:cs="Times New Roman"/>
        </w:rPr>
        <w:t>，一般取</w:t>
      </w:r>
      <w:r>
        <w:rPr>
          <w:rFonts w:ascii="Times New Roman" w:cs="Times New Roman"/>
        </w:rPr>
        <w:t>2</w:t>
      </w:r>
      <w:r>
        <w:rPr>
          <w:rFonts w:ascii="Times New Roman" w:cs="Times New Roman"/>
        </w:rPr>
        <w:t>；</w:t>
      </w:r>
    </w:p>
    <w:p w:rsidR="00BD5820" w:rsidRDefault="00F64314">
      <w:pPr>
        <w:ind w:firstLine="480"/>
        <w:rPr>
          <w:rFonts w:ascii="Times New Roman" w:cs="Times New Roman"/>
        </w:rPr>
      </w:pPr>
      <w:r>
        <w:rPr>
          <w:rFonts w:ascii="Times New Roman" w:cs="Times New Roman"/>
        </w:rPr>
        <w:t xml:space="preserve">      K—</w:t>
      </w:r>
      <w:r>
        <w:rPr>
          <w:rFonts w:ascii="Times New Roman" w:cs="Times New Roman"/>
        </w:rPr>
        <w:t>渗透系数；</w:t>
      </w:r>
    </w:p>
    <w:p w:rsidR="00BD5820" w:rsidRDefault="00F64314">
      <w:pPr>
        <w:ind w:firstLine="480"/>
        <w:rPr>
          <w:rFonts w:ascii="Times New Roman" w:cs="Times New Roman"/>
        </w:rPr>
      </w:pPr>
      <w:r>
        <w:rPr>
          <w:rFonts w:ascii="Times New Roman" w:cs="Times New Roman"/>
        </w:rPr>
        <w:lastRenderedPageBreak/>
        <w:t xml:space="preserve">      I—</w:t>
      </w:r>
      <w:r>
        <w:rPr>
          <w:rFonts w:ascii="Times New Roman" w:cs="Times New Roman"/>
        </w:rPr>
        <w:t>水力坡度；</w:t>
      </w:r>
    </w:p>
    <w:p w:rsidR="00BD5820" w:rsidRDefault="00F64314">
      <w:pPr>
        <w:ind w:firstLine="480"/>
        <w:rPr>
          <w:rFonts w:ascii="Times New Roman" w:cs="Times New Roman"/>
        </w:rPr>
      </w:pPr>
      <w:r>
        <w:rPr>
          <w:rFonts w:ascii="Times New Roman" w:cs="Times New Roman"/>
        </w:rPr>
        <w:t xml:space="preserve">      T—</w:t>
      </w:r>
      <w:r>
        <w:rPr>
          <w:rFonts w:ascii="Times New Roman" w:cs="Times New Roman"/>
        </w:rPr>
        <w:t>质点迁移天数；</w:t>
      </w:r>
    </w:p>
    <w:p w:rsidR="00BD5820" w:rsidRDefault="00F64314">
      <w:pPr>
        <w:ind w:firstLine="480"/>
        <w:rPr>
          <w:rFonts w:ascii="Times New Roman" w:cs="Times New Roman"/>
        </w:rPr>
      </w:pPr>
      <w:r>
        <w:rPr>
          <w:rFonts w:ascii="Times New Roman" w:cs="Times New Roman"/>
        </w:rPr>
        <w:t xml:space="preserve">      Ne—</w:t>
      </w:r>
      <w:r>
        <w:rPr>
          <w:rFonts w:ascii="Times New Roman" w:cs="Times New Roman"/>
        </w:rPr>
        <w:t>有效孔隙度，无量纲。</w:t>
      </w:r>
    </w:p>
    <w:p w:rsidR="00BD5820" w:rsidRDefault="00F64314">
      <w:pPr>
        <w:pStyle w:val="affa"/>
        <w:ind w:firstLine="480"/>
      </w:pPr>
      <w:r>
        <w:rPr>
          <w:rFonts w:ascii="宋体" w:hAnsi="宋体" w:cs="宋体" w:hint="eastAsia"/>
        </w:rPr>
        <w:t>②</w:t>
      </w:r>
      <w:r>
        <w:t>查表法</w:t>
      </w:r>
    </w:p>
    <w:p w:rsidR="00BD5820" w:rsidRDefault="00F64314">
      <w:pPr>
        <w:pStyle w:val="affa"/>
        <w:ind w:firstLine="480"/>
      </w:pPr>
      <w:r>
        <w:t>当不满足公式计算法要求</w:t>
      </w:r>
      <w:r>
        <w:rPr>
          <w:rFonts w:hint="eastAsia"/>
        </w:rPr>
        <w:t>时</w:t>
      </w:r>
      <w:r>
        <w:t>，可采用查表法确定。</w:t>
      </w:r>
    </w:p>
    <w:p w:rsidR="00BD5820" w:rsidRDefault="00F64314">
      <w:pPr>
        <w:pStyle w:val="10"/>
        <w:rPr>
          <w:rFonts w:cs="Times New Roman"/>
        </w:rPr>
      </w:pPr>
      <w:r>
        <w:rPr>
          <w:rFonts w:cs="Times New Roman"/>
        </w:rPr>
        <w:t>表</w:t>
      </w:r>
      <w:r>
        <w:rPr>
          <w:rFonts w:cs="Times New Roman"/>
        </w:rPr>
        <w:t>1.6-</w:t>
      </w:r>
      <w:r>
        <w:rPr>
          <w:rFonts w:cs="Times New Roman" w:hint="eastAsia"/>
        </w:rPr>
        <w:t>4</w:t>
      </w:r>
      <w:r>
        <w:rPr>
          <w:rFonts w:cs="Times New Roman"/>
        </w:rPr>
        <w:t xml:space="preserve">  </w:t>
      </w:r>
      <w:r>
        <w:rPr>
          <w:rFonts w:cs="Times New Roman"/>
        </w:rPr>
        <w:t>地下水环境现状调查评价范围参照表</w:t>
      </w:r>
    </w:p>
    <w:tbl>
      <w:tblPr>
        <w:tblW w:w="5419" w:type="pct"/>
        <w:jc w:val="center"/>
        <w:tblBorders>
          <w:top w:val="single" w:sz="12" w:space="0" w:color="000000"/>
          <w:bottom w:val="single" w:sz="12" w:space="0" w:color="auto"/>
          <w:insideH w:val="single" w:sz="4" w:space="0" w:color="000000"/>
          <w:insideV w:val="single" w:sz="4" w:space="0" w:color="000000"/>
        </w:tblBorders>
        <w:tblLook w:val="04A0"/>
      </w:tblPr>
      <w:tblGrid>
        <w:gridCol w:w="2268"/>
        <w:gridCol w:w="3227"/>
        <w:gridCol w:w="3741"/>
      </w:tblGrid>
      <w:tr w:rsidR="00BD5820">
        <w:trPr>
          <w:trHeight w:val="280"/>
          <w:jc w:val="center"/>
        </w:trPr>
        <w:tc>
          <w:tcPr>
            <w:tcW w:w="1228" w:type="pct"/>
          </w:tcPr>
          <w:p w:rsidR="00BD5820" w:rsidRDefault="00F64314">
            <w:pPr>
              <w:topLinePunct w:val="0"/>
              <w:adjustRightInd/>
              <w:spacing w:line="240" w:lineRule="auto"/>
              <w:ind w:firstLineChars="0" w:firstLine="0"/>
              <w:jc w:val="center"/>
              <w:rPr>
                <w:rFonts w:ascii="Times New Roman" w:cs="Times New Roman"/>
                <w:b/>
                <w:bCs/>
                <w:kern w:val="2"/>
                <w:sz w:val="21"/>
              </w:rPr>
            </w:pPr>
            <w:r>
              <w:rPr>
                <w:rFonts w:ascii="Times New Roman" w:cs="Times New Roman"/>
                <w:b/>
                <w:bCs/>
                <w:kern w:val="2"/>
                <w:sz w:val="21"/>
              </w:rPr>
              <w:t>评价等级</w:t>
            </w:r>
          </w:p>
        </w:tc>
        <w:tc>
          <w:tcPr>
            <w:tcW w:w="1747" w:type="pct"/>
          </w:tcPr>
          <w:p w:rsidR="00BD5820" w:rsidRDefault="00F64314">
            <w:pPr>
              <w:topLinePunct w:val="0"/>
              <w:adjustRightInd/>
              <w:spacing w:line="240" w:lineRule="auto"/>
              <w:ind w:firstLineChars="0" w:firstLine="0"/>
              <w:jc w:val="center"/>
              <w:rPr>
                <w:rFonts w:ascii="Times New Roman" w:cs="Times New Roman"/>
                <w:b/>
                <w:bCs/>
                <w:kern w:val="2"/>
                <w:sz w:val="21"/>
              </w:rPr>
            </w:pPr>
            <w:r>
              <w:rPr>
                <w:rFonts w:ascii="Times New Roman" w:cs="Times New Roman"/>
                <w:b/>
                <w:bCs/>
                <w:kern w:val="2"/>
                <w:sz w:val="21"/>
              </w:rPr>
              <w:t>调查评价面积（</w:t>
            </w:r>
            <w:r>
              <w:rPr>
                <w:rFonts w:ascii="Times New Roman" w:cs="Times New Roman"/>
                <w:b/>
                <w:bCs/>
                <w:kern w:val="2"/>
                <w:sz w:val="21"/>
              </w:rPr>
              <w:t>km</w:t>
            </w:r>
            <w:r>
              <w:rPr>
                <w:rFonts w:ascii="Times New Roman" w:cs="Times New Roman"/>
                <w:b/>
                <w:bCs/>
                <w:kern w:val="2"/>
                <w:sz w:val="21"/>
                <w:vertAlign w:val="superscript"/>
              </w:rPr>
              <w:t>2</w:t>
            </w:r>
            <w:r>
              <w:rPr>
                <w:rFonts w:ascii="Times New Roman" w:cs="Times New Roman"/>
                <w:b/>
                <w:bCs/>
                <w:kern w:val="2"/>
                <w:sz w:val="21"/>
              </w:rPr>
              <w:t>）</w:t>
            </w:r>
          </w:p>
        </w:tc>
        <w:tc>
          <w:tcPr>
            <w:tcW w:w="2025" w:type="pct"/>
          </w:tcPr>
          <w:p w:rsidR="00BD5820" w:rsidRDefault="00F64314">
            <w:pPr>
              <w:topLinePunct w:val="0"/>
              <w:adjustRightInd/>
              <w:spacing w:line="240" w:lineRule="auto"/>
              <w:ind w:firstLineChars="0" w:firstLine="0"/>
              <w:jc w:val="center"/>
              <w:rPr>
                <w:rFonts w:ascii="Times New Roman" w:cs="Times New Roman"/>
                <w:b/>
                <w:bCs/>
                <w:kern w:val="2"/>
                <w:sz w:val="21"/>
              </w:rPr>
            </w:pPr>
            <w:r>
              <w:rPr>
                <w:rFonts w:ascii="Times New Roman" w:cs="Times New Roman"/>
                <w:b/>
                <w:bCs/>
                <w:kern w:val="2"/>
                <w:sz w:val="21"/>
              </w:rPr>
              <w:t>备注</w:t>
            </w:r>
          </w:p>
        </w:tc>
      </w:tr>
      <w:tr w:rsidR="00BD5820">
        <w:trPr>
          <w:trHeight w:val="280"/>
          <w:jc w:val="center"/>
        </w:trPr>
        <w:tc>
          <w:tcPr>
            <w:tcW w:w="1228" w:type="pct"/>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一级</w:t>
            </w:r>
          </w:p>
        </w:tc>
        <w:tc>
          <w:tcPr>
            <w:tcW w:w="1747" w:type="pct"/>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≥20</w:t>
            </w:r>
          </w:p>
        </w:tc>
        <w:tc>
          <w:tcPr>
            <w:tcW w:w="2025" w:type="pct"/>
            <w:vMerge w:val="restart"/>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应包括重要的地下水环境保护目标，必要时适当扩大范围</w:t>
            </w:r>
          </w:p>
        </w:tc>
      </w:tr>
      <w:tr w:rsidR="00BD5820">
        <w:trPr>
          <w:trHeight w:val="280"/>
          <w:jc w:val="center"/>
        </w:trPr>
        <w:tc>
          <w:tcPr>
            <w:tcW w:w="1228" w:type="pct"/>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二级</w:t>
            </w:r>
          </w:p>
        </w:tc>
        <w:tc>
          <w:tcPr>
            <w:tcW w:w="1747" w:type="pct"/>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6-20</w:t>
            </w:r>
          </w:p>
        </w:tc>
        <w:tc>
          <w:tcPr>
            <w:tcW w:w="2025" w:type="pct"/>
            <w:vMerge/>
          </w:tcPr>
          <w:p w:rsidR="00BD5820" w:rsidRDefault="00BD5820">
            <w:pPr>
              <w:topLinePunct w:val="0"/>
              <w:adjustRightInd/>
              <w:spacing w:line="240" w:lineRule="auto"/>
              <w:ind w:firstLineChars="0" w:firstLine="0"/>
              <w:jc w:val="center"/>
              <w:rPr>
                <w:rFonts w:ascii="Times New Roman" w:cs="Times New Roman"/>
                <w:kern w:val="2"/>
                <w:sz w:val="21"/>
              </w:rPr>
            </w:pPr>
          </w:p>
        </w:tc>
      </w:tr>
      <w:tr w:rsidR="00BD5820">
        <w:trPr>
          <w:trHeight w:val="280"/>
          <w:jc w:val="center"/>
        </w:trPr>
        <w:tc>
          <w:tcPr>
            <w:tcW w:w="1228" w:type="pct"/>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三级</w:t>
            </w:r>
          </w:p>
        </w:tc>
        <w:tc>
          <w:tcPr>
            <w:tcW w:w="1747" w:type="pct"/>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≤6</w:t>
            </w:r>
          </w:p>
        </w:tc>
        <w:tc>
          <w:tcPr>
            <w:tcW w:w="2025" w:type="pct"/>
            <w:vMerge/>
          </w:tcPr>
          <w:p w:rsidR="00BD5820" w:rsidRDefault="00BD5820">
            <w:pPr>
              <w:topLinePunct w:val="0"/>
              <w:adjustRightInd/>
              <w:spacing w:line="240" w:lineRule="auto"/>
              <w:ind w:firstLineChars="0" w:firstLine="0"/>
              <w:jc w:val="center"/>
              <w:rPr>
                <w:rFonts w:ascii="Times New Roman" w:cs="Times New Roman"/>
                <w:kern w:val="2"/>
                <w:sz w:val="21"/>
              </w:rPr>
            </w:pPr>
          </w:p>
        </w:tc>
      </w:tr>
    </w:tbl>
    <w:p w:rsidR="00BD5820" w:rsidRDefault="00F64314">
      <w:pPr>
        <w:pStyle w:val="affa"/>
        <w:ind w:firstLine="480"/>
      </w:pPr>
      <w:r>
        <w:rPr>
          <w:rFonts w:ascii="宋体" w:hAnsi="宋体" w:cs="宋体" w:hint="eastAsia"/>
        </w:rPr>
        <w:t>③</w:t>
      </w:r>
      <w:r>
        <w:t>自定义法</w:t>
      </w:r>
    </w:p>
    <w:p w:rsidR="00BD5820" w:rsidRDefault="00F64314">
      <w:pPr>
        <w:pStyle w:val="affa"/>
        <w:ind w:firstLine="480"/>
      </w:pPr>
      <w:r>
        <w:t>当计算或查表范围超出所处水文地质单元边界时，应以所处水文地质单元边界为宜，可根据建设项目所在区域水文地质条件确定</w:t>
      </w:r>
      <w:r>
        <w:rPr>
          <w:rFonts w:hint="eastAsia"/>
        </w:rPr>
        <w:t>，本项目采用自定义法确定，以</w:t>
      </w:r>
      <w:r>
        <w:rPr>
          <w:rFonts w:hint="eastAsia"/>
          <w:bCs/>
        </w:rPr>
        <w:t>本项目</w:t>
      </w:r>
      <w:r>
        <w:rPr>
          <w:bCs/>
        </w:rPr>
        <w:t>所在地</w:t>
      </w:r>
      <w:r>
        <w:rPr>
          <w:rFonts w:hint="eastAsia"/>
          <w:bCs/>
        </w:rPr>
        <w:t>的</w:t>
      </w:r>
      <w:r>
        <w:rPr>
          <w:bCs/>
        </w:rPr>
        <w:t>分水岭和周边地表水为界</w:t>
      </w:r>
      <w:r>
        <w:rPr>
          <w:rFonts w:hint="eastAsia"/>
          <w:bCs/>
        </w:rPr>
        <w:t>，</w:t>
      </w:r>
      <w:r w:rsidRPr="006D7C0E">
        <w:rPr>
          <w:bCs/>
          <w:color w:val="FF0000"/>
        </w:rPr>
        <w:t>确定本项目</w:t>
      </w:r>
      <w:r w:rsidRPr="006D7C0E">
        <w:rPr>
          <w:rFonts w:hint="eastAsia"/>
          <w:bCs/>
          <w:color w:val="FF0000"/>
        </w:rPr>
        <w:t>普光气田</w:t>
      </w:r>
      <w:r w:rsidRPr="006D7C0E">
        <w:rPr>
          <w:bCs/>
          <w:color w:val="FF0000"/>
        </w:rPr>
        <w:t>1#</w:t>
      </w:r>
      <w:r w:rsidRPr="006D7C0E">
        <w:rPr>
          <w:rFonts w:hint="eastAsia"/>
          <w:bCs/>
          <w:color w:val="FF0000"/>
        </w:rPr>
        <w:t>增压站</w:t>
      </w:r>
      <w:r w:rsidRPr="006D7C0E">
        <w:rPr>
          <w:rFonts w:hint="eastAsia"/>
          <w:color w:val="FF0000"/>
        </w:rPr>
        <w:t>地下水评价范围为</w:t>
      </w:r>
      <w:r w:rsidRPr="006D7C0E">
        <w:rPr>
          <w:rFonts w:hint="eastAsia"/>
          <w:color w:val="FF0000"/>
        </w:rPr>
        <w:t>24.1</w:t>
      </w:r>
      <w:r w:rsidRPr="006D7C0E">
        <w:rPr>
          <w:color w:val="FF0000"/>
        </w:rPr>
        <w:t>km</w:t>
      </w:r>
      <w:r w:rsidRPr="006D7C0E">
        <w:rPr>
          <w:color w:val="FF0000"/>
          <w:vertAlign w:val="superscript"/>
        </w:rPr>
        <w:t>2</w:t>
      </w:r>
      <w:r w:rsidRPr="006D7C0E">
        <w:rPr>
          <w:rFonts w:hint="eastAsia"/>
          <w:color w:val="FF0000"/>
        </w:rPr>
        <w:t>，四至范围为：</w:t>
      </w:r>
      <w:r w:rsidR="006D7C0E" w:rsidRPr="006D7C0E">
        <w:rPr>
          <w:rFonts w:hint="eastAsia"/>
          <w:color w:val="FF0000"/>
        </w:rPr>
        <w:t>东至吴家坪，南至胡家坪，西至后河，北至</w:t>
      </w:r>
      <w:r w:rsidR="00511129">
        <w:rPr>
          <w:rFonts w:hint="eastAsia"/>
          <w:color w:val="FF0000"/>
        </w:rPr>
        <w:t>中</w:t>
      </w:r>
      <w:r w:rsidR="006D7C0E" w:rsidRPr="006D7C0E">
        <w:rPr>
          <w:rFonts w:hint="eastAsia"/>
          <w:color w:val="FF0000"/>
        </w:rPr>
        <w:t>河</w:t>
      </w:r>
      <w:r w:rsidRPr="006D7C0E">
        <w:rPr>
          <w:rFonts w:hint="eastAsia"/>
          <w:color w:val="FF0000"/>
        </w:rPr>
        <w:t>；</w:t>
      </w:r>
      <w:r w:rsidRPr="006D7C0E">
        <w:rPr>
          <w:bCs/>
          <w:color w:val="FF0000"/>
        </w:rPr>
        <w:t>本项目</w:t>
      </w:r>
      <w:r w:rsidRPr="006D7C0E">
        <w:rPr>
          <w:rFonts w:hint="eastAsia"/>
          <w:bCs/>
          <w:color w:val="FF0000"/>
        </w:rPr>
        <w:t>普光气田</w:t>
      </w:r>
      <w:r w:rsidRPr="006D7C0E">
        <w:rPr>
          <w:rFonts w:hint="eastAsia"/>
          <w:bCs/>
          <w:color w:val="FF0000"/>
        </w:rPr>
        <w:t>2</w:t>
      </w:r>
      <w:r w:rsidRPr="006D7C0E">
        <w:rPr>
          <w:bCs/>
          <w:color w:val="FF0000"/>
        </w:rPr>
        <w:t>#</w:t>
      </w:r>
      <w:r w:rsidRPr="006D7C0E">
        <w:rPr>
          <w:rFonts w:hint="eastAsia"/>
          <w:bCs/>
          <w:color w:val="FF0000"/>
        </w:rPr>
        <w:t>增压站</w:t>
      </w:r>
      <w:r w:rsidRPr="006D7C0E">
        <w:rPr>
          <w:rFonts w:hint="eastAsia"/>
          <w:color w:val="FF0000"/>
        </w:rPr>
        <w:t>地下水评价范围为</w:t>
      </w:r>
      <w:r w:rsidRPr="006D7C0E">
        <w:rPr>
          <w:rFonts w:hint="eastAsia"/>
          <w:color w:val="FF0000"/>
        </w:rPr>
        <w:t>21.67</w:t>
      </w:r>
      <w:r w:rsidRPr="006D7C0E">
        <w:rPr>
          <w:color w:val="FF0000"/>
        </w:rPr>
        <w:t>km</w:t>
      </w:r>
      <w:r w:rsidRPr="006D7C0E">
        <w:rPr>
          <w:color w:val="FF0000"/>
          <w:vertAlign w:val="superscript"/>
        </w:rPr>
        <w:t>2</w:t>
      </w:r>
      <w:r w:rsidRPr="006D7C0E">
        <w:rPr>
          <w:rFonts w:hint="eastAsia"/>
          <w:color w:val="FF0000"/>
        </w:rPr>
        <w:t>，四至范围为：</w:t>
      </w:r>
      <w:r w:rsidR="006D7C0E" w:rsidRPr="006D7C0E">
        <w:rPr>
          <w:rFonts w:hint="eastAsia"/>
          <w:color w:val="FF0000"/>
        </w:rPr>
        <w:t>东至后河，南至后河支流，西至新桥轩，北至斑竹林</w:t>
      </w:r>
      <w:r w:rsidRPr="006D7C0E">
        <w:rPr>
          <w:rFonts w:hint="eastAsia"/>
          <w:color w:val="FF0000"/>
        </w:rPr>
        <w:t>。</w:t>
      </w:r>
    </w:p>
    <w:p w:rsidR="00BD5820" w:rsidRDefault="00F64314">
      <w:pPr>
        <w:pStyle w:val="affa"/>
        <w:ind w:firstLine="480"/>
      </w:pPr>
      <w:r>
        <w:t>综上，根据</w:t>
      </w:r>
      <w:r>
        <w:rPr>
          <w:rFonts w:hint="eastAsia"/>
        </w:rPr>
        <w:t>自定义</w:t>
      </w:r>
      <w:r>
        <w:t>法结果及项目所在地的水文地质特点同时考虑项目周边地下水环境保护目标，最终确定</w:t>
      </w:r>
      <w:r>
        <w:rPr>
          <w:rFonts w:hint="eastAsia"/>
        </w:rPr>
        <w:t>本项目</w:t>
      </w:r>
      <w:r>
        <w:t>的地下水环境影响评价范围为见下表，项目地下水环境影响评价范围见附图。</w:t>
      </w:r>
    </w:p>
    <w:p w:rsidR="00BD5820" w:rsidRDefault="00F64314">
      <w:pPr>
        <w:pStyle w:val="10"/>
        <w:rPr>
          <w:rFonts w:cs="Times New Roman"/>
        </w:rPr>
      </w:pPr>
      <w:r>
        <w:rPr>
          <w:rFonts w:cs="Times New Roman"/>
        </w:rPr>
        <w:t>表</w:t>
      </w:r>
      <w:r>
        <w:rPr>
          <w:rFonts w:cs="Times New Roman"/>
        </w:rPr>
        <w:t>1.6-</w:t>
      </w:r>
      <w:r>
        <w:rPr>
          <w:rFonts w:cs="Times New Roman" w:hint="eastAsia"/>
        </w:rPr>
        <w:t>5</w:t>
      </w:r>
      <w:r>
        <w:rPr>
          <w:rFonts w:cs="Times New Roman"/>
        </w:rPr>
        <w:t xml:space="preserve">  </w:t>
      </w:r>
      <w:r>
        <w:rPr>
          <w:rFonts w:cs="Times New Roman"/>
        </w:rPr>
        <w:t>项目地下水环境影响评价范围一览表</w:t>
      </w:r>
    </w:p>
    <w:tbl>
      <w:tblPr>
        <w:tblW w:w="5313" w:type="pct"/>
        <w:jc w:val="center"/>
        <w:tblBorders>
          <w:top w:val="single" w:sz="12" w:space="0" w:color="000000"/>
          <w:bottom w:val="single" w:sz="12" w:space="0" w:color="000000"/>
          <w:insideH w:val="single" w:sz="4" w:space="0" w:color="000000"/>
          <w:insideV w:val="single" w:sz="4" w:space="0" w:color="000000"/>
        </w:tblBorders>
        <w:tblLook w:val="04A0"/>
      </w:tblPr>
      <w:tblGrid>
        <w:gridCol w:w="3620"/>
        <w:gridCol w:w="2595"/>
        <w:gridCol w:w="2840"/>
      </w:tblGrid>
      <w:tr w:rsidR="00BD5820">
        <w:trPr>
          <w:trHeight w:val="315"/>
          <w:jc w:val="center"/>
        </w:trPr>
        <w:tc>
          <w:tcPr>
            <w:tcW w:w="1999" w:type="pct"/>
            <w:tcBorders>
              <w:tl2br w:val="nil"/>
              <w:tr2bl w:val="nil"/>
            </w:tcBorders>
            <w:vAlign w:val="center"/>
          </w:tcPr>
          <w:p w:rsidR="00BD5820" w:rsidRDefault="00F64314">
            <w:pPr>
              <w:topLinePunct w:val="0"/>
              <w:adjustRightInd/>
              <w:spacing w:line="240" w:lineRule="auto"/>
              <w:ind w:firstLineChars="0" w:firstLine="0"/>
              <w:jc w:val="center"/>
              <w:rPr>
                <w:rFonts w:ascii="Times New Roman" w:cs="Times New Roman"/>
                <w:b/>
                <w:sz w:val="21"/>
                <w:szCs w:val="20"/>
              </w:rPr>
            </w:pPr>
            <w:r>
              <w:rPr>
                <w:rFonts w:ascii="Times New Roman" w:cs="Times New Roman"/>
                <w:b/>
                <w:sz w:val="21"/>
                <w:szCs w:val="20"/>
              </w:rPr>
              <w:t>站场名称</w:t>
            </w:r>
          </w:p>
        </w:tc>
        <w:tc>
          <w:tcPr>
            <w:tcW w:w="1433" w:type="pct"/>
            <w:tcBorders>
              <w:right w:val="single" w:sz="4" w:space="0" w:color="auto"/>
              <w:tl2br w:val="nil"/>
              <w:tr2bl w:val="nil"/>
            </w:tcBorders>
            <w:vAlign w:val="center"/>
          </w:tcPr>
          <w:p w:rsidR="00BD5820" w:rsidRDefault="00F64314">
            <w:pPr>
              <w:topLinePunct w:val="0"/>
              <w:adjustRightInd/>
              <w:spacing w:line="240" w:lineRule="auto"/>
              <w:ind w:firstLineChars="0" w:firstLine="0"/>
              <w:jc w:val="center"/>
              <w:rPr>
                <w:rFonts w:ascii="Times New Roman" w:cs="Times New Roman"/>
                <w:b/>
                <w:sz w:val="21"/>
                <w:szCs w:val="20"/>
              </w:rPr>
            </w:pPr>
            <w:r>
              <w:rPr>
                <w:rFonts w:ascii="Times New Roman" w:cs="Times New Roman"/>
                <w:b/>
                <w:sz w:val="21"/>
                <w:szCs w:val="20"/>
              </w:rPr>
              <w:t>评价范围面</w:t>
            </w:r>
            <w:r>
              <w:rPr>
                <w:rFonts w:ascii="Times New Roman" w:cs="Times New Roman"/>
                <w:b/>
                <w:sz w:val="21"/>
                <w:szCs w:val="20"/>
              </w:rPr>
              <w:t>S</w:t>
            </w:r>
            <w:r>
              <w:rPr>
                <w:rFonts w:ascii="Times New Roman" w:cs="Times New Roman"/>
                <w:b/>
                <w:sz w:val="21"/>
                <w:szCs w:val="20"/>
              </w:rPr>
              <w:t>（</w:t>
            </w:r>
            <w:r>
              <w:rPr>
                <w:rFonts w:ascii="Times New Roman" w:cs="Times New Roman"/>
                <w:b/>
                <w:sz w:val="21"/>
                <w:szCs w:val="20"/>
              </w:rPr>
              <w:t>km</w:t>
            </w:r>
            <w:r>
              <w:rPr>
                <w:rFonts w:ascii="Times New Roman" w:cs="Times New Roman"/>
                <w:b/>
                <w:sz w:val="21"/>
                <w:szCs w:val="20"/>
                <w:vertAlign w:val="superscript"/>
              </w:rPr>
              <w:t>2</w:t>
            </w:r>
            <w:r>
              <w:rPr>
                <w:rFonts w:ascii="Times New Roman" w:cs="Times New Roman"/>
                <w:b/>
                <w:sz w:val="21"/>
                <w:szCs w:val="20"/>
              </w:rPr>
              <w:t>）</w:t>
            </w:r>
          </w:p>
        </w:tc>
        <w:tc>
          <w:tcPr>
            <w:tcW w:w="1568" w:type="pct"/>
            <w:tcBorders>
              <w:left w:val="single" w:sz="4" w:space="0" w:color="auto"/>
              <w:tl2br w:val="nil"/>
              <w:tr2bl w:val="nil"/>
            </w:tcBorders>
            <w:vAlign w:val="center"/>
          </w:tcPr>
          <w:p w:rsidR="00BD5820" w:rsidRDefault="00F64314">
            <w:pPr>
              <w:topLinePunct w:val="0"/>
              <w:adjustRightInd/>
              <w:spacing w:line="240" w:lineRule="auto"/>
              <w:ind w:firstLineChars="0" w:firstLine="0"/>
              <w:jc w:val="center"/>
              <w:rPr>
                <w:rFonts w:ascii="Times New Roman" w:cs="Times New Roman"/>
                <w:b/>
                <w:sz w:val="21"/>
                <w:szCs w:val="20"/>
              </w:rPr>
            </w:pPr>
            <w:r>
              <w:rPr>
                <w:rFonts w:ascii="Times New Roman" w:cs="Times New Roman"/>
                <w:b/>
                <w:sz w:val="21"/>
                <w:szCs w:val="20"/>
              </w:rPr>
              <w:t>四至范围</w:t>
            </w:r>
          </w:p>
        </w:tc>
      </w:tr>
      <w:tr w:rsidR="00BD5820">
        <w:trPr>
          <w:trHeight w:val="311"/>
          <w:jc w:val="center"/>
        </w:trPr>
        <w:tc>
          <w:tcPr>
            <w:tcW w:w="1999" w:type="pct"/>
            <w:tcBorders>
              <w:tl2br w:val="nil"/>
              <w:tr2bl w:val="nil"/>
            </w:tcBorders>
            <w:vAlign w:val="center"/>
          </w:tcPr>
          <w:p w:rsidR="00BD5820" w:rsidRDefault="00F64314">
            <w:pPr>
              <w:topLinePunct w:val="0"/>
              <w:adjustRightInd/>
              <w:spacing w:line="240" w:lineRule="auto"/>
              <w:ind w:firstLineChars="0" w:firstLine="0"/>
              <w:jc w:val="center"/>
              <w:rPr>
                <w:rFonts w:ascii="Times New Roman" w:cs="Times New Roman"/>
                <w:bCs/>
                <w:sz w:val="21"/>
                <w:szCs w:val="20"/>
              </w:rPr>
            </w:pPr>
            <w:r>
              <w:rPr>
                <w:rFonts w:ascii="Times New Roman" w:cs="Times New Roman" w:hint="eastAsia"/>
                <w:bCs/>
                <w:sz w:val="21"/>
                <w:szCs w:val="20"/>
              </w:rPr>
              <w:t>本项目普光气田</w:t>
            </w:r>
            <w:r>
              <w:rPr>
                <w:rFonts w:ascii="Times New Roman" w:cs="Times New Roman"/>
                <w:bCs/>
                <w:sz w:val="21"/>
                <w:szCs w:val="20"/>
              </w:rPr>
              <w:t>1#</w:t>
            </w:r>
            <w:r>
              <w:rPr>
                <w:rFonts w:ascii="Times New Roman" w:cs="Times New Roman" w:hint="eastAsia"/>
                <w:bCs/>
                <w:sz w:val="21"/>
                <w:szCs w:val="20"/>
              </w:rPr>
              <w:t>增压站</w:t>
            </w:r>
          </w:p>
        </w:tc>
        <w:tc>
          <w:tcPr>
            <w:tcW w:w="1433" w:type="pct"/>
            <w:tcBorders>
              <w:right w:val="single" w:sz="4" w:space="0" w:color="auto"/>
              <w:tl2br w:val="nil"/>
              <w:tr2bl w:val="nil"/>
            </w:tcBorders>
            <w:vAlign w:val="center"/>
          </w:tcPr>
          <w:p w:rsidR="00BD5820" w:rsidRDefault="00F64314">
            <w:pPr>
              <w:topLinePunct w:val="0"/>
              <w:adjustRightInd/>
              <w:spacing w:line="240" w:lineRule="auto"/>
              <w:ind w:firstLineChars="0" w:firstLine="0"/>
              <w:jc w:val="center"/>
              <w:rPr>
                <w:rFonts w:ascii="Times New Roman" w:cs="Times New Roman"/>
                <w:bCs/>
                <w:sz w:val="21"/>
                <w:szCs w:val="20"/>
              </w:rPr>
            </w:pPr>
            <w:r>
              <w:rPr>
                <w:rFonts w:ascii="Times New Roman" w:cs="Times New Roman" w:hint="eastAsia"/>
                <w:bCs/>
                <w:sz w:val="21"/>
                <w:szCs w:val="20"/>
              </w:rPr>
              <w:t>24.1</w:t>
            </w:r>
          </w:p>
        </w:tc>
        <w:tc>
          <w:tcPr>
            <w:tcW w:w="1568" w:type="pct"/>
            <w:tcBorders>
              <w:left w:val="single" w:sz="4" w:space="0" w:color="auto"/>
              <w:tl2br w:val="nil"/>
              <w:tr2bl w:val="nil"/>
            </w:tcBorders>
            <w:vAlign w:val="center"/>
          </w:tcPr>
          <w:p w:rsidR="00BD5820" w:rsidRPr="006D7C0E" w:rsidRDefault="006D7C0E">
            <w:pPr>
              <w:topLinePunct w:val="0"/>
              <w:adjustRightInd/>
              <w:spacing w:line="240" w:lineRule="auto"/>
              <w:ind w:firstLineChars="0" w:firstLine="0"/>
              <w:jc w:val="center"/>
              <w:rPr>
                <w:rFonts w:ascii="Times New Roman" w:cs="Times New Roman"/>
                <w:bCs/>
                <w:color w:val="FF0000"/>
                <w:sz w:val="21"/>
                <w:szCs w:val="20"/>
              </w:rPr>
            </w:pPr>
            <w:r w:rsidRPr="006D7C0E">
              <w:rPr>
                <w:rFonts w:ascii="Times New Roman" w:cs="Times New Roman" w:hint="eastAsia"/>
                <w:bCs/>
                <w:color w:val="FF0000"/>
                <w:sz w:val="21"/>
                <w:szCs w:val="20"/>
              </w:rPr>
              <w:t>东至吴家坪，南至胡家坪，西至后河，北至</w:t>
            </w:r>
            <w:r w:rsidR="00511129">
              <w:rPr>
                <w:rFonts w:ascii="Times New Roman" w:cs="Times New Roman" w:hint="eastAsia"/>
                <w:bCs/>
                <w:color w:val="FF0000"/>
                <w:sz w:val="21"/>
                <w:szCs w:val="20"/>
              </w:rPr>
              <w:t>中</w:t>
            </w:r>
            <w:r w:rsidRPr="006D7C0E">
              <w:rPr>
                <w:rFonts w:ascii="Times New Roman" w:cs="Times New Roman" w:hint="eastAsia"/>
                <w:bCs/>
                <w:color w:val="FF0000"/>
                <w:sz w:val="21"/>
                <w:szCs w:val="20"/>
              </w:rPr>
              <w:t>河</w:t>
            </w:r>
          </w:p>
        </w:tc>
      </w:tr>
      <w:tr w:rsidR="00BD5820">
        <w:trPr>
          <w:trHeight w:val="311"/>
          <w:jc w:val="center"/>
        </w:trPr>
        <w:tc>
          <w:tcPr>
            <w:tcW w:w="1999" w:type="pct"/>
            <w:tcBorders>
              <w:tl2br w:val="nil"/>
              <w:tr2bl w:val="nil"/>
            </w:tcBorders>
            <w:vAlign w:val="center"/>
          </w:tcPr>
          <w:p w:rsidR="00BD5820" w:rsidRDefault="00F64314">
            <w:pPr>
              <w:topLinePunct w:val="0"/>
              <w:adjustRightInd/>
              <w:spacing w:line="240" w:lineRule="auto"/>
              <w:ind w:firstLineChars="0" w:firstLine="0"/>
              <w:jc w:val="center"/>
              <w:rPr>
                <w:rFonts w:ascii="Times New Roman" w:cs="Times New Roman"/>
                <w:bCs/>
                <w:sz w:val="21"/>
                <w:szCs w:val="20"/>
              </w:rPr>
            </w:pPr>
            <w:r>
              <w:rPr>
                <w:rFonts w:ascii="Times New Roman" w:cs="Times New Roman" w:hint="eastAsia"/>
                <w:bCs/>
                <w:sz w:val="21"/>
                <w:szCs w:val="20"/>
              </w:rPr>
              <w:t>本项目普光气田</w:t>
            </w:r>
            <w:r>
              <w:rPr>
                <w:rFonts w:ascii="Times New Roman" w:cs="Times New Roman" w:hint="eastAsia"/>
                <w:bCs/>
                <w:sz w:val="21"/>
                <w:szCs w:val="20"/>
              </w:rPr>
              <w:t>2</w:t>
            </w:r>
            <w:r>
              <w:rPr>
                <w:rFonts w:ascii="Times New Roman" w:cs="Times New Roman"/>
                <w:bCs/>
                <w:sz w:val="21"/>
                <w:szCs w:val="20"/>
              </w:rPr>
              <w:t>#</w:t>
            </w:r>
            <w:r>
              <w:rPr>
                <w:rFonts w:ascii="Times New Roman" w:cs="Times New Roman" w:hint="eastAsia"/>
                <w:bCs/>
                <w:sz w:val="21"/>
                <w:szCs w:val="20"/>
              </w:rPr>
              <w:t>增压站</w:t>
            </w:r>
          </w:p>
        </w:tc>
        <w:tc>
          <w:tcPr>
            <w:tcW w:w="1433" w:type="pct"/>
            <w:tcBorders>
              <w:right w:val="single" w:sz="4" w:space="0" w:color="auto"/>
              <w:tl2br w:val="nil"/>
              <w:tr2bl w:val="nil"/>
            </w:tcBorders>
            <w:vAlign w:val="center"/>
          </w:tcPr>
          <w:p w:rsidR="00BD5820" w:rsidRDefault="00F64314">
            <w:pPr>
              <w:topLinePunct w:val="0"/>
              <w:adjustRightInd/>
              <w:spacing w:line="240" w:lineRule="auto"/>
              <w:ind w:firstLineChars="0" w:firstLine="0"/>
              <w:jc w:val="center"/>
              <w:rPr>
                <w:rFonts w:ascii="Times New Roman" w:cs="Times New Roman"/>
                <w:bCs/>
                <w:sz w:val="21"/>
                <w:szCs w:val="20"/>
              </w:rPr>
            </w:pPr>
            <w:r>
              <w:rPr>
                <w:rFonts w:ascii="Times New Roman" w:cs="Times New Roman" w:hint="eastAsia"/>
                <w:bCs/>
                <w:sz w:val="21"/>
                <w:szCs w:val="20"/>
              </w:rPr>
              <w:t>21.67</w:t>
            </w:r>
          </w:p>
        </w:tc>
        <w:tc>
          <w:tcPr>
            <w:tcW w:w="1568" w:type="pct"/>
            <w:tcBorders>
              <w:left w:val="single" w:sz="4" w:space="0" w:color="auto"/>
              <w:tl2br w:val="nil"/>
              <w:tr2bl w:val="nil"/>
            </w:tcBorders>
            <w:vAlign w:val="center"/>
          </w:tcPr>
          <w:p w:rsidR="00BD5820" w:rsidRPr="006D7C0E" w:rsidRDefault="006D7C0E">
            <w:pPr>
              <w:topLinePunct w:val="0"/>
              <w:adjustRightInd/>
              <w:spacing w:line="240" w:lineRule="auto"/>
              <w:ind w:firstLineChars="0" w:firstLine="0"/>
              <w:jc w:val="center"/>
              <w:rPr>
                <w:rFonts w:ascii="Times New Roman" w:cs="Times New Roman"/>
                <w:bCs/>
                <w:color w:val="FF0000"/>
                <w:sz w:val="21"/>
                <w:szCs w:val="20"/>
              </w:rPr>
            </w:pPr>
            <w:r w:rsidRPr="006D7C0E">
              <w:rPr>
                <w:rFonts w:ascii="Times New Roman" w:cs="Times New Roman" w:hint="eastAsia"/>
                <w:bCs/>
                <w:color w:val="FF0000"/>
                <w:sz w:val="21"/>
                <w:szCs w:val="20"/>
              </w:rPr>
              <w:t>东至后河，南至后河支流，西至新桥轩，北至斑竹林</w:t>
            </w:r>
          </w:p>
        </w:tc>
      </w:tr>
    </w:tbl>
    <w:p w:rsidR="00BD5820" w:rsidRDefault="00F64314">
      <w:pPr>
        <w:keepNext/>
        <w:keepLines/>
        <w:ind w:firstLineChars="0" w:firstLine="0"/>
        <w:outlineLvl w:val="2"/>
        <w:rPr>
          <w:rFonts w:ascii="Times New Roman" w:cs="Times New Roman"/>
          <w:b/>
          <w:szCs w:val="32"/>
        </w:rPr>
      </w:pPr>
      <w:r>
        <w:rPr>
          <w:rFonts w:ascii="Times New Roman" w:cs="Times New Roman"/>
          <w:b/>
          <w:szCs w:val="32"/>
        </w:rPr>
        <w:t xml:space="preserve">1.6.5 </w:t>
      </w:r>
      <w:r>
        <w:rPr>
          <w:rFonts w:ascii="Times New Roman" w:cs="Times New Roman"/>
          <w:b/>
          <w:szCs w:val="32"/>
        </w:rPr>
        <w:t>声环境</w:t>
      </w:r>
    </w:p>
    <w:p w:rsidR="00BD5820" w:rsidRDefault="00F64314">
      <w:pPr>
        <w:ind w:firstLineChars="199" w:firstLine="487"/>
        <w:rPr>
          <w:rFonts w:ascii="Times New Roman" w:cs="Times New Roman"/>
          <w:b/>
          <w:bCs/>
          <w:spacing w:val="2"/>
          <w:kern w:val="2"/>
          <w:position w:val="2"/>
          <w:szCs w:val="22"/>
        </w:rPr>
      </w:pPr>
      <w:r>
        <w:rPr>
          <w:rFonts w:ascii="Times New Roman" w:cs="Times New Roman"/>
          <w:b/>
          <w:bCs/>
          <w:spacing w:val="2"/>
          <w:kern w:val="2"/>
          <w:position w:val="2"/>
          <w:szCs w:val="22"/>
        </w:rPr>
        <w:t>1</w:t>
      </w:r>
      <w:r>
        <w:rPr>
          <w:rFonts w:ascii="Times New Roman" w:cs="Times New Roman"/>
          <w:b/>
          <w:bCs/>
          <w:spacing w:val="2"/>
          <w:kern w:val="2"/>
          <w:position w:val="2"/>
          <w:szCs w:val="22"/>
        </w:rPr>
        <w:t>、评价等级</w:t>
      </w:r>
    </w:p>
    <w:p w:rsidR="00BD5820" w:rsidRDefault="00F64314">
      <w:pPr>
        <w:pStyle w:val="affa"/>
        <w:ind w:firstLine="480"/>
      </w:pPr>
      <w:r>
        <w:t>根据《环境影响评价技术导则</w:t>
      </w:r>
      <w:r>
        <w:t xml:space="preserve"> </w:t>
      </w:r>
      <w:r>
        <w:t>声环境》（</w:t>
      </w:r>
      <w:r>
        <w:t>HJ2.4-20</w:t>
      </w:r>
      <w:r>
        <w:rPr>
          <w:rFonts w:hint="eastAsia"/>
        </w:rPr>
        <w:t>21</w:t>
      </w:r>
      <w:r>
        <w:t>）中声环境影响评价工作等级划分的基本原则及工程设计资料确定本项目声环境影响评价工作等级。本项目施工期噪声主要来自施工作业机械，营运期噪声主要为场站设备噪声和管输设备高压输气产生的气流噪声；根据现场调查，本项目</w:t>
      </w:r>
      <w:r>
        <w:rPr>
          <w:rFonts w:hint="eastAsia"/>
        </w:rPr>
        <w:t>所在地</w:t>
      </w:r>
      <w:r>
        <w:t>声环境质量较好，</w:t>
      </w:r>
      <w:r>
        <w:lastRenderedPageBreak/>
        <w:t>环境功能区为《声环境质量标准》（</w:t>
      </w:r>
      <w:r>
        <w:t>GB3096-2008</w:t>
      </w:r>
      <w:r>
        <w:t>）规定的</w:t>
      </w:r>
      <w:r>
        <w:t>2</w:t>
      </w:r>
      <w:r>
        <w:t>类地区。因此，按照《环境影响评价技术导则</w:t>
      </w:r>
      <w:r>
        <w:t xml:space="preserve"> </w:t>
      </w:r>
      <w:r>
        <w:t>声环境》（</w:t>
      </w:r>
      <w:r>
        <w:t>HJ2.4-20</w:t>
      </w:r>
      <w:r>
        <w:rPr>
          <w:rFonts w:hint="eastAsia"/>
        </w:rPr>
        <w:t>21</w:t>
      </w:r>
      <w:r>
        <w:t>）中推荐的声学环境评价工作等级划分方法，本项目属</w:t>
      </w:r>
      <w:r>
        <w:rPr>
          <w:rFonts w:hint="eastAsia"/>
        </w:rPr>
        <w:t>“建设项目所处的声环境功能区为</w:t>
      </w:r>
      <w:r>
        <w:rPr>
          <w:rFonts w:hint="eastAsia"/>
        </w:rPr>
        <w:t>GB3096</w:t>
      </w:r>
      <w:r>
        <w:rPr>
          <w:rFonts w:hint="eastAsia"/>
        </w:rPr>
        <w:t>规定的</w:t>
      </w:r>
      <w:r>
        <w:rPr>
          <w:rFonts w:hint="eastAsia"/>
        </w:rPr>
        <w:t>1</w:t>
      </w:r>
      <w:r>
        <w:rPr>
          <w:rFonts w:hint="eastAsia"/>
        </w:rPr>
        <w:t>类、</w:t>
      </w:r>
      <w:r>
        <w:rPr>
          <w:rFonts w:hint="eastAsia"/>
        </w:rPr>
        <w:t>2</w:t>
      </w:r>
      <w:r>
        <w:rPr>
          <w:rFonts w:hint="eastAsia"/>
        </w:rPr>
        <w:t>——类地区，或建设项目建设前后评价范围内声环境保护目标噪声级增量达</w:t>
      </w:r>
      <w:r>
        <w:rPr>
          <w:rFonts w:hint="eastAsia"/>
        </w:rPr>
        <w:t>3dB</w:t>
      </w:r>
      <w:r>
        <w:rPr>
          <w:rFonts w:hint="eastAsia"/>
        </w:rPr>
        <w:t>（</w:t>
      </w:r>
      <w:r>
        <w:rPr>
          <w:rFonts w:hint="eastAsia"/>
        </w:rPr>
        <w:t>A</w:t>
      </w:r>
      <w:r>
        <w:rPr>
          <w:rFonts w:hint="eastAsia"/>
        </w:rPr>
        <w:t>）～</w:t>
      </w:r>
      <w:r>
        <w:rPr>
          <w:rFonts w:hint="eastAsia"/>
        </w:rPr>
        <w:t>5dB</w:t>
      </w:r>
      <w:r>
        <w:rPr>
          <w:rFonts w:hint="eastAsia"/>
        </w:rPr>
        <w:t>（</w:t>
      </w:r>
      <w:r>
        <w:rPr>
          <w:rFonts w:hint="eastAsia"/>
        </w:rPr>
        <w:t>A</w:t>
      </w:r>
      <w:r>
        <w:rPr>
          <w:rFonts w:hint="eastAsia"/>
        </w:rPr>
        <w:t>），或受噪声影响人口数量增加较多时，按二级评价”</w:t>
      </w:r>
      <w:r>
        <w:t>。因此，本次声环境影响评价级别定为二级评价。</w:t>
      </w:r>
    </w:p>
    <w:p w:rsidR="00BD5820" w:rsidRDefault="00F64314">
      <w:pPr>
        <w:ind w:firstLine="490"/>
        <w:rPr>
          <w:rFonts w:ascii="Times New Roman" w:cs="Times New Roman"/>
          <w:b/>
          <w:bCs/>
          <w:spacing w:val="2"/>
          <w:kern w:val="2"/>
          <w:position w:val="2"/>
          <w:szCs w:val="22"/>
        </w:rPr>
      </w:pPr>
      <w:r>
        <w:rPr>
          <w:rFonts w:ascii="Times New Roman" w:cs="Times New Roman"/>
          <w:b/>
          <w:bCs/>
          <w:spacing w:val="2"/>
          <w:kern w:val="2"/>
          <w:position w:val="2"/>
          <w:szCs w:val="22"/>
        </w:rPr>
        <w:t>2</w:t>
      </w:r>
      <w:r>
        <w:rPr>
          <w:rFonts w:ascii="Times New Roman" w:cs="Times New Roman"/>
          <w:b/>
          <w:bCs/>
          <w:spacing w:val="2"/>
          <w:kern w:val="2"/>
          <w:position w:val="2"/>
          <w:szCs w:val="22"/>
        </w:rPr>
        <w:t>、评价范围</w:t>
      </w:r>
    </w:p>
    <w:p w:rsidR="00BD5820" w:rsidRDefault="00F64314">
      <w:pPr>
        <w:pStyle w:val="affa"/>
        <w:ind w:firstLine="480"/>
      </w:pPr>
      <w:r>
        <w:t>本项目噪声环境影响评价工作等级为二级评价，根据《环境影响评价技术导则</w:t>
      </w:r>
      <w:r>
        <w:t xml:space="preserve"> </w:t>
      </w:r>
      <w:r>
        <w:t>声环境》（</w:t>
      </w:r>
      <w:r>
        <w:t>HJ2.4-20</w:t>
      </w:r>
      <w:r>
        <w:rPr>
          <w:rFonts w:hint="eastAsia"/>
        </w:rPr>
        <w:t>21</w:t>
      </w:r>
      <w:r>
        <w:t>）中有关规定及沿线各工艺站场周边环境特征。施工期声环境评价范围确定为场站厂界</w:t>
      </w:r>
      <w:r>
        <w:t>200m</w:t>
      </w:r>
      <w:r>
        <w:t>范围内的村庄或居民区，营运期的声环境评价范围确定为场站厂界</w:t>
      </w:r>
      <w:r>
        <w:t>200m</w:t>
      </w:r>
      <w:r>
        <w:t>范围内的村庄或居民区。</w:t>
      </w:r>
    </w:p>
    <w:p w:rsidR="00BD5820" w:rsidRDefault="00F64314">
      <w:pPr>
        <w:keepNext/>
        <w:keepLines/>
        <w:ind w:firstLineChars="0" w:firstLine="0"/>
        <w:outlineLvl w:val="2"/>
        <w:rPr>
          <w:rFonts w:ascii="Times New Roman" w:cs="Times New Roman"/>
          <w:b/>
          <w:szCs w:val="32"/>
        </w:rPr>
      </w:pPr>
      <w:r>
        <w:rPr>
          <w:rFonts w:ascii="Times New Roman" w:cs="Times New Roman"/>
          <w:b/>
          <w:szCs w:val="32"/>
        </w:rPr>
        <w:t xml:space="preserve">1.6.6 </w:t>
      </w:r>
      <w:r>
        <w:rPr>
          <w:rFonts w:ascii="Times New Roman" w:cs="Times New Roman"/>
          <w:b/>
          <w:szCs w:val="32"/>
        </w:rPr>
        <w:t>土壤环境影响</w:t>
      </w:r>
    </w:p>
    <w:p w:rsidR="00BD5820" w:rsidRDefault="00F64314">
      <w:pPr>
        <w:ind w:firstLineChars="199" w:firstLine="487"/>
        <w:rPr>
          <w:rFonts w:ascii="Times New Roman" w:cs="Times New Roman"/>
          <w:b/>
          <w:bCs/>
          <w:spacing w:val="2"/>
          <w:kern w:val="2"/>
          <w:position w:val="2"/>
          <w:szCs w:val="22"/>
        </w:rPr>
      </w:pPr>
      <w:r>
        <w:rPr>
          <w:rFonts w:ascii="Times New Roman" w:cs="Times New Roman"/>
          <w:b/>
          <w:bCs/>
          <w:spacing w:val="2"/>
          <w:kern w:val="2"/>
          <w:position w:val="2"/>
          <w:szCs w:val="22"/>
        </w:rPr>
        <w:t>1</w:t>
      </w:r>
      <w:r>
        <w:rPr>
          <w:rFonts w:ascii="Times New Roman" w:cs="Times New Roman"/>
          <w:b/>
          <w:bCs/>
          <w:spacing w:val="2"/>
          <w:kern w:val="2"/>
          <w:position w:val="2"/>
          <w:szCs w:val="22"/>
        </w:rPr>
        <w:t>、评价等级</w:t>
      </w:r>
    </w:p>
    <w:p w:rsidR="00BD5820" w:rsidRDefault="00F64314">
      <w:pPr>
        <w:pStyle w:val="affa"/>
        <w:ind w:firstLine="480"/>
      </w:pPr>
      <w:r>
        <w:t>根据《环境影响评价技术导则</w:t>
      </w:r>
      <w:r>
        <w:t xml:space="preserve"> </w:t>
      </w:r>
      <w:r>
        <w:t>土壤环境</w:t>
      </w:r>
      <w:r>
        <w:rPr>
          <w:rFonts w:hint="eastAsia"/>
        </w:rPr>
        <w:t>（试行）</w:t>
      </w:r>
      <w:r>
        <w:t>》（</w:t>
      </w:r>
      <w:r>
        <w:t>HJ964-2018</w:t>
      </w:r>
      <w:r>
        <w:t>）附录</w:t>
      </w:r>
      <w:r>
        <w:t>A</w:t>
      </w:r>
      <w:r>
        <w:t>，</w:t>
      </w:r>
      <w:r>
        <w:t xml:space="preserve"> </w:t>
      </w:r>
      <w:r>
        <w:rPr>
          <w:rFonts w:hint="eastAsia"/>
        </w:rPr>
        <w:t>本项目</w:t>
      </w:r>
      <w:r>
        <w:t>属于</w:t>
      </w:r>
      <w:r>
        <w:rPr>
          <w:rFonts w:hint="eastAsia"/>
        </w:rPr>
        <w:t>“</w:t>
      </w:r>
      <w:r>
        <w:t>采矿业化学矿采选；石棉矿采选；煤矿采选、天然气开采、页岩气开采、砂岩气开采、煤层气开采（含净化、液化）</w:t>
      </w:r>
      <w:r>
        <w:rPr>
          <w:rFonts w:hint="eastAsia"/>
        </w:rPr>
        <w:t>”</w:t>
      </w:r>
      <w:r>
        <w:t>，为</w:t>
      </w:r>
      <w:r>
        <w:t>Ⅱ</w:t>
      </w:r>
      <w:r>
        <w:t>类建设项目。</w:t>
      </w:r>
    </w:p>
    <w:p w:rsidR="00BD5820" w:rsidRDefault="00F64314">
      <w:pPr>
        <w:pStyle w:val="affa"/>
        <w:ind w:firstLine="480"/>
      </w:pPr>
      <w:r>
        <w:rPr>
          <w:rFonts w:hint="eastAsia"/>
        </w:rPr>
        <w:t>本项目涉及的</w:t>
      </w:r>
      <w:r>
        <w:rPr>
          <w:rFonts w:hint="eastAsia"/>
          <w:bCs/>
        </w:rPr>
        <w:t>普光气田</w:t>
      </w:r>
      <w:r>
        <w:rPr>
          <w:bCs/>
        </w:rPr>
        <w:t>1#</w:t>
      </w:r>
      <w:r>
        <w:rPr>
          <w:rFonts w:hint="eastAsia"/>
          <w:bCs/>
        </w:rPr>
        <w:t>增压站</w:t>
      </w:r>
      <w:r>
        <w:t>新增占地面积约为</w:t>
      </w:r>
      <w:r>
        <w:rPr>
          <w:rFonts w:hint="eastAsia"/>
        </w:rPr>
        <w:t>18900</w:t>
      </w:r>
      <w:r>
        <w:rPr>
          <w:rFonts w:hint="eastAsia"/>
          <w:bCs/>
        </w:rPr>
        <w:t>m</w:t>
      </w:r>
      <w:r>
        <w:rPr>
          <w:rFonts w:hint="eastAsia"/>
          <w:bCs/>
          <w:vertAlign w:val="superscript"/>
        </w:rPr>
        <w:t>2</w:t>
      </w:r>
      <w:r>
        <w:t>，占地规模为小型，周边存在耕地，土壤环境敏感程度为敏感，周边存在耕地，土壤环境敏感程度为敏感。</w:t>
      </w:r>
    </w:p>
    <w:p w:rsidR="00BD5820" w:rsidRDefault="00F64314">
      <w:pPr>
        <w:pStyle w:val="10"/>
        <w:rPr>
          <w:rFonts w:cs="Times New Roman"/>
        </w:rPr>
      </w:pPr>
      <w:r>
        <w:rPr>
          <w:rFonts w:cs="Times New Roman"/>
        </w:rPr>
        <w:t>表</w:t>
      </w:r>
      <w:r>
        <w:rPr>
          <w:rFonts w:cs="Times New Roman"/>
        </w:rPr>
        <w:t>1.6-</w:t>
      </w:r>
      <w:r>
        <w:rPr>
          <w:rFonts w:cs="Times New Roman" w:hint="eastAsia"/>
        </w:rPr>
        <w:t>8</w:t>
      </w:r>
      <w:r>
        <w:rPr>
          <w:rFonts w:cs="Times New Roman"/>
        </w:rPr>
        <w:t xml:space="preserve">  </w:t>
      </w:r>
      <w:r>
        <w:rPr>
          <w:rFonts w:cs="Times New Roman"/>
        </w:rPr>
        <w:t>污染影响型评价工作等级划分表</w:t>
      </w:r>
    </w:p>
    <w:tbl>
      <w:tblPr>
        <w:tblW w:w="8679" w:type="dxa"/>
        <w:jc w:val="center"/>
        <w:tblBorders>
          <w:top w:val="single" w:sz="12" w:space="0" w:color="000000"/>
          <w:bottom w:val="single" w:sz="12" w:space="0" w:color="000000"/>
          <w:insideH w:val="single" w:sz="4" w:space="0" w:color="000000"/>
          <w:insideV w:val="single" w:sz="4" w:space="0" w:color="000000"/>
        </w:tblBorders>
        <w:tblLayout w:type="fixed"/>
        <w:tblLook w:val="04A0"/>
      </w:tblPr>
      <w:tblGrid>
        <w:gridCol w:w="1620"/>
        <w:gridCol w:w="723"/>
        <w:gridCol w:w="791"/>
        <w:gridCol w:w="792"/>
        <w:gridCol w:w="792"/>
        <w:gridCol w:w="792"/>
        <w:gridCol w:w="792"/>
        <w:gridCol w:w="792"/>
        <w:gridCol w:w="792"/>
        <w:gridCol w:w="793"/>
      </w:tblGrid>
      <w:tr w:rsidR="00BD5820">
        <w:trPr>
          <w:trHeight w:val="340"/>
          <w:jc w:val="center"/>
        </w:trPr>
        <w:tc>
          <w:tcPr>
            <w:tcW w:w="1620" w:type="dxa"/>
            <w:vMerge w:val="restart"/>
            <w:vAlign w:val="center"/>
          </w:tcPr>
          <w:p w:rsidR="00BD5820" w:rsidRDefault="00EA3750">
            <w:pPr>
              <w:snapToGrid w:val="0"/>
              <w:spacing w:line="240" w:lineRule="auto"/>
              <w:ind w:firstLine="422"/>
              <w:rPr>
                <w:rFonts w:ascii="Times New Roman" w:cs="Times New Roman"/>
                <w:b/>
                <w:bCs/>
                <w:sz w:val="21"/>
                <w:szCs w:val="21"/>
              </w:rPr>
            </w:pPr>
            <w:r>
              <w:rPr>
                <w:rFonts w:ascii="Times New Roman" w:cs="Times New Roman"/>
                <w:b/>
                <w:bCs/>
                <w:sz w:val="21"/>
                <w:szCs w:val="21"/>
              </w:rPr>
              <w:pict>
                <v:line id="直接连接符 57" o:spid="_x0000_s1026" style="position:absolute;left:0;text-align:left;z-index:251659264;mso-width-relative:margin;mso-height-relative:margin" from="-5.3pt,-.35pt" to="73.35pt,5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"/>
              </w:pict>
            </w:r>
            <w:r w:rsidR="00F64314">
              <w:rPr>
                <w:rFonts w:ascii="Times New Roman" w:cs="Times New Roman"/>
                <w:b/>
                <w:bCs/>
                <w:sz w:val="21"/>
                <w:szCs w:val="21"/>
              </w:rPr>
              <w:t>项目类别</w:t>
            </w:r>
          </w:p>
          <w:p w:rsidR="00BD5820" w:rsidRDefault="00F64314">
            <w:pPr>
              <w:snapToGrid w:val="0"/>
              <w:spacing w:line="240" w:lineRule="auto"/>
              <w:ind w:firstLineChars="0" w:firstLine="0"/>
              <w:rPr>
                <w:rFonts w:ascii="Times New Roman" w:cs="Times New Roman"/>
                <w:b/>
                <w:bCs/>
                <w:sz w:val="21"/>
                <w:szCs w:val="21"/>
              </w:rPr>
            </w:pPr>
            <w:r>
              <w:rPr>
                <w:rFonts w:ascii="Times New Roman" w:cs="Times New Roman"/>
                <w:b/>
                <w:bCs/>
                <w:sz w:val="21"/>
                <w:szCs w:val="21"/>
              </w:rPr>
              <w:t>评价工</w:t>
            </w:r>
          </w:p>
          <w:p w:rsidR="00BD5820" w:rsidRDefault="00EA3750">
            <w:pPr>
              <w:snapToGrid w:val="0"/>
              <w:spacing w:line="240" w:lineRule="auto"/>
              <w:ind w:firstLineChars="0" w:firstLine="0"/>
              <w:rPr>
                <w:rFonts w:ascii="Times New Roman" w:cs="Times New Roman"/>
                <w:b/>
                <w:bCs/>
                <w:sz w:val="21"/>
                <w:szCs w:val="21"/>
              </w:rPr>
            </w:pPr>
            <w:r>
              <w:rPr>
                <w:rFonts w:ascii="Times New Roman" w:cs="Times New Roman"/>
                <w:b/>
                <w:bCs/>
                <w:sz w:val="21"/>
                <w:szCs w:val="21"/>
              </w:rPr>
              <w:pict>
                <v:line id="直接连接符 58" o:spid="_x0000_s1031" style="position:absolute;left:0;text-align:left;z-index:251660288;mso-width-relative:margin;mso-height-relative:margin" from="-5.3pt,9.45pt" to="73pt,2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"/>
              </w:pict>
            </w:r>
            <w:r w:rsidR="00F64314">
              <w:rPr>
                <w:rFonts w:ascii="Times New Roman" w:cs="Times New Roman"/>
                <w:b/>
                <w:bCs/>
                <w:sz w:val="21"/>
                <w:szCs w:val="21"/>
              </w:rPr>
              <w:t>作等级</w:t>
            </w:r>
          </w:p>
          <w:p w:rsidR="00BD5820" w:rsidRDefault="00F64314">
            <w:pPr>
              <w:snapToGrid w:val="0"/>
              <w:spacing w:line="240" w:lineRule="auto"/>
              <w:ind w:firstLineChars="0" w:firstLine="0"/>
              <w:rPr>
                <w:rFonts w:ascii="Times New Roman" w:cs="Times New Roman"/>
                <w:b/>
                <w:bCs/>
                <w:sz w:val="21"/>
                <w:szCs w:val="21"/>
              </w:rPr>
            </w:pPr>
            <w:r>
              <w:rPr>
                <w:rFonts w:ascii="Times New Roman" w:cs="Times New Roman"/>
                <w:b/>
                <w:bCs/>
                <w:sz w:val="21"/>
                <w:szCs w:val="21"/>
              </w:rPr>
              <w:t>敏感程度</w:t>
            </w:r>
          </w:p>
        </w:tc>
        <w:tc>
          <w:tcPr>
            <w:tcW w:w="2306" w:type="dxa"/>
            <w:gridSpan w:val="3"/>
            <w:vAlign w:val="center"/>
          </w:tcPr>
          <w:p w:rsidR="00BD5820" w:rsidRDefault="00EA3750">
            <w:pPr>
              <w:snapToGrid w:val="0"/>
              <w:spacing w:line="240" w:lineRule="auto"/>
              <w:ind w:firstLineChars="0" w:firstLine="0"/>
              <w:jc w:val="center"/>
              <w:rPr>
                <w:rFonts w:ascii="Times New Roman" w:cs="Times New Roman"/>
                <w:b/>
                <w:bCs/>
                <w:sz w:val="21"/>
                <w:szCs w:val="21"/>
              </w:rPr>
            </w:pPr>
            <w:r>
              <w:rPr>
                <w:rFonts w:ascii="Times New Roman" w:cs="Times New Roman"/>
                <w:b/>
                <w:bCs/>
                <w:sz w:val="21"/>
                <w:szCs w:val="21"/>
              </w:rPr>
              <w:fldChar w:fldCharType="begin"/>
            </w:r>
            <w:r w:rsidR="00F64314">
              <w:rPr>
                <w:rFonts w:ascii="Times New Roman" w:cs="Times New Roman"/>
                <w:b/>
                <w:bCs/>
                <w:sz w:val="21"/>
                <w:szCs w:val="21"/>
              </w:rPr>
              <w:instrText xml:space="preserve"> = 1 \* ROMAN </w:instrText>
            </w:r>
            <w:r>
              <w:rPr>
                <w:rFonts w:ascii="Times New Roman" w:cs="Times New Roman"/>
                <w:b/>
                <w:bCs/>
                <w:sz w:val="21"/>
                <w:szCs w:val="21"/>
              </w:rPr>
              <w:fldChar w:fldCharType="separate"/>
            </w:r>
            <w:r w:rsidR="00F64314">
              <w:rPr>
                <w:rFonts w:ascii="Times New Roman" w:cs="Times New Roman"/>
                <w:b/>
                <w:bCs/>
                <w:sz w:val="21"/>
                <w:szCs w:val="21"/>
              </w:rPr>
              <w:t>I</w:t>
            </w:r>
            <w:r>
              <w:rPr>
                <w:rFonts w:ascii="Times New Roman" w:cs="Times New Roman"/>
                <w:b/>
                <w:bCs/>
                <w:sz w:val="21"/>
                <w:szCs w:val="21"/>
              </w:rPr>
              <w:fldChar w:fldCharType="end"/>
            </w:r>
            <w:r w:rsidR="00F64314">
              <w:rPr>
                <w:rFonts w:ascii="Times New Roman" w:cs="Times New Roman"/>
                <w:b/>
                <w:bCs/>
                <w:sz w:val="21"/>
                <w:szCs w:val="21"/>
              </w:rPr>
              <w:t>类</w:t>
            </w:r>
          </w:p>
        </w:tc>
        <w:tc>
          <w:tcPr>
            <w:tcW w:w="2376" w:type="dxa"/>
            <w:gridSpan w:val="3"/>
            <w:vAlign w:val="center"/>
          </w:tcPr>
          <w:p w:rsidR="00BD5820" w:rsidRDefault="00EA3750">
            <w:pPr>
              <w:snapToGrid w:val="0"/>
              <w:spacing w:line="240" w:lineRule="auto"/>
              <w:ind w:firstLineChars="0" w:firstLine="0"/>
              <w:jc w:val="center"/>
              <w:rPr>
                <w:rFonts w:ascii="Times New Roman" w:cs="Times New Roman"/>
                <w:b/>
                <w:bCs/>
                <w:sz w:val="21"/>
                <w:szCs w:val="21"/>
              </w:rPr>
            </w:pPr>
            <w:r>
              <w:rPr>
                <w:rFonts w:ascii="Times New Roman" w:cs="Times New Roman"/>
                <w:b/>
                <w:bCs/>
                <w:sz w:val="21"/>
                <w:szCs w:val="21"/>
              </w:rPr>
              <w:fldChar w:fldCharType="begin"/>
            </w:r>
            <w:r w:rsidR="00F64314">
              <w:rPr>
                <w:rFonts w:ascii="Times New Roman" w:cs="Times New Roman"/>
                <w:b/>
                <w:bCs/>
                <w:sz w:val="21"/>
                <w:szCs w:val="21"/>
              </w:rPr>
              <w:instrText xml:space="preserve"> = 2 \* ROMAN </w:instrText>
            </w:r>
            <w:r>
              <w:rPr>
                <w:rFonts w:ascii="Times New Roman" w:cs="Times New Roman"/>
                <w:b/>
                <w:bCs/>
                <w:sz w:val="21"/>
                <w:szCs w:val="21"/>
              </w:rPr>
              <w:fldChar w:fldCharType="separate"/>
            </w:r>
            <w:r w:rsidR="00F64314">
              <w:rPr>
                <w:rFonts w:ascii="Times New Roman" w:cs="Times New Roman"/>
                <w:b/>
                <w:bCs/>
                <w:sz w:val="21"/>
                <w:szCs w:val="21"/>
              </w:rPr>
              <w:t>II</w:t>
            </w:r>
            <w:r>
              <w:rPr>
                <w:rFonts w:ascii="Times New Roman" w:cs="Times New Roman"/>
                <w:b/>
                <w:bCs/>
                <w:sz w:val="21"/>
                <w:szCs w:val="21"/>
              </w:rPr>
              <w:fldChar w:fldCharType="end"/>
            </w:r>
            <w:r w:rsidR="00F64314">
              <w:rPr>
                <w:rFonts w:ascii="Times New Roman" w:cs="Times New Roman"/>
                <w:b/>
                <w:bCs/>
                <w:sz w:val="21"/>
                <w:szCs w:val="21"/>
              </w:rPr>
              <w:t>类</w:t>
            </w:r>
          </w:p>
        </w:tc>
        <w:tc>
          <w:tcPr>
            <w:tcW w:w="2377" w:type="dxa"/>
            <w:gridSpan w:val="3"/>
            <w:vAlign w:val="center"/>
          </w:tcPr>
          <w:p w:rsidR="00BD5820" w:rsidRDefault="00EA3750">
            <w:pPr>
              <w:snapToGrid w:val="0"/>
              <w:spacing w:line="240" w:lineRule="auto"/>
              <w:ind w:firstLineChars="0" w:firstLine="0"/>
              <w:jc w:val="center"/>
              <w:rPr>
                <w:rFonts w:ascii="Times New Roman" w:cs="Times New Roman"/>
                <w:b/>
                <w:bCs/>
                <w:sz w:val="21"/>
                <w:szCs w:val="21"/>
              </w:rPr>
            </w:pPr>
            <w:r>
              <w:rPr>
                <w:rFonts w:ascii="Times New Roman" w:cs="Times New Roman"/>
                <w:b/>
                <w:bCs/>
                <w:sz w:val="21"/>
                <w:szCs w:val="21"/>
              </w:rPr>
              <w:fldChar w:fldCharType="begin"/>
            </w:r>
            <w:r w:rsidR="00F64314">
              <w:rPr>
                <w:rFonts w:ascii="Times New Roman" w:cs="Times New Roman"/>
                <w:b/>
                <w:bCs/>
                <w:sz w:val="21"/>
                <w:szCs w:val="21"/>
              </w:rPr>
              <w:instrText xml:space="preserve"> = 3 \* ROMAN </w:instrText>
            </w:r>
            <w:r>
              <w:rPr>
                <w:rFonts w:ascii="Times New Roman" w:cs="Times New Roman"/>
                <w:b/>
                <w:bCs/>
                <w:sz w:val="21"/>
                <w:szCs w:val="21"/>
              </w:rPr>
              <w:fldChar w:fldCharType="separate"/>
            </w:r>
            <w:r w:rsidR="00F64314">
              <w:rPr>
                <w:rFonts w:ascii="Times New Roman" w:cs="Times New Roman"/>
                <w:b/>
                <w:bCs/>
                <w:sz w:val="21"/>
                <w:szCs w:val="21"/>
              </w:rPr>
              <w:t>III</w:t>
            </w:r>
            <w:r>
              <w:rPr>
                <w:rFonts w:ascii="Times New Roman" w:cs="Times New Roman"/>
                <w:b/>
                <w:bCs/>
                <w:sz w:val="21"/>
                <w:szCs w:val="21"/>
              </w:rPr>
              <w:fldChar w:fldCharType="end"/>
            </w:r>
            <w:r w:rsidR="00F64314">
              <w:rPr>
                <w:rFonts w:ascii="Times New Roman" w:cs="Times New Roman"/>
                <w:b/>
                <w:bCs/>
                <w:sz w:val="21"/>
                <w:szCs w:val="21"/>
              </w:rPr>
              <w:t>类</w:t>
            </w:r>
          </w:p>
        </w:tc>
      </w:tr>
      <w:tr w:rsidR="00BD5820">
        <w:trPr>
          <w:trHeight w:val="596"/>
          <w:jc w:val="center"/>
        </w:trPr>
        <w:tc>
          <w:tcPr>
            <w:tcW w:w="1620" w:type="dxa"/>
            <w:vMerge/>
            <w:vAlign w:val="center"/>
          </w:tcPr>
          <w:p w:rsidR="00BD5820" w:rsidRDefault="00BD5820">
            <w:pPr>
              <w:snapToGrid w:val="0"/>
              <w:spacing w:line="240" w:lineRule="auto"/>
              <w:ind w:firstLineChars="0" w:firstLine="0"/>
              <w:jc w:val="center"/>
              <w:rPr>
                <w:rFonts w:ascii="Times New Roman" w:cs="Times New Roman"/>
                <w:b/>
                <w:bCs/>
                <w:sz w:val="21"/>
                <w:szCs w:val="21"/>
              </w:rPr>
            </w:pPr>
          </w:p>
        </w:tc>
        <w:tc>
          <w:tcPr>
            <w:tcW w:w="723" w:type="dxa"/>
            <w:vAlign w:val="center"/>
          </w:tcPr>
          <w:p w:rsidR="00BD5820" w:rsidRDefault="00F64314">
            <w:pPr>
              <w:snapToGrid w:val="0"/>
              <w:spacing w:line="240" w:lineRule="auto"/>
              <w:ind w:firstLineChars="0" w:firstLine="0"/>
              <w:jc w:val="center"/>
              <w:rPr>
                <w:rFonts w:ascii="Times New Roman" w:cs="Times New Roman"/>
                <w:b/>
                <w:bCs/>
                <w:sz w:val="21"/>
                <w:szCs w:val="21"/>
              </w:rPr>
            </w:pPr>
            <w:r>
              <w:rPr>
                <w:rFonts w:ascii="Times New Roman" w:cs="Times New Roman"/>
                <w:b/>
                <w:bCs/>
                <w:sz w:val="21"/>
                <w:szCs w:val="21"/>
              </w:rPr>
              <w:t>大</w:t>
            </w:r>
          </w:p>
        </w:tc>
        <w:tc>
          <w:tcPr>
            <w:tcW w:w="791" w:type="dxa"/>
            <w:vAlign w:val="center"/>
          </w:tcPr>
          <w:p w:rsidR="00BD5820" w:rsidRDefault="00F64314">
            <w:pPr>
              <w:snapToGrid w:val="0"/>
              <w:spacing w:line="240" w:lineRule="auto"/>
              <w:ind w:firstLineChars="0" w:firstLine="0"/>
              <w:jc w:val="center"/>
              <w:rPr>
                <w:rFonts w:ascii="Times New Roman" w:cs="Times New Roman"/>
                <w:b/>
                <w:bCs/>
                <w:sz w:val="21"/>
                <w:szCs w:val="21"/>
              </w:rPr>
            </w:pPr>
            <w:r>
              <w:rPr>
                <w:rFonts w:ascii="Times New Roman" w:cs="Times New Roman"/>
                <w:b/>
                <w:bCs/>
                <w:sz w:val="21"/>
                <w:szCs w:val="21"/>
              </w:rPr>
              <w:t>中</w:t>
            </w:r>
          </w:p>
        </w:tc>
        <w:tc>
          <w:tcPr>
            <w:tcW w:w="792" w:type="dxa"/>
            <w:vAlign w:val="center"/>
          </w:tcPr>
          <w:p w:rsidR="00BD5820" w:rsidRDefault="00F64314">
            <w:pPr>
              <w:snapToGrid w:val="0"/>
              <w:spacing w:line="240" w:lineRule="auto"/>
              <w:ind w:firstLineChars="0" w:firstLine="0"/>
              <w:jc w:val="center"/>
              <w:rPr>
                <w:rFonts w:ascii="Times New Roman" w:cs="Times New Roman"/>
                <w:b/>
                <w:bCs/>
                <w:sz w:val="21"/>
                <w:szCs w:val="21"/>
              </w:rPr>
            </w:pPr>
            <w:r>
              <w:rPr>
                <w:rFonts w:ascii="Times New Roman" w:cs="Times New Roman"/>
                <w:b/>
                <w:bCs/>
                <w:sz w:val="21"/>
                <w:szCs w:val="21"/>
              </w:rPr>
              <w:t>小</w:t>
            </w:r>
          </w:p>
        </w:tc>
        <w:tc>
          <w:tcPr>
            <w:tcW w:w="792" w:type="dxa"/>
            <w:vAlign w:val="center"/>
          </w:tcPr>
          <w:p w:rsidR="00BD5820" w:rsidRDefault="00F64314">
            <w:pPr>
              <w:snapToGrid w:val="0"/>
              <w:spacing w:line="240" w:lineRule="auto"/>
              <w:ind w:firstLineChars="0" w:firstLine="0"/>
              <w:jc w:val="center"/>
              <w:rPr>
                <w:rFonts w:ascii="Times New Roman" w:cs="Times New Roman"/>
                <w:b/>
                <w:bCs/>
                <w:sz w:val="21"/>
                <w:szCs w:val="21"/>
              </w:rPr>
            </w:pPr>
            <w:r>
              <w:rPr>
                <w:rFonts w:ascii="Times New Roman" w:cs="Times New Roman"/>
                <w:b/>
                <w:bCs/>
                <w:sz w:val="21"/>
                <w:szCs w:val="21"/>
              </w:rPr>
              <w:t>大</w:t>
            </w:r>
          </w:p>
        </w:tc>
        <w:tc>
          <w:tcPr>
            <w:tcW w:w="792" w:type="dxa"/>
            <w:vAlign w:val="center"/>
          </w:tcPr>
          <w:p w:rsidR="00BD5820" w:rsidRDefault="00F64314">
            <w:pPr>
              <w:snapToGrid w:val="0"/>
              <w:spacing w:line="240" w:lineRule="auto"/>
              <w:ind w:firstLineChars="0" w:firstLine="0"/>
              <w:jc w:val="center"/>
              <w:rPr>
                <w:rFonts w:ascii="Times New Roman" w:cs="Times New Roman"/>
                <w:b/>
                <w:bCs/>
                <w:sz w:val="21"/>
                <w:szCs w:val="21"/>
              </w:rPr>
            </w:pPr>
            <w:r>
              <w:rPr>
                <w:rFonts w:ascii="Times New Roman" w:cs="Times New Roman"/>
                <w:b/>
                <w:bCs/>
                <w:sz w:val="21"/>
                <w:szCs w:val="21"/>
              </w:rPr>
              <w:t>中</w:t>
            </w:r>
          </w:p>
        </w:tc>
        <w:tc>
          <w:tcPr>
            <w:tcW w:w="792" w:type="dxa"/>
            <w:vAlign w:val="center"/>
          </w:tcPr>
          <w:p w:rsidR="00BD5820" w:rsidRDefault="00F64314">
            <w:pPr>
              <w:snapToGrid w:val="0"/>
              <w:spacing w:line="240" w:lineRule="auto"/>
              <w:ind w:firstLineChars="0" w:firstLine="0"/>
              <w:jc w:val="center"/>
              <w:rPr>
                <w:rFonts w:ascii="Times New Roman" w:cs="Times New Roman"/>
                <w:b/>
                <w:bCs/>
                <w:sz w:val="21"/>
                <w:szCs w:val="21"/>
              </w:rPr>
            </w:pPr>
            <w:r>
              <w:rPr>
                <w:rFonts w:ascii="Times New Roman" w:cs="Times New Roman"/>
                <w:b/>
                <w:bCs/>
                <w:sz w:val="21"/>
                <w:szCs w:val="21"/>
              </w:rPr>
              <w:t>小</w:t>
            </w:r>
          </w:p>
        </w:tc>
        <w:tc>
          <w:tcPr>
            <w:tcW w:w="792" w:type="dxa"/>
            <w:vAlign w:val="center"/>
          </w:tcPr>
          <w:p w:rsidR="00BD5820" w:rsidRDefault="00F64314">
            <w:pPr>
              <w:snapToGrid w:val="0"/>
              <w:spacing w:line="240" w:lineRule="auto"/>
              <w:ind w:firstLineChars="0" w:firstLine="0"/>
              <w:jc w:val="center"/>
              <w:rPr>
                <w:rFonts w:ascii="Times New Roman" w:cs="Times New Roman"/>
                <w:b/>
                <w:bCs/>
                <w:sz w:val="21"/>
                <w:szCs w:val="21"/>
              </w:rPr>
            </w:pPr>
            <w:r>
              <w:rPr>
                <w:rFonts w:ascii="Times New Roman" w:cs="Times New Roman"/>
                <w:b/>
                <w:bCs/>
                <w:sz w:val="21"/>
                <w:szCs w:val="21"/>
              </w:rPr>
              <w:t>大</w:t>
            </w:r>
          </w:p>
        </w:tc>
        <w:tc>
          <w:tcPr>
            <w:tcW w:w="792" w:type="dxa"/>
            <w:vAlign w:val="center"/>
          </w:tcPr>
          <w:p w:rsidR="00BD5820" w:rsidRDefault="00F64314">
            <w:pPr>
              <w:snapToGrid w:val="0"/>
              <w:spacing w:line="240" w:lineRule="auto"/>
              <w:ind w:firstLineChars="0" w:firstLine="0"/>
              <w:jc w:val="center"/>
              <w:rPr>
                <w:rFonts w:ascii="Times New Roman" w:cs="Times New Roman"/>
                <w:b/>
                <w:bCs/>
                <w:sz w:val="21"/>
                <w:szCs w:val="21"/>
              </w:rPr>
            </w:pPr>
            <w:r>
              <w:rPr>
                <w:rFonts w:ascii="Times New Roman" w:cs="Times New Roman"/>
                <w:b/>
                <w:bCs/>
                <w:sz w:val="21"/>
                <w:szCs w:val="21"/>
              </w:rPr>
              <w:t>中</w:t>
            </w:r>
          </w:p>
        </w:tc>
        <w:tc>
          <w:tcPr>
            <w:tcW w:w="793" w:type="dxa"/>
            <w:vAlign w:val="center"/>
          </w:tcPr>
          <w:p w:rsidR="00BD5820" w:rsidRDefault="00F64314">
            <w:pPr>
              <w:snapToGrid w:val="0"/>
              <w:spacing w:line="240" w:lineRule="auto"/>
              <w:ind w:firstLineChars="0" w:firstLine="0"/>
              <w:jc w:val="center"/>
              <w:rPr>
                <w:rFonts w:ascii="Times New Roman" w:cs="Times New Roman"/>
                <w:b/>
                <w:bCs/>
                <w:sz w:val="21"/>
                <w:szCs w:val="21"/>
              </w:rPr>
            </w:pPr>
            <w:r>
              <w:rPr>
                <w:rFonts w:ascii="Times New Roman" w:cs="Times New Roman"/>
                <w:b/>
                <w:bCs/>
                <w:sz w:val="21"/>
                <w:szCs w:val="21"/>
              </w:rPr>
              <w:t>小</w:t>
            </w:r>
          </w:p>
        </w:tc>
      </w:tr>
      <w:tr w:rsidR="00BD5820">
        <w:trPr>
          <w:trHeight w:val="340"/>
          <w:jc w:val="center"/>
        </w:trPr>
        <w:tc>
          <w:tcPr>
            <w:tcW w:w="1620" w:type="dxa"/>
            <w:vAlign w:val="center"/>
          </w:tcPr>
          <w:p w:rsidR="00BD5820" w:rsidRDefault="00F64314">
            <w:pPr>
              <w:snapToGrid w:val="0"/>
              <w:spacing w:line="240" w:lineRule="auto"/>
              <w:ind w:firstLineChars="0" w:firstLine="0"/>
              <w:jc w:val="center"/>
              <w:rPr>
                <w:rFonts w:ascii="Times New Roman" w:cs="Times New Roman"/>
                <w:sz w:val="21"/>
                <w:szCs w:val="21"/>
              </w:rPr>
            </w:pPr>
            <w:r>
              <w:rPr>
                <w:rFonts w:ascii="Times New Roman" w:cs="Times New Roman"/>
                <w:sz w:val="21"/>
                <w:szCs w:val="21"/>
              </w:rPr>
              <w:t>敏感</w:t>
            </w:r>
          </w:p>
        </w:tc>
        <w:tc>
          <w:tcPr>
            <w:tcW w:w="723" w:type="dxa"/>
            <w:vAlign w:val="center"/>
          </w:tcPr>
          <w:p w:rsidR="00BD5820" w:rsidRDefault="00F64314">
            <w:pPr>
              <w:snapToGrid w:val="0"/>
              <w:spacing w:line="240" w:lineRule="auto"/>
              <w:ind w:firstLineChars="0" w:firstLine="0"/>
              <w:jc w:val="center"/>
              <w:rPr>
                <w:rFonts w:ascii="Times New Roman" w:cs="Times New Roman"/>
                <w:sz w:val="21"/>
                <w:szCs w:val="21"/>
              </w:rPr>
            </w:pPr>
            <w:r>
              <w:rPr>
                <w:rFonts w:ascii="Times New Roman" w:cs="Times New Roman"/>
                <w:sz w:val="21"/>
                <w:szCs w:val="21"/>
              </w:rPr>
              <w:t>一级</w:t>
            </w:r>
          </w:p>
        </w:tc>
        <w:tc>
          <w:tcPr>
            <w:tcW w:w="791" w:type="dxa"/>
            <w:vAlign w:val="center"/>
          </w:tcPr>
          <w:p w:rsidR="00BD5820" w:rsidRDefault="00F64314">
            <w:pPr>
              <w:snapToGrid w:val="0"/>
              <w:spacing w:line="240" w:lineRule="auto"/>
              <w:ind w:firstLineChars="0" w:firstLine="0"/>
              <w:jc w:val="center"/>
              <w:rPr>
                <w:rFonts w:ascii="Times New Roman" w:cs="Times New Roman"/>
                <w:sz w:val="21"/>
                <w:szCs w:val="21"/>
              </w:rPr>
            </w:pPr>
            <w:r>
              <w:rPr>
                <w:rFonts w:ascii="Times New Roman" w:cs="Times New Roman"/>
                <w:sz w:val="21"/>
                <w:szCs w:val="21"/>
              </w:rPr>
              <w:t>一级</w:t>
            </w:r>
          </w:p>
        </w:tc>
        <w:tc>
          <w:tcPr>
            <w:tcW w:w="792" w:type="dxa"/>
            <w:vAlign w:val="center"/>
          </w:tcPr>
          <w:p w:rsidR="00BD5820" w:rsidRDefault="00F64314">
            <w:pPr>
              <w:snapToGrid w:val="0"/>
              <w:spacing w:line="240" w:lineRule="auto"/>
              <w:ind w:firstLineChars="0" w:firstLine="0"/>
              <w:jc w:val="center"/>
              <w:rPr>
                <w:rFonts w:ascii="Times New Roman" w:cs="Times New Roman"/>
                <w:sz w:val="21"/>
                <w:szCs w:val="21"/>
              </w:rPr>
            </w:pPr>
            <w:r>
              <w:rPr>
                <w:rFonts w:ascii="Times New Roman" w:cs="Times New Roman"/>
                <w:sz w:val="21"/>
                <w:szCs w:val="21"/>
              </w:rPr>
              <w:t>一级</w:t>
            </w:r>
          </w:p>
        </w:tc>
        <w:tc>
          <w:tcPr>
            <w:tcW w:w="792" w:type="dxa"/>
            <w:vAlign w:val="center"/>
          </w:tcPr>
          <w:p w:rsidR="00BD5820" w:rsidRDefault="00F64314">
            <w:pPr>
              <w:snapToGrid w:val="0"/>
              <w:spacing w:line="240" w:lineRule="auto"/>
              <w:ind w:firstLineChars="0" w:firstLine="0"/>
              <w:jc w:val="center"/>
              <w:rPr>
                <w:rFonts w:ascii="Times New Roman" w:cs="Times New Roman"/>
                <w:sz w:val="21"/>
                <w:szCs w:val="21"/>
              </w:rPr>
            </w:pPr>
            <w:r>
              <w:rPr>
                <w:rFonts w:ascii="Times New Roman" w:cs="Times New Roman"/>
                <w:sz w:val="21"/>
                <w:szCs w:val="21"/>
              </w:rPr>
              <w:t>二级</w:t>
            </w:r>
          </w:p>
        </w:tc>
        <w:tc>
          <w:tcPr>
            <w:tcW w:w="792" w:type="dxa"/>
            <w:vAlign w:val="center"/>
          </w:tcPr>
          <w:p w:rsidR="00BD5820" w:rsidRDefault="00F64314">
            <w:pPr>
              <w:snapToGrid w:val="0"/>
              <w:spacing w:line="240" w:lineRule="auto"/>
              <w:ind w:firstLineChars="0" w:firstLine="0"/>
              <w:jc w:val="center"/>
              <w:rPr>
                <w:rFonts w:ascii="Times New Roman" w:cs="Times New Roman"/>
                <w:sz w:val="21"/>
                <w:szCs w:val="21"/>
              </w:rPr>
            </w:pPr>
            <w:r>
              <w:rPr>
                <w:rFonts w:ascii="Times New Roman" w:cs="Times New Roman"/>
                <w:sz w:val="21"/>
                <w:szCs w:val="21"/>
              </w:rPr>
              <w:t>二级</w:t>
            </w:r>
          </w:p>
        </w:tc>
        <w:tc>
          <w:tcPr>
            <w:tcW w:w="792" w:type="dxa"/>
            <w:vAlign w:val="center"/>
          </w:tcPr>
          <w:p w:rsidR="00BD5820" w:rsidRDefault="00F64314">
            <w:pPr>
              <w:snapToGrid w:val="0"/>
              <w:spacing w:line="240" w:lineRule="auto"/>
              <w:ind w:firstLineChars="0" w:firstLine="0"/>
              <w:jc w:val="center"/>
              <w:rPr>
                <w:rFonts w:ascii="Times New Roman" w:cs="Times New Roman"/>
                <w:sz w:val="21"/>
                <w:szCs w:val="21"/>
              </w:rPr>
            </w:pPr>
            <w:r>
              <w:rPr>
                <w:rFonts w:ascii="Times New Roman" w:cs="Times New Roman"/>
                <w:b/>
                <w:bCs/>
                <w:sz w:val="21"/>
                <w:szCs w:val="21"/>
              </w:rPr>
              <w:t>二级</w:t>
            </w:r>
          </w:p>
        </w:tc>
        <w:tc>
          <w:tcPr>
            <w:tcW w:w="792" w:type="dxa"/>
            <w:shd w:val="clear" w:color="auto" w:fill="FFFFFF"/>
            <w:vAlign w:val="center"/>
          </w:tcPr>
          <w:p w:rsidR="00BD5820" w:rsidRDefault="00F64314">
            <w:pPr>
              <w:snapToGrid w:val="0"/>
              <w:spacing w:line="240" w:lineRule="auto"/>
              <w:ind w:firstLineChars="0" w:firstLine="0"/>
              <w:jc w:val="center"/>
              <w:rPr>
                <w:rFonts w:ascii="Times New Roman" w:cs="Times New Roman"/>
                <w:sz w:val="21"/>
                <w:szCs w:val="21"/>
              </w:rPr>
            </w:pPr>
            <w:r>
              <w:rPr>
                <w:rFonts w:ascii="Times New Roman" w:cs="Times New Roman"/>
                <w:sz w:val="21"/>
                <w:szCs w:val="21"/>
              </w:rPr>
              <w:t>三级</w:t>
            </w:r>
          </w:p>
        </w:tc>
        <w:tc>
          <w:tcPr>
            <w:tcW w:w="792" w:type="dxa"/>
            <w:shd w:val="clear" w:color="auto" w:fill="FFFFFF"/>
            <w:vAlign w:val="center"/>
          </w:tcPr>
          <w:p w:rsidR="00BD5820" w:rsidRDefault="00F64314">
            <w:pPr>
              <w:snapToGrid w:val="0"/>
              <w:spacing w:line="240" w:lineRule="auto"/>
              <w:ind w:firstLineChars="0" w:firstLine="0"/>
              <w:jc w:val="center"/>
              <w:rPr>
                <w:rFonts w:ascii="Times New Roman" w:cs="Times New Roman"/>
                <w:sz w:val="21"/>
                <w:szCs w:val="21"/>
              </w:rPr>
            </w:pPr>
            <w:r>
              <w:rPr>
                <w:rFonts w:ascii="Times New Roman" w:cs="Times New Roman"/>
                <w:sz w:val="21"/>
                <w:szCs w:val="21"/>
              </w:rPr>
              <w:t>三级</w:t>
            </w:r>
          </w:p>
        </w:tc>
        <w:tc>
          <w:tcPr>
            <w:tcW w:w="793" w:type="dxa"/>
            <w:shd w:val="clear" w:color="auto" w:fill="FFFFFF"/>
            <w:vAlign w:val="center"/>
          </w:tcPr>
          <w:p w:rsidR="00BD5820" w:rsidRDefault="00F64314">
            <w:pPr>
              <w:snapToGrid w:val="0"/>
              <w:spacing w:line="240" w:lineRule="auto"/>
              <w:ind w:firstLineChars="0" w:firstLine="0"/>
              <w:jc w:val="center"/>
              <w:rPr>
                <w:rFonts w:ascii="Times New Roman" w:cs="Times New Roman"/>
                <w:sz w:val="21"/>
                <w:szCs w:val="21"/>
              </w:rPr>
            </w:pPr>
            <w:r>
              <w:rPr>
                <w:rFonts w:ascii="Times New Roman" w:cs="Times New Roman"/>
                <w:sz w:val="21"/>
                <w:szCs w:val="21"/>
              </w:rPr>
              <w:t>三级</w:t>
            </w:r>
          </w:p>
        </w:tc>
      </w:tr>
      <w:tr w:rsidR="00BD5820">
        <w:trPr>
          <w:trHeight w:val="340"/>
          <w:jc w:val="center"/>
        </w:trPr>
        <w:tc>
          <w:tcPr>
            <w:tcW w:w="1620" w:type="dxa"/>
            <w:vAlign w:val="center"/>
          </w:tcPr>
          <w:p w:rsidR="00BD5820" w:rsidRDefault="00F64314">
            <w:pPr>
              <w:snapToGrid w:val="0"/>
              <w:spacing w:line="240" w:lineRule="auto"/>
              <w:ind w:firstLineChars="0" w:firstLine="0"/>
              <w:jc w:val="center"/>
              <w:rPr>
                <w:rFonts w:ascii="Times New Roman" w:cs="Times New Roman"/>
                <w:sz w:val="21"/>
                <w:szCs w:val="21"/>
              </w:rPr>
            </w:pPr>
            <w:r>
              <w:rPr>
                <w:rFonts w:ascii="Times New Roman" w:cs="Times New Roman"/>
                <w:sz w:val="21"/>
                <w:szCs w:val="21"/>
              </w:rPr>
              <w:t>较敏感</w:t>
            </w:r>
          </w:p>
        </w:tc>
        <w:tc>
          <w:tcPr>
            <w:tcW w:w="723" w:type="dxa"/>
            <w:vAlign w:val="center"/>
          </w:tcPr>
          <w:p w:rsidR="00BD5820" w:rsidRDefault="00F64314">
            <w:pPr>
              <w:snapToGrid w:val="0"/>
              <w:spacing w:line="240" w:lineRule="auto"/>
              <w:ind w:firstLineChars="0" w:firstLine="0"/>
              <w:jc w:val="center"/>
              <w:rPr>
                <w:rFonts w:ascii="Times New Roman" w:cs="Times New Roman"/>
                <w:sz w:val="21"/>
                <w:szCs w:val="21"/>
              </w:rPr>
            </w:pPr>
            <w:r>
              <w:rPr>
                <w:rFonts w:ascii="Times New Roman" w:cs="Times New Roman"/>
                <w:sz w:val="21"/>
                <w:szCs w:val="21"/>
              </w:rPr>
              <w:t>一级</w:t>
            </w:r>
          </w:p>
        </w:tc>
        <w:tc>
          <w:tcPr>
            <w:tcW w:w="791" w:type="dxa"/>
            <w:vAlign w:val="center"/>
          </w:tcPr>
          <w:p w:rsidR="00BD5820" w:rsidRDefault="00F64314">
            <w:pPr>
              <w:snapToGrid w:val="0"/>
              <w:spacing w:line="240" w:lineRule="auto"/>
              <w:ind w:firstLineChars="0" w:firstLine="0"/>
              <w:jc w:val="center"/>
              <w:rPr>
                <w:rFonts w:ascii="Times New Roman" w:cs="Times New Roman"/>
                <w:sz w:val="21"/>
                <w:szCs w:val="21"/>
              </w:rPr>
            </w:pPr>
            <w:r>
              <w:rPr>
                <w:rFonts w:ascii="Times New Roman" w:cs="Times New Roman"/>
                <w:sz w:val="21"/>
                <w:szCs w:val="21"/>
              </w:rPr>
              <w:t>一级</w:t>
            </w:r>
          </w:p>
        </w:tc>
        <w:tc>
          <w:tcPr>
            <w:tcW w:w="792" w:type="dxa"/>
            <w:vAlign w:val="center"/>
          </w:tcPr>
          <w:p w:rsidR="00BD5820" w:rsidRDefault="00F64314">
            <w:pPr>
              <w:snapToGrid w:val="0"/>
              <w:spacing w:line="240" w:lineRule="auto"/>
              <w:ind w:firstLineChars="0" w:firstLine="0"/>
              <w:jc w:val="center"/>
              <w:rPr>
                <w:rFonts w:ascii="Times New Roman" w:cs="Times New Roman"/>
                <w:sz w:val="21"/>
                <w:szCs w:val="21"/>
              </w:rPr>
            </w:pPr>
            <w:r>
              <w:rPr>
                <w:rFonts w:ascii="Times New Roman" w:cs="Times New Roman"/>
                <w:sz w:val="21"/>
                <w:szCs w:val="21"/>
              </w:rPr>
              <w:t>二级</w:t>
            </w:r>
          </w:p>
        </w:tc>
        <w:tc>
          <w:tcPr>
            <w:tcW w:w="792" w:type="dxa"/>
            <w:vAlign w:val="center"/>
          </w:tcPr>
          <w:p w:rsidR="00BD5820" w:rsidRDefault="00F64314">
            <w:pPr>
              <w:snapToGrid w:val="0"/>
              <w:spacing w:line="240" w:lineRule="auto"/>
              <w:ind w:firstLineChars="0" w:firstLine="0"/>
              <w:jc w:val="center"/>
              <w:rPr>
                <w:rFonts w:ascii="Times New Roman" w:cs="Times New Roman"/>
                <w:sz w:val="21"/>
                <w:szCs w:val="21"/>
              </w:rPr>
            </w:pPr>
            <w:r>
              <w:rPr>
                <w:rFonts w:ascii="Times New Roman" w:cs="Times New Roman"/>
                <w:sz w:val="21"/>
                <w:szCs w:val="21"/>
              </w:rPr>
              <w:t>二级</w:t>
            </w:r>
          </w:p>
        </w:tc>
        <w:tc>
          <w:tcPr>
            <w:tcW w:w="792" w:type="dxa"/>
            <w:vAlign w:val="center"/>
          </w:tcPr>
          <w:p w:rsidR="00BD5820" w:rsidRDefault="00F64314">
            <w:pPr>
              <w:snapToGrid w:val="0"/>
              <w:spacing w:line="240" w:lineRule="auto"/>
              <w:ind w:firstLineChars="0" w:firstLine="0"/>
              <w:jc w:val="center"/>
              <w:rPr>
                <w:rFonts w:ascii="Times New Roman" w:cs="Times New Roman"/>
                <w:sz w:val="21"/>
                <w:szCs w:val="21"/>
              </w:rPr>
            </w:pPr>
            <w:r>
              <w:rPr>
                <w:rFonts w:ascii="Times New Roman" w:cs="Times New Roman"/>
                <w:sz w:val="21"/>
                <w:szCs w:val="21"/>
              </w:rPr>
              <w:t>二级</w:t>
            </w:r>
          </w:p>
        </w:tc>
        <w:tc>
          <w:tcPr>
            <w:tcW w:w="792" w:type="dxa"/>
            <w:vAlign w:val="center"/>
          </w:tcPr>
          <w:p w:rsidR="00BD5820" w:rsidRDefault="00F64314">
            <w:pPr>
              <w:snapToGrid w:val="0"/>
              <w:spacing w:line="240" w:lineRule="auto"/>
              <w:ind w:firstLineChars="0" w:firstLine="0"/>
              <w:jc w:val="center"/>
              <w:rPr>
                <w:rFonts w:ascii="Times New Roman" w:cs="Times New Roman"/>
                <w:sz w:val="21"/>
                <w:szCs w:val="21"/>
              </w:rPr>
            </w:pPr>
            <w:r>
              <w:rPr>
                <w:rFonts w:ascii="Times New Roman" w:cs="Times New Roman"/>
                <w:sz w:val="21"/>
                <w:szCs w:val="21"/>
              </w:rPr>
              <w:t>三级</w:t>
            </w:r>
          </w:p>
        </w:tc>
        <w:tc>
          <w:tcPr>
            <w:tcW w:w="792" w:type="dxa"/>
            <w:vAlign w:val="center"/>
          </w:tcPr>
          <w:p w:rsidR="00BD5820" w:rsidRDefault="00F64314">
            <w:pPr>
              <w:snapToGrid w:val="0"/>
              <w:spacing w:line="240" w:lineRule="auto"/>
              <w:ind w:firstLineChars="0" w:firstLine="0"/>
              <w:jc w:val="center"/>
              <w:rPr>
                <w:rFonts w:ascii="Times New Roman" w:cs="Times New Roman"/>
                <w:sz w:val="21"/>
                <w:szCs w:val="21"/>
              </w:rPr>
            </w:pPr>
            <w:r>
              <w:rPr>
                <w:rFonts w:ascii="Times New Roman" w:cs="Times New Roman"/>
                <w:sz w:val="21"/>
                <w:szCs w:val="21"/>
              </w:rPr>
              <w:t>三级</w:t>
            </w:r>
          </w:p>
        </w:tc>
        <w:tc>
          <w:tcPr>
            <w:tcW w:w="792" w:type="dxa"/>
            <w:vAlign w:val="center"/>
          </w:tcPr>
          <w:p w:rsidR="00BD5820" w:rsidRDefault="00F64314">
            <w:pPr>
              <w:snapToGrid w:val="0"/>
              <w:spacing w:line="240" w:lineRule="auto"/>
              <w:ind w:firstLineChars="0" w:firstLine="0"/>
              <w:jc w:val="center"/>
              <w:rPr>
                <w:rFonts w:ascii="Times New Roman" w:cs="Times New Roman"/>
                <w:sz w:val="21"/>
                <w:szCs w:val="21"/>
              </w:rPr>
            </w:pPr>
            <w:r>
              <w:rPr>
                <w:rFonts w:ascii="Times New Roman" w:cs="Times New Roman"/>
                <w:sz w:val="21"/>
                <w:szCs w:val="21"/>
              </w:rPr>
              <w:t>三级</w:t>
            </w:r>
          </w:p>
        </w:tc>
        <w:tc>
          <w:tcPr>
            <w:tcW w:w="793" w:type="dxa"/>
            <w:vAlign w:val="center"/>
          </w:tcPr>
          <w:p w:rsidR="00BD5820" w:rsidRDefault="00F64314">
            <w:pPr>
              <w:snapToGrid w:val="0"/>
              <w:spacing w:line="240" w:lineRule="auto"/>
              <w:ind w:firstLineChars="0" w:firstLine="0"/>
              <w:jc w:val="center"/>
              <w:rPr>
                <w:rFonts w:ascii="Times New Roman" w:cs="Times New Roman"/>
                <w:sz w:val="21"/>
                <w:szCs w:val="21"/>
              </w:rPr>
            </w:pPr>
            <w:r>
              <w:rPr>
                <w:rFonts w:ascii="Times New Roman" w:cs="Times New Roman"/>
                <w:sz w:val="21"/>
                <w:szCs w:val="21"/>
              </w:rPr>
              <w:t>-</w:t>
            </w:r>
          </w:p>
        </w:tc>
      </w:tr>
      <w:tr w:rsidR="00BD5820">
        <w:trPr>
          <w:trHeight w:val="340"/>
          <w:jc w:val="center"/>
        </w:trPr>
        <w:tc>
          <w:tcPr>
            <w:tcW w:w="1620" w:type="dxa"/>
            <w:vAlign w:val="center"/>
          </w:tcPr>
          <w:p w:rsidR="00BD5820" w:rsidRDefault="00F64314">
            <w:pPr>
              <w:snapToGrid w:val="0"/>
              <w:spacing w:line="240" w:lineRule="auto"/>
              <w:ind w:firstLineChars="0" w:firstLine="0"/>
              <w:jc w:val="center"/>
              <w:rPr>
                <w:rFonts w:ascii="Times New Roman" w:cs="Times New Roman"/>
                <w:sz w:val="21"/>
                <w:szCs w:val="21"/>
              </w:rPr>
            </w:pPr>
            <w:r>
              <w:rPr>
                <w:rFonts w:ascii="Times New Roman" w:cs="Times New Roman"/>
                <w:sz w:val="21"/>
                <w:szCs w:val="21"/>
              </w:rPr>
              <w:t>不敏感</w:t>
            </w:r>
          </w:p>
        </w:tc>
        <w:tc>
          <w:tcPr>
            <w:tcW w:w="723" w:type="dxa"/>
            <w:vAlign w:val="center"/>
          </w:tcPr>
          <w:p w:rsidR="00BD5820" w:rsidRDefault="00F64314">
            <w:pPr>
              <w:snapToGrid w:val="0"/>
              <w:spacing w:line="240" w:lineRule="auto"/>
              <w:ind w:firstLineChars="0" w:firstLine="0"/>
              <w:jc w:val="center"/>
              <w:rPr>
                <w:rFonts w:ascii="Times New Roman" w:cs="Times New Roman"/>
                <w:sz w:val="21"/>
                <w:szCs w:val="21"/>
              </w:rPr>
            </w:pPr>
            <w:r>
              <w:rPr>
                <w:rFonts w:ascii="Times New Roman" w:cs="Times New Roman"/>
                <w:sz w:val="21"/>
                <w:szCs w:val="21"/>
              </w:rPr>
              <w:t>一级</w:t>
            </w:r>
          </w:p>
        </w:tc>
        <w:tc>
          <w:tcPr>
            <w:tcW w:w="791" w:type="dxa"/>
            <w:vAlign w:val="center"/>
          </w:tcPr>
          <w:p w:rsidR="00BD5820" w:rsidRDefault="00F64314">
            <w:pPr>
              <w:snapToGrid w:val="0"/>
              <w:spacing w:line="240" w:lineRule="auto"/>
              <w:ind w:firstLineChars="0" w:firstLine="0"/>
              <w:jc w:val="center"/>
              <w:rPr>
                <w:rFonts w:ascii="Times New Roman" w:cs="Times New Roman"/>
                <w:sz w:val="21"/>
                <w:szCs w:val="21"/>
              </w:rPr>
            </w:pPr>
            <w:r>
              <w:rPr>
                <w:rFonts w:ascii="Times New Roman" w:cs="Times New Roman"/>
                <w:sz w:val="21"/>
                <w:szCs w:val="21"/>
              </w:rPr>
              <w:t>二级</w:t>
            </w:r>
          </w:p>
        </w:tc>
        <w:tc>
          <w:tcPr>
            <w:tcW w:w="792" w:type="dxa"/>
            <w:vAlign w:val="center"/>
          </w:tcPr>
          <w:p w:rsidR="00BD5820" w:rsidRDefault="00F64314">
            <w:pPr>
              <w:snapToGrid w:val="0"/>
              <w:spacing w:line="240" w:lineRule="auto"/>
              <w:ind w:firstLineChars="0" w:firstLine="0"/>
              <w:jc w:val="center"/>
              <w:rPr>
                <w:rFonts w:ascii="Times New Roman" w:cs="Times New Roman"/>
                <w:sz w:val="21"/>
                <w:szCs w:val="21"/>
              </w:rPr>
            </w:pPr>
            <w:r>
              <w:rPr>
                <w:rFonts w:ascii="Times New Roman" w:cs="Times New Roman"/>
                <w:sz w:val="21"/>
                <w:szCs w:val="21"/>
              </w:rPr>
              <w:t>二级</w:t>
            </w:r>
          </w:p>
        </w:tc>
        <w:tc>
          <w:tcPr>
            <w:tcW w:w="792" w:type="dxa"/>
            <w:vAlign w:val="center"/>
          </w:tcPr>
          <w:p w:rsidR="00BD5820" w:rsidRDefault="00F64314">
            <w:pPr>
              <w:snapToGrid w:val="0"/>
              <w:spacing w:line="240" w:lineRule="auto"/>
              <w:ind w:firstLineChars="0" w:firstLine="0"/>
              <w:jc w:val="center"/>
              <w:rPr>
                <w:rFonts w:ascii="Times New Roman" w:cs="Times New Roman"/>
                <w:sz w:val="21"/>
                <w:szCs w:val="21"/>
              </w:rPr>
            </w:pPr>
            <w:r>
              <w:rPr>
                <w:rFonts w:ascii="Times New Roman" w:cs="Times New Roman"/>
                <w:sz w:val="21"/>
                <w:szCs w:val="21"/>
              </w:rPr>
              <w:t>二级</w:t>
            </w:r>
          </w:p>
        </w:tc>
        <w:tc>
          <w:tcPr>
            <w:tcW w:w="792" w:type="dxa"/>
            <w:vAlign w:val="center"/>
          </w:tcPr>
          <w:p w:rsidR="00BD5820" w:rsidRDefault="00F64314">
            <w:pPr>
              <w:snapToGrid w:val="0"/>
              <w:spacing w:line="240" w:lineRule="auto"/>
              <w:ind w:firstLineChars="0" w:firstLine="0"/>
              <w:jc w:val="center"/>
              <w:rPr>
                <w:rFonts w:ascii="Times New Roman" w:cs="Times New Roman"/>
                <w:sz w:val="21"/>
                <w:szCs w:val="21"/>
              </w:rPr>
            </w:pPr>
            <w:r>
              <w:rPr>
                <w:rFonts w:ascii="Times New Roman" w:cs="Times New Roman"/>
                <w:sz w:val="21"/>
                <w:szCs w:val="21"/>
              </w:rPr>
              <w:t>三级</w:t>
            </w:r>
          </w:p>
        </w:tc>
        <w:tc>
          <w:tcPr>
            <w:tcW w:w="792" w:type="dxa"/>
            <w:vAlign w:val="center"/>
          </w:tcPr>
          <w:p w:rsidR="00BD5820" w:rsidRDefault="00F64314">
            <w:pPr>
              <w:snapToGrid w:val="0"/>
              <w:spacing w:line="240" w:lineRule="auto"/>
              <w:ind w:firstLineChars="0" w:firstLine="0"/>
              <w:jc w:val="center"/>
              <w:rPr>
                <w:rFonts w:ascii="Times New Roman" w:cs="Times New Roman"/>
                <w:sz w:val="21"/>
                <w:szCs w:val="21"/>
              </w:rPr>
            </w:pPr>
            <w:r>
              <w:rPr>
                <w:rFonts w:ascii="Times New Roman" w:cs="Times New Roman"/>
                <w:sz w:val="21"/>
                <w:szCs w:val="21"/>
              </w:rPr>
              <w:t>三级</w:t>
            </w:r>
          </w:p>
        </w:tc>
        <w:tc>
          <w:tcPr>
            <w:tcW w:w="792" w:type="dxa"/>
            <w:vAlign w:val="center"/>
          </w:tcPr>
          <w:p w:rsidR="00BD5820" w:rsidRDefault="00F64314">
            <w:pPr>
              <w:snapToGrid w:val="0"/>
              <w:spacing w:line="240" w:lineRule="auto"/>
              <w:ind w:firstLineChars="0" w:firstLine="0"/>
              <w:jc w:val="center"/>
              <w:rPr>
                <w:rFonts w:ascii="Times New Roman" w:cs="Times New Roman"/>
                <w:sz w:val="21"/>
                <w:szCs w:val="21"/>
              </w:rPr>
            </w:pPr>
            <w:r>
              <w:rPr>
                <w:rFonts w:ascii="Times New Roman" w:cs="Times New Roman"/>
                <w:sz w:val="21"/>
                <w:szCs w:val="21"/>
              </w:rPr>
              <w:t>三级</w:t>
            </w:r>
          </w:p>
        </w:tc>
        <w:tc>
          <w:tcPr>
            <w:tcW w:w="792" w:type="dxa"/>
            <w:vAlign w:val="center"/>
          </w:tcPr>
          <w:p w:rsidR="00BD5820" w:rsidRDefault="00F64314">
            <w:pPr>
              <w:snapToGrid w:val="0"/>
              <w:spacing w:line="240" w:lineRule="auto"/>
              <w:ind w:firstLineChars="0" w:firstLine="0"/>
              <w:jc w:val="center"/>
              <w:rPr>
                <w:rFonts w:ascii="Times New Roman" w:cs="Times New Roman"/>
                <w:sz w:val="21"/>
                <w:szCs w:val="21"/>
              </w:rPr>
            </w:pPr>
            <w:r>
              <w:rPr>
                <w:rFonts w:ascii="Times New Roman" w:cs="Times New Roman"/>
                <w:sz w:val="21"/>
                <w:szCs w:val="21"/>
              </w:rPr>
              <w:t>-</w:t>
            </w:r>
          </w:p>
        </w:tc>
        <w:tc>
          <w:tcPr>
            <w:tcW w:w="793" w:type="dxa"/>
            <w:vAlign w:val="center"/>
          </w:tcPr>
          <w:p w:rsidR="00BD5820" w:rsidRDefault="00F64314">
            <w:pPr>
              <w:snapToGrid w:val="0"/>
              <w:spacing w:line="240" w:lineRule="auto"/>
              <w:ind w:firstLineChars="0" w:firstLine="0"/>
              <w:jc w:val="center"/>
              <w:rPr>
                <w:rFonts w:ascii="Times New Roman" w:cs="Times New Roman"/>
                <w:sz w:val="21"/>
                <w:szCs w:val="21"/>
              </w:rPr>
            </w:pPr>
            <w:r>
              <w:rPr>
                <w:rFonts w:ascii="Times New Roman" w:cs="Times New Roman"/>
                <w:sz w:val="21"/>
                <w:szCs w:val="21"/>
              </w:rPr>
              <w:t>-</w:t>
            </w:r>
          </w:p>
        </w:tc>
      </w:tr>
      <w:tr w:rsidR="00BD5820">
        <w:trPr>
          <w:trHeight w:val="340"/>
          <w:jc w:val="center"/>
        </w:trPr>
        <w:tc>
          <w:tcPr>
            <w:tcW w:w="8679" w:type="dxa"/>
            <w:gridSpan w:val="10"/>
            <w:vAlign w:val="center"/>
          </w:tcPr>
          <w:p w:rsidR="00BD5820" w:rsidRDefault="00F64314">
            <w:pPr>
              <w:snapToGrid w:val="0"/>
              <w:spacing w:line="240" w:lineRule="auto"/>
              <w:ind w:firstLineChars="0" w:firstLine="0"/>
              <w:rPr>
                <w:rFonts w:ascii="Times New Roman" w:cs="Times New Roman"/>
                <w:sz w:val="21"/>
                <w:szCs w:val="21"/>
              </w:rPr>
            </w:pPr>
            <w:r>
              <w:rPr>
                <w:rFonts w:ascii="Times New Roman" w:cs="Times New Roman"/>
                <w:sz w:val="21"/>
                <w:szCs w:val="21"/>
              </w:rPr>
              <w:t>注：</w:t>
            </w:r>
            <w:r>
              <w:rPr>
                <w:rFonts w:ascii="Times New Roman" w:cs="Times New Roman"/>
                <w:sz w:val="21"/>
                <w:szCs w:val="21"/>
              </w:rPr>
              <w:t>“-”</w:t>
            </w:r>
            <w:r>
              <w:rPr>
                <w:rFonts w:ascii="Times New Roman" w:cs="Times New Roman"/>
                <w:sz w:val="21"/>
                <w:szCs w:val="21"/>
              </w:rPr>
              <w:t>表示可不开展土壤环境影响评价工作</w:t>
            </w:r>
          </w:p>
        </w:tc>
      </w:tr>
    </w:tbl>
    <w:p w:rsidR="00BD5820" w:rsidRDefault="00F64314">
      <w:pPr>
        <w:pStyle w:val="affa"/>
        <w:ind w:firstLine="480"/>
      </w:pPr>
      <w:r>
        <w:t>根据《环境影响评价技术导则</w:t>
      </w:r>
      <w:r>
        <w:rPr>
          <w:rFonts w:hint="eastAsia"/>
        </w:rPr>
        <w:t xml:space="preserve"> </w:t>
      </w:r>
      <w:r>
        <w:t>土壤环境（试行）》（</w:t>
      </w:r>
      <w:r>
        <w:t>HJ964-2018</w:t>
      </w:r>
      <w:r>
        <w:t>）第</w:t>
      </w:r>
      <w:r>
        <w:t>6.2.2.3</w:t>
      </w:r>
      <w:r>
        <w:t>条规定，</w:t>
      </w:r>
      <w:r>
        <w:rPr>
          <w:rFonts w:hint="eastAsia"/>
        </w:rPr>
        <w:t>本项目</w:t>
      </w:r>
      <w:r>
        <w:t>土壤环境评价工作等级均为二级。</w:t>
      </w:r>
    </w:p>
    <w:p w:rsidR="00BD5820" w:rsidRDefault="00F64314">
      <w:pPr>
        <w:ind w:firstLineChars="199" w:firstLine="487"/>
        <w:rPr>
          <w:rFonts w:ascii="Times New Roman" w:cs="Times New Roman"/>
          <w:b/>
          <w:bCs/>
          <w:spacing w:val="2"/>
          <w:kern w:val="2"/>
          <w:position w:val="2"/>
          <w:szCs w:val="22"/>
        </w:rPr>
      </w:pPr>
      <w:r>
        <w:rPr>
          <w:rFonts w:ascii="Times New Roman" w:cs="Times New Roman"/>
          <w:b/>
          <w:bCs/>
          <w:spacing w:val="2"/>
          <w:kern w:val="2"/>
          <w:position w:val="2"/>
          <w:szCs w:val="22"/>
        </w:rPr>
        <w:t>2</w:t>
      </w:r>
      <w:r>
        <w:rPr>
          <w:rFonts w:ascii="Times New Roman" w:cs="Times New Roman"/>
          <w:b/>
          <w:bCs/>
          <w:spacing w:val="2"/>
          <w:kern w:val="2"/>
          <w:position w:val="2"/>
          <w:szCs w:val="22"/>
        </w:rPr>
        <w:t>、评价范围</w:t>
      </w:r>
    </w:p>
    <w:p w:rsidR="00BD5820" w:rsidRDefault="00F64314">
      <w:pPr>
        <w:pStyle w:val="affa"/>
        <w:ind w:firstLine="480"/>
      </w:pPr>
      <w:r>
        <w:t>本项目为土壤二级评价，重点针对主要站场进行评价，因此评价范围为站场</w:t>
      </w:r>
      <w:r>
        <w:lastRenderedPageBreak/>
        <w:t>外</w:t>
      </w:r>
      <w:r>
        <w:t>200m</w:t>
      </w:r>
      <w:r>
        <w:t>。</w:t>
      </w:r>
    </w:p>
    <w:p w:rsidR="00BD5820" w:rsidRDefault="00F64314">
      <w:pPr>
        <w:keepNext/>
        <w:keepLines/>
        <w:ind w:firstLineChars="0" w:firstLine="0"/>
        <w:outlineLvl w:val="2"/>
        <w:rPr>
          <w:rFonts w:ascii="Times New Roman" w:cs="Times New Roman"/>
          <w:b/>
          <w:szCs w:val="32"/>
        </w:rPr>
      </w:pPr>
      <w:r>
        <w:rPr>
          <w:rFonts w:ascii="Times New Roman" w:cs="Times New Roman"/>
          <w:b/>
          <w:szCs w:val="32"/>
        </w:rPr>
        <w:t xml:space="preserve">1.6.7 </w:t>
      </w:r>
      <w:r>
        <w:rPr>
          <w:rFonts w:ascii="Times New Roman" w:cs="Times New Roman"/>
          <w:b/>
          <w:szCs w:val="32"/>
        </w:rPr>
        <w:t>环境风险</w:t>
      </w:r>
    </w:p>
    <w:p w:rsidR="00BD5820" w:rsidRDefault="00F64314">
      <w:pPr>
        <w:ind w:firstLine="490"/>
        <w:rPr>
          <w:rFonts w:ascii="Times New Roman" w:cs="Times New Roman"/>
          <w:b/>
          <w:bCs/>
          <w:spacing w:val="2"/>
          <w:kern w:val="2"/>
          <w:position w:val="2"/>
          <w:szCs w:val="22"/>
        </w:rPr>
      </w:pPr>
      <w:bookmarkStart w:id="75" w:name="_Hlk53171179"/>
      <w:r>
        <w:rPr>
          <w:rFonts w:ascii="Times New Roman" w:cs="Times New Roman"/>
          <w:b/>
          <w:bCs/>
          <w:spacing w:val="2"/>
          <w:kern w:val="2"/>
          <w:position w:val="2"/>
          <w:szCs w:val="22"/>
        </w:rPr>
        <w:t>1</w:t>
      </w:r>
      <w:r>
        <w:rPr>
          <w:rFonts w:ascii="Times New Roman" w:cs="Times New Roman"/>
          <w:b/>
          <w:bCs/>
          <w:spacing w:val="2"/>
          <w:kern w:val="2"/>
          <w:position w:val="2"/>
          <w:szCs w:val="22"/>
        </w:rPr>
        <w:t>、评价等级</w:t>
      </w:r>
    </w:p>
    <w:p w:rsidR="00BD5820" w:rsidRDefault="00F64314">
      <w:pPr>
        <w:pStyle w:val="affa"/>
        <w:ind w:firstLine="480"/>
      </w:pPr>
      <w:r>
        <w:t>根据《建设项目环境风险评价技术导则》（</w:t>
      </w:r>
      <w:r>
        <w:t>HJ169-2018</w:t>
      </w:r>
      <w:r>
        <w:t>）中关于环境风险评价工作等级的划分方法，</w:t>
      </w:r>
      <w:r>
        <w:rPr>
          <w:rFonts w:hint="eastAsia"/>
        </w:rPr>
        <w:t>本项目</w:t>
      </w:r>
      <w:r>
        <w:t>输送的介质为含硫天然气，同时本项目涉及</w:t>
      </w:r>
      <w:r>
        <w:rPr>
          <w:rFonts w:hint="eastAsia"/>
        </w:rPr>
        <w:t>润滑油</w:t>
      </w:r>
      <w:r>
        <w:t>储存</w:t>
      </w:r>
      <w:r>
        <w:rPr>
          <w:rFonts w:hint="eastAsia"/>
        </w:rPr>
        <w:t>，</w:t>
      </w:r>
      <w:r>
        <w:t>项目涉及的主要危险有害物质为甲烷、硫化氢</w:t>
      </w:r>
      <w:r>
        <w:rPr>
          <w:rFonts w:hint="eastAsia"/>
        </w:rPr>
        <w:t>、润滑油。</w:t>
      </w:r>
      <w:r>
        <w:t>由于</w:t>
      </w:r>
      <w:r>
        <w:rPr>
          <w:rFonts w:hint="eastAsia"/>
        </w:rPr>
        <w:t>气田水</w:t>
      </w:r>
      <w:r>
        <w:t>不属于《建设项目</w:t>
      </w:r>
      <w:r>
        <w:rPr>
          <w:rFonts w:hint="eastAsia"/>
        </w:rPr>
        <w:t>环境</w:t>
      </w:r>
      <w:r>
        <w:t>风险评价技术导则》（</w:t>
      </w:r>
      <w:r>
        <w:t>HJ169-2018</w:t>
      </w:r>
      <w:r>
        <w:t>），附录</w:t>
      </w:r>
      <w:r>
        <w:t>B</w:t>
      </w:r>
      <w:r>
        <w:t>中重点关注的危险物质，根据分析</w:t>
      </w:r>
      <w:r>
        <w:rPr>
          <w:rFonts w:hint="eastAsia"/>
        </w:rPr>
        <w:t>气田水</w:t>
      </w:r>
      <w:r>
        <w:t>属于危害水环境物质，但不属于急性毒性类别</w:t>
      </w:r>
      <w:r>
        <w:t>1</w:t>
      </w:r>
      <w:r>
        <w:t>中物质。故不作为环境风险等级判定物质，本次评价仅对其在储存过程中的风险提出措施。</w:t>
      </w:r>
    </w:p>
    <w:p w:rsidR="00BD5820" w:rsidRDefault="00F64314">
      <w:pPr>
        <w:pStyle w:val="affa"/>
        <w:ind w:firstLine="480"/>
      </w:pPr>
      <w:r>
        <w:t>根据地</w:t>
      </w:r>
      <w:r>
        <w:t>7</w:t>
      </w:r>
      <w:r>
        <w:t>章环境风险分析，本项目危险</w:t>
      </w:r>
      <w:r>
        <w:rPr>
          <w:rFonts w:hint="eastAsia"/>
        </w:rPr>
        <w:t>物质</w:t>
      </w:r>
      <w:r>
        <w:t>最大存在量</w:t>
      </w:r>
      <w:r>
        <w:t>Q=</w:t>
      </w:r>
      <w:r>
        <w:rPr>
          <w:rFonts w:hint="eastAsia"/>
        </w:rPr>
        <w:t>1.4756</w:t>
      </w:r>
      <w:r>
        <w:rPr>
          <w:rFonts w:hint="eastAsia"/>
        </w:rPr>
        <w:t>，</w:t>
      </w:r>
      <w:r>
        <w:rPr>
          <w:rFonts w:hint="eastAsia"/>
        </w:rPr>
        <w:t>Q</w:t>
      </w:r>
      <w:r>
        <w:rPr>
          <w:rFonts w:hint="eastAsia"/>
        </w:rPr>
        <w:t>值划分为（</w:t>
      </w:r>
      <w:r>
        <w:rPr>
          <w:rFonts w:hint="eastAsia"/>
        </w:rPr>
        <w:t>1</w:t>
      </w:r>
      <w:r>
        <w:rPr>
          <w:rFonts w:hint="eastAsia"/>
        </w:rPr>
        <w:t>）</w:t>
      </w:r>
      <w:r>
        <w:rPr>
          <w:rFonts w:hint="eastAsia"/>
        </w:rPr>
        <w:t>1</w:t>
      </w:r>
      <w:r>
        <w:rPr>
          <w:rFonts w:hint="eastAsia"/>
        </w:rPr>
        <w:t>＜</w:t>
      </w:r>
      <w:r>
        <w:rPr>
          <w:rFonts w:hint="eastAsia"/>
        </w:rPr>
        <w:t>Q</w:t>
      </w:r>
      <w:r>
        <w:rPr>
          <w:rFonts w:hint="eastAsia"/>
        </w:rPr>
        <w:t>≤</w:t>
      </w:r>
      <w:r>
        <w:rPr>
          <w:rFonts w:hint="eastAsia"/>
        </w:rPr>
        <w:t>10</w:t>
      </w:r>
      <w:r>
        <w:rPr>
          <w:rFonts w:hint="eastAsia"/>
        </w:rPr>
        <w:t>；</w:t>
      </w:r>
      <w:r>
        <w:rPr>
          <w:kern w:val="2"/>
        </w:rPr>
        <w:t>本项目行业及生产工艺</w:t>
      </w:r>
      <w:r>
        <w:rPr>
          <w:kern w:val="2"/>
        </w:rPr>
        <w:t>M</w:t>
      </w:r>
      <w:r>
        <w:rPr>
          <w:kern w:val="2"/>
        </w:rPr>
        <w:t>为</w:t>
      </w:r>
      <w:r>
        <w:rPr>
          <w:rFonts w:hint="eastAsia"/>
          <w:kern w:val="2"/>
        </w:rPr>
        <w:t>15</w:t>
      </w:r>
      <w:r>
        <w:rPr>
          <w:kern w:val="2"/>
        </w:rPr>
        <w:t>，属于</w:t>
      </w:r>
      <w:r>
        <w:rPr>
          <w:rFonts w:hint="eastAsia"/>
          <w:kern w:val="2"/>
        </w:rPr>
        <w:t>（</w:t>
      </w:r>
      <w:r>
        <w:rPr>
          <w:rFonts w:hint="eastAsia"/>
          <w:kern w:val="2"/>
        </w:rPr>
        <w:t>2</w:t>
      </w:r>
      <w:r>
        <w:rPr>
          <w:rFonts w:hint="eastAsia"/>
          <w:kern w:val="2"/>
        </w:rPr>
        <w:t>）</w:t>
      </w:r>
      <w:r>
        <w:rPr>
          <w:kern w:val="2"/>
        </w:rPr>
        <w:t>10</w:t>
      </w:r>
      <w:r>
        <w:rPr>
          <w:kern w:val="2"/>
        </w:rPr>
        <w:t>＜</w:t>
      </w:r>
      <w:r>
        <w:rPr>
          <w:kern w:val="2"/>
        </w:rPr>
        <w:t>M≤20</w:t>
      </w:r>
      <w:r>
        <w:rPr>
          <w:rFonts w:hint="eastAsia"/>
          <w:kern w:val="2"/>
        </w:rPr>
        <w:t>（以</w:t>
      </w:r>
      <w:r>
        <w:rPr>
          <w:kern w:val="2"/>
        </w:rPr>
        <w:t>M</w:t>
      </w:r>
      <w:r>
        <w:rPr>
          <w:rFonts w:hint="eastAsia"/>
          <w:kern w:val="2"/>
        </w:rPr>
        <w:t>2</w:t>
      </w:r>
      <w:r>
        <w:rPr>
          <w:rFonts w:hint="eastAsia"/>
          <w:kern w:val="2"/>
        </w:rPr>
        <w:t>表示）；</w:t>
      </w:r>
      <w:r>
        <w:rPr>
          <w:kern w:val="2"/>
        </w:rPr>
        <w:t>本项目危险物质及工艺系统危险性等级（</w:t>
      </w:r>
      <w:r>
        <w:rPr>
          <w:kern w:val="2"/>
        </w:rPr>
        <w:t>P</w:t>
      </w:r>
      <w:r>
        <w:rPr>
          <w:kern w:val="2"/>
        </w:rPr>
        <w:t>）划分为</w:t>
      </w:r>
      <w:r>
        <w:rPr>
          <w:rFonts w:hint="eastAsia"/>
          <w:kern w:val="2"/>
        </w:rPr>
        <w:t>P3</w:t>
      </w:r>
      <w:r>
        <w:rPr>
          <w:rFonts w:hint="eastAsia"/>
          <w:kern w:val="2"/>
        </w:rPr>
        <w:t>，</w:t>
      </w:r>
      <w:r w:rsidRPr="00EE7F91">
        <w:rPr>
          <w:color w:val="FF0000"/>
          <w:kern w:val="2"/>
        </w:rPr>
        <w:t>大气环境敏感程度为</w:t>
      </w:r>
      <w:r w:rsidRPr="00EE7F91">
        <w:rPr>
          <w:color w:val="FF0000"/>
          <w:kern w:val="2"/>
        </w:rPr>
        <w:t>E</w:t>
      </w:r>
      <w:r w:rsidR="00EE7F91" w:rsidRPr="00EE7F91">
        <w:rPr>
          <w:rFonts w:hint="eastAsia"/>
          <w:color w:val="FF0000"/>
          <w:kern w:val="2"/>
        </w:rPr>
        <w:t>2</w:t>
      </w:r>
      <w:r>
        <w:rPr>
          <w:rFonts w:hint="eastAsia"/>
          <w:kern w:val="2"/>
        </w:rPr>
        <w:t>，</w:t>
      </w:r>
      <w:r>
        <w:rPr>
          <w:kern w:val="2"/>
        </w:rPr>
        <w:t>地表水环境敏感程度为</w:t>
      </w:r>
      <w:r>
        <w:rPr>
          <w:kern w:val="2"/>
        </w:rPr>
        <w:t>E2</w:t>
      </w:r>
      <w:r>
        <w:rPr>
          <w:rFonts w:hint="eastAsia"/>
          <w:kern w:val="2"/>
        </w:rPr>
        <w:t>，</w:t>
      </w:r>
      <w:r>
        <w:rPr>
          <w:kern w:val="2"/>
        </w:rPr>
        <w:t>地下水环境敏感程度为</w:t>
      </w:r>
      <w:r>
        <w:rPr>
          <w:kern w:val="2"/>
        </w:rPr>
        <w:t>E3</w:t>
      </w:r>
      <w:r>
        <w:rPr>
          <w:rFonts w:hint="eastAsia"/>
          <w:kern w:val="2"/>
        </w:rPr>
        <w:t>；</w:t>
      </w:r>
      <w:r>
        <w:rPr>
          <w:kern w:val="2"/>
        </w:rPr>
        <w:t>根据《建设项目环境风险评价技术导则》（</w:t>
      </w:r>
      <w:r>
        <w:rPr>
          <w:kern w:val="2"/>
        </w:rPr>
        <w:t>HJ169-2018</w:t>
      </w:r>
      <w:r>
        <w:rPr>
          <w:kern w:val="2"/>
        </w:rPr>
        <w:t>）中关于环境风险评价工作等级的划分方法，本项目风险潜势为</w:t>
      </w:r>
      <w:r>
        <w:rPr>
          <w:rFonts w:ascii="宋体" w:hAnsi="宋体" w:cs="宋体" w:hint="eastAsia"/>
          <w:kern w:val="2"/>
        </w:rPr>
        <w:t>Ⅲ</w:t>
      </w:r>
      <w:r>
        <w:rPr>
          <w:kern w:val="2"/>
        </w:rPr>
        <w:t>，确定本项目环境风险评价等级为</w:t>
      </w:r>
      <w:r>
        <w:rPr>
          <w:rFonts w:hint="eastAsia"/>
          <w:kern w:val="2"/>
        </w:rPr>
        <w:t>二级</w:t>
      </w:r>
      <w:r>
        <w:rPr>
          <w:kern w:val="2"/>
        </w:rPr>
        <w:t>。</w:t>
      </w:r>
    </w:p>
    <w:p w:rsidR="00BD5820" w:rsidRDefault="00F64314">
      <w:pPr>
        <w:ind w:firstLine="490"/>
        <w:rPr>
          <w:rFonts w:ascii="Times New Roman" w:cs="Times New Roman"/>
          <w:b/>
          <w:bCs/>
          <w:spacing w:val="2"/>
          <w:kern w:val="2"/>
          <w:position w:val="2"/>
          <w:szCs w:val="22"/>
        </w:rPr>
      </w:pPr>
      <w:bookmarkStart w:id="76" w:name="_Hlk53176163"/>
      <w:r>
        <w:rPr>
          <w:rFonts w:ascii="Times New Roman" w:cs="Times New Roman"/>
          <w:b/>
          <w:bCs/>
          <w:spacing w:val="2"/>
          <w:kern w:val="2"/>
          <w:position w:val="2"/>
          <w:szCs w:val="22"/>
        </w:rPr>
        <w:t>2</w:t>
      </w:r>
      <w:r>
        <w:rPr>
          <w:rFonts w:ascii="Times New Roman" w:cs="Times New Roman"/>
          <w:b/>
          <w:bCs/>
          <w:spacing w:val="2"/>
          <w:kern w:val="2"/>
          <w:position w:val="2"/>
          <w:szCs w:val="22"/>
        </w:rPr>
        <w:t>、评价范围</w:t>
      </w:r>
    </w:p>
    <w:bookmarkEnd w:id="75"/>
    <w:p w:rsidR="00BD5820" w:rsidRDefault="00F64314">
      <w:pPr>
        <w:pStyle w:val="affa"/>
        <w:ind w:firstLine="480"/>
      </w:pPr>
      <w:r>
        <w:t>风险评价范围为沿管线两侧各</w:t>
      </w:r>
      <w:r>
        <w:rPr>
          <w:rFonts w:hint="eastAsia"/>
        </w:rPr>
        <w:t>2</w:t>
      </w:r>
      <w:r>
        <w:t>00m</w:t>
      </w:r>
      <w:r>
        <w:t>的带状区域</w:t>
      </w:r>
      <w:r>
        <w:rPr>
          <w:rFonts w:hint="eastAsia"/>
        </w:rPr>
        <w:t>，</w:t>
      </w:r>
      <w:r>
        <w:t>站场</w:t>
      </w:r>
      <w:r>
        <w:rPr>
          <w:rFonts w:hint="eastAsia"/>
        </w:rPr>
        <w:t>周边</w:t>
      </w:r>
      <w:r>
        <w:rPr>
          <w:rFonts w:hint="eastAsia"/>
        </w:rPr>
        <w:t>5km</w:t>
      </w:r>
      <w:r>
        <w:rPr>
          <w:rFonts w:hint="eastAsia"/>
        </w:rPr>
        <w:t>区域</w:t>
      </w:r>
      <w:r>
        <w:t>。</w:t>
      </w:r>
    </w:p>
    <w:bookmarkEnd w:id="76"/>
    <w:p w:rsidR="00BD5820" w:rsidRDefault="00F64314">
      <w:pPr>
        <w:keepNext/>
        <w:keepLines/>
        <w:ind w:firstLineChars="0" w:firstLine="0"/>
        <w:outlineLvl w:val="2"/>
        <w:rPr>
          <w:rFonts w:ascii="Times New Roman" w:cs="Times New Roman"/>
          <w:b/>
          <w:szCs w:val="32"/>
        </w:rPr>
      </w:pPr>
      <w:r>
        <w:rPr>
          <w:rFonts w:ascii="Times New Roman" w:cs="Times New Roman"/>
          <w:b/>
          <w:szCs w:val="32"/>
        </w:rPr>
        <w:t xml:space="preserve">1.6.8 </w:t>
      </w:r>
      <w:r>
        <w:rPr>
          <w:rFonts w:ascii="Times New Roman" w:cs="Times New Roman"/>
          <w:b/>
          <w:szCs w:val="32"/>
        </w:rPr>
        <w:t>工作等级的评价范围表</w:t>
      </w:r>
    </w:p>
    <w:p w:rsidR="00BD5820" w:rsidRDefault="00F64314">
      <w:pPr>
        <w:pStyle w:val="10"/>
        <w:rPr>
          <w:rFonts w:cs="Times New Roman"/>
        </w:rPr>
      </w:pPr>
      <w:r>
        <w:rPr>
          <w:rFonts w:cs="Times New Roman"/>
        </w:rPr>
        <w:t>表</w:t>
      </w:r>
      <w:r>
        <w:rPr>
          <w:rFonts w:cs="Times New Roman"/>
        </w:rPr>
        <w:t>1.6-</w:t>
      </w:r>
      <w:r>
        <w:rPr>
          <w:rFonts w:cs="Times New Roman" w:hint="eastAsia"/>
        </w:rPr>
        <w:t>9</w:t>
      </w:r>
      <w:r>
        <w:rPr>
          <w:rFonts w:cs="Times New Roman"/>
        </w:rPr>
        <w:t xml:space="preserve">  </w:t>
      </w:r>
      <w:r>
        <w:rPr>
          <w:rFonts w:cs="Times New Roman"/>
        </w:rPr>
        <w:t>项目的工作等级和范围</w:t>
      </w:r>
    </w:p>
    <w:tbl>
      <w:tblPr>
        <w:tblW w:w="5302" w:type="pct"/>
        <w:jc w:val="center"/>
        <w:tblBorders>
          <w:top w:val="single" w:sz="12" w:space="0" w:color="000000"/>
          <w:bottom w:val="single" w:sz="12" w:space="0" w:color="000000"/>
          <w:insideH w:val="single" w:sz="2" w:space="0" w:color="000000"/>
          <w:insideV w:val="single" w:sz="2" w:space="0" w:color="000000"/>
        </w:tblBorders>
        <w:tblCellMar>
          <w:left w:w="0" w:type="dxa"/>
          <w:right w:w="0" w:type="dxa"/>
        </w:tblCellMar>
        <w:tblLook w:val="04A0"/>
      </w:tblPr>
      <w:tblGrid>
        <w:gridCol w:w="1828"/>
        <w:gridCol w:w="1445"/>
        <w:gridCol w:w="5535"/>
      </w:tblGrid>
      <w:tr w:rsidR="00BD5820">
        <w:trPr>
          <w:trHeight w:val="16"/>
          <w:jc w:val="center"/>
        </w:trPr>
        <w:tc>
          <w:tcPr>
            <w:tcW w:w="1038" w:type="pct"/>
            <w:tcBorders>
              <w:tl2br w:val="nil"/>
              <w:tr2bl w:val="nil"/>
            </w:tcBorders>
            <w:vAlign w:val="center"/>
          </w:tcPr>
          <w:p w:rsidR="00BD5820" w:rsidRDefault="00F64314">
            <w:pPr>
              <w:topLinePunct w:val="0"/>
              <w:adjustRightInd/>
              <w:spacing w:line="240" w:lineRule="auto"/>
              <w:ind w:firstLineChars="0" w:firstLine="0"/>
              <w:jc w:val="center"/>
              <w:rPr>
                <w:rFonts w:ascii="Times New Roman" w:cs="Times New Roman"/>
                <w:b/>
                <w:bCs/>
                <w:kern w:val="2"/>
                <w:sz w:val="21"/>
              </w:rPr>
            </w:pPr>
            <w:r>
              <w:rPr>
                <w:rFonts w:ascii="Times New Roman" w:cs="Times New Roman"/>
                <w:b/>
                <w:bCs/>
                <w:kern w:val="2"/>
                <w:sz w:val="21"/>
              </w:rPr>
              <w:t>评价内容</w:t>
            </w:r>
          </w:p>
        </w:tc>
        <w:tc>
          <w:tcPr>
            <w:tcW w:w="820" w:type="pct"/>
            <w:tcBorders>
              <w:tl2br w:val="nil"/>
              <w:tr2bl w:val="nil"/>
            </w:tcBorders>
            <w:vAlign w:val="center"/>
          </w:tcPr>
          <w:p w:rsidR="00BD5820" w:rsidRDefault="00F64314">
            <w:pPr>
              <w:topLinePunct w:val="0"/>
              <w:adjustRightInd/>
              <w:spacing w:line="240" w:lineRule="auto"/>
              <w:ind w:firstLineChars="0" w:firstLine="0"/>
              <w:jc w:val="center"/>
              <w:rPr>
                <w:rFonts w:ascii="Times New Roman" w:cs="Times New Roman"/>
                <w:b/>
                <w:bCs/>
                <w:kern w:val="2"/>
                <w:sz w:val="21"/>
              </w:rPr>
            </w:pPr>
            <w:r>
              <w:rPr>
                <w:rFonts w:ascii="Times New Roman" w:cs="Times New Roman"/>
                <w:b/>
                <w:bCs/>
                <w:kern w:val="2"/>
                <w:sz w:val="21"/>
              </w:rPr>
              <w:t>工作等级</w:t>
            </w:r>
          </w:p>
        </w:tc>
        <w:tc>
          <w:tcPr>
            <w:tcW w:w="3141" w:type="pct"/>
            <w:tcBorders>
              <w:tl2br w:val="nil"/>
              <w:tr2bl w:val="nil"/>
            </w:tcBorders>
            <w:vAlign w:val="center"/>
          </w:tcPr>
          <w:p w:rsidR="00BD5820" w:rsidRDefault="00F64314">
            <w:pPr>
              <w:topLinePunct w:val="0"/>
              <w:adjustRightInd/>
              <w:spacing w:line="240" w:lineRule="auto"/>
              <w:ind w:firstLineChars="0" w:firstLine="0"/>
              <w:jc w:val="center"/>
              <w:rPr>
                <w:rFonts w:ascii="Times New Roman" w:cs="Times New Roman"/>
                <w:b/>
                <w:bCs/>
                <w:kern w:val="2"/>
                <w:sz w:val="21"/>
              </w:rPr>
            </w:pPr>
            <w:r>
              <w:rPr>
                <w:rFonts w:ascii="Times New Roman" w:cs="Times New Roman"/>
                <w:b/>
                <w:bCs/>
                <w:kern w:val="2"/>
                <w:sz w:val="21"/>
              </w:rPr>
              <w:t>评价范围</w:t>
            </w:r>
          </w:p>
        </w:tc>
      </w:tr>
      <w:tr w:rsidR="00BD5820">
        <w:trPr>
          <w:trHeight w:val="16"/>
          <w:jc w:val="center"/>
        </w:trPr>
        <w:tc>
          <w:tcPr>
            <w:tcW w:w="1038" w:type="pct"/>
            <w:tcBorders>
              <w:tl2br w:val="nil"/>
              <w:tr2bl w:val="nil"/>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生态环境</w:t>
            </w:r>
          </w:p>
        </w:tc>
        <w:tc>
          <w:tcPr>
            <w:tcW w:w="820" w:type="pct"/>
            <w:tcBorders>
              <w:tl2br w:val="nil"/>
              <w:tr2bl w:val="nil"/>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hint="eastAsia"/>
                <w:kern w:val="2"/>
                <w:sz w:val="21"/>
              </w:rPr>
              <w:t>二</w:t>
            </w:r>
            <w:r>
              <w:rPr>
                <w:rFonts w:ascii="Times New Roman" w:cs="Times New Roman"/>
                <w:kern w:val="2"/>
                <w:sz w:val="21"/>
              </w:rPr>
              <w:t>级</w:t>
            </w:r>
          </w:p>
        </w:tc>
        <w:tc>
          <w:tcPr>
            <w:tcW w:w="3141" w:type="pct"/>
            <w:tcBorders>
              <w:tl2br w:val="nil"/>
              <w:tr2bl w:val="nil"/>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hint="eastAsia"/>
                <w:bCs/>
                <w:kern w:val="2"/>
                <w:sz w:val="21"/>
              </w:rPr>
              <w:t>本项目普光气田</w:t>
            </w:r>
            <w:r>
              <w:rPr>
                <w:rFonts w:ascii="Times New Roman" w:cs="Times New Roman"/>
                <w:bCs/>
                <w:kern w:val="2"/>
                <w:sz w:val="21"/>
              </w:rPr>
              <w:t>1#</w:t>
            </w:r>
            <w:r>
              <w:rPr>
                <w:rFonts w:ascii="Times New Roman" w:cs="Times New Roman" w:hint="eastAsia"/>
                <w:bCs/>
                <w:kern w:val="2"/>
                <w:sz w:val="21"/>
              </w:rPr>
              <w:t>增压站</w:t>
            </w:r>
            <w:r>
              <w:rPr>
                <w:rFonts w:ascii="Times New Roman" w:cs="Times New Roman"/>
                <w:kern w:val="2"/>
                <w:sz w:val="21"/>
              </w:rPr>
              <w:t>周边</w:t>
            </w:r>
            <w:r>
              <w:rPr>
                <w:rFonts w:ascii="Times New Roman" w:cs="Times New Roman" w:hint="eastAsia"/>
                <w:kern w:val="2"/>
                <w:sz w:val="21"/>
              </w:rPr>
              <w:t>20</w:t>
            </w:r>
            <w:r>
              <w:rPr>
                <w:rFonts w:ascii="Times New Roman" w:cs="Times New Roman"/>
                <w:kern w:val="2"/>
                <w:sz w:val="21"/>
              </w:rPr>
              <w:t>00m</w:t>
            </w:r>
            <w:r>
              <w:rPr>
                <w:rFonts w:ascii="Times New Roman" w:cs="Times New Roman"/>
                <w:kern w:val="2"/>
                <w:sz w:val="21"/>
              </w:rPr>
              <w:t>范围</w:t>
            </w:r>
          </w:p>
        </w:tc>
      </w:tr>
      <w:tr w:rsidR="00BD5820">
        <w:trPr>
          <w:trHeight w:val="16"/>
          <w:jc w:val="center"/>
        </w:trPr>
        <w:tc>
          <w:tcPr>
            <w:tcW w:w="1038" w:type="pct"/>
            <w:tcBorders>
              <w:tl2br w:val="nil"/>
              <w:tr2bl w:val="nil"/>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环境空气</w:t>
            </w:r>
          </w:p>
        </w:tc>
        <w:tc>
          <w:tcPr>
            <w:tcW w:w="820" w:type="pct"/>
            <w:tcBorders>
              <w:tl2br w:val="nil"/>
              <w:tr2bl w:val="nil"/>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三级</w:t>
            </w:r>
          </w:p>
        </w:tc>
        <w:tc>
          <w:tcPr>
            <w:tcW w:w="3141" w:type="pct"/>
            <w:tcBorders>
              <w:tl2br w:val="nil"/>
              <w:tr2bl w:val="nil"/>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本项目不设</w:t>
            </w:r>
            <w:r>
              <w:rPr>
                <w:rFonts w:ascii="Times New Roman" w:cs="Times New Roman" w:hint="eastAsia"/>
                <w:kern w:val="2"/>
                <w:sz w:val="21"/>
              </w:rPr>
              <w:t>大气</w:t>
            </w:r>
            <w:r>
              <w:rPr>
                <w:rFonts w:ascii="Times New Roman" w:cs="Times New Roman"/>
                <w:kern w:val="2"/>
                <w:sz w:val="21"/>
              </w:rPr>
              <w:t>评价范围</w:t>
            </w:r>
          </w:p>
        </w:tc>
      </w:tr>
      <w:tr w:rsidR="00BD5820">
        <w:trPr>
          <w:trHeight w:val="16"/>
          <w:jc w:val="center"/>
        </w:trPr>
        <w:tc>
          <w:tcPr>
            <w:tcW w:w="1038" w:type="pct"/>
            <w:tcBorders>
              <w:tl2br w:val="nil"/>
              <w:tr2bl w:val="nil"/>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地表水</w:t>
            </w:r>
          </w:p>
        </w:tc>
        <w:tc>
          <w:tcPr>
            <w:tcW w:w="820" w:type="pct"/>
            <w:tcBorders>
              <w:tl2br w:val="nil"/>
              <w:tr2bl w:val="nil"/>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三级</w:t>
            </w:r>
            <w:r>
              <w:rPr>
                <w:rFonts w:ascii="Times New Roman" w:cs="Times New Roman"/>
                <w:kern w:val="2"/>
                <w:sz w:val="21"/>
              </w:rPr>
              <w:t>B</w:t>
            </w:r>
          </w:p>
        </w:tc>
        <w:tc>
          <w:tcPr>
            <w:tcW w:w="3141" w:type="pct"/>
            <w:tcBorders>
              <w:tl2br w:val="nil"/>
              <w:tr2bl w:val="nil"/>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本项目不设地表水评价范围</w:t>
            </w:r>
          </w:p>
        </w:tc>
      </w:tr>
      <w:tr w:rsidR="00BD5820">
        <w:trPr>
          <w:trHeight w:val="16"/>
          <w:jc w:val="center"/>
        </w:trPr>
        <w:tc>
          <w:tcPr>
            <w:tcW w:w="1038" w:type="pct"/>
            <w:tcBorders>
              <w:tl2br w:val="nil"/>
              <w:tr2bl w:val="nil"/>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地下水</w:t>
            </w:r>
          </w:p>
        </w:tc>
        <w:tc>
          <w:tcPr>
            <w:tcW w:w="820" w:type="pct"/>
            <w:tcBorders>
              <w:tl2br w:val="nil"/>
              <w:tr2bl w:val="nil"/>
            </w:tcBorders>
            <w:vAlign w:val="center"/>
          </w:tcPr>
          <w:p w:rsidR="00BD5820" w:rsidRPr="00511129" w:rsidRDefault="00511129">
            <w:pPr>
              <w:topLinePunct w:val="0"/>
              <w:adjustRightInd/>
              <w:spacing w:line="240" w:lineRule="auto"/>
              <w:ind w:firstLineChars="0" w:firstLine="0"/>
              <w:jc w:val="center"/>
              <w:rPr>
                <w:rFonts w:ascii="Times New Roman" w:cs="Times New Roman"/>
                <w:color w:val="FF0000"/>
                <w:kern w:val="2"/>
                <w:sz w:val="21"/>
              </w:rPr>
            </w:pPr>
            <w:r w:rsidRPr="00511129">
              <w:rPr>
                <w:rFonts w:ascii="Times New Roman" w:cs="Times New Roman" w:hint="eastAsia"/>
                <w:color w:val="FF0000"/>
                <w:kern w:val="2"/>
                <w:sz w:val="21"/>
              </w:rPr>
              <w:t>二</w:t>
            </w:r>
            <w:r w:rsidR="00F64314" w:rsidRPr="00511129">
              <w:rPr>
                <w:rFonts w:ascii="Times New Roman" w:cs="Times New Roman"/>
                <w:color w:val="FF0000"/>
                <w:kern w:val="2"/>
                <w:sz w:val="21"/>
              </w:rPr>
              <w:t>级</w:t>
            </w:r>
          </w:p>
        </w:tc>
        <w:tc>
          <w:tcPr>
            <w:tcW w:w="3141" w:type="pct"/>
            <w:tcBorders>
              <w:tl2br w:val="nil"/>
              <w:tr2bl w:val="nil"/>
            </w:tcBorders>
            <w:vAlign w:val="center"/>
          </w:tcPr>
          <w:p w:rsidR="00BD5820" w:rsidRPr="00511129" w:rsidRDefault="00F64314" w:rsidP="00511129">
            <w:pPr>
              <w:topLinePunct w:val="0"/>
              <w:adjustRightInd/>
              <w:spacing w:line="240" w:lineRule="auto"/>
              <w:ind w:firstLineChars="0" w:firstLine="0"/>
              <w:jc w:val="center"/>
              <w:rPr>
                <w:rFonts w:ascii="Times New Roman" w:cs="Times New Roman"/>
                <w:color w:val="FF0000"/>
                <w:kern w:val="2"/>
                <w:sz w:val="21"/>
              </w:rPr>
            </w:pPr>
            <w:r w:rsidRPr="00511129">
              <w:rPr>
                <w:rFonts w:ascii="Times New Roman" w:cs="Times New Roman"/>
                <w:bCs/>
                <w:color w:val="FF0000"/>
                <w:kern w:val="2"/>
                <w:sz w:val="21"/>
              </w:rPr>
              <w:t>本项目</w:t>
            </w:r>
            <w:r w:rsidRPr="00511129">
              <w:rPr>
                <w:rFonts w:ascii="Times New Roman" w:cs="Times New Roman" w:hint="eastAsia"/>
                <w:bCs/>
                <w:color w:val="FF0000"/>
                <w:kern w:val="2"/>
                <w:sz w:val="21"/>
              </w:rPr>
              <w:t>普光气田</w:t>
            </w:r>
            <w:r w:rsidRPr="00511129">
              <w:rPr>
                <w:rFonts w:ascii="Times New Roman" w:cs="Times New Roman"/>
                <w:bCs/>
                <w:color w:val="FF0000"/>
                <w:kern w:val="2"/>
                <w:sz w:val="21"/>
              </w:rPr>
              <w:t>1#</w:t>
            </w:r>
            <w:r w:rsidRPr="00511129">
              <w:rPr>
                <w:rFonts w:ascii="Times New Roman" w:cs="Times New Roman" w:hint="eastAsia"/>
                <w:bCs/>
                <w:color w:val="FF0000"/>
                <w:kern w:val="2"/>
                <w:sz w:val="21"/>
              </w:rPr>
              <w:t>增压站</w:t>
            </w:r>
            <w:r w:rsidRPr="00511129">
              <w:rPr>
                <w:rFonts w:ascii="Times New Roman" w:cs="Times New Roman" w:hint="eastAsia"/>
                <w:color w:val="FF0000"/>
                <w:kern w:val="2"/>
                <w:sz w:val="21"/>
              </w:rPr>
              <w:t>地下水评价范围为</w:t>
            </w:r>
            <w:r w:rsidRPr="00511129">
              <w:rPr>
                <w:rFonts w:ascii="Times New Roman" w:cs="Times New Roman" w:hint="eastAsia"/>
                <w:color w:val="FF0000"/>
                <w:kern w:val="2"/>
                <w:sz w:val="21"/>
              </w:rPr>
              <w:t>24.1</w:t>
            </w:r>
            <w:r w:rsidRPr="00511129">
              <w:rPr>
                <w:rFonts w:ascii="Times New Roman" w:cs="Times New Roman"/>
                <w:color w:val="FF0000"/>
                <w:kern w:val="2"/>
                <w:sz w:val="21"/>
              </w:rPr>
              <w:t>km</w:t>
            </w:r>
            <w:r w:rsidRPr="00511129">
              <w:rPr>
                <w:rFonts w:ascii="Times New Roman" w:cs="Times New Roman"/>
                <w:color w:val="FF0000"/>
                <w:kern w:val="2"/>
                <w:sz w:val="21"/>
                <w:vertAlign w:val="superscript"/>
              </w:rPr>
              <w:t>2</w:t>
            </w:r>
            <w:r w:rsidRPr="00511129">
              <w:rPr>
                <w:rFonts w:ascii="Times New Roman" w:cs="Times New Roman" w:hint="eastAsia"/>
                <w:color w:val="FF0000"/>
                <w:kern w:val="2"/>
                <w:sz w:val="21"/>
              </w:rPr>
              <w:t>，四至范围为：</w:t>
            </w:r>
            <w:r w:rsidR="00511129" w:rsidRPr="00511129">
              <w:rPr>
                <w:rFonts w:ascii="Times New Roman" w:cs="Times New Roman" w:hint="eastAsia"/>
                <w:color w:val="FF0000"/>
                <w:kern w:val="2"/>
                <w:sz w:val="21"/>
              </w:rPr>
              <w:t>东至吴家坪，南至胡家坪，西至后河，北至</w:t>
            </w:r>
            <w:r w:rsidR="00511129">
              <w:rPr>
                <w:rFonts w:ascii="Times New Roman" w:cs="Times New Roman" w:hint="eastAsia"/>
                <w:color w:val="FF0000"/>
                <w:kern w:val="2"/>
                <w:sz w:val="21"/>
              </w:rPr>
              <w:t>中</w:t>
            </w:r>
            <w:r w:rsidR="00511129" w:rsidRPr="00511129">
              <w:rPr>
                <w:rFonts w:ascii="Times New Roman" w:cs="Times New Roman" w:hint="eastAsia"/>
                <w:color w:val="FF0000"/>
                <w:kern w:val="2"/>
                <w:sz w:val="21"/>
              </w:rPr>
              <w:t>河</w:t>
            </w:r>
            <w:r w:rsidRPr="00511129">
              <w:rPr>
                <w:rFonts w:ascii="Times New Roman" w:cs="Times New Roman" w:hint="eastAsia"/>
                <w:color w:val="FF0000"/>
                <w:kern w:val="2"/>
                <w:sz w:val="21"/>
              </w:rPr>
              <w:t>；</w:t>
            </w:r>
            <w:r w:rsidRPr="00511129">
              <w:rPr>
                <w:rFonts w:ascii="Times New Roman" w:cs="Times New Roman"/>
                <w:bCs/>
                <w:color w:val="FF0000"/>
                <w:kern w:val="2"/>
                <w:sz w:val="21"/>
              </w:rPr>
              <w:t>本项目</w:t>
            </w:r>
            <w:r w:rsidRPr="00511129">
              <w:rPr>
                <w:rFonts w:ascii="Times New Roman" w:cs="Times New Roman" w:hint="eastAsia"/>
                <w:bCs/>
                <w:color w:val="FF0000"/>
                <w:kern w:val="2"/>
                <w:sz w:val="21"/>
              </w:rPr>
              <w:t>普光气田</w:t>
            </w:r>
            <w:r w:rsidRPr="00511129">
              <w:rPr>
                <w:rFonts w:ascii="Times New Roman" w:cs="Times New Roman" w:hint="eastAsia"/>
                <w:bCs/>
                <w:color w:val="FF0000"/>
                <w:kern w:val="2"/>
                <w:sz w:val="21"/>
              </w:rPr>
              <w:t>2</w:t>
            </w:r>
            <w:r w:rsidRPr="00511129">
              <w:rPr>
                <w:rFonts w:ascii="Times New Roman" w:cs="Times New Roman"/>
                <w:bCs/>
                <w:color w:val="FF0000"/>
                <w:kern w:val="2"/>
                <w:sz w:val="21"/>
              </w:rPr>
              <w:t>#</w:t>
            </w:r>
            <w:r w:rsidRPr="00511129">
              <w:rPr>
                <w:rFonts w:ascii="Times New Roman" w:cs="Times New Roman" w:hint="eastAsia"/>
                <w:bCs/>
                <w:color w:val="FF0000"/>
                <w:kern w:val="2"/>
                <w:sz w:val="21"/>
              </w:rPr>
              <w:t>增压站</w:t>
            </w:r>
            <w:r w:rsidRPr="00511129">
              <w:rPr>
                <w:rFonts w:ascii="Times New Roman" w:cs="Times New Roman" w:hint="eastAsia"/>
                <w:color w:val="FF0000"/>
                <w:kern w:val="2"/>
                <w:sz w:val="21"/>
              </w:rPr>
              <w:t>地下水评价范围为</w:t>
            </w:r>
            <w:r w:rsidRPr="00511129">
              <w:rPr>
                <w:rFonts w:ascii="Times New Roman" w:cs="Times New Roman" w:hint="eastAsia"/>
                <w:color w:val="FF0000"/>
                <w:kern w:val="2"/>
                <w:sz w:val="21"/>
              </w:rPr>
              <w:t>21.67</w:t>
            </w:r>
            <w:r w:rsidRPr="00511129">
              <w:rPr>
                <w:rFonts w:ascii="Times New Roman" w:cs="Times New Roman"/>
                <w:color w:val="FF0000"/>
                <w:kern w:val="2"/>
                <w:sz w:val="21"/>
              </w:rPr>
              <w:t>km</w:t>
            </w:r>
            <w:r w:rsidRPr="00511129">
              <w:rPr>
                <w:rFonts w:ascii="Times New Roman" w:cs="Times New Roman"/>
                <w:color w:val="FF0000"/>
                <w:kern w:val="2"/>
                <w:sz w:val="21"/>
                <w:vertAlign w:val="superscript"/>
              </w:rPr>
              <w:t>2</w:t>
            </w:r>
            <w:r w:rsidRPr="00511129">
              <w:rPr>
                <w:rFonts w:ascii="Times New Roman" w:cs="Times New Roman" w:hint="eastAsia"/>
                <w:color w:val="FF0000"/>
                <w:kern w:val="2"/>
                <w:sz w:val="21"/>
              </w:rPr>
              <w:t>，四至范围为：</w:t>
            </w:r>
            <w:r w:rsidR="00511129" w:rsidRPr="00511129">
              <w:rPr>
                <w:rFonts w:ascii="Times New Roman" w:cs="Times New Roman" w:hint="eastAsia"/>
                <w:color w:val="FF0000"/>
                <w:kern w:val="2"/>
                <w:sz w:val="21"/>
              </w:rPr>
              <w:t>东至后河，南至后河支流，西至新桥轩，北至斑竹林</w:t>
            </w:r>
            <w:r w:rsidRPr="00511129">
              <w:rPr>
                <w:rFonts w:ascii="Times New Roman" w:cs="Times New Roman" w:hint="eastAsia"/>
                <w:color w:val="FF0000"/>
                <w:kern w:val="2"/>
                <w:sz w:val="21"/>
              </w:rPr>
              <w:t>。</w:t>
            </w:r>
          </w:p>
        </w:tc>
      </w:tr>
      <w:tr w:rsidR="00BD5820">
        <w:trPr>
          <w:trHeight w:val="122"/>
          <w:jc w:val="center"/>
        </w:trPr>
        <w:tc>
          <w:tcPr>
            <w:tcW w:w="1038" w:type="pct"/>
            <w:tcBorders>
              <w:tl2br w:val="nil"/>
              <w:tr2bl w:val="nil"/>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噪声</w:t>
            </w:r>
          </w:p>
        </w:tc>
        <w:tc>
          <w:tcPr>
            <w:tcW w:w="820" w:type="pct"/>
            <w:tcBorders>
              <w:tl2br w:val="nil"/>
              <w:tr2bl w:val="nil"/>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二级</w:t>
            </w:r>
          </w:p>
        </w:tc>
        <w:tc>
          <w:tcPr>
            <w:tcW w:w="3141" w:type="pct"/>
            <w:tcBorders>
              <w:tl2br w:val="nil"/>
              <w:tr2bl w:val="nil"/>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施工期：站场周边</w:t>
            </w:r>
            <w:r>
              <w:rPr>
                <w:rFonts w:ascii="Times New Roman" w:cs="Times New Roman"/>
                <w:kern w:val="2"/>
                <w:sz w:val="21"/>
              </w:rPr>
              <w:t>200m</w:t>
            </w:r>
            <w:r>
              <w:rPr>
                <w:rFonts w:ascii="Times New Roman" w:cs="Times New Roman"/>
                <w:kern w:val="2"/>
                <w:sz w:val="21"/>
              </w:rPr>
              <w:t>范围内的村庄或居民区。</w:t>
            </w:r>
          </w:p>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营运期：站场周边</w:t>
            </w:r>
            <w:r>
              <w:rPr>
                <w:rFonts w:ascii="Times New Roman" w:cs="Times New Roman"/>
                <w:kern w:val="2"/>
                <w:sz w:val="21"/>
              </w:rPr>
              <w:t>200m</w:t>
            </w:r>
            <w:r>
              <w:rPr>
                <w:rFonts w:ascii="Times New Roman" w:cs="Times New Roman"/>
                <w:kern w:val="2"/>
                <w:sz w:val="21"/>
              </w:rPr>
              <w:t>范围内的村庄或居民区。</w:t>
            </w:r>
          </w:p>
        </w:tc>
      </w:tr>
      <w:tr w:rsidR="00BD5820">
        <w:trPr>
          <w:trHeight w:val="150"/>
          <w:jc w:val="center"/>
        </w:trPr>
        <w:tc>
          <w:tcPr>
            <w:tcW w:w="1038" w:type="pct"/>
            <w:tcBorders>
              <w:tl2br w:val="nil"/>
              <w:tr2bl w:val="nil"/>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土壤</w:t>
            </w:r>
          </w:p>
        </w:tc>
        <w:tc>
          <w:tcPr>
            <w:tcW w:w="820" w:type="pct"/>
            <w:tcBorders>
              <w:tl2br w:val="nil"/>
              <w:tr2bl w:val="nil"/>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二级</w:t>
            </w:r>
          </w:p>
        </w:tc>
        <w:tc>
          <w:tcPr>
            <w:tcW w:w="3141" w:type="pct"/>
            <w:tcBorders>
              <w:tl2br w:val="nil"/>
              <w:tr2bl w:val="nil"/>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hint="eastAsia"/>
                <w:kern w:val="2"/>
                <w:sz w:val="21"/>
              </w:rPr>
              <w:t>本项目</w:t>
            </w:r>
            <w:r>
              <w:rPr>
                <w:rFonts w:ascii="Times New Roman" w:cs="Times New Roman"/>
                <w:kern w:val="2"/>
                <w:sz w:val="21"/>
              </w:rPr>
              <w:t>站场外</w:t>
            </w:r>
            <w:r>
              <w:rPr>
                <w:rFonts w:ascii="Times New Roman" w:cs="Times New Roman"/>
                <w:kern w:val="2"/>
                <w:sz w:val="21"/>
              </w:rPr>
              <w:t>200m</w:t>
            </w:r>
            <w:r>
              <w:rPr>
                <w:rFonts w:ascii="Times New Roman" w:cs="Times New Roman"/>
                <w:kern w:val="2"/>
                <w:sz w:val="21"/>
              </w:rPr>
              <w:t>范围</w:t>
            </w:r>
          </w:p>
        </w:tc>
      </w:tr>
      <w:tr w:rsidR="00BD5820">
        <w:trPr>
          <w:trHeight w:val="193"/>
          <w:jc w:val="center"/>
        </w:trPr>
        <w:tc>
          <w:tcPr>
            <w:tcW w:w="1038" w:type="pct"/>
            <w:tcBorders>
              <w:tl2br w:val="nil"/>
              <w:tr2bl w:val="nil"/>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环境风险</w:t>
            </w:r>
          </w:p>
        </w:tc>
        <w:tc>
          <w:tcPr>
            <w:tcW w:w="820" w:type="pct"/>
            <w:tcBorders>
              <w:tl2br w:val="nil"/>
              <w:tr2bl w:val="nil"/>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二级</w:t>
            </w:r>
          </w:p>
        </w:tc>
        <w:tc>
          <w:tcPr>
            <w:tcW w:w="3141" w:type="pct"/>
            <w:tcBorders>
              <w:tl2br w:val="nil"/>
              <w:tr2bl w:val="nil"/>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hint="eastAsia"/>
                <w:kern w:val="2"/>
                <w:sz w:val="21"/>
              </w:rPr>
              <w:t>本项目</w:t>
            </w:r>
            <w:r>
              <w:rPr>
                <w:rFonts w:ascii="Times New Roman" w:cs="Times New Roman"/>
                <w:kern w:val="2"/>
                <w:sz w:val="21"/>
              </w:rPr>
              <w:t>沿管线两侧各</w:t>
            </w:r>
            <w:r>
              <w:rPr>
                <w:rFonts w:ascii="Times New Roman" w:cs="Times New Roman" w:hint="eastAsia"/>
                <w:kern w:val="2"/>
                <w:sz w:val="21"/>
              </w:rPr>
              <w:t>2</w:t>
            </w:r>
            <w:r>
              <w:rPr>
                <w:rFonts w:ascii="Times New Roman" w:cs="Times New Roman"/>
                <w:kern w:val="2"/>
                <w:sz w:val="21"/>
              </w:rPr>
              <w:t>00m</w:t>
            </w:r>
            <w:r>
              <w:rPr>
                <w:rFonts w:ascii="Times New Roman" w:cs="Times New Roman"/>
                <w:kern w:val="2"/>
                <w:sz w:val="21"/>
              </w:rPr>
              <w:t>的带状区域</w:t>
            </w:r>
            <w:r>
              <w:rPr>
                <w:rFonts w:ascii="Times New Roman" w:cs="Times New Roman" w:hint="eastAsia"/>
                <w:kern w:val="2"/>
                <w:sz w:val="21"/>
              </w:rPr>
              <w:t>，站场周边</w:t>
            </w:r>
            <w:r>
              <w:rPr>
                <w:rFonts w:ascii="Times New Roman" w:cs="Times New Roman"/>
                <w:kern w:val="2"/>
                <w:sz w:val="21"/>
              </w:rPr>
              <w:t>5</w:t>
            </w:r>
            <w:r>
              <w:rPr>
                <w:rFonts w:ascii="Times New Roman" w:cs="Times New Roman" w:hint="eastAsia"/>
                <w:kern w:val="2"/>
                <w:sz w:val="21"/>
              </w:rPr>
              <w:t>k</w:t>
            </w:r>
            <w:r>
              <w:rPr>
                <w:rFonts w:ascii="Times New Roman" w:cs="Times New Roman"/>
                <w:kern w:val="2"/>
                <w:sz w:val="21"/>
              </w:rPr>
              <w:t>m</w:t>
            </w:r>
            <w:r>
              <w:rPr>
                <w:rFonts w:ascii="Times New Roman" w:cs="Times New Roman"/>
                <w:kern w:val="2"/>
                <w:sz w:val="21"/>
              </w:rPr>
              <w:t>区域</w:t>
            </w:r>
          </w:p>
        </w:tc>
      </w:tr>
    </w:tbl>
    <w:p w:rsidR="00BD5820" w:rsidRDefault="00F64314">
      <w:pPr>
        <w:keepNext/>
        <w:keepLines/>
        <w:spacing w:before="120"/>
        <w:ind w:firstLineChars="0" w:firstLine="0"/>
        <w:outlineLvl w:val="1"/>
        <w:rPr>
          <w:rFonts w:ascii="Times New Roman" w:cs="Times New Roman"/>
          <w:b/>
          <w:bCs/>
          <w:sz w:val="28"/>
          <w:szCs w:val="32"/>
        </w:rPr>
      </w:pPr>
      <w:bookmarkStart w:id="77" w:name="bookmark6"/>
      <w:bookmarkStart w:id="78" w:name="bookmark8"/>
      <w:bookmarkStart w:id="79" w:name="_Toc3055"/>
      <w:bookmarkStart w:id="80" w:name="_Toc12288391"/>
      <w:bookmarkStart w:id="81" w:name="_Toc19815944"/>
      <w:bookmarkEnd w:id="77"/>
      <w:bookmarkEnd w:id="78"/>
      <w:r>
        <w:rPr>
          <w:rFonts w:ascii="Times New Roman" w:cs="Times New Roman"/>
          <w:b/>
          <w:bCs/>
          <w:sz w:val="28"/>
          <w:szCs w:val="32"/>
        </w:rPr>
        <w:lastRenderedPageBreak/>
        <w:t xml:space="preserve">1.7 </w:t>
      </w:r>
      <w:r>
        <w:rPr>
          <w:rFonts w:ascii="Times New Roman" w:cs="Times New Roman"/>
          <w:b/>
          <w:bCs/>
          <w:sz w:val="28"/>
          <w:szCs w:val="32"/>
        </w:rPr>
        <w:t>选址符合性分析</w:t>
      </w:r>
      <w:bookmarkEnd w:id="79"/>
    </w:p>
    <w:p w:rsidR="00BD5820" w:rsidRDefault="00F64314">
      <w:pPr>
        <w:pStyle w:val="affa"/>
        <w:ind w:firstLine="480"/>
      </w:pPr>
      <w:bookmarkStart w:id="82" w:name="bookmark30"/>
      <w:bookmarkEnd w:id="82"/>
      <w:r>
        <w:t>管道线路工程的特点决定了其对周围环境的影响是线性影响。路由的选择和确定，将对管道沿线周围敏感区域的影响起到决定性的作用，同时对是否符合管道沿线各城镇发展规划、环境保护规划、生态保护规划等也起到了决定性的作用。因此，确定了线路的路由也就确定了其对沿线周围环境的影响程度。</w:t>
      </w:r>
    </w:p>
    <w:p w:rsidR="00BD5820" w:rsidRDefault="00F64314">
      <w:pPr>
        <w:pStyle w:val="affa"/>
        <w:ind w:firstLine="480"/>
      </w:pPr>
      <w:r>
        <w:t>本项目吸取了以往输气管道的建设经验，特别是在保护环境方面。对工程路由的确定采取了在可研阶段就让环评工作介入，对拟定的比选线路进行初步评价，充分听取环境初步评价意见。采取避绕或改线等措施，优化线路对环境的影响，减少管道沿线对环境敏感区域的影响。</w:t>
      </w:r>
    </w:p>
    <w:p w:rsidR="00BD5820" w:rsidRDefault="00F64314">
      <w:pPr>
        <w:keepNext/>
        <w:keepLines/>
        <w:ind w:firstLineChars="0" w:firstLine="0"/>
        <w:outlineLvl w:val="2"/>
        <w:rPr>
          <w:rFonts w:ascii="Times New Roman" w:cs="Times New Roman"/>
          <w:b/>
          <w:szCs w:val="32"/>
        </w:rPr>
      </w:pPr>
      <w:bookmarkStart w:id="83" w:name="_Toc12288593"/>
      <w:bookmarkStart w:id="84" w:name="_Toc19816021"/>
      <w:r>
        <w:rPr>
          <w:rFonts w:ascii="Times New Roman" w:cs="Times New Roman"/>
          <w:b/>
          <w:szCs w:val="32"/>
        </w:rPr>
        <w:t xml:space="preserve">1.7.1 </w:t>
      </w:r>
      <w:r>
        <w:rPr>
          <w:rFonts w:ascii="Times New Roman" w:cs="Times New Roman" w:hint="eastAsia"/>
          <w:b/>
          <w:szCs w:val="32"/>
        </w:rPr>
        <w:t>管线</w:t>
      </w:r>
      <w:r>
        <w:rPr>
          <w:rFonts w:ascii="Times New Roman" w:cs="Times New Roman"/>
          <w:b/>
          <w:szCs w:val="32"/>
        </w:rPr>
        <w:t>选址原则</w:t>
      </w:r>
      <w:bookmarkEnd w:id="83"/>
      <w:bookmarkEnd w:id="84"/>
    </w:p>
    <w:p w:rsidR="00BD5820" w:rsidRDefault="00F64314">
      <w:pPr>
        <w:pStyle w:val="affa"/>
        <w:ind w:firstLine="480"/>
      </w:pPr>
      <w:r>
        <w:t>根据《输气管道工程设计规范》（</w:t>
      </w:r>
      <w:r>
        <w:t>GB50251-2015</w:t>
      </w:r>
      <w:r>
        <w:t>）的有关规定，结合</w:t>
      </w:r>
      <w:r>
        <w:rPr>
          <w:rFonts w:hint="eastAsia"/>
        </w:rPr>
        <w:t>本项目</w:t>
      </w:r>
      <w:r>
        <w:t>管道所经地区的地形、地貌、环境、工程地质条件、交通、人文、经济的发展状况，确定</w:t>
      </w:r>
      <w:r>
        <w:rPr>
          <w:rFonts w:hint="eastAsia"/>
        </w:rPr>
        <w:t>本项目</w:t>
      </w:r>
      <w:r>
        <w:t>线路选线原则如下：</w:t>
      </w:r>
    </w:p>
    <w:p w:rsidR="00BD5820" w:rsidRDefault="00F64314">
      <w:pPr>
        <w:pStyle w:val="affa"/>
        <w:ind w:firstLine="480"/>
      </w:pPr>
      <w:r>
        <w:rPr>
          <w:rFonts w:ascii="宋体" w:hAnsi="宋体" w:cs="宋体" w:hint="eastAsia"/>
        </w:rPr>
        <w:t>①</w:t>
      </w:r>
      <w:r>
        <w:t>线路选择符合国家有关法律法规，做到安全第一、环保优先、以人为本。</w:t>
      </w:r>
    </w:p>
    <w:p w:rsidR="00BD5820" w:rsidRDefault="00F64314">
      <w:pPr>
        <w:pStyle w:val="affa"/>
        <w:ind w:firstLine="480"/>
      </w:pPr>
      <w:r>
        <w:rPr>
          <w:rFonts w:ascii="宋体" w:hAnsi="宋体" w:cs="宋体" w:hint="eastAsia"/>
        </w:rPr>
        <w:t>②</w:t>
      </w:r>
      <w:r>
        <w:t>线路选择与国家和地方经济发展规划、环境保护要求相一致，充分考虑天然气市场的发展。尽量避免对自然环境和生态平衡的破坏，防止水土流失，有利于自然环境和生态平衡的恢复，保护沿线景观，使线路工程与自然环境、城市生态相协调。</w:t>
      </w:r>
    </w:p>
    <w:p w:rsidR="00BD5820" w:rsidRDefault="00F64314">
      <w:pPr>
        <w:pStyle w:val="affa"/>
        <w:ind w:firstLine="480"/>
      </w:pPr>
      <w:r>
        <w:rPr>
          <w:rFonts w:ascii="宋体" w:hAnsi="宋体" w:cs="宋体" w:hint="eastAsia"/>
        </w:rPr>
        <w:t>③</w:t>
      </w:r>
      <w:r>
        <w:t>线路走向应结合地形、工程地质、沿线主要供气点的地理位置以及交通运输、动力等条件，进行多方案调查、分析比选，确定最优线路。</w:t>
      </w:r>
    </w:p>
    <w:p w:rsidR="00BD5820" w:rsidRDefault="00F64314">
      <w:pPr>
        <w:pStyle w:val="affa"/>
        <w:ind w:firstLine="480"/>
      </w:pPr>
      <w:r>
        <w:rPr>
          <w:rFonts w:ascii="宋体" w:hAnsi="宋体" w:cs="宋体" w:hint="eastAsia"/>
        </w:rPr>
        <w:t>④</w:t>
      </w:r>
      <w:r>
        <w:t>线路走向尽量依托现有公路、碎石路，少修施工便道，以方便物资及设备运输、施工和运行维护管理。</w:t>
      </w:r>
    </w:p>
    <w:p w:rsidR="00BD5820" w:rsidRDefault="00F64314">
      <w:pPr>
        <w:pStyle w:val="affa"/>
        <w:ind w:firstLine="480"/>
      </w:pPr>
      <w:r>
        <w:rPr>
          <w:rFonts w:ascii="宋体" w:hAnsi="宋体" w:cs="宋体" w:hint="eastAsia"/>
        </w:rPr>
        <w:t>⑤</w:t>
      </w:r>
      <w:r>
        <w:t>线路应顺直、平缓，合理利用地形条件，以降低工程建设投资和施工难度。线路走向应减少与天然和人工障碍物的交叉，尽量避免发生大型的穿、跨越。</w:t>
      </w:r>
    </w:p>
    <w:p w:rsidR="00BD5820" w:rsidRDefault="00F64314">
      <w:pPr>
        <w:pStyle w:val="affa"/>
        <w:ind w:firstLine="480"/>
      </w:pPr>
      <w:r>
        <w:rPr>
          <w:rFonts w:ascii="宋体" w:hAnsi="宋体" w:cs="宋体" w:hint="eastAsia"/>
        </w:rPr>
        <w:t>⑥</w:t>
      </w:r>
      <w:r>
        <w:t>线路需避开重要的军事设施、易燃易爆仓库、国家重点文物保护单位的安全保护区等区域。</w:t>
      </w:r>
    </w:p>
    <w:p w:rsidR="00BD5820" w:rsidRDefault="00F64314">
      <w:pPr>
        <w:pStyle w:val="affa"/>
        <w:ind w:firstLine="480"/>
      </w:pPr>
      <w:r>
        <w:rPr>
          <w:rFonts w:ascii="宋体" w:hAnsi="宋体" w:cs="宋体" w:hint="eastAsia"/>
        </w:rPr>
        <w:t>⑦</w:t>
      </w:r>
      <w:r>
        <w:t>线路应避开不良地质现象（如滑坡、崩塌、冲沟等）发育的地段，避免在横坡通过。</w:t>
      </w:r>
    </w:p>
    <w:p w:rsidR="00BD5820" w:rsidRDefault="00F64314">
      <w:pPr>
        <w:pStyle w:val="affa"/>
        <w:ind w:firstLine="480"/>
      </w:pPr>
      <w:r>
        <w:rPr>
          <w:rFonts w:ascii="宋体" w:hAnsi="宋体" w:cs="宋体" w:hint="eastAsia"/>
        </w:rPr>
        <w:t>⑧</w:t>
      </w:r>
      <w:r>
        <w:t>山区选线应结合地形、地质条件、道路状况，考虑施工的可行性和管道的</w:t>
      </w:r>
      <w:r>
        <w:lastRenderedPageBreak/>
        <w:t>安全性。尽量选择山间河谷敷设，当山区河谷方案难以实施时，若山脊线与管道走向一致且山脊较宽、顺直、上下山脊坡度较平缓，地质条件稳定时，应考虑走山脊的方案。</w:t>
      </w:r>
    </w:p>
    <w:p w:rsidR="00BD5820" w:rsidRDefault="00F64314">
      <w:pPr>
        <w:keepNext/>
        <w:keepLines/>
        <w:ind w:firstLineChars="0" w:firstLine="0"/>
        <w:outlineLvl w:val="2"/>
        <w:rPr>
          <w:rFonts w:ascii="Times New Roman" w:cs="Times New Roman"/>
          <w:b/>
          <w:szCs w:val="32"/>
        </w:rPr>
      </w:pPr>
      <w:r>
        <w:rPr>
          <w:rFonts w:ascii="Times New Roman" w:cs="Times New Roman"/>
          <w:b/>
          <w:szCs w:val="32"/>
        </w:rPr>
        <w:t xml:space="preserve">1.7.2 </w:t>
      </w:r>
      <w:r>
        <w:rPr>
          <w:rFonts w:ascii="Times New Roman" w:cs="Times New Roman"/>
          <w:b/>
          <w:szCs w:val="32"/>
        </w:rPr>
        <w:t>选址选线与相关法律法规、技术规范的符合性分析</w:t>
      </w:r>
    </w:p>
    <w:p w:rsidR="00BD5820" w:rsidRDefault="00F64314">
      <w:pPr>
        <w:pStyle w:val="affa"/>
        <w:ind w:firstLine="480"/>
      </w:pPr>
      <w:r>
        <w:t>本项目站场选址和集气管线选线与相关法律法规、技术规范的符合性见下表。</w:t>
      </w:r>
    </w:p>
    <w:p w:rsidR="00BD5820" w:rsidRDefault="00F64314">
      <w:pPr>
        <w:pStyle w:val="10"/>
        <w:rPr>
          <w:rFonts w:cs="Times New Roman"/>
        </w:rPr>
      </w:pPr>
      <w:r>
        <w:rPr>
          <w:rFonts w:cs="Times New Roman"/>
        </w:rPr>
        <w:t>表</w:t>
      </w:r>
      <w:r>
        <w:rPr>
          <w:rFonts w:cs="Times New Roman"/>
          <w:bCs/>
        </w:rPr>
        <w:t xml:space="preserve">1.7-1  </w:t>
      </w:r>
      <w:r>
        <w:rPr>
          <w:rFonts w:cs="Times New Roman"/>
        </w:rPr>
        <w:t>选址选线与相关法律法规、技术规范的符合性分析</w:t>
      </w:r>
    </w:p>
    <w:tbl>
      <w:tblPr>
        <w:tblW w:w="8624"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851"/>
        <w:gridCol w:w="709"/>
        <w:gridCol w:w="3969"/>
        <w:gridCol w:w="2126"/>
        <w:gridCol w:w="969"/>
      </w:tblGrid>
      <w:tr w:rsidR="00BD5820">
        <w:trPr>
          <w:trHeight w:val="240"/>
          <w:jc w:val="center"/>
        </w:trPr>
        <w:tc>
          <w:tcPr>
            <w:tcW w:w="1560" w:type="dxa"/>
            <w:gridSpan w:val="2"/>
            <w:vAlign w:val="center"/>
          </w:tcPr>
          <w:p w:rsidR="00BD5820" w:rsidRDefault="00F64314">
            <w:pPr>
              <w:pStyle w:val="afff1"/>
              <w:rPr>
                <w:b/>
                <w:bCs/>
                <w:szCs w:val="21"/>
              </w:rPr>
            </w:pPr>
            <w:r>
              <w:rPr>
                <w:b/>
                <w:bCs/>
                <w:szCs w:val="21"/>
              </w:rPr>
              <w:t>文件</w:t>
            </w:r>
          </w:p>
        </w:tc>
        <w:tc>
          <w:tcPr>
            <w:tcW w:w="3969" w:type="dxa"/>
            <w:vAlign w:val="center"/>
          </w:tcPr>
          <w:p w:rsidR="00BD5820" w:rsidRDefault="00F64314">
            <w:pPr>
              <w:pStyle w:val="afff1"/>
              <w:rPr>
                <w:b/>
                <w:bCs/>
                <w:szCs w:val="21"/>
              </w:rPr>
            </w:pPr>
            <w:r>
              <w:rPr>
                <w:b/>
                <w:bCs/>
                <w:szCs w:val="21"/>
              </w:rPr>
              <w:t>要求</w:t>
            </w:r>
          </w:p>
        </w:tc>
        <w:tc>
          <w:tcPr>
            <w:tcW w:w="2126" w:type="dxa"/>
            <w:vAlign w:val="center"/>
          </w:tcPr>
          <w:p w:rsidR="00BD5820" w:rsidRDefault="00F64314">
            <w:pPr>
              <w:pStyle w:val="afff1"/>
              <w:rPr>
                <w:b/>
                <w:bCs/>
                <w:szCs w:val="21"/>
              </w:rPr>
            </w:pPr>
            <w:r>
              <w:rPr>
                <w:b/>
                <w:bCs/>
                <w:szCs w:val="21"/>
              </w:rPr>
              <w:t>本项目</w:t>
            </w:r>
          </w:p>
        </w:tc>
        <w:tc>
          <w:tcPr>
            <w:tcW w:w="969" w:type="dxa"/>
            <w:vAlign w:val="center"/>
          </w:tcPr>
          <w:p w:rsidR="00BD5820" w:rsidRDefault="00F64314">
            <w:pPr>
              <w:pStyle w:val="afff1"/>
              <w:rPr>
                <w:b/>
                <w:bCs/>
                <w:szCs w:val="21"/>
              </w:rPr>
            </w:pPr>
            <w:r>
              <w:rPr>
                <w:b/>
                <w:bCs/>
                <w:szCs w:val="21"/>
              </w:rPr>
              <w:t>符合性分析</w:t>
            </w:r>
          </w:p>
        </w:tc>
      </w:tr>
      <w:tr w:rsidR="00BD5820">
        <w:trPr>
          <w:trHeight w:val="240"/>
          <w:jc w:val="center"/>
        </w:trPr>
        <w:tc>
          <w:tcPr>
            <w:tcW w:w="1560" w:type="dxa"/>
            <w:gridSpan w:val="2"/>
            <w:vMerge w:val="restart"/>
            <w:vAlign w:val="center"/>
          </w:tcPr>
          <w:p w:rsidR="00BD5820" w:rsidRDefault="00F64314">
            <w:pPr>
              <w:pStyle w:val="afff1"/>
              <w:rPr>
                <w:szCs w:val="21"/>
              </w:rPr>
            </w:pPr>
            <w:r>
              <w:rPr>
                <w:szCs w:val="21"/>
              </w:rPr>
              <w:t>《输气管道工程设计规范》（</w:t>
            </w:r>
            <w:r>
              <w:rPr>
                <w:szCs w:val="21"/>
              </w:rPr>
              <w:t>GB50251-2015</w:t>
            </w:r>
            <w:r>
              <w:rPr>
                <w:szCs w:val="21"/>
              </w:rPr>
              <w:t>）</w:t>
            </w:r>
          </w:p>
        </w:tc>
        <w:tc>
          <w:tcPr>
            <w:tcW w:w="3969" w:type="dxa"/>
            <w:vAlign w:val="center"/>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color w:val="auto"/>
                <w:sz w:val="21"/>
                <w:szCs w:val="21"/>
              </w:rPr>
              <w:t>禁止在饮用水水源一级保护区内建设输气管道。</w:t>
            </w:r>
          </w:p>
        </w:tc>
        <w:tc>
          <w:tcPr>
            <w:tcW w:w="2126" w:type="dxa"/>
            <w:vAlign w:val="center"/>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color w:val="auto"/>
                <w:sz w:val="21"/>
                <w:szCs w:val="21"/>
              </w:rPr>
              <w:t>本项目管线不穿越饮用水水源一级保护区。</w:t>
            </w:r>
          </w:p>
        </w:tc>
        <w:tc>
          <w:tcPr>
            <w:tcW w:w="969" w:type="dxa"/>
            <w:vAlign w:val="center"/>
          </w:tcPr>
          <w:p w:rsidR="00BD5820" w:rsidRDefault="00F64314">
            <w:pPr>
              <w:pStyle w:val="afff1"/>
              <w:rPr>
                <w:szCs w:val="21"/>
              </w:rPr>
            </w:pPr>
            <w:r>
              <w:rPr>
                <w:szCs w:val="21"/>
              </w:rPr>
              <w:t>符合</w:t>
            </w:r>
          </w:p>
        </w:tc>
      </w:tr>
      <w:tr w:rsidR="00BD5820">
        <w:trPr>
          <w:trHeight w:val="240"/>
          <w:jc w:val="center"/>
        </w:trPr>
        <w:tc>
          <w:tcPr>
            <w:tcW w:w="1560" w:type="dxa"/>
            <w:gridSpan w:val="2"/>
            <w:vMerge/>
            <w:vAlign w:val="center"/>
          </w:tcPr>
          <w:p w:rsidR="00BD5820" w:rsidRDefault="00BD5820">
            <w:pPr>
              <w:pStyle w:val="afff1"/>
              <w:rPr>
                <w:szCs w:val="21"/>
              </w:rPr>
            </w:pPr>
          </w:p>
        </w:tc>
        <w:tc>
          <w:tcPr>
            <w:tcW w:w="3969" w:type="dxa"/>
            <w:vAlign w:val="center"/>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color w:val="auto"/>
                <w:sz w:val="21"/>
                <w:szCs w:val="21"/>
              </w:rPr>
              <w:t>天然气输送管道穿（跨）越河流时，管道距公路、铁路大桥的距离，不应小于</w:t>
            </w:r>
            <w:r>
              <w:rPr>
                <w:rFonts w:ascii="Times New Roman" w:hAnsi="Times New Roman" w:cs="Times New Roman"/>
                <w:color w:val="auto"/>
                <w:sz w:val="21"/>
                <w:szCs w:val="21"/>
              </w:rPr>
              <w:t>100m</w:t>
            </w:r>
            <w:r>
              <w:rPr>
                <w:rFonts w:ascii="Times New Roman" w:hAnsi="Times New Roman" w:cs="Times New Roman"/>
                <w:color w:val="auto"/>
                <w:sz w:val="21"/>
                <w:szCs w:val="21"/>
              </w:rPr>
              <w:t>；距中桥不应小于</w:t>
            </w:r>
            <w:r>
              <w:rPr>
                <w:rFonts w:ascii="Times New Roman" w:hAnsi="Times New Roman" w:cs="Times New Roman"/>
                <w:color w:val="auto"/>
                <w:sz w:val="21"/>
                <w:szCs w:val="21"/>
              </w:rPr>
              <w:t>50m</w:t>
            </w:r>
            <w:r>
              <w:rPr>
                <w:rFonts w:ascii="Times New Roman" w:hAnsi="Times New Roman" w:cs="Times New Roman"/>
                <w:color w:val="auto"/>
                <w:sz w:val="21"/>
                <w:szCs w:val="21"/>
              </w:rPr>
              <w:t>。</w:t>
            </w:r>
          </w:p>
        </w:tc>
        <w:tc>
          <w:tcPr>
            <w:tcW w:w="2126" w:type="dxa"/>
            <w:vAlign w:val="center"/>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color w:val="auto"/>
                <w:sz w:val="21"/>
                <w:szCs w:val="21"/>
              </w:rPr>
              <w:t>本项管道沿线无公路、铁路大桥及中桥。</w:t>
            </w:r>
          </w:p>
        </w:tc>
        <w:tc>
          <w:tcPr>
            <w:tcW w:w="969" w:type="dxa"/>
            <w:vAlign w:val="center"/>
          </w:tcPr>
          <w:p w:rsidR="00BD5820" w:rsidRDefault="00F64314">
            <w:pPr>
              <w:pStyle w:val="afff1"/>
              <w:rPr>
                <w:szCs w:val="21"/>
              </w:rPr>
            </w:pPr>
            <w:r>
              <w:rPr>
                <w:szCs w:val="21"/>
              </w:rPr>
              <w:t>符合</w:t>
            </w:r>
          </w:p>
        </w:tc>
      </w:tr>
      <w:tr w:rsidR="00BD5820">
        <w:trPr>
          <w:trHeight w:val="240"/>
          <w:jc w:val="center"/>
        </w:trPr>
        <w:tc>
          <w:tcPr>
            <w:tcW w:w="1560" w:type="dxa"/>
            <w:gridSpan w:val="2"/>
            <w:vMerge/>
            <w:vAlign w:val="center"/>
          </w:tcPr>
          <w:p w:rsidR="00BD5820" w:rsidRDefault="00BD5820">
            <w:pPr>
              <w:pStyle w:val="afff1"/>
              <w:rPr>
                <w:szCs w:val="21"/>
              </w:rPr>
            </w:pPr>
          </w:p>
        </w:tc>
        <w:tc>
          <w:tcPr>
            <w:tcW w:w="3969" w:type="dxa"/>
            <w:vAlign w:val="center"/>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color w:val="auto"/>
                <w:sz w:val="21"/>
                <w:szCs w:val="21"/>
              </w:rPr>
              <w:t>管道中心线与建（构）筑物的最小距离不应小于</w:t>
            </w:r>
            <w:r>
              <w:rPr>
                <w:rFonts w:ascii="Times New Roman" w:hAnsi="Times New Roman" w:cs="Times New Roman"/>
                <w:color w:val="auto"/>
                <w:sz w:val="21"/>
                <w:szCs w:val="21"/>
              </w:rPr>
              <w:t>5m</w:t>
            </w:r>
            <w:r>
              <w:rPr>
                <w:rFonts w:ascii="Times New Roman" w:hAnsi="Times New Roman" w:cs="Times New Roman"/>
                <w:color w:val="auto"/>
                <w:sz w:val="21"/>
                <w:szCs w:val="21"/>
              </w:rPr>
              <w:t>。</w:t>
            </w:r>
          </w:p>
        </w:tc>
        <w:tc>
          <w:tcPr>
            <w:tcW w:w="2126" w:type="dxa"/>
            <w:vAlign w:val="center"/>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color w:val="auto"/>
                <w:sz w:val="21"/>
                <w:szCs w:val="21"/>
              </w:rPr>
              <w:t>项目管线与建构筑物最小距离为</w:t>
            </w:r>
            <w:r>
              <w:rPr>
                <w:rFonts w:ascii="Times New Roman" w:hAnsi="Times New Roman" w:cs="Times New Roman" w:hint="eastAsia"/>
                <w:color w:val="auto"/>
                <w:sz w:val="21"/>
                <w:szCs w:val="21"/>
              </w:rPr>
              <w:t>300</w:t>
            </w:r>
            <w:r>
              <w:rPr>
                <w:rFonts w:ascii="Times New Roman" w:hAnsi="Times New Roman" w:cs="Times New Roman"/>
                <w:color w:val="auto"/>
                <w:sz w:val="21"/>
                <w:szCs w:val="21"/>
              </w:rPr>
              <w:t>m</w:t>
            </w:r>
            <w:r>
              <w:rPr>
                <w:rFonts w:ascii="Times New Roman" w:hAnsi="Times New Roman" w:cs="Times New Roman"/>
                <w:color w:val="auto"/>
                <w:sz w:val="21"/>
                <w:szCs w:val="21"/>
              </w:rPr>
              <w:t>。</w:t>
            </w:r>
          </w:p>
        </w:tc>
        <w:tc>
          <w:tcPr>
            <w:tcW w:w="969" w:type="dxa"/>
            <w:vAlign w:val="center"/>
          </w:tcPr>
          <w:p w:rsidR="00BD5820" w:rsidRDefault="00F64314">
            <w:pPr>
              <w:pStyle w:val="afff1"/>
              <w:rPr>
                <w:szCs w:val="21"/>
              </w:rPr>
            </w:pPr>
            <w:r>
              <w:rPr>
                <w:szCs w:val="21"/>
              </w:rPr>
              <w:t>符合</w:t>
            </w:r>
          </w:p>
        </w:tc>
      </w:tr>
      <w:tr w:rsidR="00BD5820">
        <w:trPr>
          <w:trHeight w:val="240"/>
          <w:jc w:val="center"/>
        </w:trPr>
        <w:tc>
          <w:tcPr>
            <w:tcW w:w="851" w:type="dxa"/>
            <w:vMerge w:val="restart"/>
            <w:tcBorders>
              <w:right w:val="single" w:sz="2" w:space="0" w:color="auto"/>
            </w:tcBorders>
            <w:vAlign w:val="center"/>
          </w:tcPr>
          <w:p w:rsidR="00BD5820" w:rsidRDefault="00F64314" w:rsidP="000B3353">
            <w:pPr>
              <w:pStyle w:val="afff1"/>
              <w:rPr>
                <w:szCs w:val="21"/>
              </w:rPr>
            </w:pPr>
            <w:r>
              <w:rPr>
                <w:szCs w:val="21"/>
              </w:rPr>
              <w:t>《石油天然气工程设计防火规范》（</w:t>
            </w:r>
            <w:r>
              <w:rPr>
                <w:szCs w:val="21"/>
              </w:rPr>
              <w:t>GB50183-</w:t>
            </w:r>
            <w:r w:rsidRPr="000B3353">
              <w:rPr>
                <w:color w:val="FF0000"/>
                <w:szCs w:val="21"/>
              </w:rPr>
              <w:t>20</w:t>
            </w:r>
            <w:r w:rsidR="000B3353" w:rsidRPr="000B3353">
              <w:rPr>
                <w:rFonts w:hint="eastAsia"/>
                <w:color w:val="FF0000"/>
                <w:szCs w:val="21"/>
              </w:rPr>
              <w:t>15</w:t>
            </w:r>
            <w:r>
              <w:rPr>
                <w:szCs w:val="21"/>
              </w:rPr>
              <w:t>）</w:t>
            </w:r>
          </w:p>
        </w:tc>
        <w:tc>
          <w:tcPr>
            <w:tcW w:w="709" w:type="dxa"/>
            <w:vMerge w:val="restart"/>
            <w:tcBorders>
              <w:left w:val="single" w:sz="2" w:space="0" w:color="auto"/>
            </w:tcBorders>
            <w:vAlign w:val="center"/>
          </w:tcPr>
          <w:p w:rsidR="00BD5820" w:rsidRDefault="00F64314">
            <w:pPr>
              <w:pStyle w:val="afff1"/>
              <w:rPr>
                <w:szCs w:val="21"/>
              </w:rPr>
            </w:pPr>
            <w:r>
              <w:rPr>
                <w:rFonts w:hint="eastAsia"/>
                <w:bCs/>
                <w:szCs w:val="21"/>
              </w:rPr>
              <w:t>本项目普光气田</w:t>
            </w:r>
            <w:r>
              <w:rPr>
                <w:bCs/>
                <w:szCs w:val="21"/>
              </w:rPr>
              <w:t>1#</w:t>
            </w:r>
            <w:r>
              <w:rPr>
                <w:rFonts w:hint="eastAsia"/>
                <w:bCs/>
                <w:szCs w:val="21"/>
              </w:rPr>
              <w:t>增压站</w:t>
            </w:r>
          </w:p>
        </w:tc>
        <w:tc>
          <w:tcPr>
            <w:tcW w:w="3969" w:type="dxa"/>
            <w:vAlign w:val="center"/>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color w:val="auto"/>
                <w:sz w:val="21"/>
                <w:szCs w:val="21"/>
              </w:rPr>
              <w:t>100</w:t>
            </w:r>
            <w:r>
              <w:rPr>
                <w:rFonts w:ascii="Times New Roman" w:hAnsi="Times New Roman" w:cs="Times New Roman"/>
                <w:color w:val="auto"/>
                <w:sz w:val="21"/>
                <w:szCs w:val="21"/>
              </w:rPr>
              <w:t>人以上的居住区、村镇、公共福利设施距离</w:t>
            </w:r>
            <w:r>
              <w:rPr>
                <w:rFonts w:ascii="Times New Roman" w:hAnsi="Times New Roman" w:cs="Times New Roman"/>
                <w:color w:val="auto"/>
                <w:sz w:val="21"/>
                <w:szCs w:val="21"/>
              </w:rPr>
              <w:t>50m</w:t>
            </w:r>
            <w:r>
              <w:rPr>
                <w:rFonts w:ascii="Times New Roman" w:hAnsi="Times New Roman" w:cs="Times New Roman"/>
                <w:color w:val="auto"/>
                <w:sz w:val="21"/>
                <w:szCs w:val="21"/>
              </w:rPr>
              <w:t>以上。</w:t>
            </w:r>
          </w:p>
        </w:tc>
        <w:tc>
          <w:tcPr>
            <w:tcW w:w="2126" w:type="dxa"/>
            <w:vAlign w:val="center"/>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color w:val="auto"/>
                <w:sz w:val="21"/>
                <w:szCs w:val="21"/>
              </w:rPr>
              <w:t>最近为</w:t>
            </w:r>
            <w:r>
              <w:rPr>
                <w:rFonts w:ascii="Times New Roman" w:hAnsi="Times New Roman" w:cs="Times New Roman" w:hint="eastAsia"/>
                <w:color w:val="auto"/>
                <w:sz w:val="21"/>
                <w:szCs w:val="21"/>
              </w:rPr>
              <w:t>普光镇</w:t>
            </w:r>
            <w:r>
              <w:rPr>
                <w:rFonts w:ascii="Times New Roman" w:hAnsi="Times New Roman" w:cs="Times New Roman"/>
                <w:color w:val="auto"/>
                <w:sz w:val="21"/>
                <w:szCs w:val="21"/>
              </w:rPr>
              <w:t>，</w:t>
            </w:r>
            <w:r>
              <w:rPr>
                <w:rFonts w:ascii="Times New Roman" w:hAnsi="Times New Roman" w:cs="Times New Roman" w:hint="eastAsia"/>
                <w:color w:val="auto"/>
                <w:sz w:val="21"/>
                <w:szCs w:val="21"/>
              </w:rPr>
              <w:t>2.4</w:t>
            </w:r>
            <w:r>
              <w:rPr>
                <w:rFonts w:ascii="Times New Roman" w:hAnsi="Times New Roman" w:cs="Times New Roman"/>
                <w:color w:val="auto"/>
                <w:sz w:val="21"/>
                <w:szCs w:val="21"/>
              </w:rPr>
              <w:t>km</w:t>
            </w:r>
            <w:r>
              <w:rPr>
                <w:rFonts w:ascii="Times New Roman" w:hAnsi="Times New Roman" w:cs="Times New Roman"/>
                <w:color w:val="auto"/>
                <w:sz w:val="21"/>
                <w:szCs w:val="21"/>
              </w:rPr>
              <w:t>。</w:t>
            </w:r>
          </w:p>
        </w:tc>
        <w:tc>
          <w:tcPr>
            <w:tcW w:w="969" w:type="dxa"/>
            <w:vAlign w:val="center"/>
          </w:tcPr>
          <w:p w:rsidR="00BD5820" w:rsidRDefault="00F64314">
            <w:pPr>
              <w:pStyle w:val="afff1"/>
              <w:rPr>
                <w:szCs w:val="21"/>
              </w:rPr>
            </w:pPr>
            <w:r>
              <w:rPr>
                <w:szCs w:val="21"/>
              </w:rPr>
              <w:t>符合</w:t>
            </w:r>
          </w:p>
        </w:tc>
      </w:tr>
      <w:tr w:rsidR="00BD5820">
        <w:trPr>
          <w:trHeight w:val="240"/>
          <w:jc w:val="center"/>
        </w:trPr>
        <w:tc>
          <w:tcPr>
            <w:tcW w:w="851" w:type="dxa"/>
            <w:vMerge/>
            <w:tcBorders>
              <w:right w:val="single" w:sz="2" w:space="0" w:color="auto"/>
            </w:tcBorders>
            <w:vAlign w:val="center"/>
          </w:tcPr>
          <w:p w:rsidR="00BD5820" w:rsidRDefault="00BD5820">
            <w:pPr>
              <w:pStyle w:val="afff1"/>
              <w:rPr>
                <w:szCs w:val="21"/>
              </w:rPr>
            </w:pPr>
          </w:p>
        </w:tc>
        <w:tc>
          <w:tcPr>
            <w:tcW w:w="709" w:type="dxa"/>
            <w:vMerge/>
            <w:tcBorders>
              <w:left w:val="single" w:sz="2" w:space="0" w:color="auto"/>
            </w:tcBorders>
            <w:vAlign w:val="center"/>
          </w:tcPr>
          <w:p w:rsidR="00BD5820" w:rsidRDefault="00BD5820">
            <w:pPr>
              <w:pStyle w:val="afff1"/>
              <w:rPr>
                <w:szCs w:val="21"/>
              </w:rPr>
            </w:pPr>
          </w:p>
        </w:tc>
        <w:tc>
          <w:tcPr>
            <w:tcW w:w="3969" w:type="dxa"/>
            <w:vAlign w:val="center"/>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color w:val="auto"/>
                <w:sz w:val="21"/>
                <w:szCs w:val="21"/>
              </w:rPr>
              <w:t>与</w:t>
            </w:r>
            <w:r>
              <w:rPr>
                <w:rFonts w:ascii="Times New Roman" w:hAnsi="Times New Roman" w:cs="Times New Roman"/>
                <w:color w:val="auto"/>
                <w:sz w:val="21"/>
                <w:szCs w:val="21"/>
              </w:rPr>
              <w:t>100</w:t>
            </w:r>
            <w:r>
              <w:rPr>
                <w:rFonts w:ascii="Times New Roman" w:hAnsi="Times New Roman" w:cs="Times New Roman"/>
                <w:color w:val="auto"/>
                <w:sz w:val="21"/>
                <w:szCs w:val="21"/>
              </w:rPr>
              <w:t>人以下的散居房屋距离</w:t>
            </w:r>
            <w:r>
              <w:rPr>
                <w:rFonts w:ascii="Times New Roman" w:hAnsi="Times New Roman" w:cs="Times New Roman"/>
                <w:color w:val="auto"/>
                <w:sz w:val="21"/>
                <w:szCs w:val="21"/>
              </w:rPr>
              <w:t>30m</w:t>
            </w:r>
            <w:r>
              <w:rPr>
                <w:rFonts w:ascii="Times New Roman" w:hAnsi="Times New Roman" w:cs="Times New Roman"/>
                <w:color w:val="auto"/>
                <w:sz w:val="21"/>
                <w:szCs w:val="21"/>
              </w:rPr>
              <w:t>以上。</w:t>
            </w:r>
          </w:p>
        </w:tc>
        <w:tc>
          <w:tcPr>
            <w:tcW w:w="2126" w:type="dxa"/>
            <w:vAlign w:val="center"/>
          </w:tcPr>
          <w:p w:rsidR="00BD5820" w:rsidRDefault="00F64314">
            <w:pPr>
              <w:pStyle w:val="afff1"/>
              <w:rPr>
                <w:szCs w:val="21"/>
              </w:rPr>
            </w:pPr>
            <w:r>
              <w:rPr>
                <w:szCs w:val="21"/>
              </w:rPr>
              <w:t>最近</w:t>
            </w:r>
            <w:r>
              <w:rPr>
                <w:rFonts w:hint="eastAsia"/>
                <w:szCs w:val="21"/>
              </w:rPr>
              <w:t>340</w:t>
            </w:r>
            <w:r>
              <w:rPr>
                <w:szCs w:val="21"/>
              </w:rPr>
              <w:t>m</w:t>
            </w:r>
          </w:p>
        </w:tc>
        <w:tc>
          <w:tcPr>
            <w:tcW w:w="969" w:type="dxa"/>
            <w:vAlign w:val="center"/>
          </w:tcPr>
          <w:p w:rsidR="00BD5820" w:rsidRDefault="00F64314">
            <w:pPr>
              <w:pStyle w:val="afff1"/>
              <w:rPr>
                <w:szCs w:val="21"/>
              </w:rPr>
            </w:pPr>
            <w:r>
              <w:rPr>
                <w:szCs w:val="21"/>
              </w:rPr>
              <w:t>符合</w:t>
            </w:r>
          </w:p>
        </w:tc>
      </w:tr>
      <w:tr w:rsidR="00BD5820">
        <w:trPr>
          <w:trHeight w:val="238"/>
          <w:jc w:val="center"/>
        </w:trPr>
        <w:tc>
          <w:tcPr>
            <w:tcW w:w="851" w:type="dxa"/>
            <w:vMerge/>
            <w:tcBorders>
              <w:right w:val="single" w:sz="2" w:space="0" w:color="auto"/>
            </w:tcBorders>
            <w:vAlign w:val="center"/>
          </w:tcPr>
          <w:p w:rsidR="00BD5820" w:rsidRDefault="00BD5820">
            <w:pPr>
              <w:pStyle w:val="afff1"/>
              <w:rPr>
                <w:szCs w:val="21"/>
              </w:rPr>
            </w:pPr>
          </w:p>
        </w:tc>
        <w:tc>
          <w:tcPr>
            <w:tcW w:w="709" w:type="dxa"/>
            <w:vMerge/>
            <w:tcBorders>
              <w:left w:val="single" w:sz="2" w:space="0" w:color="auto"/>
            </w:tcBorders>
            <w:vAlign w:val="center"/>
          </w:tcPr>
          <w:p w:rsidR="00BD5820" w:rsidRDefault="00BD5820">
            <w:pPr>
              <w:pStyle w:val="afff1"/>
              <w:rPr>
                <w:szCs w:val="21"/>
              </w:rPr>
            </w:pPr>
          </w:p>
        </w:tc>
        <w:tc>
          <w:tcPr>
            <w:tcW w:w="3969" w:type="dxa"/>
            <w:vAlign w:val="center"/>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color w:val="auto"/>
                <w:sz w:val="21"/>
                <w:szCs w:val="21"/>
              </w:rPr>
              <w:t>与国家铁路距离</w:t>
            </w:r>
            <w:r>
              <w:rPr>
                <w:rFonts w:ascii="Times New Roman" w:hAnsi="Times New Roman" w:cs="Times New Roman"/>
                <w:color w:val="auto"/>
                <w:sz w:val="21"/>
                <w:szCs w:val="21"/>
              </w:rPr>
              <w:t>30m</w:t>
            </w:r>
            <w:r>
              <w:rPr>
                <w:rFonts w:ascii="Times New Roman" w:hAnsi="Times New Roman" w:cs="Times New Roman"/>
                <w:color w:val="auto"/>
                <w:sz w:val="21"/>
                <w:szCs w:val="21"/>
              </w:rPr>
              <w:t>以上。</w:t>
            </w:r>
          </w:p>
        </w:tc>
        <w:tc>
          <w:tcPr>
            <w:tcW w:w="2126" w:type="dxa"/>
            <w:vAlign w:val="center"/>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color w:val="auto"/>
                <w:sz w:val="21"/>
                <w:szCs w:val="21"/>
              </w:rPr>
              <w:t>周边无铁路</w:t>
            </w:r>
          </w:p>
        </w:tc>
        <w:tc>
          <w:tcPr>
            <w:tcW w:w="969" w:type="dxa"/>
            <w:vAlign w:val="center"/>
          </w:tcPr>
          <w:p w:rsidR="00BD5820" w:rsidRDefault="00F64314">
            <w:pPr>
              <w:pStyle w:val="afff1"/>
              <w:rPr>
                <w:szCs w:val="21"/>
              </w:rPr>
            </w:pPr>
            <w:r>
              <w:rPr>
                <w:szCs w:val="21"/>
              </w:rPr>
              <w:t>符合</w:t>
            </w:r>
          </w:p>
        </w:tc>
      </w:tr>
      <w:tr w:rsidR="00BD5820">
        <w:trPr>
          <w:trHeight w:val="238"/>
          <w:jc w:val="center"/>
        </w:trPr>
        <w:tc>
          <w:tcPr>
            <w:tcW w:w="851" w:type="dxa"/>
            <w:vMerge/>
            <w:tcBorders>
              <w:right w:val="single" w:sz="2" w:space="0" w:color="auto"/>
            </w:tcBorders>
            <w:vAlign w:val="center"/>
          </w:tcPr>
          <w:p w:rsidR="00BD5820" w:rsidRDefault="00BD5820">
            <w:pPr>
              <w:pStyle w:val="afff1"/>
              <w:rPr>
                <w:szCs w:val="21"/>
              </w:rPr>
            </w:pPr>
          </w:p>
        </w:tc>
        <w:tc>
          <w:tcPr>
            <w:tcW w:w="709" w:type="dxa"/>
            <w:vMerge/>
            <w:tcBorders>
              <w:left w:val="single" w:sz="2" w:space="0" w:color="auto"/>
            </w:tcBorders>
            <w:vAlign w:val="center"/>
          </w:tcPr>
          <w:p w:rsidR="00BD5820" w:rsidRDefault="00BD5820">
            <w:pPr>
              <w:pStyle w:val="afff1"/>
              <w:rPr>
                <w:szCs w:val="21"/>
              </w:rPr>
            </w:pPr>
          </w:p>
        </w:tc>
        <w:tc>
          <w:tcPr>
            <w:tcW w:w="3969" w:type="dxa"/>
            <w:vAlign w:val="center"/>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color w:val="auto"/>
                <w:sz w:val="21"/>
                <w:szCs w:val="21"/>
              </w:rPr>
              <w:t>与高速公路距离</w:t>
            </w:r>
            <w:r>
              <w:rPr>
                <w:rFonts w:ascii="Times New Roman" w:hAnsi="Times New Roman" w:cs="Times New Roman"/>
                <w:color w:val="auto"/>
                <w:sz w:val="21"/>
                <w:szCs w:val="21"/>
              </w:rPr>
              <w:t>20m</w:t>
            </w:r>
            <w:r>
              <w:rPr>
                <w:rFonts w:ascii="Times New Roman" w:hAnsi="Times New Roman" w:cs="Times New Roman"/>
                <w:color w:val="auto"/>
                <w:sz w:val="21"/>
                <w:szCs w:val="21"/>
              </w:rPr>
              <w:t>以上，与其他公路距离</w:t>
            </w:r>
            <w:r>
              <w:rPr>
                <w:rFonts w:ascii="Times New Roman" w:hAnsi="Times New Roman" w:cs="Times New Roman"/>
                <w:color w:val="auto"/>
                <w:sz w:val="21"/>
                <w:szCs w:val="21"/>
              </w:rPr>
              <w:t>10m</w:t>
            </w:r>
            <w:r>
              <w:rPr>
                <w:rFonts w:ascii="Times New Roman" w:hAnsi="Times New Roman" w:cs="Times New Roman"/>
                <w:color w:val="auto"/>
                <w:sz w:val="21"/>
                <w:szCs w:val="21"/>
              </w:rPr>
              <w:t>以上。</w:t>
            </w:r>
          </w:p>
        </w:tc>
        <w:tc>
          <w:tcPr>
            <w:tcW w:w="2126" w:type="dxa"/>
            <w:vAlign w:val="center"/>
          </w:tcPr>
          <w:p w:rsidR="00BD5820" w:rsidRDefault="00F64314">
            <w:pPr>
              <w:pStyle w:val="Default"/>
              <w:jc w:val="center"/>
              <w:rPr>
                <w:szCs w:val="21"/>
              </w:rPr>
            </w:pPr>
            <w:r>
              <w:rPr>
                <w:rFonts w:ascii="Times New Roman" w:hAnsi="Times New Roman" w:cs="Times New Roman"/>
                <w:color w:val="auto"/>
                <w:sz w:val="21"/>
                <w:szCs w:val="21"/>
              </w:rPr>
              <w:t>周边无高速公路</w:t>
            </w:r>
          </w:p>
        </w:tc>
        <w:tc>
          <w:tcPr>
            <w:tcW w:w="969" w:type="dxa"/>
            <w:vAlign w:val="center"/>
          </w:tcPr>
          <w:p w:rsidR="00BD5820" w:rsidRDefault="00F64314">
            <w:pPr>
              <w:pStyle w:val="afff1"/>
              <w:rPr>
                <w:szCs w:val="21"/>
              </w:rPr>
            </w:pPr>
            <w:r>
              <w:rPr>
                <w:szCs w:val="21"/>
              </w:rPr>
              <w:t>符合</w:t>
            </w:r>
          </w:p>
        </w:tc>
      </w:tr>
      <w:tr w:rsidR="00BD5820">
        <w:trPr>
          <w:trHeight w:val="235"/>
          <w:jc w:val="center"/>
        </w:trPr>
        <w:tc>
          <w:tcPr>
            <w:tcW w:w="851" w:type="dxa"/>
            <w:vMerge/>
            <w:tcBorders>
              <w:right w:val="single" w:sz="2" w:space="0" w:color="auto"/>
            </w:tcBorders>
            <w:vAlign w:val="center"/>
          </w:tcPr>
          <w:p w:rsidR="00BD5820" w:rsidRDefault="00BD5820">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p>
        </w:tc>
        <w:tc>
          <w:tcPr>
            <w:tcW w:w="709" w:type="dxa"/>
            <w:vMerge/>
            <w:tcBorders>
              <w:left w:val="single" w:sz="2" w:space="0" w:color="auto"/>
            </w:tcBorders>
            <w:vAlign w:val="center"/>
          </w:tcPr>
          <w:p w:rsidR="00BD5820" w:rsidRDefault="00BD5820">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p>
        </w:tc>
        <w:tc>
          <w:tcPr>
            <w:tcW w:w="3969" w:type="dxa"/>
            <w:vAlign w:val="center"/>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color w:val="auto"/>
                <w:sz w:val="21"/>
                <w:szCs w:val="21"/>
              </w:rPr>
              <w:t>石油天然气站场内的锅炉房、</w:t>
            </w:r>
            <w:r>
              <w:rPr>
                <w:rFonts w:ascii="Times New Roman" w:hAnsi="Times New Roman" w:cs="Times New Roman"/>
                <w:color w:val="auto"/>
                <w:sz w:val="21"/>
                <w:szCs w:val="21"/>
              </w:rPr>
              <w:t>35kV</w:t>
            </w:r>
            <w:r>
              <w:rPr>
                <w:rFonts w:ascii="Times New Roman" w:hAnsi="Times New Roman" w:cs="Times New Roman"/>
                <w:color w:val="auto"/>
                <w:sz w:val="21"/>
                <w:szCs w:val="21"/>
              </w:rPr>
              <w:t>及以上的变（配）电所、加热炉、水套炉等有明火或散发火花的地点，宜布置在站场或油气生产区边缘。</w:t>
            </w:r>
          </w:p>
        </w:tc>
        <w:tc>
          <w:tcPr>
            <w:tcW w:w="2126" w:type="dxa"/>
            <w:vAlign w:val="center"/>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不</w:t>
            </w:r>
            <w:r>
              <w:rPr>
                <w:rFonts w:ascii="Times New Roman" w:hAnsi="Times New Roman" w:cs="Times New Roman"/>
                <w:color w:val="auto"/>
                <w:sz w:val="21"/>
                <w:szCs w:val="21"/>
              </w:rPr>
              <w:t>涉及</w:t>
            </w:r>
          </w:p>
        </w:tc>
        <w:tc>
          <w:tcPr>
            <w:tcW w:w="969" w:type="dxa"/>
            <w:vAlign w:val="center"/>
          </w:tcPr>
          <w:p w:rsidR="00BD5820" w:rsidRDefault="00F64314">
            <w:pPr>
              <w:pStyle w:val="afff1"/>
              <w:rPr>
                <w:szCs w:val="21"/>
              </w:rPr>
            </w:pPr>
            <w:r>
              <w:rPr>
                <w:szCs w:val="21"/>
              </w:rPr>
              <w:t>符合</w:t>
            </w:r>
          </w:p>
        </w:tc>
      </w:tr>
      <w:tr w:rsidR="00BD5820">
        <w:trPr>
          <w:trHeight w:val="235"/>
          <w:jc w:val="center"/>
        </w:trPr>
        <w:tc>
          <w:tcPr>
            <w:tcW w:w="851" w:type="dxa"/>
            <w:vMerge/>
            <w:tcBorders>
              <w:right w:val="single" w:sz="2" w:space="0" w:color="auto"/>
            </w:tcBorders>
            <w:vAlign w:val="center"/>
          </w:tcPr>
          <w:p w:rsidR="00BD5820" w:rsidRDefault="00BD5820">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p>
        </w:tc>
        <w:tc>
          <w:tcPr>
            <w:tcW w:w="709" w:type="dxa"/>
            <w:vMerge w:val="restart"/>
            <w:tcBorders>
              <w:left w:val="single" w:sz="2" w:space="0" w:color="auto"/>
            </w:tcBorders>
            <w:vAlign w:val="center"/>
          </w:tcPr>
          <w:p w:rsidR="00BD5820" w:rsidRDefault="00F64314">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r>
              <w:rPr>
                <w:rFonts w:ascii="Times New Roman" w:cs="Times New Roman" w:hint="eastAsia"/>
                <w:bCs/>
                <w:kern w:val="2"/>
                <w:sz w:val="21"/>
                <w:szCs w:val="21"/>
                <w:shd w:val="clear" w:color="auto" w:fill="FFFFFF"/>
              </w:rPr>
              <w:t>本项目普光气田</w:t>
            </w:r>
            <w:r>
              <w:rPr>
                <w:rFonts w:ascii="Times New Roman" w:cs="Times New Roman" w:hint="eastAsia"/>
                <w:bCs/>
                <w:kern w:val="2"/>
                <w:sz w:val="21"/>
                <w:szCs w:val="21"/>
                <w:shd w:val="clear" w:color="auto" w:fill="FFFFFF"/>
              </w:rPr>
              <w:t>2</w:t>
            </w:r>
            <w:r>
              <w:rPr>
                <w:rFonts w:ascii="Times New Roman" w:cs="Times New Roman"/>
                <w:bCs/>
                <w:kern w:val="2"/>
                <w:sz w:val="21"/>
                <w:szCs w:val="21"/>
                <w:shd w:val="clear" w:color="auto" w:fill="FFFFFF"/>
              </w:rPr>
              <w:t>#</w:t>
            </w:r>
            <w:r>
              <w:rPr>
                <w:rFonts w:ascii="Times New Roman" w:cs="Times New Roman" w:hint="eastAsia"/>
                <w:bCs/>
                <w:kern w:val="2"/>
                <w:sz w:val="21"/>
                <w:szCs w:val="21"/>
                <w:shd w:val="clear" w:color="auto" w:fill="FFFFFF"/>
              </w:rPr>
              <w:t>增压站</w:t>
            </w:r>
          </w:p>
        </w:tc>
        <w:tc>
          <w:tcPr>
            <w:tcW w:w="3969" w:type="dxa"/>
            <w:vAlign w:val="center"/>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color w:val="auto"/>
                <w:sz w:val="21"/>
                <w:szCs w:val="21"/>
              </w:rPr>
              <w:t>100</w:t>
            </w:r>
            <w:r>
              <w:rPr>
                <w:rFonts w:ascii="Times New Roman" w:hAnsi="Times New Roman" w:cs="Times New Roman"/>
                <w:color w:val="auto"/>
                <w:sz w:val="21"/>
                <w:szCs w:val="21"/>
              </w:rPr>
              <w:t>人以上的居住区、村镇、公共福利设施距离</w:t>
            </w:r>
            <w:r>
              <w:rPr>
                <w:rFonts w:ascii="Times New Roman" w:hAnsi="Times New Roman" w:cs="Times New Roman"/>
                <w:color w:val="auto"/>
                <w:sz w:val="21"/>
                <w:szCs w:val="21"/>
              </w:rPr>
              <w:t>50m</w:t>
            </w:r>
            <w:r>
              <w:rPr>
                <w:rFonts w:ascii="Times New Roman" w:hAnsi="Times New Roman" w:cs="Times New Roman"/>
                <w:color w:val="auto"/>
                <w:sz w:val="21"/>
                <w:szCs w:val="21"/>
              </w:rPr>
              <w:t>以上。</w:t>
            </w:r>
          </w:p>
        </w:tc>
        <w:tc>
          <w:tcPr>
            <w:tcW w:w="2126" w:type="dxa"/>
            <w:vAlign w:val="center"/>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color w:val="auto"/>
                <w:sz w:val="21"/>
                <w:szCs w:val="21"/>
              </w:rPr>
              <w:t>最近为</w:t>
            </w:r>
            <w:r>
              <w:rPr>
                <w:rFonts w:ascii="Times New Roman" w:hAnsi="Times New Roman" w:cs="Times New Roman" w:hint="eastAsia"/>
                <w:color w:val="auto"/>
                <w:sz w:val="21"/>
                <w:szCs w:val="21"/>
              </w:rPr>
              <w:t>普光镇</w:t>
            </w:r>
            <w:r>
              <w:rPr>
                <w:rFonts w:ascii="Times New Roman" w:hAnsi="Times New Roman" w:cs="Times New Roman"/>
                <w:color w:val="auto"/>
                <w:sz w:val="21"/>
                <w:szCs w:val="21"/>
              </w:rPr>
              <w:t>，</w:t>
            </w:r>
            <w:r>
              <w:rPr>
                <w:rFonts w:ascii="Times New Roman" w:hAnsi="Times New Roman" w:cs="Times New Roman" w:hint="eastAsia"/>
                <w:color w:val="auto"/>
                <w:sz w:val="21"/>
                <w:szCs w:val="21"/>
              </w:rPr>
              <w:t>2.7</w:t>
            </w:r>
            <w:r>
              <w:rPr>
                <w:rFonts w:ascii="Times New Roman" w:hAnsi="Times New Roman" w:cs="Times New Roman"/>
                <w:color w:val="auto"/>
                <w:sz w:val="21"/>
                <w:szCs w:val="21"/>
              </w:rPr>
              <w:t>km</w:t>
            </w:r>
            <w:r>
              <w:rPr>
                <w:rFonts w:ascii="Times New Roman" w:hAnsi="Times New Roman" w:cs="Times New Roman"/>
                <w:color w:val="auto"/>
                <w:sz w:val="21"/>
                <w:szCs w:val="21"/>
              </w:rPr>
              <w:t>。</w:t>
            </w:r>
          </w:p>
        </w:tc>
        <w:tc>
          <w:tcPr>
            <w:tcW w:w="969" w:type="dxa"/>
            <w:vAlign w:val="center"/>
          </w:tcPr>
          <w:p w:rsidR="00BD5820" w:rsidRDefault="00F64314">
            <w:pPr>
              <w:pStyle w:val="afff1"/>
              <w:rPr>
                <w:szCs w:val="21"/>
              </w:rPr>
            </w:pPr>
            <w:r>
              <w:rPr>
                <w:szCs w:val="21"/>
              </w:rPr>
              <w:t>符合</w:t>
            </w:r>
          </w:p>
        </w:tc>
      </w:tr>
      <w:tr w:rsidR="00BD5820">
        <w:trPr>
          <w:trHeight w:val="235"/>
          <w:jc w:val="center"/>
        </w:trPr>
        <w:tc>
          <w:tcPr>
            <w:tcW w:w="851" w:type="dxa"/>
            <w:vMerge/>
            <w:tcBorders>
              <w:right w:val="single" w:sz="2" w:space="0" w:color="auto"/>
            </w:tcBorders>
            <w:vAlign w:val="center"/>
          </w:tcPr>
          <w:p w:rsidR="00BD5820" w:rsidRDefault="00BD5820">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p>
        </w:tc>
        <w:tc>
          <w:tcPr>
            <w:tcW w:w="709" w:type="dxa"/>
            <w:vMerge/>
            <w:tcBorders>
              <w:left w:val="single" w:sz="2" w:space="0" w:color="auto"/>
            </w:tcBorders>
            <w:vAlign w:val="center"/>
          </w:tcPr>
          <w:p w:rsidR="00BD5820" w:rsidRDefault="00BD5820">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p>
        </w:tc>
        <w:tc>
          <w:tcPr>
            <w:tcW w:w="3969" w:type="dxa"/>
            <w:vAlign w:val="center"/>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color w:val="auto"/>
                <w:sz w:val="21"/>
                <w:szCs w:val="21"/>
              </w:rPr>
              <w:t>与</w:t>
            </w:r>
            <w:r>
              <w:rPr>
                <w:rFonts w:ascii="Times New Roman" w:hAnsi="Times New Roman" w:cs="Times New Roman"/>
                <w:color w:val="auto"/>
                <w:sz w:val="21"/>
                <w:szCs w:val="21"/>
              </w:rPr>
              <w:t>100</w:t>
            </w:r>
            <w:r>
              <w:rPr>
                <w:rFonts w:ascii="Times New Roman" w:hAnsi="Times New Roman" w:cs="Times New Roman"/>
                <w:color w:val="auto"/>
                <w:sz w:val="21"/>
                <w:szCs w:val="21"/>
              </w:rPr>
              <w:t>人以下的散居房屋距离</w:t>
            </w:r>
            <w:r>
              <w:rPr>
                <w:rFonts w:ascii="Times New Roman" w:hAnsi="Times New Roman" w:cs="Times New Roman"/>
                <w:color w:val="auto"/>
                <w:sz w:val="21"/>
                <w:szCs w:val="21"/>
              </w:rPr>
              <w:t>30m</w:t>
            </w:r>
            <w:r>
              <w:rPr>
                <w:rFonts w:ascii="Times New Roman" w:hAnsi="Times New Roman" w:cs="Times New Roman"/>
                <w:color w:val="auto"/>
                <w:sz w:val="21"/>
                <w:szCs w:val="21"/>
              </w:rPr>
              <w:t>以上。</w:t>
            </w:r>
          </w:p>
        </w:tc>
        <w:tc>
          <w:tcPr>
            <w:tcW w:w="2126" w:type="dxa"/>
            <w:vAlign w:val="center"/>
          </w:tcPr>
          <w:p w:rsidR="00BD5820" w:rsidRDefault="00F64314">
            <w:pPr>
              <w:pStyle w:val="afff1"/>
              <w:rPr>
                <w:szCs w:val="21"/>
              </w:rPr>
            </w:pPr>
            <w:r>
              <w:rPr>
                <w:szCs w:val="21"/>
              </w:rPr>
              <w:t>最近</w:t>
            </w:r>
            <w:r>
              <w:rPr>
                <w:rFonts w:hint="eastAsia"/>
                <w:szCs w:val="21"/>
              </w:rPr>
              <w:t>410</w:t>
            </w:r>
            <w:r>
              <w:rPr>
                <w:szCs w:val="21"/>
              </w:rPr>
              <w:t>m</w:t>
            </w:r>
          </w:p>
        </w:tc>
        <w:tc>
          <w:tcPr>
            <w:tcW w:w="969" w:type="dxa"/>
            <w:vAlign w:val="center"/>
          </w:tcPr>
          <w:p w:rsidR="00BD5820" w:rsidRDefault="00F64314">
            <w:pPr>
              <w:pStyle w:val="afff1"/>
              <w:rPr>
                <w:szCs w:val="21"/>
              </w:rPr>
            </w:pPr>
            <w:r>
              <w:rPr>
                <w:szCs w:val="21"/>
              </w:rPr>
              <w:t>符合</w:t>
            </w:r>
          </w:p>
        </w:tc>
      </w:tr>
      <w:tr w:rsidR="00BD5820">
        <w:trPr>
          <w:trHeight w:val="235"/>
          <w:jc w:val="center"/>
        </w:trPr>
        <w:tc>
          <w:tcPr>
            <w:tcW w:w="851" w:type="dxa"/>
            <w:vMerge/>
            <w:tcBorders>
              <w:right w:val="single" w:sz="2" w:space="0" w:color="auto"/>
            </w:tcBorders>
            <w:vAlign w:val="center"/>
          </w:tcPr>
          <w:p w:rsidR="00BD5820" w:rsidRDefault="00BD5820">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p>
        </w:tc>
        <w:tc>
          <w:tcPr>
            <w:tcW w:w="709" w:type="dxa"/>
            <w:vMerge/>
            <w:tcBorders>
              <w:left w:val="single" w:sz="2" w:space="0" w:color="auto"/>
            </w:tcBorders>
            <w:vAlign w:val="center"/>
          </w:tcPr>
          <w:p w:rsidR="00BD5820" w:rsidRDefault="00BD5820">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p>
        </w:tc>
        <w:tc>
          <w:tcPr>
            <w:tcW w:w="3969" w:type="dxa"/>
            <w:vAlign w:val="center"/>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color w:val="auto"/>
                <w:sz w:val="21"/>
                <w:szCs w:val="21"/>
              </w:rPr>
              <w:t>与国家铁路距离</w:t>
            </w:r>
            <w:r>
              <w:rPr>
                <w:rFonts w:ascii="Times New Roman" w:hAnsi="Times New Roman" w:cs="Times New Roman"/>
                <w:color w:val="auto"/>
                <w:sz w:val="21"/>
                <w:szCs w:val="21"/>
              </w:rPr>
              <w:t>30m</w:t>
            </w:r>
            <w:r>
              <w:rPr>
                <w:rFonts w:ascii="Times New Roman" w:hAnsi="Times New Roman" w:cs="Times New Roman"/>
                <w:color w:val="auto"/>
                <w:sz w:val="21"/>
                <w:szCs w:val="21"/>
              </w:rPr>
              <w:t>以上。</w:t>
            </w:r>
          </w:p>
        </w:tc>
        <w:tc>
          <w:tcPr>
            <w:tcW w:w="2126" w:type="dxa"/>
            <w:vAlign w:val="center"/>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color w:val="auto"/>
                <w:sz w:val="21"/>
                <w:szCs w:val="21"/>
              </w:rPr>
              <w:t>周边无铁路</w:t>
            </w:r>
          </w:p>
        </w:tc>
        <w:tc>
          <w:tcPr>
            <w:tcW w:w="969" w:type="dxa"/>
            <w:vAlign w:val="center"/>
          </w:tcPr>
          <w:p w:rsidR="00BD5820" w:rsidRDefault="00F64314">
            <w:pPr>
              <w:pStyle w:val="afff1"/>
              <w:rPr>
                <w:szCs w:val="21"/>
              </w:rPr>
            </w:pPr>
            <w:r>
              <w:rPr>
                <w:szCs w:val="21"/>
              </w:rPr>
              <w:t>符合</w:t>
            </w:r>
          </w:p>
        </w:tc>
      </w:tr>
      <w:tr w:rsidR="00BD5820">
        <w:trPr>
          <w:trHeight w:val="235"/>
          <w:jc w:val="center"/>
        </w:trPr>
        <w:tc>
          <w:tcPr>
            <w:tcW w:w="851" w:type="dxa"/>
            <w:vMerge/>
            <w:tcBorders>
              <w:right w:val="single" w:sz="2" w:space="0" w:color="auto"/>
            </w:tcBorders>
            <w:vAlign w:val="center"/>
          </w:tcPr>
          <w:p w:rsidR="00BD5820" w:rsidRDefault="00BD5820">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p>
        </w:tc>
        <w:tc>
          <w:tcPr>
            <w:tcW w:w="709" w:type="dxa"/>
            <w:vMerge/>
            <w:tcBorders>
              <w:left w:val="single" w:sz="2" w:space="0" w:color="auto"/>
            </w:tcBorders>
            <w:vAlign w:val="center"/>
          </w:tcPr>
          <w:p w:rsidR="00BD5820" w:rsidRDefault="00BD5820">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p>
        </w:tc>
        <w:tc>
          <w:tcPr>
            <w:tcW w:w="3969" w:type="dxa"/>
            <w:vAlign w:val="center"/>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color w:val="auto"/>
                <w:sz w:val="21"/>
                <w:szCs w:val="21"/>
              </w:rPr>
              <w:t>与高速公路距离</w:t>
            </w:r>
            <w:r>
              <w:rPr>
                <w:rFonts w:ascii="Times New Roman" w:hAnsi="Times New Roman" w:cs="Times New Roman"/>
                <w:color w:val="auto"/>
                <w:sz w:val="21"/>
                <w:szCs w:val="21"/>
              </w:rPr>
              <w:t>20m</w:t>
            </w:r>
            <w:r>
              <w:rPr>
                <w:rFonts w:ascii="Times New Roman" w:hAnsi="Times New Roman" w:cs="Times New Roman"/>
                <w:color w:val="auto"/>
                <w:sz w:val="21"/>
                <w:szCs w:val="21"/>
              </w:rPr>
              <w:t>以上，与其他公路距离</w:t>
            </w:r>
            <w:r>
              <w:rPr>
                <w:rFonts w:ascii="Times New Roman" w:hAnsi="Times New Roman" w:cs="Times New Roman"/>
                <w:color w:val="auto"/>
                <w:sz w:val="21"/>
                <w:szCs w:val="21"/>
              </w:rPr>
              <w:t>10m</w:t>
            </w:r>
            <w:r>
              <w:rPr>
                <w:rFonts w:ascii="Times New Roman" w:hAnsi="Times New Roman" w:cs="Times New Roman"/>
                <w:color w:val="auto"/>
                <w:sz w:val="21"/>
                <w:szCs w:val="21"/>
              </w:rPr>
              <w:t>以上。</w:t>
            </w:r>
          </w:p>
        </w:tc>
        <w:tc>
          <w:tcPr>
            <w:tcW w:w="2126" w:type="dxa"/>
            <w:vAlign w:val="center"/>
          </w:tcPr>
          <w:p w:rsidR="00BD5820" w:rsidRDefault="00F64314">
            <w:pPr>
              <w:pStyle w:val="afff1"/>
              <w:rPr>
                <w:szCs w:val="21"/>
              </w:rPr>
            </w:pPr>
            <w:r>
              <w:rPr>
                <w:szCs w:val="21"/>
              </w:rPr>
              <w:t>与高速公路直线距离</w:t>
            </w:r>
            <w:r>
              <w:rPr>
                <w:rFonts w:hint="eastAsia"/>
                <w:szCs w:val="21"/>
              </w:rPr>
              <w:t>120m</w:t>
            </w:r>
          </w:p>
        </w:tc>
        <w:tc>
          <w:tcPr>
            <w:tcW w:w="969" w:type="dxa"/>
            <w:vAlign w:val="center"/>
          </w:tcPr>
          <w:p w:rsidR="00BD5820" w:rsidRDefault="00F64314">
            <w:pPr>
              <w:pStyle w:val="afff1"/>
              <w:rPr>
                <w:szCs w:val="21"/>
              </w:rPr>
            </w:pPr>
            <w:r>
              <w:rPr>
                <w:szCs w:val="21"/>
              </w:rPr>
              <w:t>符合</w:t>
            </w:r>
          </w:p>
        </w:tc>
      </w:tr>
      <w:tr w:rsidR="00BD5820">
        <w:trPr>
          <w:trHeight w:val="235"/>
          <w:jc w:val="center"/>
        </w:trPr>
        <w:tc>
          <w:tcPr>
            <w:tcW w:w="851" w:type="dxa"/>
            <w:vMerge/>
            <w:tcBorders>
              <w:right w:val="single" w:sz="2" w:space="0" w:color="auto"/>
            </w:tcBorders>
            <w:vAlign w:val="center"/>
          </w:tcPr>
          <w:p w:rsidR="00BD5820" w:rsidRDefault="00BD5820">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p>
        </w:tc>
        <w:tc>
          <w:tcPr>
            <w:tcW w:w="709" w:type="dxa"/>
            <w:vMerge/>
            <w:tcBorders>
              <w:left w:val="single" w:sz="2" w:space="0" w:color="auto"/>
            </w:tcBorders>
            <w:vAlign w:val="center"/>
          </w:tcPr>
          <w:p w:rsidR="00BD5820" w:rsidRDefault="00BD5820">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p>
        </w:tc>
        <w:tc>
          <w:tcPr>
            <w:tcW w:w="3969" w:type="dxa"/>
            <w:vAlign w:val="center"/>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color w:val="auto"/>
                <w:sz w:val="21"/>
                <w:szCs w:val="21"/>
              </w:rPr>
              <w:t>石油天然气站场内的锅炉房、</w:t>
            </w:r>
            <w:r>
              <w:rPr>
                <w:rFonts w:ascii="Times New Roman" w:hAnsi="Times New Roman" w:cs="Times New Roman"/>
                <w:color w:val="auto"/>
                <w:sz w:val="21"/>
                <w:szCs w:val="21"/>
              </w:rPr>
              <w:t>35kV</w:t>
            </w:r>
            <w:r>
              <w:rPr>
                <w:rFonts w:ascii="Times New Roman" w:hAnsi="Times New Roman" w:cs="Times New Roman"/>
                <w:color w:val="auto"/>
                <w:sz w:val="21"/>
                <w:szCs w:val="21"/>
              </w:rPr>
              <w:t>及以上的变（配）电所、加热炉、水套炉等有明火或散发火花的地点，宜布置在站场或油气生产区边缘。</w:t>
            </w:r>
          </w:p>
        </w:tc>
        <w:tc>
          <w:tcPr>
            <w:tcW w:w="2126" w:type="dxa"/>
            <w:vAlign w:val="center"/>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不</w:t>
            </w:r>
            <w:r>
              <w:rPr>
                <w:rFonts w:ascii="Times New Roman" w:hAnsi="Times New Roman" w:cs="Times New Roman"/>
                <w:color w:val="auto"/>
                <w:sz w:val="21"/>
                <w:szCs w:val="21"/>
              </w:rPr>
              <w:t>涉及</w:t>
            </w:r>
          </w:p>
        </w:tc>
        <w:tc>
          <w:tcPr>
            <w:tcW w:w="969" w:type="dxa"/>
            <w:vAlign w:val="center"/>
          </w:tcPr>
          <w:p w:rsidR="00BD5820" w:rsidRDefault="00F64314">
            <w:pPr>
              <w:pStyle w:val="afff1"/>
              <w:rPr>
                <w:szCs w:val="21"/>
              </w:rPr>
            </w:pPr>
            <w:r>
              <w:rPr>
                <w:szCs w:val="21"/>
              </w:rPr>
              <w:t>符合</w:t>
            </w:r>
          </w:p>
        </w:tc>
      </w:tr>
      <w:tr w:rsidR="00BD5820">
        <w:trPr>
          <w:trHeight w:val="235"/>
          <w:jc w:val="center"/>
        </w:trPr>
        <w:tc>
          <w:tcPr>
            <w:tcW w:w="851" w:type="dxa"/>
            <w:vMerge/>
            <w:tcBorders>
              <w:right w:val="single" w:sz="2" w:space="0" w:color="auto"/>
            </w:tcBorders>
            <w:vAlign w:val="center"/>
          </w:tcPr>
          <w:p w:rsidR="00BD5820" w:rsidRDefault="00BD5820">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p>
        </w:tc>
        <w:tc>
          <w:tcPr>
            <w:tcW w:w="709" w:type="dxa"/>
            <w:vMerge w:val="restart"/>
            <w:tcBorders>
              <w:left w:val="single" w:sz="2" w:space="0" w:color="auto"/>
            </w:tcBorders>
            <w:vAlign w:val="center"/>
          </w:tcPr>
          <w:p w:rsidR="00BD5820" w:rsidRDefault="00F64314">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r>
              <w:rPr>
                <w:rFonts w:ascii="Times New Roman" w:cs="Times New Roman" w:hint="eastAsia"/>
                <w:kern w:val="2"/>
                <w:sz w:val="21"/>
                <w:szCs w:val="21"/>
                <w:shd w:val="clear" w:color="auto" w:fill="FFFFFF"/>
              </w:rPr>
              <w:t>新建</w:t>
            </w:r>
            <w:r>
              <w:rPr>
                <w:rFonts w:ascii="Times New Roman" w:cs="Times New Roman"/>
                <w:kern w:val="2"/>
                <w:sz w:val="21"/>
                <w:szCs w:val="21"/>
                <w:shd w:val="clear" w:color="auto" w:fill="FFFFFF"/>
              </w:rPr>
              <w:t>集气管线</w:t>
            </w:r>
          </w:p>
        </w:tc>
        <w:tc>
          <w:tcPr>
            <w:tcW w:w="3969" w:type="dxa"/>
            <w:vAlign w:val="center"/>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color w:val="auto"/>
                <w:sz w:val="21"/>
                <w:szCs w:val="21"/>
              </w:rPr>
              <w:t>油气田内部集输管道宜埋地敷设</w:t>
            </w:r>
          </w:p>
        </w:tc>
        <w:tc>
          <w:tcPr>
            <w:tcW w:w="2126" w:type="dxa"/>
            <w:vAlign w:val="center"/>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color w:val="auto"/>
                <w:sz w:val="21"/>
                <w:szCs w:val="21"/>
              </w:rPr>
              <w:t>本项目管道埋地敷设。</w:t>
            </w:r>
          </w:p>
        </w:tc>
        <w:tc>
          <w:tcPr>
            <w:tcW w:w="969" w:type="dxa"/>
            <w:vAlign w:val="center"/>
          </w:tcPr>
          <w:p w:rsidR="00BD5820" w:rsidRDefault="00F64314">
            <w:pPr>
              <w:pStyle w:val="afff1"/>
              <w:rPr>
                <w:szCs w:val="21"/>
              </w:rPr>
            </w:pPr>
            <w:r>
              <w:rPr>
                <w:szCs w:val="21"/>
              </w:rPr>
              <w:t>符合</w:t>
            </w:r>
          </w:p>
        </w:tc>
      </w:tr>
      <w:tr w:rsidR="00BD5820">
        <w:trPr>
          <w:trHeight w:val="235"/>
          <w:jc w:val="center"/>
        </w:trPr>
        <w:tc>
          <w:tcPr>
            <w:tcW w:w="851" w:type="dxa"/>
            <w:vMerge/>
            <w:tcBorders>
              <w:right w:val="single" w:sz="2" w:space="0" w:color="auto"/>
            </w:tcBorders>
            <w:vAlign w:val="center"/>
          </w:tcPr>
          <w:p w:rsidR="00BD5820" w:rsidRDefault="00BD5820">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p>
        </w:tc>
        <w:tc>
          <w:tcPr>
            <w:tcW w:w="709" w:type="dxa"/>
            <w:vMerge/>
            <w:tcBorders>
              <w:left w:val="single" w:sz="2" w:space="0" w:color="auto"/>
            </w:tcBorders>
            <w:vAlign w:val="center"/>
          </w:tcPr>
          <w:p w:rsidR="00BD5820" w:rsidRDefault="00BD5820">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p>
        </w:tc>
        <w:tc>
          <w:tcPr>
            <w:tcW w:w="3969" w:type="dxa"/>
            <w:vAlign w:val="center"/>
          </w:tcPr>
          <w:p w:rsidR="00BD5820" w:rsidRDefault="00F64314">
            <w:pPr>
              <w:pStyle w:val="Default"/>
              <w:jc w:val="center"/>
              <w:rPr>
                <w:rFonts w:ascii="Times New Roman" w:hAnsi="Times New Roman" w:cs="Times New Roman"/>
                <w:color w:val="auto"/>
                <w:kern w:val="2"/>
                <w:sz w:val="21"/>
                <w:szCs w:val="21"/>
                <w:shd w:val="clear" w:color="auto" w:fill="FFFFFF"/>
              </w:rPr>
            </w:pPr>
            <w:r>
              <w:rPr>
                <w:rFonts w:ascii="Times New Roman" w:hAnsi="Times New Roman" w:cs="Times New Roman"/>
                <w:color w:val="auto"/>
                <w:sz w:val="21"/>
                <w:szCs w:val="21"/>
              </w:rPr>
              <w:t>埋地集输管道与其他地下管道、通信电缆、电力系统的各种接地装置等平行或交叉敷设时，其间距应符合国家现行标准</w:t>
            </w:r>
            <w:r>
              <w:rPr>
                <w:rFonts w:ascii="Times New Roman" w:hAnsi="Times New Roman" w:cs="Times New Roman"/>
                <w:color w:val="auto"/>
                <w:sz w:val="21"/>
                <w:szCs w:val="21"/>
              </w:rPr>
              <w:lastRenderedPageBreak/>
              <w:t>《钢质管道及储罐腐蚀控制工程设计规范》</w:t>
            </w:r>
            <w:r>
              <w:rPr>
                <w:rFonts w:ascii="Times New Roman" w:hAnsi="Times New Roman" w:cs="Times New Roman"/>
                <w:color w:val="auto"/>
                <w:sz w:val="21"/>
                <w:szCs w:val="21"/>
              </w:rPr>
              <w:t>SY 0007</w:t>
            </w:r>
            <w:r>
              <w:rPr>
                <w:rFonts w:ascii="Times New Roman" w:hAnsi="Times New Roman" w:cs="Times New Roman"/>
                <w:color w:val="auto"/>
                <w:sz w:val="21"/>
                <w:szCs w:val="21"/>
              </w:rPr>
              <w:t>的有关规定。</w:t>
            </w:r>
          </w:p>
        </w:tc>
        <w:tc>
          <w:tcPr>
            <w:tcW w:w="2126" w:type="dxa"/>
            <w:vAlign w:val="center"/>
          </w:tcPr>
          <w:p w:rsidR="00BD5820" w:rsidRDefault="00F64314">
            <w:pPr>
              <w:pStyle w:val="Default"/>
              <w:jc w:val="center"/>
              <w:rPr>
                <w:rFonts w:ascii="Times New Roman" w:hAnsi="Times New Roman" w:cs="Times New Roman"/>
                <w:color w:val="auto"/>
                <w:kern w:val="2"/>
                <w:sz w:val="21"/>
                <w:szCs w:val="21"/>
                <w:shd w:val="clear" w:color="auto" w:fill="FFFFFF"/>
              </w:rPr>
            </w:pPr>
            <w:r>
              <w:rPr>
                <w:rFonts w:ascii="Times New Roman" w:hAnsi="Times New Roman" w:cs="Times New Roman"/>
                <w:color w:val="auto"/>
                <w:sz w:val="21"/>
                <w:szCs w:val="21"/>
              </w:rPr>
              <w:lastRenderedPageBreak/>
              <w:t>符合国家现行标准《钢质管道及储罐腐蚀控制工程设计规</w:t>
            </w:r>
            <w:r>
              <w:rPr>
                <w:rFonts w:ascii="Times New Roman" w:hAnsi="Times New Roman" w:cs="Times New Roman"/>
                <w:color w:val="auto"/>
                <w:sz w:val="21"/>
                <w:szCs w:val="21"/>
              </w:rPr>
              <w:lastRenderedPageBreak/>
              <w:t>范》</w:t>
            </w:r>
            <w:r>
              <w:rPr>
                <w:rFonts w:ascii="Times New Roman" w:hAnsi="Times New Roman" w:cs="Times New Roman"/>
                <w:color w:val="auto"/>
                <w:sz w:val="21"/>
                <w:szCs w:val="21"/>
              </w:rPr>
              <w:t>SY0007</w:t>
            </w:r>
            <w:r>
              <w:rPr>
                <w:rFonts w:ascii="Times New Roman" w:hAnsi="Times New Roman" w:cs="Times New Roman"/>
                <w:color w:val="auto"/>
                <w:sz w:val="21"/>
                <w:szCs w:val="21"/>
              </w:rPr>
              <w:t>的有关规定。</w:t>
            </w:r>
          </w:p>
        </w:tc>
        <w:tc>
          <w:tcPr>
            <w:tcW w:w="969" w:type="dxa"/>
            <w:vAlign w:val="center"/>
          </w:tcPr>
          <w:p w:rsidR="00BD5820" w:rsidRDefault="00F64314">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r>
              <w:rPr>
                <w:rFonts w:ascii="Times New Roman" w:cs="Times New Roman"/>
                <w:sz w:val="21"/>
                <w:szCs w:val="21"/>
              </w:rPr>
              <w:lastRenderedPageBreak/>
              <w:t>符合</w:t>
            </w:r>
          </w:p>
        </w:tc>
      </w:tr>
      <w:tr w:rsidR="00BD5820">
        <w:trPr>
          <w:trHeight w:val="235"/>
          <w:jc w:val="center"/>
        </w:trPr>
        <w:tc>
          <w:tcPr>
            <w:tcW w:w="851" w:type="dxa"/>
            <w:vMerge/>
            <w:tcBorders>
              <w:right w:val="single" w:sz="2" w:space="0" w:color="auto"/>
            </w:tcBorders>
            <w:vAlign w:val="center"/>
          </w:tcPr>
          <w:p w:rsidR="00BD5820" w:rsidRDefault="00BD5820">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p>
        </w:tc>
        <w:tc>
          <w:tcPr>
            <w:tcW w:w="709" w:type="dxa"/>
            <w:vMerge/>
            <w:tcBorders>
              <w:left w:val="single" w:sz="2" w:space="0" w:color="auto"/>
            </w:tcBorders>
            <w:vAlign w:val="center"/>
          </w:tcPr>
          <w:p w:rsidR="00BD5820" w:rsidRDefault="00BD5820">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p>
        </w:tc>
        <w:tc>
          <w:tcPr>
            <w:tcW w:w="3969" w:type="dxa"/>
            <w:vAlign w:val="center"/>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color w:val="auto"/>
                <w:sz w:val="21"/>
                <w:szCs w:val="21"/>
              </w:rPr>
              <w:t>管道同公路平行敷设时，宜敷设在公路用地范围外。</w:t>
            </w:r>
          </w:p>
        </w:tc>
        <w:tc>
          <w:tcPr>
            <w:tcW w:w="2126" w:type="dxa"/>
            <w:vAlign w:val="center"/>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color w:val="auto"/>
                <w:sz w:val="21"/>
                <w:szCs w:val="21"/>
              </w:rPr>
              <w:t>本项目在公路用地范围外。</w:t>
            </w:r>
          </w:p>
        </w:tc>
        <w:tc>
          <w:tcPr>
            <w:tcW w:w="969" w:type="dxa"/>
            <w:vAlign w:val="center"/>
          </w:tcPr>
          <w:p w:rsidR="00BD5820" w:rsidRDefault="00F64314">
            <w:pPr>
              <w:topLinePunct w:val="0"/>
              <w:autoSpaceDE w:val="0"/>
              <w:autoSpaceDN w:val="0"/>
              <w:spacing w:line="240" w:lineRule="auto"/>
              <w:ind w:firstLineChars="0" w:firstLine="0"/>
              <w:jc w:val="center"/>
              <w:rPr>
                <w:rFonts w:ascii="Times New Roman" w:cs="Times New Roman"/>
                <w:sz w:val="21"/>
                <w:szCs w:val="21"/>
              </w:rPr>
            </w:pPr>
            <w:r>
              <w:rPr>
                <w:rFonts w:ascii="Times New Roman" w:cs="Times New Roman"/>
                <w:sz w:val="21"/>
                <w:szCs w:val="21"/>
              </w:rPr>
              <w:t>符合</w:t>
            </w:r>
          </w:p>
        </w:tc>
      </w:tr>
      <w:tr w:rsidR="00BD5820">
        <w:trPr>
          <w:trHeight w:val="235"/>
          <w:jc w:val="center"/>
        </w:trPr>
        <w:tc>
          <w:tcPr>
            <w:tcW w:w="851" w:type="dxa"/>
            <w:vMerge/>
            <w:tcBorders>
              <w:right w:val="single" w:sz="2" w:space="0" w:color="auto"/>
            </w:tcBorders>
            <w:vAlign w:val="center"/>
          </w:tcPr>
          <w:p w:rsidR="00BD5820" w:rsidRDefault="00BD5820">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p>
        </w:tc>
        <w:tc>
          <w:tcPr>
            <w:tcW w:w="709" w:type="dxa"/>
            <w:vMerge/>
            <w:tcBorders>
              <w:left w:val="single" w:sz="2" w:space="0" w:color="auto"/>
            </w:tcBorders>
            <w:vAlign w:val="center"/>
          </w:tcPr>
          <w:p w:rsidR="00BD5820" w:rsidRDefault="00BD5820">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p>
        </w:tc>
        <w:tc>
          <w:tcPr>
            <w:tcW w:w="3969" w:type="dxa"/>
            <w:vAlign w:val="center"/>
          </w:tcPr>
          <w:p w:rsidR="00BD5820" w:rsidRDefault="00F64314">
            <w:pPr>
              <w:pStyle w:val="Default"/>
              <w:jc w:val="center"/>
              <w:rPr>
                <w:rFonts w:ascii="Times New Roman" w:hAnsi="Times New Roman" w:cs="Times New Roman"/>
                <w:color w:val="auto"/>
                <w:kern w:val="2"/>
                <w:sz w:val="21"/>
                <w:szCs w:val="21"/>
                <w:shd w:val="clear" w:color="auto" w:fill="FFFFFF"/>
              </w:rPr>
            </w:pPr>
            <w:r>
              <w:rPr>
                <w:rFonts w:ascii="Times New Roman" w:hAnsi="Times New Roman" w:cs="Times New Roman"/>
                <w:color w:val="auto"/>
                <w:sz w:val="21"/>
                <w:szCs w:val="21"/>
              </w:rPr>
              <w:t>集输管道宜设清管设施。清管设施设计应按现行国家标准《输气管道工程设计规范》</w:t>
            </w:r>
            <w:r>
              <w:rPr>
                <w:rFonts w:ascii="Times New Roman" w:hAnsi="Times New Roman" w:cs="Times New Roman"/>
                <w:color w:val="auto"/>
                <w:sz w:val="21"/>
                <w:szCs w:val="21"/>
              </w:rPr>
              <w:t>GB50251</w:t>
            </w:r>
            <w:r>
              <w:rPr>
                <w:rFonts w:ascii="Times New Roman" w:hAnsi="Times New Roman" w:cs="Times New Roman"/>
                <w:color w:val="auto"/>
                <w:sz w:val="21"/>
                <w:szCs w:val="21"/>
              </w:rPr>
              <w:t>的有关规定执行。</w:t>
            </w:r>
          </w:p>
        </w:tc>
        <w:tc>
          <w:tcPr>
            <w:tcW w:w="2126" w:type="dxa"/>
            <w:vAlign w:val="center"/>
          </w:tcPr>
          <w:p w:rsidR="00BD5820" w:rsidRPr="00DF5744" w:rsidRDefault="00F64314">
            <w:pPr>
              <w:pStyle w:val="Default"/>
              <w:jc w:val="center"/>
              <w:rPr>
                <w:rFonts w:ascii="Times New Roman" w:hAnsi="Times New Roman" w:cs="Times New Roman"/>
                <w:color w:val="FF0000"/>
                <w:kern w:val="2"/>
                <w:sz w:val="21"/>
                <w:szCs w:val="21"/>
                <w:shd w:val="clear" w:color="auto" w:fill="FFFFFF"/>
              </w:rPr>
            </w:pPr>
            <w:r w:rsidRPr="00DF5744">
              <w:rPr>
                <w:rFonts w:ascii="Times New Roman" w:hAnsi="Times New Roman" w:cs="Times New Roman"/>
                <w:color w:val="FF0000"/>
                <w:sz w:val="21"/>
                <w:szCs w:val="21"/>
              </w:rPr>
              <w:t>项目设置</w:t>
            </w:r>
            <w:r w:rsidR="00DF5744" w:rsidRPr="00DF5744">
              <w:rPr>
                <w:rFonts w:ascii="Times New Roman" w:hAnsi="Times New Roman" w:cs="Times New Roman"/>
                <w:color w:val="FF0000"/>
                <w:sz w:val="21"/>
                <w:szCs w:val="21"/>
              </w:rPr>
              <w:t>符合国家标准的</w:t>
            </w:r>
            <w:r w:rsidRPr="00DF5744">
              <w:rPr>
                <w:rFonts w:ascii="Times New Roman" w:hAnsi="Times New Roman" w:cs="Times New Roman"/>
                <w:color w:val="FF0000"/>
                <w:sz w:val="21"/>
                <w:szCs w:val="21"/>
              </w:rPr>
              <w:t>清管设施。</w:t>
            </w:r>
          </w:p>
        </w:tc>
        <w:tc>
          <w:tcPr>
            <w:tcW w:w="969" w:type="dxa"/>
            <w:vAlign w:val="center"/>
          </w:tcPr>
          <w:p w:rsidR="00BD5820" w:rsidRDefault="00F64314">
            <w:pPr>
              <w:topLinePunct w:val="0"/>
              <w:autoSpaceDE w:val="0"/>
              <w:autoSpaceDN w:val="0"/>
              <w:spacing w:line="240" w:lineRule="auto"/>
              <w:ind w:firstLineChars="0" w:firstLine="0"/>
              <w:jc w:val="center"/>
              <w:rPr>
                <w:rFonts w:ascii="Times New Roman" w:cs="Times New Roman"/>
                <w:kern w:val="2"/>
                <w:sz w:val="21"/>
                <w:szCs w:val="21"/>
                <w:shd w:val="clear" w:color="auto" w:fill="FFFFFF"/>
              </w:rPr>
            </w:pPr>
            <w:r>
              <w:rPr>
                <w:rFonts w:ascii="Times New Roman" w:cs="Times New Roman"/>
                <w:kern w:val="2"/>
                <w:sz w:val="21"/>
                <w:szCs w:val="21"/>
                <w:shd w:val="clear" w:color="auto" w:fill="FFFFFF"/>
              </w:rPr>
              <w:t>符合</w:t>
            </w:r>
          </w:p>
        </w:tc>
      </w:tr>
    </w:tbl>
    <w:p w:rsidR="00BD5820" w:rsidRDefault="00F64314">
      <w:pPr>
        <w:keepNext/>
        <w:keepLines/>
        <w:ind w:firstLineChars="0" w:firstLine="0"/>
        <w:outlineLvl w:val="2"/>
        <w:rPr>
          <w:rFonts w:ascii="Times New Roman" w:cs="Times New Roman"/>
          <w:b/>
          <w:szCs w:val="32"/>
        </w:rPr>
      </w:pPr>
      <w:bookmarkStart w:id="85" w:name="bookmark31"/>
      <w:bookmarkStart w:id="86" w:name="_Toc12288599"/>
      <w:bookmarkStart w:id="87" w:name="_Toc19816023"/>
      <w:bookmarkEnd w:id="85"/>
      <w:r>
        <w:rPr>
          <w:rFonts w:ascii="Times New Roman" w:cs="Times New Roman"/>
          <w:b/>
          <w:szCs w:val="32"/>
        </w:rPr>
        <w:t xml:space="preserve">1.7.3 </w:t>
      </w:r>
      <w:bookmarkEnd w:id="86"/>
      <w:bookmarkEnd w:id="87"/>
      <w:r>
        <w:rPr>
          <w:rFonts w:ascii="Times New Roman" w:cs="Times New Roman"/>
          <w:b/>
          <w:szCs w:val="32"/>
        </w:rPr>
        <w:t>项目管线选址符合性分析</w:t>
      </w:r>
    </w:p>
    <w:p w:rsidR="00BD5820" w:rsidRDefault="00F64314">
      <w:pPr>
        <w:pStyle w:val="affa"/>
        <w:ind w:firstLine="482"/>
        <w:rPr>
          <w:b/>
          <w:bCs/>
        </w:rPr>
      </w:pPr>
      <w:bookmarkStart w:id="88" w:name="bookmark32"/>
      <w:bookmarkStart w:id="89" w:name="_Toc12288602"/>
      <w:bookmarkEnd w:id="88"/>
      <w:r>
        <w:rPr>
          <w:b/>
          <w:bCs/>
        </w:rPr>
        <w:t>1</w:t>
      </w:r>
      <w:r>
        <w:rPr>
          <w:b/>
          <w:bCs/>
        </w:rPr>
        <w:t>、</w:t>
      </w:r>
      <w:r>
        <w:rPr>
          <w:b/>
          <w:bCs/>
          <w:sz w:val="23"/>
          <w:szCs w:val="23"/>
        </w:rPr>
        <w:t>路由确定程序</w:t>
      </w:r>
    </w:p>
    <w:p w:rsidR="00BD5820" w:rsidRDefault="00F64314">
      <w:pPr>
        <w:pStyle w:val="affa"/>
        <w:ind w:firstLine="480"/>
      </w:pPr>
      <w:r>
        <w:t>本管道工程线路路由的确定程序为：首先对可研提出的初步路由走向和比选线路，由环评单位与设计单位一起进行初步调研和评价。对管道线路进行踏勘，走访沿线重点城市和区县的生态环境局、规资局、文物局等相关部门，听取当地政府部门的意见和建议。其次根据环评批复要求，结合线路的路由，对可研及初步设计提出线路走向意见。最后对局部路由的比选再进行现场调研和踏勘，以确定最优化的线路方案。</w:t>
      </w:r>
    </w:p>
    <w:p w:rsidR="00BD5820" w:rsidRDefault="00F64314">
      <w:pPr>
        <w:pStyle w:val="affa"/>
        <w:ind w:firstLine="482"/>
        <w:rPr>
          <w:b/>
          <w:bCs/>
        </w:rPr>
      </w:pPr>
      <w:r>
        <w:rPr>
          <w:b/>
          <w:bCs/>
        </w:rPr>
        <w:t>2</w:t>
      </w:r>
      <w:r>
        <w:rPr>
          <w:b/>
          <w:bCs/>
        </w:rPr>
        <w:t>、</w:t>
      </w:r>
      <w:r>
        <w:rPr>
          <w:b/>
          <w:bCs/>
          <w:sz w:val="23"/>
          <w:szCs w:val="23"/>
        </w:rPr>
        <w:t>线路由确定</w:t>
      </w:r>
    </w:p>
    <w:p w:rsidR="00BD5820" w:rsidRDefault="00F64314">
      <w:pPr>
        <w:pStyle w:val="affa"/>
        <w:ind w:firstLine="480"/>
      </w:pPr>
      <w:r>
        <w:rPr>
          <w:rFonts w:hint="eastAsia"/>
        </w:rPr>
        <w:t>新建管线总体与已建管线并行敷设，根据现场踏勘，该段地形属于中低山区，地形破碎，地形起伏较大，地表坡度及相对高差均较大，丘陵顶部处亦比较平缓地表植被茂密，平坝、台地和浅丘地貌较少。</w:t>
      </w:r>
    </w:p>
    <w:p w:rsidR="00BD5820" w:rsidRDefault="00F64314">
      <w:pPr>
        <w:pStyle w:val="affa"/>
        <w:ind w:firstLine="480"/>
      </w:pPr>
      <w:r>
        <w:rPr>
          <w:rFonts w:hint="eastAsia"/>
        </w:rPr>
        <w:t>（</w:t>
      </w:r>
      <w:r>
        <w:rPr>
          <w:rFonts w:hint="eastAsia"/>
        </w:rPr>
        <w:t>1</w:t>
      </w:r>
      <w:r>
        <w:rPr>
          <w:rFonts w:hint="eastAsia"/>
        </w:rPr>
        <w:t>）</w:t>
      </w:r>
      <w:r>
        <w:t>P106</w:t>
      </w:r>
      <w:r>
        <w:rPr>
          <w:rFonts w:hint="eastAsia"/>
        </w:rPr>
        <w:t>～</w:t>
      </w:r>
      <w:r>
        <w:t>P104</w:t>
      </w:r>
      <w:r>
        <w:rPr>
          <w:rFonts w:hint="eastAsia"/>
        </w:rPr>
        <w:t>集气站管段</w:t>
      </w:r>
    </w:p>
    <w:p w:rsidR="00BD5820" w:rsidRDefault="00F64314">
      <w:pPr>
        <w:pStyle w:val="affa"/>
        <w:ind w:firstLine="480"/>
      </w:pPr>
      <w:r>
        <w:rPr>
          <w:rFonts w:hint="eastAsia"/>
        </w:rPr>
        <w:t>管线从</w:t>
      </w:r>
      <w:r>
        <w:t>P106</w:t>
      </w:r>
      <w:r>
        <w:rPr>
          <w:rFonts w:hint="eastAsia"/>
        </w:rPr>
        <w:t>集气站出站后向南敷设，从一垭口处上山后再折向西南方向跨越冲沟</w:t>
      </w:r>
      <w:r>
        <w:t>1</w:t>
      </w:r>
      <w:r>
        <w:rPr>
          <w:rFonts w:hint="eastAsia"/>
        </w:rPr>
        <w:t>处，而后继续向西南方向敷设最后到达</w:t>
      </w:r>
      <w:r>
        <w:t>P104</w:t>
      </w:r>
      <w:r>
        <w:rPr>
          <w:rFonts w:hint="eastAsia"/>
        </w:rPr>
        <w:t>集气站。线路路由全长</w:t>
      </w:r>
      <w:r>
        <w:t>1.1km</w:t>
      </w:r>
      <w:r>
        <w:rPr>
          <w:rFonts w:hint="eastAsia"/>
        </w:rPr>
        <w:t>，其中利旧恢复原</w:t>
      </w:r>
      <w:r>
        <w:t>P106</w:t>
      </w:r>
      <w:r>
        <w:rPr>
          <w:rFonts w:hint="eastAsia"/>
        </w:rPr>
        <w:t>～</w:t>
      </w:r>
      <w:r>
        <w:t>P104</w:t>
      </w:r>
      <w:r>
        <w:rPr>
          <w:rFonts w:hint="eastAsia"/>
        </w:rPr>
        <w:t>集输管道</w:t>
      </w:r>
      <w:r>
        <w:t>900m</w:t>
      </w:r>
      <w:r>
        <w:rPr>
          <w:rFonts w:hint="eastAsia"/>
        </w:rPr>
        <w:t>，沿线经过冲沟特殊地段</w:t>
      </w:r>
      <w:r>
        <w:t>1</w:t>
      </w:r>
      <w:r>
        <w:rPr>
          <w:rFonts w:hint="eastAsia"/>
        </w:rPr>
        <w:t>处，采用桁架跨越的方式过沟。</w:t>
      </w:r>
    </w:p>
    <w:p w:rsidR="00BD5820" w:rsidRDefault="00F64314">
      <w:pPr>
        <w:pStyle w:val="affa"/>
        <w:ind w:firstLine="480"/>
      </w:pPr>
      <w:r>
        <w:rPr>
          <w:rFonts w:hint="eastAsia"/>
        </w:rPr>
        <w:t>（</w:t>
      </w:r>
      <w:r>
        <w:rPr>
          <w:rFonts w:hint="eastAsia"/>
        </w:rPr>
        <w:t>2</w:t>
      </w:r>
      <w:r>
        <w:rPr>
          <w:rFonts w:hint="eastAsia"/>
        </w:rPr>
        <w:t>）</w:t>
      </w:r>
      <w:r>
        <w:t>P104</w:t>
      </w:r>
      <w:r>
        <w:rPr>
          <w:rFonts w:hint="eastAsia"/>
        </w:rPr>
        <w:t>～</w:t>
      </w:r>
      <w:r>
        <w:t>1#</w:t>
      </w:r>
      <w:r>
        <w:rPr>
          <w:rFonts w:hint="eastAsia"/>
        </w:rPr>
        <w:t>增压站管段</w:t>
      </w:r>
    </w:p>
    <w:p w:rsidR="00BD5820" w:rsidRDefault="00F64314">
      <w:pPr>
        <w:pStyle w:val="affa"/>
        <w:ind w:firstLine="480"/>
      </w:pPr>
      <w:r>
        <w:rPr>
          <w:rFonts w:hint="eastAsia"/>
        </w:rPr>
        <w:t>管线从</w:t>
      </w:r>
      <w:r>
        <w:t>P104</w:t>
      </w:r>
      <w:r>
        <w:rPr>
          <w:rFonts w:hint="eastAsia"/>
        </w:rPr>
        <w:t>集气站出站后向西敷设，穿越大毛沟后折向沿西南方向敷设至</w:t>
      </w:r>
      <w:r>
        <w:t>1#</w:t>
      </w:r>
      <w:r>
        <w:rPr>
          <w:rFonts w:hint="eastAsia"/>
        </w:rPr>
        <w:t>增压站，线路全长</w:t>
      </w:r>
      <w:r>
        <w:t>3.0km</w:t>
      </w:r>
      <w:r>
        <w:rPr>
          <w:rFonts w:hint="eastAsia"/>
        </w:rPr>
        <w:t>。</w:t>
      </w:r>
    </w:p>
    <w:p w:rsidR="00BD5820" w:rsidRDefault="00F64314">
      <w:pPr>
        <w:pStyle w:val="affa"/>
        <w:ind w:firstLine="480"/>
      </w:pPr>
      <w:r>
        <w:t>集输管道路由示意图见图</w:t>
      </w:r>
      <w:r>
        <w:t>1.7-1</w:t>
      </w:r>
      <w:r>
        <w:t>。</w:t>
      </w:r>
    </w:p>
    <w:p w:rsidR="00BD5820" w:rsidRDefault="00F64314">
      <w:pPr>
        <w:pStyle w:val="10"/>
        <w:rPr>
          <w:rFonts w:cs="Times New Roman"/>
        </w:rPr>
      </w:pPr>
      <w:r>
        <w:rPr>
          <w:rFonts w:cs="Times New Roman"/>
          <w:b w:val="0"/>
          <w:noProof/>
        </w:rPr>
        <w:lastRenderedPageBreak/>
        <w:drawing>
          <wp:inline distT="0" distB="0" distL="0" distR="0">
            <wp:extent cx="4592320" cy="2230755"/>
            <wp:effectExtent l="1905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0" cstate="print"/>
                    <a:srcRect/>
                    <a:stretch>
                      <a:fillRect/>
                    </a:stretch>
                  </pic:blipFill>
                  <pic:spPr>
                    <a:xfrm>
                      <a:off x="0" y="0"/>
                      <a:ext cx="4597019" cy="2233352"/>
                    </a:xfrm>
                    <a:prstGeom prst="rect">
                      <a:avLst/>
                    </a:prstGeom>
                    <a:noFill/>
                    <a:ln w="9525">
                      <a:noFill/>
                      <a:miter lim="800000"/>
                      <a:headEnd/>
                      <a:tailEnd/>
                    </a:ln>
                  </pic:spPr>
                </pic:pic>
              </a:graphicData>
            </a:graphic>
          </wp:inline>
        </w:drawing>
      </w:r>
    </w:p>
    <w:p w:rsidR="00BD5820" w:rsidRDefault="00F64314">
      <w:pPr>
        <w:pStyle w:val="10"/>
        <w:rPr>
          <w:rFonts w:cs="Times New Roman"/>
        </w:rPr>
      </w:pPr>
      <w:r>
        <w:rPr>
          <w:rFonts w:cs="Times New Roman"/>
        </w:rPr>
        <w:t>图</w:t>
      </w:r>
      <w:r>
        <w:rPr>
          <w:rFonts w:cs="Times New Roman"/>
        </w:rPr>
        <w:t xml:space="preserve">1.7-1  </w:t>
      </w:r>
      <w:r>
        <w:rPr>
          <w:rFonts w:cs="Times New Roman" w:hint="eastAsia"/>
        </w:rPr>
        <w:t>线路总体路由走向示意图</w:t>
      </w:r>
    </w:p>
    <w:p w:rsidR="00BD5820" w:rsidRDefault="00F64314">
      <w:pPr>
        <w:pStyle w:val="affa"/>
        <w:ind w:firstLine="480"/>
      </w:pPr>
      <w:r>
        <w:t>依据管线对环境影响最小的原则，从环境影响和环境保护角度进行环境要素比选，结合环保要求等对部分敏感区域段路由进行了优化比选。</w:t>
      </w:r>
      <w:r>
        <w:rPr>
          <w:rFonts w:hint="eastAsia"/>
        </w:rPr>
        <w:t>管线</w:t>
      </w:r>
      <w:r>
        <w:t>采用</w:t>
      </w:r>
      <w:r>
        <w:rPr>
          <w:rFonts w:hint="eastAsia"/>
        </w:rPr>
        <w:t>直接过沟方式</w:t>
      </w:r>
      <w:r>
        <w:t>可避免施工期管沟开挖对地表植被的破坏和水土流失；同时管沟土石方量更少；受地形高差影响，</w:t>
      </w:r>
      <w:r>
        <w:rPr>
          <w:rFonts w:hint="eastAsia"/>
        </w:rPr>
        <w:t>拟采取的管线路由</w:t>
      </w:r>
      <w:r>
        <w:t>施工难度较小</w:t>
      </w:r>
      <w:r>
        <w:rPr>
          <w:rFonts w:hint="eastAsia"/>
        </w:rPr>
        <w:t>，</w:t>
      </w:r>
      <w:r>
        <w:t>安全性高。从环境影响和环境保护、节约占地、安全生产角度出发，管线</w:t>
      </w:r>
      <w:r>
        <w:rPr>
          <w:rFonts w:hint="eastAsia"/>
        </w:rPr>
        <w:t>路由选用合理</w:t>
      </w:r>
      <w:r>
        <w:t>。</w:t>
      </w:r>
    </w:p>
    <w:p w:rsidR="00BD5820" w:rsidRDefault="00F64314">
      <w:pPr>
        <w:pStyle w:val="affa"/>
        <w:ind w:firstLine="482"/>
        <w:rPr>
          <w:b/>
          <w:bCs/>
        </w:rPr>
      </w:pPr>
      <w:r>
        <w:rPr>
          <w:b/>
          <w:bCs/>
        </w:rPr>
        <w:t>3</w:t>
      </w:r>
      <w:r>
        <w:rPr>
          <w:b/>
          <w:bCs/>
        </w:rPr>
        <w:t>、管线</w:t>
      </w:r>
      <w:r w:rsidR="00DF5744" w:rsidRPr="00DF5744">
        <w:rPr>
          <w:b/>
          <w:bCs/>
          <w:color w:val="FF0000"/>
        </w:rPr>
        <w:t>与</w:t>
      </w:r>
      <w:r>
        <w:rPr>
          <w:b/>
          <w:bCs/>
        </w:rPr>
        <w:t>《中华人民共和国石油天然气管道保护法》符合性分析</w:t>
      </w:r>
    </w:p>
    <w:p w:rsidR="00BD5820" w:rsidRDefault="00F64314">
      <w:pPr>
        <w:pStyle w:val="affa"/>
        <w:ind w:firstLine="480"/>
      </w:pPr>
      <w:r>
        <w:t>根据工程设计，在管线敷设过程中，为了保证房屋与管线的安全距离</w:t>
      </w:r>
      <w:r>
        <w:t>5m</w:t>
      </w:r>
      <w:r>
        <w:t>，对管道敷设沿线不满足安全距离房屋进行拆除，</w:t>
      </w:r>
      <w:r>
        <w:rPr>
          <w:rFonts w:hint="eastAsia"/>
        </w:rPr>
        <w:t>同时</w:t>
      </w:r>
      <w:r>
        <w:t>根据</w:t>
      </w:r>
      <w:r>
        <w:rPr>
          <w:rFonts w:hint="eastAsia"/>
        </w:rPr>
        <w:t>《硫化氢环境人身防护规范》（</w:t>
      </w:r>
      <w:r>
        <w:rPr>
          <w:rFonts w:hint="eastAsia"/>
        </w:rPr>
        <w:t>SY/T 6277-2017</w:t>
      </w:r>
      <w:r>
        <w:rPr>
          <w:rFonts w:hint="eastAsia"/>
        </w:rPr>
        <w:t>）管道两侧的搬迁距离、应急撤离距离应经过模拟计算或安全评价确定，建议组织专家技术论证后确定拆迁及应急撤离范围，本工程暂参考普光气田（平均硫化氢含量</w:t>
      </w:r>
      <w:r>
        <w:rPr>
          <w:rFonts w:hint="eastAsia"/>
        </w:rPr>
        <w:t>15%</w:t>
      </w:r>
      <w:r>
        <w:rPr>
          <w:rFonts w:hint="eastAsia"/>
        </w:rPr>
        <w:t>）的安全评价结论，即管道搬迁距离为两侧</w:t>
      </w:r>
      <w:r>
        <w:rPr>
          <w:rFonts w:hint="eastAsia"/>
        </w:rPr>
        <w:t>100m</w:t>
      </w:r>
      <w:r>
        <w:rPr>
          <w:rFonts w:hint="eastAsia"/>
        </w:rPr>
        <w:t>，应急撤离距离为周边</w:t>
      </w:r>
      <w:r>
        <w:rPr>
          <w:rFonts w:hint="eastAsia"/>
        </w:rPr>
        <w:t>1500m</w:t>
      </w:r>
      <w:r>
        <w:rPr>
          <w:rFonts w:hint="eastAsia"/>
        </w:rPr>
        <w:t>。</w:t>
      </w:r>
      <w:r>
        <w:t>在管线敷设过程中涉及拆迁工程</w:t>
      </w:r>
      <w:r>
        <w:rPr>
          <w:rFonts w:hint="eastAsia"/>
        </w:rPr>
        <w:t>共计</w:t>
      </w:r>
      <w:r>
        <w:rPr>
          <w:rFonts w:hint="eastAsia"/>
        </w:rPr>
        <w:t>11</w:t>
      </w:r>
      <w:r>
        <w:rPr>
          <w:rFonts w:hint="eastAsia"/>
        </w:rPr>
        <w:t>户</w:t>
      </w:r>
      <w:r>
        <w:t>。</w:t>
      </w:r>
    </w:p>
    <w:p w:rsidR="00BD5820" w:rsidRDefault="00F64314">
      <w:pPr>
        <w:keepNext/>
        <w:keepLines/>
        <w:ind w:firstLineChars="0" w:firstLine="0"/>
        <w:outlineLvl w:val="2"/>
        <w:rPr>
          <w:rFonts w:ascii="Times New Roman" w:cs="Times New Roman"/>
          <w:b/>
          <w:szCs w:val="32"/>
        </w:rPr>
      </w:pPr>
      <w:r>
        <w:rPr>
          <w:rFonts w:ascii="Times New Roman" w:cs="Times New Roman"/>
          <w:b/>
          <w:szCs w:val="32"/>
        </w:rPr>
        <w:t>1.7.</w:t>
      </w:r>
      <w:r>
        <w:rPr>
          <w:rFonts w:ascii="Times New Roman" w:cs="Times New Roman" w:hint="eastAsia"/>
          <w:b/>
          <w:szCs w:val="32"/>
        </w:rPr>
        <w:t>4</w:t>
      </w:r>
      <w:r>
        <w:rPr>
          <w:rFonts w:ascii="Times New Roman" w:cs="Times New Roman"/>
          <w:b/>
          <w:szCs w:val="32"/>
        </w:rPr>
        <w:t xml:space="preserve"> </w:t>
      </w:r>
      <w:r>
        <w:rPr>
          <w:rFonts w:ascii="Times New Roman" w:cs="Times New Roman"/>
          <w:b/>
          <w:szCs w:val="32"/>
        </w:rPr>
        <w:t>项目</w:t>
      </w:r>
      <w:r>
        <w:rPr>
          <w:rFonts w:ascii="Times New Roman" w:cs="Times New Roman" w:hint="eastAsia"/>
          <w:b/>
          <w:szCs w:val="32"/>
        </w:rPr>
        <w:t>站场</w:t>
      </w:r>
      <w:r>
        <w:rPr>
          <w:rFonts w:ascii="Times New Roman" w:cs="Times New Roman"/>
          <w:b/>
          <w:szCs w:val="32"/>
        </w:rPr>
        <w:t>选址符合性分析</w:t>
      </w:r>
    </w:p>
    <w:p w:rsidR="00BD5820" w:rsidRDefault="00F64314">
      <w:pPr>
        <w:pStyle w:val="affa"/>
        <w:ind w:firstLine="480"/>
      </w:pPr>
      <w:r>
        <w:rPr>
          <w:rFonts w:hint="eastAsia"/>
          <w:bCs/>
        </w:rPr>
        <w:t>本项目普光气田</w:t>
      </w:r>
      <w:r>
        <w:rPr>
          <w:bCs/>
        </w:rPr>
        <w:t>1#</w:t>
      </w:r>
      <w:r>
        <w:rPr>
          <w:rFonts w:hint="eastAsia"/>
          <w:bCs/>
        </w:rPr>
        <w:t>增压站、普光气田</w:t>
      </w:r>
      <w:r>
        <w:rPr>
          <w:rFonts w:hint="eastAsia"/>
          <w:bCs/>
        </w:rPr>
        <w:t>2</w:t>
      </w:r>
      <w:r>
        <w:rPr>
          <w:bCs/>
        </w:rPr>
        <w:t>#</w:t>
      </w:r>
      <w:r>
        <w:rPr>
          <w:rFonts w:hint="eastAsia"/>
          <w:bCs/>
        </w:rPr>
        <w:t>增压站</w:t>
      </w:r>
      <w:r>
        <w:rPr>
          <w:rFonts w:hint="eastAsia"/>
        </w:rPr>
        <w:t>的选址综合考虑了选址唯一性、工程合理性、环境可行性、地质地形等各方面因素综合确定。</w:t>
      </w:r>
    </w:p>
    <w:p w:rsidR="00BD5820" w:rsidRDefault="00F64314">
      <w:pPr>
        <w:pStyle w:val="affa"/>
        <w:ind w:left="476" w:firstLineChars="0" w:firstLine="0"/>
      </w:pPr>
      <w:r>
        <w:t>（</w:t>
      </w:r>
      <w:r>
        <w:t>1</w:t>
      </w:r>
      <w:r>
        <w:t>）选址唯一性</w:t>
      </w:r>
    </w:p>
    <w:p w:rsidR="00BD5820" w:rsidRDefault="00F64314">
      <w:pPr>
        <w:pStyle w:val="affa"/>
        <w:ind w:firstLine="480"/>
      </w:pPr>
      <w:r>
        <w:rPr>
          <w:rFonts w:hint="eastAsia"/>
          <w:bCs/>
        </w:rPr>
        <w:t>普光气田</w:t>
      </w:r>
      <w:r>
        <w:rPr>
          <w:bCs/>
        </w:rPr>
        <w:t>1#</w:t>
      </w:r>
      <w:r>
        <w:rPr>
          <w:rFonts w:hint="eastAsia"/>
          <w:bCs/>
        </w:rPr>
        <w:t>增压站</w:t>
      </w:r>
      <w:r>
        <w:rPr>
          <w:rFonts w:hint="eastAsia"/>
        </w:rPr>
        <w:t>所在地</w:t>
      </w:r>
      <w:r>
        <w:t>主要以耕地、草地分布，地形相对较平缓。处于抗震设防烈度</w:t>
      </w:r>
      <w:r>
        <w:t>Ⅵ</w:t>
      </w:r>
      <w:r>
        <w:t>度区，区域稳定性良好；地形平坦，地质灾害不发育，场地稳定性好，适宜建筑</w:t>
      </w:r>
      <w:r>
        <w:rPr>
          <w:rFonts w:hint="eastAsia"/>
        </w:rPr>
        <w:t>；</w:t>
      </w:r>
      <w:r>
        <w:rPr>
          <w:rFonts w:hint="eastAsia"/>
          <w:bCs/>
        </w:rPr>
        <w:t>普光气田</w:t>
      </w:r>
      <w:r>
        <w:rPr>
          <w:rFonts w:hint="eastAsia"/>
          <w:bCs/>
        </w:rPr>
        <w:t>2</w:t>
      </w:r>
      <w:r>
        <w:rPr>
          <w:bCs/>
        </w:rPr>
        <w:t>#</w:t>
      </w:r>
      <w:r>
        <w:rPr>
          <w:rFonts w:hint="eastAsia"/>
          <w:bCs/>
        </w:rPr>
        <w:t>增压站</w:t>
      </w:r>
      <w:r>
        <w:rPr>
          <w:rFonts w:hint="eastAsia"/>
        </w:rPr>
        <w:t>所在地主要为净化厂东侧料仓，用地性质为建设用地，场地为平整硬化状态，</w:t>
      </w:r>
      <w:r>
        <w:t>场地稳定性好，适宜建筑。</w:t>
      </w:r>
    </w:p>
    <w:p w:rsidR="00BD5820" w:rsidRDefault="00F64314">
      <w:pPr>
        <w:pStyle w:val="affa"/>
        <w:ind w:firstLine="480"/>
      </w:pPr>
      <w:r>
        <w:lastRenderedPageBreak/>
        <w:t>（</w:t>
      </w:r>
      <w:r>
        <w:t>2</w:t>
      </w:r>
      <w:r>
        <w:t>）工程合理性</w:t>
      </w:r>
    </w:p>
    <w:p w:rsidR="00BD5820" w:rsidRDefault="00F64314">
      <w:pPr>
        <w:pStyle w:val="affa"/>
        <w:ind w:firstLine="480"/>
      </w:pPr>
      <w:r>
        <w:t>本项目所在地交通方便，施工期很短，</w:t>
      </w:r>
      <w:r>
        <w:rPr>
          <w:bCs/>
        </w:rPr>
        <w:t>本项目</w:t>
      </w:r>
      <w:r>
        <w:rPr>
          <w:rFonts w:hint="eastAsia"/>
        </w:rPr>
        <w:t>通过高含硫湿气增压技术，</w:t>
      </w:r>
      <w:r>
        <w:rPr>
          <w:rFonts w:hint="eastAsia"/>
          <w:bCs/>
        </w:rPr>
        <w:t>是延长稳产期，提升气田稳产能力的重要举措，是增加可采储量、提高采收率，提升气田综合开发效益的有效措施，是提高气井携液能力，实现产水井连续生产、激活气井潜能的重要手段</w:t>
      </w:r>
      <w:r>
        <w:t>。</w:t>
      </w:r>
    </w:p>
    <w:p w:rsidR="00BD5820" w:rsidRDefault="00F64314">
      <w:pPr>
        <w:pStyle w:val="affa"/>
        <w:ind w:firstLine="480"/>
      </w:pPr>
      <w:r>
        <w:t>（</w:t>
      </w:r>
      <w:r>
        <w:t>3</w:t>
      </w:r>
      <w:r>
        <w:t>）环境可行性</w:t>
      </w:r>
    </w:p>
    <w:p w:rsidR="00BD5820" w:rsidRDefault="00F64314">
      <w:pPr>
        <w:pStyle w:val="affa"/>
        <w:ind w:firstLine="480"/>
      </w:pPr>
      <w:r>
        <w:t>1</w:t>
      </w:r>
      <w:r>
        <w:t>）居民分布</w:t>
      </w:r>
    </w:p>
    <w:p w:rsidR="00BD5820" w:rsidRDefault="00F64314">
      <w:pPr>
        <w:pStyle w:val="affa"/>
        <w:ind w:firstLine="480"/>
      </w:pPr>
      <w:r>
        <w:t>本项目</w:t>
      </w:r>
      <w:r>
        <w:rPr>
          <w:rFonts w:hint="eastAsia"/>
          <w:bCs/>
        </w:rPr>
        <w:t>普光气田</w:t>
      </w:r>
      <w:r>
        <w:rPr>
          <w:bCs/>
        </w:rPr>
        <w:t>1#</w:t>
      </w:r>
      <w:r>
        <w:rPr>
          <w:rFonts w:hint="eastAsia"/>
          <w:bCs/>
        </w:rPr>
        <w:t>增压站</w:t>
      </w:r>
      <w:r>
        <w:rPr>
          <w:rFonts w:hint="eastAsia"/>
        </w:rPr>
        <w:t>2</w:t>
      </w:r>
      <w:r>
        <w:t>00m</w:t>
      </w:r>
      <w:r>
        <w:t>范围内</w:t>
      </w:r>
      <w:r>
        <w:rPr>
          <w:rFonts w:hint="eastAsia"/>
        </w:rPr>
        <w:t>无居民</w:t>
      </w:r>
      <w:r>
        <w:t>，周边</w:t>
      </w:r>
      <w:r>
        <w:rPr>
          <w:rFonts w:hint="eastAsia"/>
        </w:rPr>
        <w:t>2</w:t>
      </w:r>
      <w:r>
        <w:t>00m</w:t>
      </w:r>
      <w:r>
        <w:t>～</w:t>
      </w:r>
      <w:r>
        <w:t>500m</w:t>
      </w:r>
      <w:r>
        <w:t>范围内共</w:t>
      </w:r>
      <w:r>
        <w:rPr>
          <w:rFonts w:hint="eastAsia"/>
        </w:rPr>
        <w:t>33</w:t>
      </w:r>
      <w:r>
        <w:t>户，</w:t>
      </w:r>
      <w:r>
        <w:t>1</w:t>
      </w:r>
      <w:r>
        <w:rPr>
          <w:rFonts w:hint="eastAsia"/>
        </w:rPr>
        <w:t>40</w:t>
      </w:r>
      <w:r>
        <w:t>人，且多数于外地打工，常住居民人数较少，本项目</w:t>
      </w:r>
      <w:r>
        <w:rPr>
          <w:rFonts w:hint="eastAsia"/>
          <w:bCs/>
        </w:rPr>
        <w:t>普光气田</w:t>
      </w:r>
      <w:r>
        <w:rPr>
          <w:bCs/>
        </w:rPr>
        <w:t>1#</w:t>
      </w:r>
      <w:r>
        <w:rPr>
          <w:rFonts w:hint="eastAsia"/>
          <w:bCs/>
        </w:rPr>
        <w:t>增压站</w:t>
      </w:r>
      <w:r>
        <w:t>位于</w:t>
      </w:r>
      <w:r>
        <w:rPr>
          <w:rFonts w:hint="eastAsia"/>
          <w:bCs/>
        </w:rPr>
        <w:t>普光</w:t>
      </w:r>
      <w:r>
        <w:rPr>
          <w:bCs/>
        </w:rPr>
        <w:t>镇场镇东北侧，</w:t>
      </w:r>
      <w:r>
        <w:t>与</w:t>
      </w:r>
      <w:r>
        <w:rPr>
          <w:rFonts w:hint="eastAsia"/>
          <w:bCs/>
        </w:rPr>
        <w:t>普光</w:t>
      </w:r>
      <w:r>
        <w:rPr>
          <w:bCs/>
        </w:rPr>
        <w:t>镇场镇直线距离约</w:t>
      </w:r>
      <w:r>
        <w:rPr>
          <w:rFonts w:hint="eastAsia"/>
          <w:bCs/>
        </w:rPr>
        <w:t>2.4</w:t>
      </w:r>
      <w:r>
        <w:rPr>
          <w:bCs/>
        </w:rPr>
        <w:t>km</w:t>
      </w:r>
      <w:r>
        <w:t>，距离场镇较远，对场镇影响小</w:t>
      </w:r>
      <w:r>
        <w:rPr>
          <w:rFonts w:hint="eastAsia"/>
        </w:rPr>
        <w:t>；</w:t>
      </w:r>
      <w:r>
        <w:t>本项目</w:t>
      </w:r>
      <w:r>
        <w:rPr>
          <w:rFonts w:hint="eastAsia"/>
          <w:bCs/>
        </w:rPr>
        <w:t>普光气田</w:t>
      </w:r>
      <w:r>
        <w:rPr>
          <w:rFonts w:hint="eastAsia"/>
          <w:bCs/>
        </w:rPr>
        <w:t>2</w:t>
      </w:r>
      <w:r>
        <w:rPr>
          <w:bCs/>
        </w:rPr>
        <w:t>#</w:t>
      </w:r>
      <w:r>
        <w:rPr>
          <w:rFonts w:hint="eastAsia"/>
          <w:bCs/>
        </w:rPr>
        <w:t>增压站</w:t>
      </w:r>
      <w:r>
        <w:rPr>
          <w:rFonts w:hint="eastAsia"/>
        </w:rPr>
        <w:t>2</w:t>
      </w:r>
      <w:r>
        <w:t>00m</w:t>
      </w:r>
      <w:r>
        <w:t>范围内</w:t>
      </w:r>
      <w:r>
        <w:rPr>
          <w:rFonts w:hint="eastAsia"/>
        </w:rPr>
        <w:t>无居民</w:t>
      </w:r>
      <w:r>
        <w:t>，周边</w:t>
      </w:r>
      <w:r>
        <w:rPr>
          <w:rFonts w:hint="eastAsia"/>
        </w:rPr>
        <w:t>2</w:t>
      </w:r>
      <w:r>
        <w:t>00m</w:t>
      </w:r>
      <w:r>
        <w:t>～</w:t>
      </w:r>
      <w:r>
        <w:t>500m</w:t>
      </w:r>
      <w:r>
        <w:t>范围内共</w:t>
      </w:r>
      <w:r>
        <w:rPr>
          <w:rFonts w:hint="eastAsia"/>
        </w:rPr>
        <w:t>10</w:t>
      </w:r>
      <w:r>
        <w:t>户，</w:t>
      </w:r>
      <w:r>
        <w:rPr>
          <w:rFonts w:hint="eastAsia"/>
        </w:rPr>
        <w:t>35</w:t>
      </w:r>
      <w:r>
        <w:t>人，且多数于外地打工，常住居民人数较少，本项目</w:t>
      </w:r>
      <w:r>
        <w:rPr>
          <w:rFonts w:hint="eastAsia"/>
          <w:bCs/>
        </w:rPr>
        <w:t>普光气田</w:t>
      </w:r>
      <w:r>
        <w:rPr>
          <w:rFonts w:hint="eastAsia"/>
          <w:bCs/>
        </w:rPr>
        <w:t>2</w:t>
      </w:r>
      <w:r>
        <w:rPr>
          <w:bCs/>
        </w:rPr>
        <w:t>#</w:t>
      </w:r>
      <w:r>
        <w:rPr>
          <w:rFonts w:hint="eastAsia"/>
          <w:bCs/>
        </w:rPr>
        <w:t>增压站</w:t>
      </w:r>
      <w:r>
        <w:t>位于</w:t>
      </w:r>
      <w:r>
        <w:rPr>
          <w:rFonts w:hint="eastAsia"/>
          <w:bCs/>
        </w:rPr>
        <w:t>普光</w:t>
      </w:r>
      <w:r>
        <w:rPr>
          <w:bCs/>
        </w:rPr>
        <w:t>镇场镇</w:t>
      </w:r>
      <w:r>
        <w:rPr>
          <w:rFonts w:hint="eastAsia"/>
          <w:bCs/>
        </w:rPr>
        <w:t>西南</w:t>
      </w:r>
      <w:r>
        <w:rPr>
          <w:bCs/>
        </w:rPr>
        <w:t>侧，</w:t>
      </w:r>
      <w:r>
        <w:t>与</w:t>
      </w:r>
      <w:r>
        <w:rPr>
          <w:rFonts w:hint="eastAsia"/>
          <w:bCs/>
        </w:rPr>
        <w:t>普光</w:t>
      </w:r>
      <w:r>
        <w:rPr>
          <w:bCs/>
        </w:rPr>
        <w:t>镇场镇直线距离约</w:t>
      </w:r>
      <w:r>
        <w:rPr>
          <w:rFonts w:hint="eastAsia"/>
          <w:bCs/>
        </w:rPr>
        <w:t>2.7</w:t>
      </w:r>
      <w:r>
        <w:rPr>
          <w:bCs/>
        </w:rPr>
        <w:t>km</w:t>
      </w:r>
      <w:r>
        <w:t>，距离场镇较远，对场镇影响小。</w:t>
      </w:r>
    </w:p>
    <w:p w:rsidR="00BD5820" w:rsidRDefault="00F64314">
      <w:pPr>
        <w:pStyle w:val="affa"/>
        <w:ind w:firstLine="480"/>
      </w:pPr>
      <w:r>
        <w:t>2</w:t>
      </w:r>
      <w:r>
        <w:t>）周边敏感区情况</w:t>
      </w:r>
    </w:p>
    <w:p w:rsidR="00BD5820" w:rsidRDefault="00F64314">
      <w:pPr>
        <w:pStyle w:val="affa"/>
        <w:ind w:firstLine="480"/>
      </w:pPr>
      <w:r>
        <w:t>本项目</w:t>
      </w:r>
      <w:r>
        <w:rPr>
          <w:rFonts w:hint="eastAsia"/>
          <w:bCs/>
        </w:rPr>
        <w:t>普光气田</w:t>
      </w:r>
      <w:r>
        <w:rPr>
          <w:bCs/>
        </w:rPr>
        <w:t>1#</w:t>
      </w:r>
      <w:r>
        <w:rPr>
          <w:rFonts w:hint="eastAsia"/>
          <w:bCs/>
        </w:rPr>
        <w:t>增压站、</w:t>
      </w:r>
      <w:r>
        <w:rPr>
          <w:rFonts w:hint="eastAsia"/>
          <w:bCs/>
        </w:rPr>
        <w:t>2</w:t>
      </w:r>
      <w:r>
        <w:rPr>
          <w:bCs/>
        </w:rPr>
        <w:t>#</w:t>
      </w:r>
      <w:r>
        <w:rPr>
          <w:rFonts w:hint="eastAsia"/>
          <w:bCs/>
        </w:rPr>
        <w:t>增压站</w:t>
      </w:r>
      <w:r>
        <w:t>5km</w:t>
      </w:r>
      <w:r>
        <w:t>范围内无环境敏感区</w:t>
      </w:r>
      <w:r>
        <w:rPr>
          <w:rFonts w:hint="eastAsia"/>
        </w:rPr>
        <w:t>，</w:t>
      </w:r>
      <w:r>
        <w:t>不涉及乡镇水源地保护区。本项目下游无取水口分布。</w:t>
      </w:r>
      <w:r w:rsidRPr="00511129">
        <w:rPr>
          <w:color w:val="FF0000"/>
        </w:rPr>
        <w:t>本项目</w:t>
      </w:r>
      <w:r w:rsidR="00511129" w:rsidRPr="00511129">
        <w:rPr>
          <w:color w:val="FF0000"/>
        </w:rPr>
        <w:t>地表水环境保护目标为后河和中河</w:t>
      </w:r>
      <w:r w:rsidR="00511129" w:rsidRPr="00511129">
        <w:rPr>
          <w:rFonts w:hint="eastAsia"/>
          <w:color w:val="FF0000"/>
        </w:rPr>
        <w:t>，其中</w:t>
      </w:r>
      <w:r w:rsidR="00511129" w:rsidRPr="00511129">
        <w:rPr>
          <w:color w:val="FF0000"/>
          <w:szCs w:val="24"/>
        </w:rPr>
        <w:t>后河分别位于本项目</w:t>
      </w:r>
      <w:r w:rsidRPr="00511129">
        <w:rPr>
          <w:rFonts w:hint="eastAsia"/>
          <w:bCs/>
          <w:color w:val="FF0000"/>
        </w:rPr>
        <w:t>普光气田</w:t>
      </w:r>
      <w:r w:rsidRPr="00511129">
        <w:rPr>
          <w:bCs/>
          <w:color w:val="FF0000"/>
        </w:rPr>
        <w:t>1#</w:t>
      </w:r>
      <w:r w:rsidRPr="00511129">
        <w:rPr>
          <w:rFonts w:hint="eastAsia"/>
          <w:bCs/>
          <w:color w:val="FF0000"/>
        </w:rPr>
        <w:t>增压站</w:t>
      </w:r>
      <w:r w:rsidRPr="00511129">
        <w:rPr>
          <w:rFonts w:hint="eastAsia"/>
          <w:color w:val="FF0000"/>
          <w:szCs w:val="24"/>
        </w:rPr>
        <w:t>西南</w:t>
      </w:r>
      <w:r w:rsidRPr="00511129">
        <w:rPr>
          <w:color w:val="FF0000"/>
          <w:szCs w:val="24"/>
        </w:rPr>
        <w:t>侧</w:t>
      </w:r>
      <w:r w:rsidRPr="00511129">
        <w:rPr>
          <w:rFonts w:hint="eastAsia"/>
          <w:color w:val="FF0000"/>
          <w:szCs w:val="24"/>
        </w:rPr>
        <w:t>1700m</w:t>
      </w:r>
      <w:r w:rsidRPr="00511129">
        <w:rPr>
          <w:rFonts w:hint="eastAsia"/>
          <w:color w:val="FF0000"/>
          <w:szCs w:val="24"/>
        </w:rPr>
        <w:t>处</w:t>
      </w:r>
      <w:r w:rsidR="00511129" w:rsidRPr="00511129">
        <w:rPr>
          <w:rFonts w:hint="eastAsia"/>
          <w:color w:val="FF0000"/>
          <w:szCs w:val="24"/>
        </w:rPr>
        <w:t>和</w:t>
      </w:r>
      <w:r w:rsidRPr="00511129">
        <w:rPr>
          <w:color w:val="FF0000"/>
        </w:rPr>
        <w:t>本项目</w:t>
      </w:r>
      <w:r w:rsidRPr="00511129">
        <w:rPr>
          <w:rFonts w:hint="eastAsia"/>
          <w:bCs/>
          <w:color w:val="FF0000"/>
        </w:rPr>
        <w:t>普光气田</w:t>
      </w:r>
      <w:r w:rsidRPr="00511129">
        <w:rPr>
          <w:rFonts w:hint="eastAsia"/>
          <w:bCs/>
          <w:color w:val="FF0000"/>
        </w:rPr>
        <w:t>2</w:t>
      </w:r>
      <w:r w:rsidRPr="00511129">
        <w:rPr>
          <w:bCs/>
          <w:color w:val="FF0000"/>
        </w:rPr>
        <w:t>#</w:t>
      </w:r>
      <w:r w:rsidRPr="00511129">
        <w:rPr>
          <w:rFonts w:hint="eastAsia"/>
          <w:bCs/>
          <w:color w:val="FF0000"/>
        </w:rPr>
        <w:t>增压站</w:t>
      </w:r>
      <w:r w:rsidRPr="00511129">
        <w:rPr>
          <w:rFonts w:hint="eastAsia"/>
          <w:color w:val="FF0000"/>
          <w:szCs w:val="24"/>
        </w:rPr>
        <w:t>东北</w:t>
      </w:r>
      <w:r w:rsidRPr="00511129">
        <w:rPr>
          <w:color w:val="FF0000"/>
          <w:szCs w:val="24"/>
        </w:rPr>
        <w:t>侧</w:t>
      </w:r>
      <w:r w:rsidRPr="00511129">
        <w:rPr>
          <w:rFonts w:hint="eastAsia"/>
          <w:color w:val="FF0000"/>
          <w:szCs w:val="24"/>
        </w:rPr>
        <w:t>1000m</w:t>
      </w:r>
      <w:r w:rsidRPr="00511129">
        <w:rPr>
          <w:rFonts w:hint="eastAsia"/>
          <w:color w:val="FF0000"/>
          <w:szCs w:val="24"/>
        </w:rPr>
        <w:t>处</w:t>
      </w:r>
      <w:r w:rsidR="00511129" w:rsidRPr="00511129">
        <w:rPr>
          <w:rFonts w:hint="eastAsia"/>
          <w:color w:val="FF0000"/>
          <w:szCs w:val="24"/>
        </w:rPr>
        <w:t>，中</w:t>
      </w:r>
      <w:r w:rsidR="00511129" w:rsidRPr="00511129">
        <w:rPr>
          <w:color w:val="FF0000"/>
          <w:szCs w:val="24"/>
        </w:rPr>
        <w:t>河分别位于本项目</w:t>
      </w:r>
      <w:r w:rsidR="00511129" w:rsidRPr="00511129">
        <w:rPr>
          <w:rFonts w:hint="eastAsia"/>
          <w:bCs/>
          <w:color w:val="FF0000"/>
        </w:rPr>
        <w:t>普光气田</w:t>
      </w:r>
      <w:r w:rsidR="00511129" w:rsidRPr="00511129">
        <w:rPr>
          <w:bCs/>
          <w:color w:val="FF0000"/>
        </w:rPr>
        <w:t>1#</w:t>
      </w:r>
      <w:r w:rsidR="00511129" w:rsidRPr="00511129">
        <w:rPr>
          <w:rFonts w:hint="eastAsia"/>
          <w:bCs/>
          <w:color w:val="FF0000"/>
        </w:rPr>
        <w:t>增压站</w:t>
      </w:r>
      <w:r w:rsidR="00511129" w:rsidRPr="00511129">
        <w:rPr>
          <w:rFonts w:hint="eastAsia"/>
          <w:color w:val="FF0000"/>
          <w:szCs w:val="24"/>
        </w:rPr>
        <w:t>西北</w:t>
      </w:r>
      <w:r w:rsidR="00511129" w:rsidRPr="00511129">
        <w:rPr>
          <w:color w:val="FF0000"/>
          <w:szCs w:val="24"/>
        </w:rPr>
        <w:t>侧</w:t>
      </w:r>
      <w:r w:rsidR="00511129" w:rsidRPr="00511129">
        <w:rPr>
          <w:rFonts w:hint="eastAsia"/>
          <w:color w:val="FF0000"/>
          <w:szCs w:val="24"/>
        </w:rPr>
        <w:t>2150m</w:t>
      </w:r>
      <w:r w:rsidR="00511129" w:rsidRPr="00511129">
        <w:rPr>
          <w:rFonts w:hint="eastAsia"/>
          <w:color w:val="FF0000"/>
          <w:szCs w:val="24"/>
        </w:rPr>
        <w:t>处和</w:t>
      </w:r>
      <w:r w:rsidR="00511129" w:rsidRPr="00511129">
        <w:rPr>
          <w:color w:val="FF0000"/>
        </w:rPr>
        <w:t>本项目</w:t>
      </w:r>
      <w:r w:rsidR="00511129" w:rsidRPr="00511129">
        <w:rPr>
          <w:rFonts w:hint="eastAsia"/>
          <w:bCs/>
          <w:color w:val="FF0000"/>
        </w:rPr>
        <w:t>普光气田</w:t>
      </w:r>
      <w:r w:rsidR="00511129" w:rsidRPr="00511129">
        <w:rPr>
          <w:rFonts w:hint="eastAsia"/>
          <w:bCs/>
          <w:color w:val="FF0000"/>
        </w:rPr>
        <w:t>2</w:t>
      </w:r>
      <w:r w:rsidR="00511129" w:rsidRPr="00511129">
        <w:rPr>
          <w:bCs/>
          <w:color w:val="FF0000"/>
        </w:rPr>
        <w:t>#</w:t>
      </w:r>
      <w:r w:rsidR="00511129" w:rsidRPr="00511129">
        <w:rPr>
          <w:rFonts w:hint="eastAsia"/>
          <w:bCs/>
          <w:color w:val="FF0000"/>
        </w:rPr>
        <w:t>增压站</w:t>
      </w:r>
      <w:r w:rsidR="00511129" w:rsidRPr="00511129">
        <w:rPr>
          <w:rFonts w:hint="eastAsia"/>
          <w:color w:val="FF0000"/>
          <w:szCs w:val="24"/>
        </w:rPr>
        <w:t>东北</w:t>
      </w:r>
      <w:r w:rsidR="00511129" w:rsidRPr="00511129">
        <w:rPr>
          <w:color w:val="FF0000"/>
          <w:szCs w:val="24"/>
        </w:rPr>
        <w:t>侧</w:t>
      </w:r>
      <w:r w:rsidR="00511129" w:rsidRPr="00511129">
        <w:rPr>
          <w:rFonts w:hint="eastAsia"/>
          <w:color w:val="FF0000"/>
          <w:szCs w:val="24"/>
        </w:rPr>
        <w:t>4000m</w:t>
      </w:r>
      <w:r w:rsidR="00511129" w:rsidRPr="00511129">
        <w:rPr>
          <w:rFonts w:hint="eastAsia"/>
          <w:color w:val="FF0000"/>
          <w:szCs w:val="24"/>
        </w:rPr>
        <w:t>处</w:t>
      </w:r>
      <w:r w:rsidRPr="00511129">
        <w:rPr>
          <w:rFonts w:hint="eastAsia"/>
          <w:color w:val="FF0000"/>
          <w:szCs w:val="24"/>
        </w:rPr>
        <w:t>。</w:t>
      </w:r>
    </w:p>
    <w:p w:rsidR="00BD5820" w:rsidRDefault="00F64314">
      <w:pPr>
        <w:pStyle w:val="affa"/>
        <w:ind w:firstLine="480"/>
      </w:pPr>
      <w:r>
        <w:t>本项目施工</w:t>
      </w:r>
      <w:r>
        <w:rPr>
          <w:rFonts w:hint="eastAsia"/>
        </w:rPr>
        <w:t>、</w:t>
      </w:r>
      <w:r>
        <w:t>运营期间废水均不排放，正常状况下不会对水体产生影响。同时，</w:t>
      </w:r>
      <w:r>
        <w:rPr>
          <w:rFonts w:hint="eastAsia"/>
        </w:rPr>
        <w:t>普光</w:t>
      </w:r>
      <w:r>
        <w:t>分公司已制定完善的应急预案并配备应急物资，事故状态下能够及时阻隔废水的外排。且</w:t>
      </w:r>
      <w:r>
        <w:rPr>
          <w:rFonts w:hint="eastAsia"/>
        </w:rPr>
        <w:t>站场</w:t>
      </w:r>
      <w:r>
        <w:t>与后河</w:t>
      </w:r>
      <w:r w:rsidR="00511129" w:rsidRPr="00511129">
        <w:rPr>
          <w:rFonts w:hint="eastAsia"/>
          <w:color w:val="FF0000"/>
        </w:rPr>
        <w:t>、</w:t>
      </w:r>
      <w:r w:rsidR="00511129" w:rsidRPr="00511129">
        <w:rPr>
          <w:color w:val="FF0000"/>
        </w:rPr>
        <w:t>中河</w:t>
      </w:r>
      <w:r>
        <w:t>之间有山体等阻隔，流至水体的可能性较小。</w:t>
      </w:r>
    </w:p>
    <w:p w:rsidR="00BD5820" w:rsidRDefault="00F64314">
      <w:pPr>
        <w:pStyle w:val="affa"/>
        <w:ind w:firstLine="480"/>
      </w:pPr>
      <w:r>
        <w:t>本项目周边</w:t>
      </w:r>
      <w:r>
        <w:t>5km</w:t>
      </w:r>
      <w:r>
        <w:t>内无自然保护区、风景名胜区等敏感区分布。</w:t>
      </w:r>
    </w:p>
    <w:p w:rsidR="00BD5820" w:rsidRDefault="00F64314">
      <w:pPr>
        <w:pStyle w:val="affa"/>
        <w:ind w:firstLine="480"/>
      </w:pPr>
      <w:r>
        <w:t>综上所述，本项目</w:t>
      </w:r>
      <w:r>
        <w:rPr>
          <w:rFonts w:hint="eastAsia"/>
        </w:rPr>
        <w:t>站场</w:t>
      </w:r>
      <w:r>
        <w:t>选址可行。</w:t>
      </w:r>
    </w:p>
    <w:p w:rsidR="00BD5820" w:rsidRDefault="00F64314">
      <w:pPr>
        <w:keepNext/>
        <w:keepLines/>
        <w:ind w:firstLineChars="0" w:firstLine="0"/>
        <w:outlineLvl w:val="2"/>
        <w:rPr>
          <w:rFonts w:ascii="Times New Roman" w:cs="Times New Roman"/>
          <w:b/>
          <w:szCs w:val="32"/>
        </w:rPr>
      </w:pPr>
      <w:r>
        <w:rPr>
          <w:rFonts w:ascii="Times New Roman" w:cs="Times New Roman"/>
          <w:b/>
          <w:szCs w:val="32"/>
        </w:rPr>
        <w:t>1.7.</w:t>
      </w:r>
      <w:r>
        <w:rPr>
          <w:rFonts w:ascii="Times New Roman" w:cs="Times New Roman" w:hint="eastAsia"/>
          <w:b/>
          <w:szCs w:val="32"/>
        </w:rPr>
        <w:t>5</w:t>
      </w:r>
      <w:r>
        <w:rPr>
          <w:rFonts w:ascii="Times New Roman" w:cs="Times New Roman"/>
          <w:b/>
          <w:szCs w:val="32"/>
        </w:rPr>
        <w:t xml:space="preserve"> </w:t>
      </w:r>
      <w:r>
        <w:rPr>
          <w:rFonts w:ascii="Times New Roman" w:cs="Times New Roman" w:hint="eastAsia"/>
          <w:b/>
          <w:szCs w:val="32"/>
        </w:rPr>
        <w:t>站场平面布置合理</w:t>
      </w:r>
      <w:r>
        <w:rPr>
          <w:rFonts w:ascii="Times New Roman" w:cs="Times New Roman"/>
          <w:b/>
          <w:szCs w:val="32"/>
        </w:rPr>
        <w:t>性分析</w:t>
      </w:r>
    </w:p>
    <w:p w:rsidR="00BD5820" w:rsidRDefault="00F64314">
      <w:pPr>
        <w:pStyle w:val="affa"/>
        <w:ind w:firstLine="480"/>
      </w:pPr>
      <w:r>
        <w:rPr>
          <w:rFonts w:hint="eastAsia"/>
        </w:rPr>
        <w:t>本次评价从站场、噪声源及润滑油储罐布置等</w:t>
      </w:r>
      <w:r>
        <w:t>方面</w:t>
      </w:r>
      <w:r>
        <w:rPr>
          <w:rFonts w:hint="eastAsia"/>
        </w:rPr>
        <w:t>分析本项目站场平面布置的合理性。</w:t>
      </w:r>
    </w:p>
    <w:p w:rsidR="00BD5820" w:rsidRDefault="00F64314">
      <w:pPr>
        <w:pStyle w:val="affa"/>
        <w:ind w:firstLine="480"/>
      </w:pPr>
      <w:r>
        <w:rPr>
          <w:rFonts w:hint="eastAsia"/>
        </w:rPr>
        <w:t>（</w:t>
      </w:r>
      <w:r>
        <w:rPr>
          <w:rFonts w:hint="eastAsia"/>
        </w:rPr>
        <w:t>1</w:t>
      </w:r>
      <w:r>
        <w:rPr>
          <w:rFonts w:hint="eastAsia"/>
        </w:rPr>
        <w:t>）站场布置合理性分析</w:t>
      </w:r>
    </w:p>
    <w:p w:rsidR="00BD5820" w:rsidRDefault="00F64314">
      <w:pPr>
        <w:pStyle w:val="affa"/>
        <w:ind w:firstLine="480"/>
      </w:pPr>
      <w:r>
        <w:rPr>
          <w:kern w:val="2"/>
        </w:rPr>
        <w:lastRenderedPageBreak/>
        <w:t>根据现场调查，本项目周围</w:t>
      </w:r>
      <w:r>
        <w:rPr>
          <w:kern w:val="2"/>
        </w:rPr>
        <w:t>50m</w:t>
      </w:r>
      <w:r>
        <w:rPr>
          <w:kern w:val="2"/>
        </w:rPr>
        <w:t>范围内无民房、居住区、厂矿企业、</w:t>
      </w:r>
      <w:r>
        <w:rPr>
          <w:kern w:val="2"/>
        </w:rPr>
        <w:t>35kV</w:t>
      </w:r>
      <w:r>
        <w:rPr>
          <w:kern w:val="2"/>
        </w:rPr>
        <w:t>及以上独立变电所、铁路、无架空电力线路，</w:t>
      </w:r>
      <w:r>
        <w:rPr>
          <w:kern w:val="2"/>
        </w:rPr>
        <w:t>300m</w:t>
      </w:r>
      <w:r>
        <w:rPr>
          <w:kern w:val="2"/>
        </w:rPr>
        <w:t>范围内无爆炸作业场地</w:t>
      </w:r>
      <w:r>
        <w:rPr>
          <w:rFonts w:hint="eastAsia"/>
          <w:kern w:val="2"/>
        </w:rPr>
        <w:t>，</w:t>
      </w:r>
      <w:r>
        <w:t>本项目</w:t>
      </w:r>
      <w:r>
        <w:rPr>
          <w:rFonts w:hint="eastAsia"/>
          <w:bCs/>
        </w:rPr>
        <w:t>普光气田</w:t>
      </w:r>
      <w:r>
        <w:rPr>
          <w:rFonts w:hint="eastAsia"/>
          <w:bCs/>
        </w:rPr>
        <w:t>2</w:t>
      </w:r>
      <w:r>
        <w:rPr>
          <w:bCs/>
        </w:rPr>
        <w:t>#</w:t>
      </w:r>
      <w:r>
        <w:rPr>
          <w:rFonts w:hint="eastAsia"/>
          <w:bCs/>
        </w:rPr>
        <w:t>增压站</w:t>
      </w:r>
      <w:r>
        <w:rPr>
          <w:rFonts w:hint="eastAsia"/>
          <w:kern w:val="2"/>
        </w:rPr>
        <w:t>与</w:t>
      </w:r>
      <w:r>
        <w:rPr>
          <w:kern w:val="2"/>
        </w:rPr>
        <w:t>高速公路</w:t>
      </w:r>
      <w:r>
        <w:rPr>
          <w:rFonts w:hint="eastAsia"/>
          <w:kern w:val="2"/>
        </w:rPr>
        <w:t>直线</w:t>
      </w:r>
      <w:r>
        <w:rPr>
          <w:kern w:val="2"/>
        </w:rPr>
        <w:t>距离</w:t>
      </w:r>
      <w:r>
        <w:rPr>
          <w:rFonts w:hint="eastAsia"/>
          <w:kern w:val="2"/>
        </w:rPr>
        <w:t>120m</w:t>
      </w:r>
      <w:r>
        <w:rPr>
          <w:kern w:val="2"/>
        </w:rPr>
        <w:t>，满足《石油天然气工程设计防火规范》（</w:t>
      </w:r>
      <w:r>
        <w:rPr>
          <w:kern w:val="2"/>
        </w:rPr>
        <w:t>GB50183-2004</w:t>
      </w:r>
      <w:r>
        <w:rPr>
          <w:kern w:val="2"/>
        </w:rPr>
        <w:t>）等要求</w:t>
      </w:r>
      <w:r>
        <w:rPr>
          <w:rFonts w:hint="eastAsia"/>
        </w:rPr>
        <w:t>。</w:t>
      </w:r>
    </w:p>
    <w:p w:rsidR="00BD5820" w:rsidRDefault="00F64314">
      <w:pPr>
        <w:pStyle w:val="affa"/>
        <w:ind w:firstLine="480"/>
      </w:pPr>
      <w:r>
        <w:rPr>
          <w:rFonts w:hint="eastAsia"/>
        </w:rPr>
        <w:t>（</w:t>
      </w:r>
      <w:r>
        <w:rPr>
          <w:rFonts w:hint="eastAsia"/>
        </w:rPr>
        <w:t>2</w:t>
      </w:r>
      <w:r>
        <w:rPr>
          <w:rFonts w:hint="eastAsia"/>
        </w:rPr>
        <w:t>）噪声源布置合理性分析</w:t>
      </w:r>
    </w:p>
    <w:p w:rsidR="00BD5820" w:rsidRDefault="00F64314">
      <w:pPr>
        <w:pStyle w:val="affa"/>
        <w:ind w:firstLine="480"/>
      </w:pPr>
      <w:r>
        <w:rPr>
          <w:rFonts w:hint="eastAsia"/>
        </w:rPr>
        <w:t>本项目增压设备位于站场中部，结合平面布置图和外环境关系图可知，尽量远离住户布设，对住户的噪声影响可接受，噪声源布置合理。</w:t>
      </w:r>
    </w:p>
    <w:p w:rsidR="00BD5820" w:rsidRDefault="00F64314">
      <w:pPr>
        <w:pStyle w:val="affa"/>
        <w:ind w:firstLine="480"/>
      </w:pPr>
      <w:r>
        <w:rPr>
          <w:rFonts w:hint="eastAsia"/>
        </w:rPr>
        <w:t>综上所述，本项目站场总平面布置图综合</w:t>
      </w:r>
      <w:r>
        <w:t>考虑了周边环境及地势分布情况，满足</w:t>
      </w:r>
      <w:r>
        <w:rPr>
          <w:rFonts w:hint="eastAsia"/>
        </w:rPr>
        <w:t>相关要求布置，总平面布置合理。</w:t>
      </w:r>
    </w:p>
    <w:p w:rsidR="00BD5820" w:rsidRDefault="00F64314">
      <w:pPr>
        <w:keepNext/>
        <w:keepLines/>
        <w:spacing w:before="120"/>
        <w:ind w:firstLineChars="0" w:firstLine="0"/>
        <w:outlineLvl w:val="1"/>
        <w:rPr>
          <w:rFonts w:ascii="Times New Roman" w:cs="Times New Roman"/>
          <w:b/>
          <w:bCs/>
          <w:sz w:val="28"/>
          <w:szCs w:val="32"/>
        </w:rPr>
      </w:pPr>
      <w:bookmarkStart w:id="90" w:name="_Toc12138"/>
      <w:bookmarkEnd w:id="89"/>
      <w:r>
        <w:rPr>
          <w:rFonts w:ascii="Times New Roman" w:cs="Times New Roman"/>
          <w:b/>
          <w:bCs/>
          <w:sz w:val="28"/>
          <w:szCs w:val="32"/>
        </w:rPr>
        <w:t xml:space="preserve">1.8 </w:t>
      </w:r>
      <w:r>
        <w:rPr>
          <w:rFonts w:ascii="Times New Roman" w:cs="Times New Roman"/>
          <w:b/>
          <w:bCs/>
          <w:sz w:val="28"/>
          <w:szCs w:val="32"/>
        </w:rPr>
        <w:t>项目与相关符合性分析</w:t>
      </w:r>
      <w:bookmarkEnd w:id="90"/>
    </w:p>
    <w:p w:rsidR="00BD5820" w:rsidRDefault="00F64314">
      <w:pPr>
        <w:keepNext/>
        <w:keepLines/>
        <w:ind w:firstLineChars="0" w:firstLine="0"/>
        <w:outlineLvl w:val="2"/>
        <w:rPr>
          <w:rFonts w:ascii="Times New Roman" w:cs="Times New Roman"/>
          <w:b/>
          <w:szCs w:val="32"/>
        </w:rPr>
      </w:pPr>
      <w:r>
        <w:rPr>
          <w:rFonts w:ascii="Times New Roman" w:cs="Times New Roman"/>
          <w:b/>
          <w:szCs w:val="32"/>
        </w:rPr>
        <w:t xml:space="preserve">1.8.1 </w:t>
      </w:r>
      <w:r>
        <w:rPr>
          <w:rFonts w:ascii="Times New Roman" w:cs="Times New Roman"/>
          <w:b/>
          <w:szCs w:val="32"/>
        </w:rPr>
        <w:t>产业政策符合性分析</w:t>
      </w:r>
    </w:p>
    <w:p w:rsidR="00BD5820" w:rsidRDefault="00F64314">
      <w:pPr>
        <w:ind w:firstLine="480"/>
        <w:rPr>
          <w:rFonts w:ascii="Times New Roman" w:cs="Times New Roman"/>
        </w:rPr>
      </w:pPr>
      <w:r>
        <w:rPr>
          <w:rFonts w:ascii="Times New Roman" w:cs="Times New Roman"/>
        </w:rPr>
        <w:t>根据《产业结构调整指导目录》（</w:t>
      </w:r>
      <w:r>
        <w:rPr>
          <w:rFonts w:ascii="Times New Roman" w:cs="Times New Roman"/>
        </w:rPr>
        <w:t>20</w:t>
      </w:r>
      <w:r>
        <w:rPr>
          <w:rFonts w:ascii="Times New Roman" w:cs="Times New Roman" w:hint="eastAsia"/>
        </w:rPr>
        <w:t>19</w:t>
      </w:r>
      <w:r>
        <w:rPr>
          <w:rFonts w:ascii="Times New Roman" w:cs="Times New Roman"/>
        </w:rPr>
        <w:t>年本），本项目属于《产业结构调整指导目录》（</w:t>
      </w:r>
      <w:r>
        <w:rPr>
          <w:rFonts w:ascii="Times New Roman" w:cs="Times New Roman"/>
        </w:rPr>
        <w:t>20</w:t>
      </w:r>
      <w:r>
        <w:rPr>
          <w:rFonts w:ascii="Times New Roman" w:cs="Times New Roman" w:hint="eastAsia"/>
        </w:rPr>
        <w:t>19</w:t>
      </w:r>
      <w:r>
        <w:rPr>
          <w:rFonts w:ascii="Times New Roman" w:cs="Times New Roman"/>
        </w:rPr>
        <w:t>年本）鼓励类中第七条</w:t>
      </w:r>
      <w:r>
        <w:rPr>
          <w:rFonts w:ascii="Times New Roman" w:cs="Times New Roman"/>
        </w:rPr>
        <w:t>“</w:t>
      </w:r>
      <w:r>
        <w:rPr>
          <w:rFonts w:ascii="Times New Roman" w:cs="Times New Roman"/>
        </w:rPr>
        <w:t>石油、天然气</w:t>
      </w:r>
      <w:r>
        <w:rPr>
          <w:rFonts w:ascii="Times New Roman" w:cs="Times New Roman"/>
        </w:rPr>
        <w:t>”</w:t>
      </w:r>
      <w:r>
        <w:rPr>
          <w:rFonts w:ascii="Times New Roman" w:cs="Times New Roman"/>
        </w:rPr>
        <w:t>中的第三款：</w:t>
      </w:r>
      <w:r>
        <w:rPr>
          <w:rFonts w:ascii="Times New Roman" w:cs="Times New Roman"/>
        </w:rPr>
        <w:t>“</w:t>
      </w:r>
      <w:r>
        <w:rPr>
          <w:rFonts w:ascii="Times New Roman" w:cs="Times New Roman"/>
        </w:rPr>
        <w:t>原油、天然气、液化天然气、成品油的储运和管道输送设施、网络和液化天然气加注设施建设</w:t>
      </w:r>
      <w:r>
        <w:rPr>
          <w:rFonts w:ascii="Times New Roman" w:cs="Times New Roman"/>
        </w:rPr>
        <w:t>”</w:t>
      </w:r>
      <w:r>
        <w:rPr>
          <w:rFonts w:ascii="Times New Roman" w:cs="Times New Roman"/>
        </w:rPr>
        <w:t>。</w:t>
      </w:r>
    </w:p>
    <w:p w:rsidR="00BD5820" w:rsidRDefault="00F64314">
      <w:pPr>
        <w:ind w:firstLine="480"/>
        <w:rPr>
          <w:rFonts w:ascii="Times New Roman" w:cs="Times New Roman"/>
        </w:rPr>
      </w:pPr>
      <w:r>
        <w:rPr>
          <w:rFonts w:ascii="Times New Roman" w:cs="Times New Roman"/>
        </w:rPr>
        <w:t>因此本项目建设符合国家产业政策。</w:t>
      </w:r>
    </w:p>
    <w:p w:rsidR="00BD5820" w:rsidRDefault="00F64314">
      <w:pPr>
        <w:keepNext/>
        <w:keepLines/>
        <w:ind w:firstLineChars="0" w:firstLine="0"/>
        <w:outlineLvl w:val="2"/>
        <w:rPr>
          <w:rFonts w:ascii="Times New Roman" w:cs="Times New Roman"/>
          <w:b/>
          <w:szCs w:val="32"/>
        </w:rPr>
      </w:pPr>
      <w:r>
        <w:rPr>
          <w:rFonts w:ascii="Times New Roman" w:cs="Times New Roman"/>
          <w:b/>
          <w:szCs w:val="32"/>
        </w:rPr>
        <w:t xml:space="preserve">1.8.2 </w:t>
      </w:r>
      <w:r>
        <w:rPr>
          <w:rFonts w:ascii="Times New Roman" w:cs="Times New Roman"/>
          <w:b/>
          <w:szCs w:val="32"/>
        </w:rPr>
        <w:t>与《长江经济带生态环境保护规划》的符合性分析</w:t>
      </w:r>
    </w:p>
    <w:p w:rsidR="00BD5820" w:rsidRDefault="00F64314">
      <w:pPr>
        <w:pStyle w:val="affa"/>
        <w:ind w:firstLine="480"/>
      </w:pPr>
      <w:bookmarkStart w:id="91" w:name="_Hlk58750719"/>
      <w:r>
        <w:t>根据《长江经济带生态环境保护规划》专栏</w:t>
      </w:r>
      <w:r>
        <w:t>11</w:t>
      </w:r>
      <w:r>
        <w:t>城乡环境综合整治</w:t>
      </w:r>
      <w:r>
        <w:t>-</w:t>
      </w:r>
      <w:r>
        <w:t>大气污染治理：开展燃煤电厂超低排放和节能改造。</w:t>
      </w:r>
      <w:r>
        <w:t>……</w:t>
      </w:r>
      <w:r>
        <w:t>建设完善天然气输送管道、城市燃气管网、天然气储气库、城市调峰站储气罐等基础设施，实施民用部门</w:t>
      </w:r>
      <w:r>
        <w:t>“</w:t>
      </w:r>
      <w:r>
        <w:t>煤改电</w:t>
      </w:r>
      <w:r>
        <w:t>”“</w:t>
      </w:r>
      <w:r>
        <w:t>煤改气</w:t>
      </w:r>
      <w:r>
        <w:t>”</w:t>
      </w:r>
      <w:r>
        <w:t>工程。</w:t>
      </w:r>
      <w:r>
        <w:rPr>
          <w:rFonts w:hint="eastAsia"/>
        </w:rPr>
        <w:t>本项目</w:t>
      </w:r>
      <w:r>
        <w:t>属于天然气</w:t>
      </w:r>
      <w:r>
        <w:rPr>
          <w:rFonts w:hint="eastAsia"/>
        </w:rPr>
        <w:t>开采</w:t>
      </w:r>
      <w:r>
        <w:t>及输送建设项目，符合建设完善天然气输送管道的要求。</w:t>
      </w:r>
    </w:p>
    <w:p w:rsidR="00BD5820" w:rsidRDefault="00F64314">
      <w:pPr>
        <w:pStyle w:val="affa"/>
        <w:ind w:firstLine="480"/>
      </w:pPr>
      <w:r>
        <w:t>因此，</w:t>
      </w:r>
      <w:r>
        <w:rPr>
          <w:rFonts w:hint="eastAsia"/>
        </w:rPr>
        <w:t>本项目</w:t>
      </w:r>
      <w:r>
        <w:t>的建设符合《长江经济带生态环境保护规划》要求。</w:t>
      </w:r>
    </w:p>
    <w:bookmarkEnd w:id="91"/>
    <w:p w:rsidR="00BD5820" w:rsidRDefault="00F64314">
      <w:pPr>
        <w:keepNext/>
        <w:keepLines/>
        <w:ind w:firstLineChars="0" w:firstLine="0"/>
        <w:outlineLvl w:val="2"/>
        <w:rPr>
          <w:rFonts w:ascii="Times New Roman" w:cs="Times New Roman"/>
          <w:b/>
          <w:szCs w:val="32"/>
        </w:rPr>
      </w:pPr>
      <w:r>
        <w:rPr>
          <w:rFonts w:ascii="Times New Roman" w:cs="Times New Roman"/>
          <w:b/>
          <w:szCs w:val="32"/>
        </w:rPr>
        <w:t>1.8.</w:t>
      </w:r>
      <w:r>
        <w:rPr>
          <w:rFonts w:ascii="Times New Roman" w:cs="Times New Roman" w:hint="eastAsia"/>
          <w:b/>
          <w:szCs w:val="32"/>
        </w:rPr>
        <w:t>3</w:t>
      </w:r>
      <w:r>
        <w:rPr>
          <w:rFonts w:ascii="Times New Roman" w:cs="Times New Roman"/>
          <w:b/>
          <w:szCs w:val="32"/>
        </w:rPr>
        <w:t xml:space="preserve"> </w:t>
      </w:r>
      <w:r>
        <w:rPr>
          <w:rFonts w:ascii="Times New Roman" w:cs="Times New Roman"/>
          <w:b/>
          <w:szCs w:val="32"/>
        </w:rPr>
        <w:t>与四川省主体功能区规划的符合性分析</w:t>
      </w:r>
    </w:p>
    <w:p w:rsidR="00BD5820" w:rsidRDefault="00F64314">
      <w:pPr>
        <w:pStyle w:val="affa"/>
        <w:ind w:firstLine="482"/>
        <w:rPr>
          <w:b/>
          <w:bCs/>
        </w:rPr>
      </w:pPr>
      <w:r>
        <w:rPr>
          <w:b/>
          <w:bCs/>
        </w:rPr>
        <w:t>1</w:t>
      </w:r>
      <w:r>
        <w:rPr>
          <w:b/>
          <w:bCs/>
        </w:rPr>
        <w:t>、四川省主体功能区规划概述</w:t>
      </w:r>
    </w:p>
    <w:p w:rsidR="00BD5820" w:rsidRDefault="00F64314">
      <w:pPr>
        <w:pStyle w:val="affa"/>
        <w:ind w:firstLine="480"/>
      </w:pPr>
      <w:r>
        <w:t>根据《四川省主体功能区规划》（川府发〔</w:t>
      </w:r>
      <w:r>
        <w:t>2013</w:t>
      </w:r>
      <w:r>
        <w:t>〕</w:t>
      </w:r>
      <w:r>
        <w:t>16</w:t>
      </w:r>
      <w:r>
        <w:t>号文）（以下简称《规划》），全省主体功能区分为以下四个大类：</w:t>
      </w:r>
    </w:p>
    <w:p w:rsidR="00BD5820" w:rsidRDefault="00F64314">
      <w:pPr>
        <w:pStyle w:val="affa"/>
        <w:ind w:firstLine="480"/>
      </w:pPr>
      <w:r>
        <w:t>（</w:t>
      </w:r>
      <w:r>
        <w:t>1</w:t>
      </w:r>
      <w:r>
        <w:t>）重点开发区域</w:t>
      </w:r>
    </w:p>
    <w:p w:rsidR="00BD5820" w:rsidRDefault="00F64314">
      <w:pPr>
        <w:pStyle w:val="affa"/>
        <w:ind w:firstLine="480"/>
      </w:pPr>
      <w:r>
        <w:t>主要包括成都平原、川南、川东北和攀西地区</w:t>
      </w:r>
      <w:r>
        <w:t>19</w:t>
      </w:r>
      <w:r>
        <w:t>市（州）中的</w:t>
      </w:r>
      <w:r>
        <w:t>89</w:t>
      </w:r>
      <w:r>
        <w:t>个县（市、</w:t>
      </w:r>
      <w:r>
        <w:lastRenderedPageBreak/>
        <w:t>区），以及与之相连的</w:t>
      </w:r>
      <w:r>
        <w:t>50</w:t>
      </w:r>
      <w:r>
        <w:t>个点状开发城镇，该区域面积</w:t>
      </w:r>
      <w:r>
        <w:t>10.3</w:t>
      </w:r>
      <w:r>
        <w:t>万平方公里，占全省幅员面积</w:t>
      </w:r>
      <w:r>
        <w:t>21.2%</w:t>
      </w:r>
      <w:r>
        <w:t>；分为国家层面重点开发区域和省级层面重点开发区域。</w:t>
      </w:r>
    </w:p>
    <w:p w:rsidR="00BD5820" w:rsidRDefault="00F64314">
      <w:pPr>
        <w:pStyle w:val="affa"/>
        <w:ind w:firstLine="480"/>
      </w:pPr>
      <w:r>
        <w:t>该功能区是全省经济增长的重要支撑区，实施加快推进新型工业化新型城镇化的主要承载区，是全省经济和人口密集区。</w:t>
      </w:r>
    </w:p>
    <w:p w:rsidR="00BD5820" w:rsidRDefault="00F64314">
      <w:pPr>
        <w:pStyle w:val="affa"/>
        <w:ind w:firstLine="480"/>
      </w:pPr>
      <w:r>
        <w:t>（</w:t>
      </w:r>
      <w:r>
        <w:t>2</w:t>
      </w:r>
      <w:r>
        <w:t>）限制开发区域（农产品主产区）</w:t>
      </w:r>
    </w:p>
    <w:p w:rsidR="00BD5820" w:rsidRDefault="00F64314">
      <w:pPr>
        <w:pStyle w:val="affa"/>
        <w:ind w:firstLine="480"/>
      </w:pPr>
      <w:r>
        <w:t>限制开发的农产品主产区是指具备较好的农业生产条件，以提供农产品为主体功能，以提供生态产品、服务产品和工业品为其他功能，需要在国土空间开发中限制进行大规模高强度工业化城镇化开发，以保持并提高农产品生产能力的区域。</w:t>
      </w:r>
    </w:p>
    <w:p w:rsidR="00BD5820" w:rsidRDefault="00F64314">
      <w:pPr>
        <w:pStyle w:val="affa"/>
        <w:ind w:firstLine="480"/>
      </w:pPr>
      <w:r>
        <w:t>全省农产品主产区包括盆地中部平原浅丘区、川南低中山区和盆地东部丘陵低山区、盆地西缘山区和安宁河流域</w:t>
      </w:r>
      <w:r>
        <w:t>5</w:t>
      </w:r>
      <w:r>
        <w:t>大农产品主产区，共</w:t>
      </w:r>
      <w:r>
        <w:t>35</w:t>
      </w:r>
      <w:r>
        <w:t>个县（市），面积</w:t>
      </w:r>
      <w:r>
        <w:t>6.7</w:t>
      </w:r>
      <w:r>
        <w:t>万平方公里，扣除其中重点开发的县城镇及重点镇规划面积</w:t>
      </w:r>
      <w:r>
        <w:t>1750</w:t>
      </w:r>
      <w:r>
        <w:t>平方公里，占全省幅员面积</w:t>
      </w:r>
      <w:r>
        <w:t>13.4%</w:t>
      </w:r>
      <w:r>
        <w:t>。</w:t>
      </w:r>
    </w:p>
    <w:p w:rsidR="00BD5820" w:rsidRDefault="00F64314">
      <w:pPr>
        <w:pStyle w:val="affa"/>
        <w:ind w:firstLine="480"/>
      </w:pPr>
      <w:r>
        <w:t>该功能区是国家优质商品猪战略保障基地，现代农业示范区，现代林业产业基地，优势特色农产品加工业发展的重点区域，农民安居乐业的美好家园。区域应着力保护耕地，加强农业基础设施建设，稳定粮食生产，发展现代农业，增强农业综合生产能力，保障全省主要农产品有效供给，增加农民收入，加快社会主义新农村建设。</w:t>
      </w:r>
    </w:p>
    <w:p w:rsidR="00BD5820" w:rsidRDefault="00F64314">
      <w:pPr>
        <w:pStyle w:val="affa"/>
        <w:ind w:firstLine="480"/>
      </w:pPr>
      <w:r>
        <w:t>（</w:t>
      </w:r>
      <w:r>
        <w:t>3</w:t>
      </w:r>
      <w:r>
        <w:t>）限制开发区域（重点生态功能区）</w:t>
      </w:r>
    </w:p>
    <w:p w:rsidR="00BD5820" w:rsidRDefault="00F64314">
      <w:pPr>
        <w:pStyle w:val="affa"/>
        <w:ind w:firstLine="480"/>
      </w:pPr>
      <w:r>
        <w:t>限制开发的重点生态功能区是指生态系统十分重要，关系较大范围区域的生态安全，目前生态系统有所退化，需要在国土空间开发中限制进行大规模高强度工业化城镇化开发，以保持并提高生态产品供给能力的区域。</w:t>
      </w:r>
    </w:p>
    <w:p w:rsidR="00BD5820" w:rsidRDefault="00F64314">
      <w:pPr>
        <w:pStyle w:val="affa"/>
        <w:ind w:firstLine="480"/>
      </w:pPr>
      <w:r>
        <w:t>重点生态功能区共</w:t>
      </w:r>
      <w:r>
        <w:t>57</w:t>
      </w:r>
      <w:r>
        <w:t>个县（市），总面积</w:t>
      </w:r>
      <w:r>
        <w:t>31.8</w:t>
      </w:r>
      <w:r>
        <w:t>万平方公里，扣除其中省级重点生态功能区中重点开发的县城镇及重点镇规划面积，占全省幅员面积</w:t>
      </w:r>
      <w:r>
        <w:t>65.4%</w:t>
      </w:r>
      <w:r>
        <w:t>；分为国家层面的重点生态功能区和省级层面的重点生态功能区。</w:t>
      </w:r>
    </w:p>
    <w:p w:rsidR="00BD5820" w:rsidRDefault="00F64314">
      <w:pPr>
        <w:pStyle w:val="affa"/>
        <w:ind w:firstLine="480"/>
      </w:pPr>
      <w:r>
        <w:t>国家青藏高原生态屏障和长江上游生态屏障的重要组成部分，国家重要的水源涵养、水土保持与生物多样性保护区域，全省提供生态产品的主体区域与生态财富富集区，保障国家生态安全的重要区域，生态文明建设、人与自然和谐相处的示范区。</w:t>
      </w:r>
    </w:p>
    <w:p w:rsidR="00BD5820" w:rsidRDefault="00F64314">
      <w:pPr>
        <w:pStyle w:val="affa"/>
        <w:ind w:firstLine="480"/>
      </w:pPr>
      <w:r>
        <w:lastRenderedPageBreak/>
        <w:t>（</w:t>
      </w:r>
      <w:r>
        <w:t>4</w:t>
      </w:r>
      <w:r>
        <w:t>）禁止开发区域</w:t>
      </w:r>
    </w:p>
    <w:p w:rsidR="00BD5820" w:rsidRDefault="00F64314">
      <w:pPr>
        <w:pStyle w:val="affa"/>
        <w:ind w:firstLine="480"/>
      </w:pPr>
      <w:r>
        <w:t>禁止开发区域是指依法设立的各级各类自然文化资源保护区域，以及其他禁止进行工业化城镇化开发、需要特殊保护的重点生态功能区。主要包括国家级自然保护区、世界文化自然遗产、国家级风景名胜区、国家森林公园、国家重要湿地、国家湿地公园和国家地质公园；省级及以下各级各类自然文化资源保护区域、重要饮用水水源地以及其他省级人民政府根据需要确定的禁止开发区域。</w:t>
      </w:r>
    </w:p>
    <w:p w:rsidR="00BD5820" w:rsidRDefault="00F64314">
      <w:pPr>
        <w:pStyle w:val="affa"/>
        <w:ind w:firstLine="480"/>
      </w:pPr>
      <w:r>
        <w:t>该区域是四川省自然文化资源的重要区域，森林、湿地生态、生物多样性和珍稀动植物基因资源保护地，重要水土保持区域与重要饮用水水源保护地。</w:t>
      </w:r>
    </w:p>
    <w:p w:rsidR="00BD5820" w:rsidRDefault="00F64314">
      <w:pPr>
        <w:pStyle w:val="affa"/>
        <w:ind w:firstLine="480"/>
      </w:pPr>
      <w:r>
        <w:t>禁止开发区域要严格控制人为因素对自然生态的干扰，严禁不符合主体功能区定位的开发活动，引导人口逐步有序转移，实现污染物</w:t>
      </w:r>
      <w:r>
        <w:t>“</w:t>
      </w:r>
      <w:r>
        <w:t>零排放</w:t>
      </w:r>
      <w:r>
        <w:t>”</w:t>
      </w:r>
      <w:r>
        <w:t>，提高环境质量，提高可持续发展能力。自然保护区、文化自然遗产、风景名胜区、森林公园、湿地公园、地质公园，要逐步达到各类区域规定执行标准。</w:t>
      </w:r>
    </w:p>
    <w:p w:rsidR="00BD5820" w:rsidRDefault="00F64314">
      <w:pPr>
        <w:pStyle w:val="affa"/>
        <w:ind w:firstLine="482"/>
        <w:rPr>
          <w:b/>
          <w:bCs/>
        </w:rPr>
      </w:pPr>
      <w:r>
        <w:rPr>
          <w:b/>
          <w:bCs/>
        </w:rPr>
        <w:t>2</w:t>
      </w:r>
      <w:r>
        <w:rPr>
          <w:b/>
          <w:bCs/>
        </w:rPr>
        <w:t>、与四川省主体功能区规划的符合性分析</w:t>
      </w:r>
    </w:p>
    <w:p w:rsidR="00BD5820" w:rsidRDefault="00F64314">
      <w:pPr>
        <w:pStyle w:val="affa"/>
        <w:ind w:firstLine="480"/>
      </w:pPr>
      <w:r>
        <w:t>根据《四川省人民政府关于印发四川省主体功能区规划的通知》（川府发〔</w:t>
      </w:r>
      <w:r>
        <w:t>2013</w:t>
      </w:r>
      <w:r>
        <w:t>〕</w:t>
      </w:r>
      <w:r>
        <w:t>16</w:t>
      </w:r>
      <w:r>
        <w:t>号），本项目所在地属国家重点开发区域，不属于重点生态功能区，该地区无国家级自然保护区、世界文化遗产、国家风景名胜区、国家森林公园和国家地质公园。项目不在禁止开发区，不在重点保护区内，符合《四川省主体功能区规划》要求。</w:t>
      </w:r>
    </w:p>
    <w:p w:rsidR="00BD5820" w:rsidRDefault="00F64314">
      <w:pPr>
        <w:keepNext/>
        <w:keepLines/>
        <w:ind w:firstLineChars="0" w:firstLine="0"/>
        <w:outlineLvl w:val="2"/>
        <w:rPr>
          <w:rFonts w:ascii="Times New Roman" w:cs="Times New Roman"/>
          <w:b/>
          <w:szCs w:val="32"/>
        </w:rPr>
      </w:pPr>
      <w:r>
        <w:rPr>
          <w:rFonts w:ascii="Times New Roman" w:cs="Times New Roman"/>
          <w:b/>
          <w:szCs w:val="32"/>
        </w:rPr>
        <w:t>1.8.</w:t>
      </w:r>
      <w:r>
        <w:rPr>
          <w:rFonts w:ascii="Times New Roman" w:cs="Times New Roman" w:hint="eastAsia"/>
          <w:b/>
          <w:szCs w:val="32"/>
        </w:rPr>
        <w:t>4</w:t>
      </w:r>
      <w:r>
        <w:rPr>
          <w:rFonts w:ascii="Times New Roman" w:cs="Times New Roman"/>
          <w:b/>
          <w:szCs w:val="32"/>
        </w:rPr>
        <w:t xml:space="preserve"> </w:t>
      </w:r>
      <w:r>
        <w:rPr>
          <w:rFonts w:ascii="Times New Roman" w:cs="Times New Roman"/>
          <w:b/>
          <w:szCs w:val="32"/>
        </w:rPr>
        <w:t>与</w:t>
      </w:r>
      <w:r>
        <w:rPr>
          <w:rFonts w:ascii="Times New Roman" w:cs="Times New Roman" w:hint="eastAsia"/>
          <w:b/>
          <w:szCs w:val="32"/>
        </w:rPr>
        <w:t>《四川省嘉陵江流域生态环境保护条例》符合性分析</w:t>
      </w:r>
    </w:p>
    <w:p w:rsidR="00BD5820" w:rsidRDefault="00F64314">
      <w:pPr>
        <w:pStyle w:val="affa"/>
        <w:ind w:firstLine="480"/>
        <w:rPr>
          <w:snapToGrid w:val="0"/>
        </w:rPr>
      </w:pPr>
      <w:r>
        <w:rPr>
          <w:snapToGrid w:val="0"/>
        </w:rPr>
        <w:t>本次评价根据《四川省嘉陵江流域生态环境保护条例》（</w:t>
      </w:r>
      <w:r>
        <w:rPr>
          <w:snapToGrid w:val="0"/>
        </w:rPr>
        <w:t>2021</w:t>
      </w:r>
      <w:r>
        <w:rPr>
          <w:snapToGrid w:val="0"/>
        </w:rPr>
        <w:t>年</w:t>
      </w:r>
      <w:r>
        <w:rPr>
          <w:snapToGrid w:val="0"/>
        </w:rPr>
        <w:t>11</w:t>
      </w:r>
      <w:r>
        <w:rPr>
          <w:snapToGrid w:val="0"/>
        </w:rPr>
        <w:t>月</w:t>
      </w:r>
      <w:r>
        <w:rPr>
          <w:snapToGrid w:val="0"/>
        </w:rPr>
        <w:t>25</w:t>
      </w:r>
      <w:r>
        <w:rPr>
          <w:snapToGrid w:val="0"/>
        </w:rPr>
        <w:t>日四川省第十三届人民代表大会常务委员会第三十一次会议通过）要求进行了合理性分析，具体如下。</w:t>
      </w:r>
    </w:p>
    <w:p w:rsidR="00BD5820" w:rsidRDefault="00F64314">
      <w:pPr>
        <w:pStyle w:val="10"/>
        <w:rPr>
          <w:rFonts w:cs="Times New Roman"/>
        </w:rPr>
      </w:pPr>
      <w:r>
        <w:rPr>
          <w:rFonts w:cs="Times New Roman"/>
        </w:rPr>
        <w:t>表</w:t>
      </w:r>
      <w:r>
        <w:rPr>
          <w:rFonts w:cs="Times New Roman"/>
        </w:rPr>
        <w:t>1.8-</w:t>
      </w:r>
      <w:r>
        <w:rPr>
          <w:rFonts w:cs="Times New Roman" w:hint="eastAsia"/>
        </w:rPr>
        <w:t>2</w:t>
      </w:r>
      <w:r>
        <w:rPr>
          <w:rFonts w:cs="Times New Roman"/>
        </w:rPr>
        <w:t xml:space="preserve">  </w:t>
      </w:r>
      <w:r>
        <w:rPr>
          <w:rFonts w:cs="Times New Roman"/>
        </w:rPr>
        <w:t>项目与《四川省嘉陵江流域生态环境保护条例》符合性分析</w:t>
      </w:r>
    </w:p>
    <w:tbl>
      <w:tblPr>
        <w:tblW w:w="8784" w:type="dxa"/>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tblPr>
      <w:tblGrid>
        <w:gridCol w:w="563"/>
        <w:gridCol w:w="3543"/>
        <w:gridCol w:w="3930"/>
        <w:gridCol w:w="748"/>
      </w:tblGrid>
      <w:tr w:rsidR="00BD5820">
        <w:trPr>
          <w:trHeight w:val="95"/>
          <w:tblHeader/>
          <w:jc w:val="center"/>
        </w:trPr>
        <w:tc>
          <w:tcPr>
            <w:tcW w:w="320" w:type="pct"/>
            <w:vAlign w:val="center"/>
          </w:tcPr>
          <w:p w:rsidR="00BD5820" w:rsidRDefault="00F64314">
            <w:pPr>
              <w:spacing w:line="240" w:lineRule="auto"/>
              <w:ind w:firstLineChars="0" w:firstLine="0"/>
              <w:jc w:val="center"/>
              <w:rPr>
                <w:rFonts w:ascii="Times New Roman" w:cs="Times New Roman"/>
                <w:b/>
                <w:bCs/>
                <w:sz w:val="21"/>
                <w:szCs w:val="21"/>
              </w:rPr>
            </w:pPr>
            <w:r>
              <w:rPr>
                <w:rFonts w:ascii="Times New Roman" w:cs="Times New Roman"/>
                <w:b/>
                <w:bCs/>
                <w:sz w:val="21"/>
                <w:szCs w:val="21"/>
              </w:rPr>
              <w:t>序号</w:t>
            </w:r>
          </w:p>
        </w:tc>
        <w:tc>
          <w:tcPr>
            <w:tcW w:w="2017" w:type="pct"/>
            <w:vAlign w:val="center"/>
          </w:tcPr>
          <w:p w:rsidR="00BD5820" w:rsidRDefault="00F64314">
            <w:pPr>
              <w:spacing w:line="240" w:lineRule="auto"/>
              <w:ind w:firstLineChars="0" w:firstLine="0"/>
              <w:jc w:val="center"/>
              <w:rPr>
                <w:rFonts w:ascii="Times New Roman" w:cs="Times New Roman"/>
                <w:b/>
                <w:bCs/>
                <w:sz w:val="21"/>
                <w:szCs w:val="21"/>
              </w:rPr>
            </w:pPr>
            <w:r>
              <w:rPr>
                <w:rFonts w:ascii="Times New Roman" w:cs="Times New Roman"/>
                <w:b/>
                <w:bCs/>
                <w:sz w:val="21"/>
                <w:szCs w:val="21"/>
              </w:rPr>
              <w:t>条例管理要求</w:t>
            </w:r>
          </w:p>
        </w:tc>
        <w:tc>
          <w:tcPr>
            <w:tcW w:w="2237" w:type="pct"/>
            <w:vAlign w:val="center"/>
          </w:tcPr>
          <w:p w:rsidR="00BD5820" w:rsidRDefault="00F64314">
            <w:pPr>
              <w:spacing w:line="240" w:lineRule="auto"/>
              <w:ind w:firstLineChars="0" w:firstLine="0"/>
              <w:jc w:val="center"/>
              <w:rPr>
                <w:rFonts w:ascii="Times New Roman" w:cs="Times New Roman"/>
                <w:b/>
                <w:bCs/>
                <w:sz w:val="21"/>
                <w:szCs w:val="21"/>
              </w:rPr>
            </w:pPr>
            <w:r>
              <w:rPr>
                <w:rFonts w:ascii="Times New Roman" w:cs="Times New Roman"/>
                <w:b/>
                <w:bCs/>
                <w:sz w:val="21"/>
                <w:szCs w:val="21"/>
              </w:rPr>
              <w:t>项目内容</w:t>
            </w:r>
          </w:p>
        </w:tc>
        <w:tc>
          <w:tcPr>
            <w:tcW w:w="426" w:type="pct"/>
            <w:vAlign w:val="center"/>
          </w:tcPr>
          <w:p w:rsidR="00BD5820" w:rsidRDefault="00F64314">
            <w:pPr>
              <w:spacing w:line="240" w:lineRule="auto"/>
              <w:ind w:firstLineChars="0" w:firstLine="0"/>
              <w:jc w:val="center"/>
              <w:rPr>
                <w:rFonts w:ascii="Times New Roman" w:cs="Times New Roman"/>
                <w:b/>
                <w:bCs/>
                <w:sz w:val="21"/>
                <w:szCs w:val="21"/>
              </w:rPr>
            </w:pPr>
            <w:r>
              <w:rPr>
                <w:rFonts w:ascii="Times New Roman" w:cs="Times New Roman"/>
                <w:b/>
                <w:bCs/>
                <w:sz w:val="21"/>
                <w:szCs w:val="21"/>
              </w:rPr>
              <w:t>符合性</w:t>
            </w:r>
          </w:p>
        </w:tc>
      </w:tr>
      <w:tr w:rsidR="00BD5820">
        <w:trPr>
          <w:trHeight w:val="238"/>
          <w:jc w:val="center"/>
        </w:trPr>
        <w:tc>
          <w:tcPr>
            <w:tcW w:w="320" w:type="pct"/>
            <w:vAlign w:val="center"/>
          </w:tcPr>
          <w:p w:rsidR="00BD5820" w:rsidRDefault="00F64314">
            <w:pPr>
              <w:pStyle w:val="1L"/>
            </w:pPr>
            <w:r>
              <w:t>第十七条</w:t>
            </w:r>
          </w:p>
        </w:tc>
        <w:tc>
          <w:tcPr>
            <w:tcW w:w="2017" w:type="pct"/>
            <w:vAlign w:val="center"/>
          </w:tcPr>
          <w:p w:rsidR="00BD5820" w:rsidRDefault="00F64314">
            <w:pPr>
              <w:pStyle w:val="1L"/>
            </w:pPr>
            <w:r>
              <w:t>编制嘉陵江流域生态环境保护规划应当遵守生态保护红线、环境质量底线、资源利用上线和生态环境准入清单，符合国土空间规划、生态环境保护规划、岸线保护和开发利用规划等相关规划。编制其他有关专项规划或者方案，应当与国土空间规划和流域生态环境保护规划相衔接。</w:t>
            </w:r>
          </w:p>
          <w:p w:rsidR="00BD5820" w:rsidRDefault="00F64314">
            <w:pPr>
              <w:pStyle w:val="1L"/>
            </w:pPr>
            <w:r>
              <w:t>禁止在嘉陵江干支流岸线一公里范围内新建、扩建化工园区和化工项目。</w:t>
            </w:r>
          </w:p>
        </w:tc>
        <w:tc>
          <w:tcPr>
            <w:tcW w:w="2237" w:type="pct"/>
            <w:vAlign w:val="center"/>
          </w:tcPr>
          <w:p w:rsidR="00BD5820" w:rsidRDefault="00F64314">
            <w:pPr>
              <w:pStyle w:val="1L"/>
            </w:pPr>
            <w:r>
              <w:t>本项目为天然气</w:t>
            </w:r>
            <w:r>
              <w:rPr>
                <w:rFonts w:hint="eastAsia"/>
              </w:rPr>
              <w:t>湿气增压和</w:t>
            </w:r>
            <w:r>
              <w:t>内部集输工程，不属于禁建项目。</w:t>
            </w:r>
          </w:p>
        </w:tc>
        <w:tc>
          <w:tcPr>
            <w:tcW w:w="426" w:type="pct"/>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sz w:val="21"/>
                <w:szCs w:val="21"/>
              </w:rPr>
              <w:t>符合</w:t>
            </w:r>
          </w:p>
        </w:tc>
      </w:tr>
      <w:tr w:rsidR="00BD5820">
        <w:trPr>
          <w:trHeight w:val="238"/>
          <w:jc w:val="center"/>
        </w:trPr>
        <w:tc>
          <w:tcPr>
            <w:tcW w:w="320" w:type="pct"/>
            <w:vAlign w:val="center"/>
          </w:tcPr>
          <w:p w:rsidR="00BD5820" w:rsidRDefault="00F64314">
            <w:pPr>
              <w:pStyle w:val="1L"/>
            </w:pPr>
            <w:r>
              <w:lastRenderedPageBreak/>
              <w:t>第二十一条</w:t>
            </w:r>
          </w:p>
        </w:tc>
        <w:tc>
          <w:tcPr>
            <w:tcW w:w="2017" w:type="pct"/>
            <w:vAlign w:val="center"/>
          </w:tcPr>
          <w:p w:rsidR="00BD5820" w:rsidRDefault="00F64314">
            <w:pPr>
              <w:pStyle w:val="1L"/>
            </w:pPr>
            <w:r>
              <w:t>排污单位排放污染物不得超过国家和省污染物排放标准，不得超过重点水污染物排放总量控制指标。</w:t>
            </w:r>
          </w:p>
        </w:tc>
        <w:tc>
          <w:tcPr>
            <w:tcW w:w="2237" w:type="pct"/>
            <w:vAlign w:val="center"/>
          </w:tcPr>
          <w:p w:rsidR="00BD5820" w:rsidRDefault="00F64314">
            <w:pPr>
              <w:pStyle w:val="1L"/>
            </w:pPr>
            <w:r>
              <w:t>本项目施工期</w:t>
            </w:r>
            <w:r>
              <w:rPr>
                <w:rFonts w:hint="eastAsia"/>
              </w:rPr>
              <w:t>站场</w:t>
            </w:r>
            <w:r>
              <w:rPr>
                <w:spacing w:val="-8"/>
                <w:szCs w:val="21"/>
              </w:rPr>
              <w:t>施工</w:t>
            </w:r>
            <w:r>
              <w:rPr>
                <w:rFonts w:hint="eastAsia"/>
                <w:spacing w:val="-8"/>
                <w:szCs w:val="21"/>
              </w:rPr>
              <w:t>入厕生活污水依托</w:t>
            </w:r>
            <w:r>
              <w:rPr>
                <w:spacing w:val="-8"/>
                <w:szCs w:val="21"/>
              </w:rPr>
              <w:t>经生态环保厕所收集处理</w:t>
            </w:r>
            <w:r>
              <w:t>后，用作周边农肥，不外排</w:t>
            </w:r>
            <w:r>
              <w:rPr>
                <w:rFonts w:hint="eastAsia"/>
              </w:rPr>
              <w:t>；员工洗澡、食堂废水经单独收集后拉运至普光镇场镇污水处理厂处理</w:t>
            </w:r>
            <w:r>
              <w:t>；</w:t>
            </w:r>
            <w:r>
              <w:rPr>
                <w:rFonts w:hint="eastAsia"/>
              </w:rPr>
              <w:t>施工机械、车辆清洗废水经沉淀池沉淀后循环使用，不外排；清管试压废水经沉淀池沉淀后回用作绿化用水</w:t>
            </w:r>
            <w:r>
              <w:t>。</w:t>
            </w:r>
          </w:p>
          <w:p w:rsidR="00BD5820" w:rsidRDefault="00F64314">
            <w:pPr>
              <w:pStyle w:val="1L"/>
            </w:pPr>
            <w:r>
              <w:t>本项目运营期产生的气田水</w:t>
            </w:r>
            <w:r>
              <w:rPr>
                <w:rFonts w:hint="eastAsia"/>
              </w:rPr>
              <w:t>分别经普光</w:t>
            </w:r>
            <w:r>
              <w:rPr>
                <w:rFonts w:hint="eastAsia"/>
              </w:rPr>
              <w:t>3#</w:t>
            </w:r>
            <w:r>
              <w:rPr>
                <w:rFonts w:hint="eastAsia"/>
              </w:rPr>
              <w:t>水处理站、</w:t>
            </w:r>
            <w:r>
              <w:rPr>
                <w:rFonts w:hint="eastAsia"/>
              </w:rPr>
              <w:t>1#</w:t>
            </w:r>
            <w:r>
              <w:rPr>
                <w:rFonts w:hint="eastAsia"/>
              </w:rPr>
              <w:t>污水处理站集中处理，水处理采用新建预处理流程，满足压裂液配制要求，剩余采出水然后进入深度水处理站处理后回用</w:t>
            </w:r>
            <w:r>
              <w:t>，不外排。</w:t>
            </w:r>
            <w:r>
              <w:rPr>
                <w:rFonts w:hint="eastAsia"/>
              </w:rPr>
              <w:t>本项目</w:t>
            </w:r>
            <w:r>
              <w:t>不新增定员，</w:t>
            </w:r>
            <w:r>
              <w:rPr>
                <w:rFonts w:hint="eastAsia"/>
              </w:rPr>
              <w:t>运营期</w:t>
            </w:r>
            <w:r>
              <w:t>不涉及生活</w:t>
            </w:r>
            <w:r>
              <w:rPr>
                <w:rFonts w:hint="eastAsia"/>
              </w:rPr>
              <w:t>污水</w:t>
            </w:r>
            <w:r>
              <w:t>。</w:t>
            </w:r>
          </w:p>
        </w:tc>
        <w:tc>
          <w:tcPr>
            <w:tcW w:w="426" w:type="pct"/>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sz w:val="21"/>
                <w:szCs w:val="21"/>
              </w:rPr>
              <w:t>符合</w:t>
            </w:r>
          </w:p>
        </w:tc>
      </w:tr>
    </w:tbl>
    <w:p w:rsidR="00BD5820" w:rsidRDefault="00F64314">
      <w:pPr>
        <w:pStyle w:val="affa"/>
        <w:ind w:firstLine="480"/>
      </w:pPr>
      <w:r>
        <w:t>因此，</w:t>
      </w:r>
      <w:r>
        <w:rPr>
          <w:rFonts w:hint="eastAsia"/>
        </w:rPr>
        <w:t>本项目</w:t>
      </w:r>
      <w:r>
        <w:t>的建设符合《四川省嘉陵江流域生态环境保护条例》要求。</w:t>
      </w:r>
    </w:p>
    <w:p w:rsidR="00BD5820" w:rsidRDefault="00F64314">
      <w:pPr>
        <w:keepNext/>
        <w:keepLines/>
        <w:ind w:firstLineChars="0" w:firstLine="0"/>
        <w:outlineLvl w:val="2"/>
        <w:rPr>
          <w:rFonts w:ascii="Times New Roman" w:cs="Times New Roman"/>
          <w:b/>
          <w:szCs w:val="32"/>
        </w:rPr>
      </w:pPr>
      <w:r>
        <w:rPr>
          <w:rFonts w:ascii="Times New Roman" w:cs="Times New Roman"/>
          <w:b/>
          <w:szCs w:val="32"/>
        </w:rPr>
        <w:t>1.8.</w:t>
      </w:r>
      <w:r>
        <w:rPr>
          <w:rFonts w:ascii="Times New Roman" w:cs="Times New Roman" w:hint="eastAsia"/>
          <w:b/>
          <w:szCs w:val="32"/>
        </w:rPr>
        <w:t>5</w:t>
      </w:r>
      <w:r>
        <w:rPr>
          <w:rFonts w:ascii="Times New Roman" w:cs="Times New Roman"/>
          <w:b/>
          <w:szCs w:val="32"/>
        </w:rPr>
        <w:t xml:space="preserve"> </w:t>
      </w:r>
      <w:r>
        <w:rPr>
          <w:rFonts w:ascii="Times New Roman" w:cs="Times New Roman"/>
          <w:b/>
          <w:szCs w:val="32"/>
        </w:rPr>
        <w:t>与</w:t>
      </w:r>
      <w:r>
        <w:rPr>
          <w:rFonts w:ascii="Times New Roman" w:cs="Times New Roman" w:hint="eastAsia"/>
          <w:b/>
          <w:szCs w:val="32"/>
        </w:rPr>
        <w:t>《四川省、重庆市长江经济带发展负面清单实施细则（试行，</w:t>
      </w:r>
      <w:r>
        <w:rPr>
          <w:rFonts w:ascii="Times New Roman" w:cs="Times New Roman" w:hint="eastAsia"/>
          <w:b/>
          <w:szCs w:val="32"/>
        </w:rPr>
        <w:t>2022</w:t>
      </w:r>
      <w:r>
        <w:rPr>
          <w:rFonts w:ascii="Times New Roman" w:cs="Times New Roman" w:hint="eastAsia"/>
          <w:b/>
          <w:szCs w:val="32"/>
        </w:rPr>
        <w:t>年版）》</w:t>
      </w:r>
      <w:r>
        <w:rPr>
          <w:rFonts w:ascii="Times New Roman" w:cs="Times New Roman"/>
          <w:b/>
          <w:szCs w:val="32"/>
        </w:rPr>
        <w:t>符合性</w:t>
      </w:r>
    </w:p>
    <w:p w:rsidR="00BD5820" w:rsidRDefault="00F64314">
      <w:pPr>
        <w:pStyle w:val="affa"/>
        <w:ind w:firstLine="480"/>
      </w:pPr>
      <w:r>
        <w:t>本项目与</w:t>
      </w:r>
      <w:r>
        <w:rPr>
          <w:rFonts w:hint="eastAsia"/>
        </w:rPr>
        <w:t>《四川省、重庆市长江经济带发展负面清单实施细则（试行，</w:t>
      </w:r>
      <w:r>
        <w:rPr>
          <w:rFonts w:hint="eastAsia"/>
        </w:rPr>
        <w:t>2022</w:t>
      </w:r>
      <w:r>
        <w:rPr>
          <w:rFonts w:hint="eastAsia"/>
        </w:rPr>
        <w:t>年版）》</w:t>
      </w:r>
      <w:r>
        <w:t>的符合性分析如下：</w:t>
      </w:r>
    </w:p>
    <w:p w:rsidR="00BD5820" w:rsidRDefault="00F64314">
      <w:pPr>
        <w:pStyle w:val="10"/>
        <w:rPr>
          <w:rFonts w:cs="Times New Roman"/>
        </w:rPr>
      </w:pPr>
      <w:r>
        <w:rPr>
          <w:rFonts w:cs="Times New Roman"/>
        </w:rPr>
        <w:t>表</w:t>
      </w:r>
      <w:r>
        <w:rPr>
          <w:rFonts w:cs="Times New Roman"/>
        </w:rPr>
        <w:t>1.8-</w:t>
      </w:r>
      <w:r>
        <w:rPr>
          <w:rFonts w:cs="Times New Roman" w:hint="eastAsia"/>
        </w:rPr>
        <w:t>3</w:t>
      </w:r>
      <w:r>
        <w:rPr>
          <w:rFonts w:cs="Times New Roman"/>
        </w:rPr>
        <w:t xml:space="preserve">  </w:t>
      </w:r>
      <w:r>
        <w:rPr>
          <w:rFonts w:cs="Times New Roman"/>
        </w:rPr>
        <w:t>与</w:t>
      </w:r>
      <w:r>
        <w:rPr>
          <w:rFonts w:cs="Times New Roman" w:hint="eastAsia"/>
        </w:rPr>
        <w:t>《四川省、重庆市长江经济带发展负面清单实施细则（试行，</w:t>
      </w:r>
      <w:r>
        <w:rPr>
          <w:rFonts w:cs="Times New Roman" w:hint="eastAsia"/>
        </w:rPr>
        <w:t>2022</w:t>
      </w:r>
      <w:r>
        <w:rPr>
          <w:rFonts w:cs="Times New Roman" w:hint="eastAsia"/>
        </w:rPr>
        <w:t>年版）》</w:t>
      </w:r>
      <w:r>
        <w:rPr>
          <w:rFonts w:cs="Times New Roman"/>
        </w:rPr>
        <w:t>符合性分析</w:t>
      </w:r>
    </w:p>
    <w:tbl>
      <w:tblPr>
        <w:tblW w:w="8785" w:type="dxa"/>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tblPr>
      <w:tblGrid>
        <w:gridCol w:w="584"/>
        <w:gridCol w:w="5535"/>
        <w:gridCol w:w="1875"/>
        <w:gridCol w:w="791"/>
      </w:tblGrid>
      <w:tr w:rsidR="00BD5820">
        <w:trPr>
          <w:tblHeader/>
          <w:jc w:val="center"/>
        </w:trPr>
        <w:tc>
          <w:tcPr>
            <w:tcW w:w="584" w:type="dxa"/>
            <w:vAlign w:val="center"/>
          </w:tcPr>
          <w:p w:rsidR="00BD5820" w:rsidRDefault="00F64314">
            <w:pPr>
              <w:autoSpaceDE w:val="0"/>
              <w:autoSpaceDN w:val="0"/>
              <w:spacing w:line="240" w:lineRule="auto"/>
              <w:ind w:firstLineChars="0" w:firstLine="0"/>
              <w:jc w:val="center"/>
              <w:rPr>
                <w:rFonts w:ascii="Times New Roman" w:cs="Times New Roman"/>
                <w:b/>
                <w:bCs/>
                <w:sz w:val="21"/>
                <w:szCs w:val="21"/>
              </w:rPr>
            </w:pPr>
            <w:r>
              <w:rPr>
                <w:rFonts w:ascii="Times New Roman" w:cs="Times New Roman"/>
                <w:b/>
                <w:bCs/>
                <w:sz w:val="21"/>
                <w:szCs w:val="21"/>
              </w:rPr>
              <w:t>序号</w:t>
            </w:r>
          </w:p>
        </w:tc>
        <w:tc>
          <w:tcPr>
            <w:tcW w:w="5535" w:type="dxa"/>
            <w:vAlign w:val="center"/>
          </w:tcPr>
          <w:p w:rsidR="00BD5820" w:rsidRDefault="00F64314">
            <w:pPr>
              <w:autoSpaceDE w:val="0"/>
              <w:autoSpaceDN w:val="0"/>
              <w:spacing w:line="240" w:lineRule="auto"/>
              <w:ind w:firstLineChars="0" w:firstLine="0"/>
              <w:jc w:val="center"/>
              <w:rPr>
                <w:rFonts w:ascii="Times New Roman" w:cs="Times New Roman"/>
                <w:b/>
                <w:bCs/>
                <w:sz w:val="21"/>
                <w:szCs w:val="21"/>
              </w:rPr>
            </w:pPr>
            <w:r>
              <w:rPr>
                <w:rFonts w:ascii="Times New Roman" w:cs="Times New Roman"/>
                <w:b/>
                <w:bCs/>
                <w:sz w:val="21"/>
                <w:szCs w:val="21"/>
              </w:rPr>
              <w:t>污染防治技术政策要求</w:t>
            </w:r>
          </w:p>
        </w:tc>
        <w:tc>
          <w:tcPr>
            <w:tcW w:w="1875" w:type="dxa"/>
            <w:vAlign w:val="center"/>
          </w:tcPr>
          <w:p w:rsidR="00BD5820" w:rsidRDefault="00F64314">
            <w:pPr>
              <w:autoSpaceDE w:val="0"/>
              <w:autoSpaceDN w:val="0"/>
              <w:spacing w:line="240" w:lineRule="auto"/>
              <w:ind w:firstLineChars="0" w:firstLine="0"/>
              <w:jc w:val="center"/>
              <w:rPr>
                <w:rFonts w:ascii="Times New Roman" w:cs="Times New Roman"/>
                <w:b/>
                <w:bCs/>
                <w:sz w:val="21"/>
                <w:szCs w:val="21"/>
              </w:rPr>
            </w:pPr>
            <w:r>
              <w:rPr>
                <w:rFonts w:ascii="Times New Roman" w:cs="Times New Roman" w:hint="eastAsia"/>
                <w:b/>
                <w:bCs/>
                <w:sz w:val="21"/>
                <w:szCs w:val="21"/>
              </w:rPr>
              <w:t>本项目</w:t>
            </w:r>
            <w:r>
              <w:rPr>
                <w:rFonts w:ascii="Times New Roman" w:cs="Times New Roman"/>
                <w:b/>
                <w:bCs/>
                <w:sz w:val="21"/>
                <w:szCs w:val="21"/>
              </w:rPr>
              <w:t>内容</w:t>
            </w:r>
          </w:p>
        </w:tc>
        <w:tc>
          <w:tcPr>
            <w:tcW w:w="791" w:type="dxa"/>
            <w:vAlign w:val="center"/>
          </w:tcPr>
          <w:p w:rsidR="00BD5820" w:rsidRDefault="00F64314">
            <w:pPr>
              <w:autoSpaceDE w:val="0"/>
              <w:autoSpaceDN w:val="0"/>
              <w:spacing w:line="240" w:lineRule="auto"/>
              <w:ind w:firstLineChars="0" w:firstLine="0"/>
              <w:jc w:val="center"/>
              <w:rPr>
                <w:rFonts w:ascii="Times New Roman" w:cs="Times New Roman"/>
                <w:b/>
                <w:bCs/>
                <w:sz w:val="21"/>
                <w:szCs w:val="21"/>
              </w:rPr>
            </w:pPr>
            <w:r>
              <w:rPr>
                <w:rFonts w:ascii="Times New Roman" w:cs="Times New Roman"/>
                <w:b/>
                <w:bCs/>
                <w:sz w:val="21"/>
                <w:szCs w:val="21"/>
              </w:rPr>
              <w:t>符合性分析</w:t>
            </w:r>
          </w:p>
        </w:tc>
      </w:tr>
      <w:tr w:rsidR="00BD5820">
        <w:trPr>
          <w:jc w:val="center"/>
        </w:trPr>
        <w:tc>
          <w:tcPr>
            <w:tcW w:w="584"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sz w:val="21"/>
                <w:szCs w:val="21"/>
              </w:rPr>
              <w:t>第</w:t>
            </w:r>
            <w:r>
              <w:rPr>
                <w:rFonts w:ascii="Times New Roman" w:cs="Times New Roman" w:hint="eastAsia"/>
                <w:sz w:val="21"/>
                <w:szCs w:val="21"/>
              </w:rPr>
              <w:t>五</w:t>
            </w:r>
            <w:r>
              <w:rPr>
                <w:rFonts w:ascii="Times New Roman" w:cs="Times New Roman"/>
                <w:sz w:val="21"/>
                <w:szCs w:val="21"/>
              </w:rPr>
              <w:t>条</w:t>
            </w:r>
          </w:p>
        </w:tc>
        <w:tc>
          <w:tcPr>
            <w:tcW w:w="5535"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hint="eastAsia"/>
                <w:sz w:val="21"/>
                <w:szCs w:val="21"/>
              </w:rPr>
              <w:t>禁止新建、改建和扩建不符合《全国内河航道与港</w:t>
            </w:r>
          </w:p>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hint="eastAsia"/>
                <w:sz w:val="21"/>
                <w:szCs w:val="21"/>
              </w:rPr>
              <w:t>口布局规划》等全国港口规划，以及《四川省内河水运发展规划》《泸州—宜宾—乐山港口群布局规划》《重庆港总体规划（</w:t>
            </w:r>
            <w:r>
              <w:rPr>
                <w:rFonts w:ascii="Times New Roman" w:cs="Times New Roman" w:hint="eastAsia"/>
                <w:sz w:val="21"/>
                <w:szCs w:val="21"/>
              </w:rPr>
              <w:t>2035</w:t>
            </w:r>
            <w:r>
              <w:rPr>
                <w:rFonts w:ascii="Times New Roman" w:cs="Times New Roman" w:hint="eastAsia"/>
                <w:sz w:val="21"/>
                <w:szCs w:val="21"/>
              </w:rPr>
              <w:t>年）》等省级港口布局规划及市级港口总体规划的码头项目</w:t>
            </w:r>
            <w:r>
              <w:rPr>
                <w:rFonts w:ascii="Times New Roman" w:cs="Times New Roman"/>
                <w:sz w:val="21"/>
                <w:szCs w:val="21"/>
              </w:rPr>
              <w:t>。</w:t>
            </w:r>
          </w:p>
        </w:tc>
        <w:tc>
          <w:tcPr>
            <w:tcW w:w="1875"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hint="eastAsia"/>
                <w:sz w:val="21"/>
                <w:szCs w:val="21"/>
              </w:rPr>
              <w:t>本项目</w:t>
            </w:r>
            <w:r>
              <w:rPr>
                <w:rFonts w:ascii="Times New Roman" w:cs="Times New Roman"/>
                <w:sz w:val="21"/>
                <w:szCs w:val="21"/>
              </w:rPr>
              <w:t>不属于该类项目。</w:t>
            </w:r>
          </w:p>
        </w:tc>
        <w:tc>
          <w:tcPr>
            <w:tcW w:w="791"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sz w:val="21"/>
                <w:szCs w:val="21"/>
              </w:rPr>
              <w:t>符合</w:t>
            </w:r>
          </w:p>
        </w:tc>
      </w:tr>
      <w:tr w:rsidR="00BD5820">
        <w:trPr>
          <w:jc w:val="center"/>
        </w:trPr>
        <w:tc>
          <w:tcPr>
            <w:tcW w:w="584"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sz w:val="21"/>
                <w:szCs w:val="21"/>
              </w:rPr>
              <w:t>第</w:t>
            </w:r>
            <w:r>
              <w:rPr>
                <w:rFonts w:ascii="Times New Roman" w:cs="Times New Roman" w:hint="eastAsia"/>
                <w:sz w:val="21"/>
                <w:szCs w:val="21"/>
              </w:rPr>
              <w:t>六</w:t>
            </w:r>
            <w:r>
              <w:rPr>
                <w:rFonts w:ascii="Times New Roman" w:cs="Times New Roman"/>
                <w:sz w:val="21"/>
                <w:szCs w:val="21"/>
              </w:rPr>
              <w:t>条</w:t>
            </w:r>
          </w:p>
        </w:tc>
        <w:tc>
          <w:tcPr>
            <w:tcW w:w="5535"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hint="eastAsia"/>
                <w:sz w:val="21"/>
                <w:szCs w:val="21"/>
              </w:rPr>
              <w:t>禁止新建、改建和扩建不符合《长江干线过江通道</w:t>
            </w:r>
          </w:p>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hint="eastAsia"/>
                <w:sz w:val="21"/>
                <w:szCs w:val="21"/>
              </w:rPr>
              <w:t>布局规划（</w:t>
            </w:r>
            <w:r>
              <w:rPr>
                <w:rFonts w:ascii="Times New Roman" w:cs="Times New Roman" w:hint="eastAsia"/>
                <w:sz w:val="21"/>
                <w:szCs w:val="21"/>
              </w:rPr>
              <w:t>2020</w:t>
            </w:r>
            <w:r>
              <w:rPr>
                <w:rFonts w:ascii="Times New Roman" w:cs="Times New Roman" w:hint="eastAsia"/>
                <w:sz w:val="21"/>
                <w:szCs w:val="21"/>
              </w:rPr>
              <w:t>—</w:t>
            </w:r>
            <w:r>
              <w:rPr>
                <w:rFonts w:ascii="Times New Roman" w:cs="Times New Roman" w:hint="eastAsia"/>
                <w:sz w:val="21"/>
                <w:szCs w:val="21"/>
              </w:rPr>
              <w:t xml:space="preserve">2035 </w:t>
            </w:r>
            <w:r>
              <w:rPr>
                <w:rFonts w:ascii="Times New Roman" w:cs="Times New Roman" w:hint="eastAsia"/>
                <w:sz w:val="21"/>
                <w:szCs w:val="21"/>
              </w:rPr>
              <w:t>年）》的过长江通道项目（含桥梁、隧道），国家发展改革委同意过长江通道线位调整的除外</w:t>
            </w:r>
            <w:r>
              <w:rPr>
                <w:rFonts w:ascii="Times New Roman" w:cs="Times New Roman"/>
                <w:sz w:val="21"/>
                <w:szCs w:val="21"/>
              </w:rPr>
              <w:t>。</w:t>
            </w:r>
          </w:p>
        </w:tc>
        <w:tc>
          <w:tcPr>
            <w:tcW w:w="1875"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hint="eastAsia"/>
                <w:sz w:val="21"/>
                <w:szCs w:val="21"/>
              </w:rPr>
              <w:t>本项目</w:t>
            </w:r>
            <w:r>
              <w:rPr>
                <w:rFonts w:ascii="Times New Roman" w:cs="Times New Roman"/>
                <w:sz w:val="21"/>
                <w:szCs w:val="21"/>
              </w:rPr>
              <w:t>不属于该类项目。</w:t>
            </w:r>
          </w:p>
        </w:tc>
        <w:tc>
          <w:tcPr>
            <w:tcW w:w="791"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sz w:val="21"/>
                <w:szCs w:val="21"/>
              </w:rPr>
              <w:t>符合</w:t>
            </w:r>
          </w:p>
        </w:tc>
      </w:tr>
      <w:tr w:rsidR="00BD5820">
        <w:trPr>
          <w:jc w:val="center"/>
        </w:trPr>
        <w:tc>
          <w:tcPr>
            <w:tcW w:w="584"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sz w:val="21"/>
                <w:szCs w:val="21"/>
              </w:rPr>
              <w:t>第</w:t>
            </w:r>
            <w:r>
              <w:rPr>
                <w:rFonts w:ascii="Times New Roman" w:cs="Times New Roman" w:hint="eastAsia"/>
                <w:sz w:val="21"/>
                <w:szCs w:val="21"/>
              </w:rPr>
              <w:t>七</w:t>
            </w:r>
            <w:r>
              <w:rPr>
                <w:rFonts w:ascii="Times New Roman" w:cs="Times New Roman"/>
                <w:sz w:val="21"/>
                <w:szCs w:val="21"/>
              </w:rPr>
              <w:t>条</w:t>
            </w:r>
          </w:p>
        </w:tc>
        <w:tc>
          <w:tcPr>
            <w:tcW w:w="5535"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hint="eastAsia"/>
                <w:sz w:val="21"/>
                <w:szCs w:val="21"/>
              </w:rPr>
              <w:t>禁止在自然保护区核心区、缓冲区的岸线和河段范</w:t>
            </w:r>
          </w:p>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hint="eastAsia"/>
                <w:sz w:val="21"/>
                <w:szCs w:val="21"/>
              </w:rPr>
              <w:t>围内投资建设旅游和生产经营项目。自然保护区的内部未分区的，依照本实施细则核心区和缓冲区的规定管控</w:t>
            </w:r>
            <w:r>
              <w:rPr>
                <w:rFonts w:ascii="Times New Roman" w:cs="Times New Roman"/>
                <w:sz w:val="21"/>
                <w:szCs w:val="21"/>
              </w:rPr>
              <w:t>。</w:t>
            </w:r>
          </w:p>
        </w:tc>
        <w:tc>
          <w:tcPr>
            <w:tcW w:w="1875"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hint="eastAsia"/>
                <w:sz w:val="21"/>
                <w:szCs w:val="21"/>
              </w:rPr>
              <w:t>本项目</w:t>
            </w:r>
            <w:r>
              <w:rPr>
                <w:rFonts w:ascii="Times New Roman" w:cs="Times New Roman"/>
                <w:sz w:val="21"/>
                <w:szCs w:val="21"/>
              </w:rPr>
              <w:t>不在当地自然保护区范围内。</w:t>
            </w:r>
          </w:p>
        </w:tc>
        <w:tc>
          <w:tcPr>
            <w:tcW w:w="791"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sz w:val="21"/>
                <w:szCs w:val="21"/>
              </w:rPr>
              <w:t>符合</w:t>
            </w:r>
          </w:p>
        </w:tc>
      </w:tr>
      <w:tr w:rsidR="00BD5820">
        <w:trPr>
          <w:jc w:val="center"/>
        </w:trPr>
        <w:tc>
          <w:tcPr>
            <w:tcW w:w="584"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sz w:val="21"/>
                <w:szCs w:val="21"/>
              </w:rPr>
              <w:t>第</w:t>
            </w:r>
            <w:r>
              <w:rPr>
                <w:rFonts w:ascii="Times New Roman" w:cs="Times New Roman" w:hint="eastAsia"/>
                <w:sz w:val="21"/>
                <w:szCs w:val="21"/>
              </w:rPr>
              <w:t>八</w:t>
            </w:r>
            <w:r>
              <w:rPr>
                <w:rFonts w:ascii="Times New Roman" w:cs="Times New Roman"/>
                <w:sz w:val="21"/>
                <w:szCs w:val="21"/>
              </w:rPr>
              <w:t>条</w:t>
            </w:r>
          </w:p>
        </w:tc>
        <w:tc>
          <w:tcPr>
            <w:tcW w:w="5535"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hint="eastAsia"/>
                <w:sz w:val="21"/>
                <w:szCs w:val="21"/>
              </w:rPr>
              <w:t>禁止违反风景名胜区规划，在风景名胜区内设立各类开发区。禁止在风景名胜区核心景区的岸线和河段范围内建设宾馆、招待所、培训中心、疗养院以及与风景名胜资源保护无关的项目</w:t>
            </w:r>
            <w:r>
              <w:rPr>
                <w:rFonts w:ascii="Times New Roman" w:cs="Times New Roman"/>
                <w:sz w:val="21"/>
                <w:szCs w:val="21"/>
              </w:rPr>
              <w:t>。</w:t>
            </w:r>
          </w:p>
        </w:tc>
        <w:tc>
          <w:tcPr>
            <w:tcW w:w="1875"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hint="eastAsia"/>
                <w:sz w:val="21"/>
                <w:szCs w:val="21"/>
              </w:rPr>
              <w:t>本项目</w:t>
            </w:r>
            <w:r>
              <w:rPr>
                <w:rFonts w:ascii="Times New Roman" w:cs="Times New Roman"/>
                <w:sz w:val="21"/>
                <w:szCs w:val="21"/>
              </w:rPr>
              <w:t>不在当地风景名胜区范围内。</w:t>
            </w:r>
          </w:p>
        </w:tc>
        <w:tc>
          <w:tcPr>
            <w:tcW w:w="791"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sz w:val="21"/>
                <w:szCs w:val="21"/>
              </w:rPr>
              <w:t>符合</w:t>
            </w:r>
          </w:p>
        </w:tc>
      </w:tr>
      <w:tr w:rsidR="00BD5820">
        <w:trPr>
          <w:jc w:val="center"/>
        </w:trPr>
        <w:tc>
          <w:tcPr>
            <w:tcW w:w="584"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sz w:val="21"/>
                <w:szCs w:val="21"/>
              </w:rPr>
              <w:t>第</w:t>
            </w:r>
            <w:r>
              <w:rPr>
                <w:rFonts w:ascii="Times New Roman" w:cs="Times New Roman" w:hint="eastAsia"/>
                <w:sz w:val="21"/>
                <w:szCs w:val="21"/>
              </w:rPr>
              <w:t>九</w:t>
            </w:r>
            <w:r>
              <w:rPr>
                <w:rFonts w:ascii="Times New Roman" w:cs="Times New Roman"/>
                <w:sz w:val="21"/>
                <w:szCs w:val="21"/>
              </w:rPr>
              <w:t>条、第十条、第十</w:t>
            </w:r>
            <w:r>
              <w:rPr>
                <w:rFonts w:ascii="Times New Roman" w:cs="Times New Roman" w:hint="eastAsia"/>
                <w:sz w:val="21"/>
                <w:szCs w:val="21"/>
              </w:rPr>
              <w:lastRenderedPageBreak/>
              <w:t>一</w:t>
            </w:r>
            <w:r>
              <w:rPr>
                <w:rFonts w:ascii="Times New Roman" w:cs="Times New Roman"/>
                <w:sz w:val="21"/>
                <w:szCs w:val="21"/>
              </w:rPr>
              <w:t>条</w:t>
            </w:r>
          </w:p>
        </w:tc>
        <w:tc>
          <w:tcPr>
            <w:tcW w:w="5535"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hint="eastAsia"/>
                <w:sz w:val="21"/>
                <w:szCs w:val="21"/>
              </w:rPr>
              <w:lastRenderedPageBreak/>
              <w:t>禁止在饮用水水源准保护区的岸线和河段范围内新建、扩建对水体污染严重的建设项目，禁止改建增加排污量的建设项目。</w:t>
            </w:r>
          </w:p>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hint="eastAsia"/>
                <w:sz w:val="21"/>
                <w:szCs w:val="21"/>
              </w:rPr>
              <w:t>饮用水水源二级保护区的岸线和河段范围内，除应遵守准保</w:t>
            </w:r>
            <w:r>
              <w:rPr>
                <w:rFonts w:ascii="Times New Roman" w:cs="Times New Roman" w:hint="eastAsia"/>
                <w:sz w:val="21"/>
                <w:szCs w:val="21"/>
              </w:rPr>
              <w:lastRenderedPageBreak/>
              <w:t>护区规定外，禁止新建、改建、扩建排放污染物的投资建设项目；禁止从事采石（砂）、对水体有污染的水产养殖等活</w:t>
            </w:r>
          </w:p>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hint="eastAsia"/>
                <w:sz w:val="21"/>
                <w:szCs w:val="21"/>
              </w:rPr>
              <w:t>动</w:t>
            </w:r>
            <w:r>
              <w:rPr>
                <w:rFonts w:ascii="Times New Roman" w:cs="Times New Roman"/>
                <w:sz w:val="21"/>
                <w:szCs w:val="21"/>
              </w:rPr>
              <w:t>。</w:t>
            </w:r>
          </w:p>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hint="eastAsia"/>
                <w:sz w:val="21"/>
                <w:szCs w:val="21"/>
              </w:rPr>
              <w:t>饮用水水源一级保护区的岸线和河段范围内，除应遵守二级保护区规定外，禁止新建、改建、扩建与供（取）水设施和保护水源无关的项目，以及网箱养殖、畜禽养殖、旅游等可能污染饮用水水体的投资建设项目。</w:t>
            </w:r>
          </w:p>
        </w:tc>
        <w:tc>
          <w:tcPr>
            <w:tcW w:w="1875"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hint="eastAsia"/>
                <w:sz w:val="21"/>
                <w:szCs w:val="21"/>
              </w:rPr>
              <w:lastRenderedPageBreak/>
              <w:t>本项目</w:t>
            </w:r>
            <w:r>
              <w:rPr>
                <w:rFonts w:ascii="Times New Roman" w:cs="Times New Roman"/>
                <w:sz w:val="21"/>
                <w:szCs w:val="21"/>
              </w:rPr>
              <w:t>不在当地集中式饮用水源保护区范围内。</w:t>
            </w:r>
          </w:p>
        </w:tc>
        <w:tc>
          <w:tcPr>
            <w:tcW w:w="791"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sz w:val="21"/>
                <w:szCs w:val="21"/>
              </w:rPr>
              <w:t>符合</w:t>
            </w:r>
          </w:p>
        </w:tc>
      </w:tr>
      <w:tr w:rsidR="00BD5820">
        <w:trPr>
          <w:jc w:val="center"/>
        </w:trPr>
        <w:tc>
          <w:tcPr>
            <w:tcW w:w="584"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sz w:val="21"/>
                <w:szCs w:val="21"/>
              </w:rPr>
              <w:lastRenderedPageBreak/>
              <w:t>第十</w:t>
            </w:r>
            <w:r>
              <w:rPr>
                <w:rFonts w:ascii="Times New Roman" w:cs="Times New Roman" w:hint="eastAsia"/>
                <w:sz w:val="21"/>
                <w:szCs w:val="21"/>
              </w:rPr>
              <w:t>二</w:t>
            </w:r>
            <w:r>
              <w:rPr>
                <w:rFonts w:ascii="Times New Roman" w:cs="Times New Roman"/>
                <w:sz w:val="21"/>
                <w:szCs w:val="21"/>
              </w:rPr>
              <w:t>条、第十三条</w:t>
            </w:r>
          </w:p>
        </w:tc>
        <w:tc>
          <w:tcPr>
            <w:tcW w:w="5535"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hint="eastAsia"/>
                <w:sz w:val="21"/>
                <w:szCs w:val="21"/>
              </w:rPr>
              <w:t>禁止在水产种质资源保护区岸线和河段范围内</w:t>
            </w:r>
          </w:p>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hint="eastAsia"/>
                <w:sz w:val="21"/>
                <w:szCs w:val="21"/>
              </w:rPr>
              <w:t>新建围湖造田、围湖造地或挖沙采石等投资建设项目。</w:t>
            </w:r>
          </w:p>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hint="eastAsia"/>
                <w:sz w:val="21"/>
                <w:szCs w:val="21"/>
              </w:rPr>
              <w:t>禁止在国家湿地公园的岸线和河段范围内开（围）垦、填埋或者排干湿地，截断湿地水源，挖沙、采矿，倾倒有毒有害物质、废弃物、垃圾，从事房地产、度假村、高尔夫球场、风力发电、光伏发电等任何不符合主体功能定位的建设项目和开发活动，破坏野生动物栖息地和迁徙通道、鱼类洄游通道</w:t>
            </w:r>
            <w:r>
              <w:rPr>
                <w:rFonts w:ascii="Times New Roman" w:cs="Times New Roman"/>
                <w:sz w:val="21"/>
                <w:szCs w:val="21"/>
              </w:rPr>
              <w:t>。</w:t>
            </w:r>
          </w:p>
        </w:tc>
        <w:tc>
          <w:tcPr>
            <w:tcW w:w="1875"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hint="eastAsia"/>
                <w:sz w:val="21"/>
                <w:szCs w:val="21"/>
              </w:rPr>
              <w:t>本项目</w:t>
            </w:r>
            <w:r>
              <w:rPr>
                <w:rFonts w:ascii="Times New Roman" w:cs="Times New Roman"/>
                <w:sz w:val="21"/>
                <w:szCs w:val="21"/>
              </w:rPr>
              <w:t>不在当地水产种质资源保护区</w:t>
            </w:r>
            <w:r>
              <w:rPr>
                <w:rFonts w:ascii="Times New Roman" w:cs="Times New Roman" w:hint="eastAsia"/>
                <w:sz w:val="21"/>
                <w:szCs w:val="21"/>
              </w:rPr>
              <w:t>和国家湿地公园的岸线和河段范围内</w:t>
            </w:r>
            <w:r>
              <w:rPr>
                <w:rFonts w:ascii="Times New Roman" w:cs="Times New Roman"/>
                <w:sz w:val="21"/>
                <w:szCs w:val="21"/>
              </w:rPr>
              <w:t>。</w:t>
            </w:r>
          </w:p>
        </w:tc>
        <w:tc>
          <w:tcPr>
            <w:tcW w:w="791"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sz w:val="21"/>
                <w:szCs w:val="21"/>
              </w:rPr>
              <w:t>符合</w:t>
            </w:r>
          </w:p>
        </w:tc>
      </w:tr>
      <w:tr w:rsidR="00BD5820">
        <w:trPr>
          <w:jc w:val="center"/>
        </w:trPr>
        <w:tc>
          <w:tcPr>
            <w:tcW w:w="584"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sz w:val="21"/>
                <w:szCs w:val="21"/>
              </w:rPr>
              <w:t>第十</w:t>
            </w:r>
            <w:r>
              <w:rPr>
                <w:rFonts w:ascii="Times New Roman" w:cs="Times New Roman" w:hint="eastAsia"/>
                <w:sz w:val="21"/>
                <w:szCs w:val="21"/>
              </w:rPr>
              <w:t>四</w:t>
            </w:r>
            <w:r>
              <w:rPr>
                <w:rFonts w:ascii="Times New Roman" w:cs="Times New Roman"/>
                <w:sz w:val="21"/>
                <w:szCs w:val="21"/>
              </w:rPr>
              <w:t>条、第十五条</w:t>
            </w:r>
          </w:p>
        </w:tc>
        <w:tc>
          <w:tcPr>
            <w:tcW w:w="5535"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hint="eastAsia"/>
                <w:sz w:val="21"/>
                <w:szCs w:val="21"/>
              </w:rPr>
              <w:t>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hint="eastAsia"/>
                <w:sz w:val="21"/>
                <w:szCs w:val="21"/>
              </w:rPr>
              <w:t>禁止在《全国重要江河湖泊水功能区划》划定的河段及湖泊保护区、保留区内投资建设不利于水资源及自然生态保护的项目</w:t>
            </w:r>
            <w:r>
              <w:rPr>
                <w:rFonts w:ascii="Times New Roman" w:cs="Times New Roman"/>
                <w:sz w:val="21"/>
                <w:szCs w:val="21"/>
              </w:rPr>
              <w:t>。</w:t>
            </w:r>
          </w:p>
        </w:tc>
        <w:tc>
          <w:tcPr>
            <w:tcW w:w="1875"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hint="eastAsia"/>
                <w:sz w:val="21"/>
                <w:szCs w:val="21"/>
              </w:rPr>
              <w:t>本项目</w:t>
            </w:r>
            <w:r>
              <w:rPr>
                <w:rFonts w:ascii="Times New Roman" w:cs="Times New Roman"/>
                <w:sz w:val="21"/>
                <w:szCs w:val="21"/>
              </w:rPr>
              <w:t>不在《长江岸线保护和开发利用总体规划》划定的岸线保护区范围内</w:t>
            </w:r>
            <w:r>
              <w:rPr>
                <w:rFonts w:ascii="Times New Roman" w:cs="Times New Roman" w:hint="eastAsia"/>
                <w:sz w:val="21"/>
                <w:szCs w:val="21"/>
              </w:rPr>
              <w:t>，</w:t>
            </w:r>
            <w:r>
              <w:rPr>
                <w:rFonts w:ascii="Times New Roman" w:cs="Times New Roman"/>
                <w:sz w:val="21"/>
                <w:szCs w:val="21"/>
              </w:rPr>
              <w:t>不在《全国重要江河湖泊水功能区划》划定的河段保护区、保留区范围内。</w:t>
            </w:r>
          </w:p>
        </w:tc>
        <w:tc>
          <w:tcPr>
            <w:tcW w:w="791"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sz w:val="21"/>
                <w:szCs w:val="21"/>
              </w:rPr>
              <w:t>符合</w:t>
            </w:r>
          </w:p>
        </w:tc>
      </w:tr>
      <w:tr w:rsidR="00BD5820">
        <w:trPr>
          <w:jc w:val="center"/>
        </w:trPr>
        <w:tc>
          <w:tcPr>
            <w:tcW w:w="584"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sz w:val="21"/>
                <w:szCs w:val="21"/>
              </w:rPr>
              <w:t>第十六条</w:t>
            </w:r>
          </w:p>
        </w:tc>
        <w:tc>
          <w:tcPr>
            <w:tcW w:w="5535"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hint="eastAsia"/>
                <w:sz w:val="21"/>
                <w:szCs w:val="21"/>
              </w:rPr>
              <w:t>禁止在长江流域江河、湖泊新设、改设或者扩大排污口，经有管辖权的生态环境主管部门或者长江流域生态环境监督管理机构同意的除外</w:t>
            </w:r>
            <w:r>
              <w:rPr>
                <w:rFonts w:ascii="Times New Roman" w:cs="Times New Roman"/>
                <w:sz w:val="21"/>
                <w:szCs w:val="21"/>
              </w:rPr>
              <w:t>。</w:t>
            </w:r>
          </w:p>
        </w:tc>
        <w:tc>
          <w:tcPr>
            <w:tcW w:w="1875"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hint="eastAsia"/>
                <w:sz w:val="21"/>
                <w:szCs w:val="21"/>
              </w:rPr>
              <w:t>本项目</w:t>
            </w:r>
            <w:r>
              <w:rPr>
                <w:rFonts w:ascii="Times New Roman" w:cs="Times New Roman"/>
                <w:sz w:val="21"/>
                <w:szCs w:val="21"/>
              </w:rPr>
              <w:t>不</w:t>
            </w:r>
            <w:r>
              <w:rPr>
                <w:rFonts w:ascii="Times New Roman" w:cs="Times New Roman" w:hint="eastAsia"/>
                <w:sz w:val="21"/>
                <w:szCs w:val="21"/>
              </w:rPr>
              <w:t>涉及</w:t>
            </w:r>
            <w:r>
              <w:rPr>
                <w:rFonts w:ascii="Times New Roman" w:cs="Times New Roman"/>
                <w:sz w:val="21"/>
                <w:szCs w:val="21"/>
              </w:rPr>
              <w:t>在</w:t>
            </w:r>
            <w:r>
              <w:rPr>
                <w:rFonts w:ascii="Times New Roman" w:cs="Times New Roman" w:hint="eastAsia"/>
                <w:sz w:val="21"/>
                <w:szCs w:val="21"/>
              </w:rPr>
              <w:t>长江流域江河、湖泊新设、改设或者扩大</w:t>
            </w:r>
          </w:p>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hint="eastAsia"/>
                <w:sz w:val="21"/>
                <w:szCs w:val="21"/>
              </w:rPr>
              <w:t>排污口</w:t>
            </w:r>
            <w:r>
              <w:rPr>
                <w:rFonts w:ascii="Times New Roman" w:cs="Times New Roman"/>
                <w:sz w:val="21"/>
                <w:szCs w:val="21"/>
              </w:rPr>
              <w:t>。</w:t>
            </w:r>
          </w:p>
        </w:tc>
        <w:tc>
          <w:tcPr>
            <w:tcW w:w="791"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sz w:val="21"/>
                <w:szCs w:val="21"/>
              </w:rPr>
              <w:t>符合</w:t>
            </w:r>
          </w:p>
        </w:tc>
      </w:tr>
      <w:tr w:rsidR="00BD5820">
        <w:trPr>
          <w:jc w:val="center"/>
        </w:trPr>
        <w:tc>
          <w:tcPr>
            <w:tcW w:w="584"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sz w:val="21"/>
                <w:szCs w:val="21"/>
              </w:rPr>
              <w:t>第十七条</w:t>
            </w:r>
          </w:p>
        </w:tc>
        <w:tc>
          <w:tcPr>
            <w:tcW w:w="5535"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hint="eastAsia"/>
                <w:sz w:val="21"/>
                <w:szCs w:val="21"/>
              </w:rPr>
              <w:t>禁止在长江、大渡河、岷江、赤水河、沱江、嘉陵江、乌江、汉江和</w:t>
            </w:r>
            <w:r>
              <w:rPr>
                <w:rFonts w:ascii="Times New Roman" w:cs="Times New Roman" w:hint="eastAsia"/>
                <w:sz w:val="21"/>
                <w:szCs w:val="21"/>
              </w:rPr>
              <w:t xml:space="preserve"> 51 </w:t>
            </w:r>
            <w:r>
              <w:rPr>
                <w:rFonts w:ascii="Times New Roman" w:cs="Times New Roman" w:hint="eastAsia"/>
                <w:sz w:val="21"/>
                <w:szCs w:val="21"/>
              </w:rPr>
              <w:t>个（四川省</w:t>
            </w:r>
            <w:r>
              <w:rPr>
                <w:rFonts w:ascii="Times New Roman" w:cs="Times New Roman" w:hint="eastAsia"/>
                <w:sz w:val="21"/>
                <w:szCs w:val="21"/>
              </w:rPr>
              <w:t xml:space="preserve"> 45 </w:t>
            </w:r>
            <w:r>
              <w:rPr>
                <w:rFonts w:ascii="Times New Roman" w:cs="Times New Roman" w:hint="eastAsia"/>
                <w:sz w:val="21"/>
                <w:szCs w:val="21"/>
              </w:rPr>
              <w:t>个、重庆市</w:t>
            </w:r>
            <w:r>
              <w:rPr>
                <w:rFonts w:ascii="Times New Roman" w:cs="Times New Roman" w:hint="eastAsia"/>
                <w:sz w:val="21"/>
                <w:szCs w:val="21"/>
              </w:rPr>
              <w:t xml:space="preserve"> 6 </w:t>
            </w:r>
            <w:r>
              <w:rPr>
                <w:rFonts w:ascii="Times New Roman" w:cs="Times New Roman" w:hint="eastAsia"/>
                <w:sz w:val="21"/>
                <w:szCs w:val="21"/>
              </w:rPr>
              <w:t>个）水生生物保护区开展生产性捕捞。</w:t>
            </w:r>
          </w:p>
        </w:tc>
        <w:tc>
          <w:tcPr>
            <w:tcW w:w="1875"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hint="eastAsia"/>
                <w:sz w:val="21"/>
                <w:szCs w:val="21"/>
              </w:rPr>
              <w:t>本项目</w:t>
            </w:r>
            <w:r>
              <w:rPr>
                <w:rFonts w:ascii="Times New Roman" w:cs="Times New Roman"/>
                <w:sz w:val="21"/>
                <w:szCs w:val="21"/>
              </w:rPr>
              <w:t>不</w:t>
            </w:r>
            <w:r>
              <w:rPr>
                <w:rFonts w:ascii="Times New Roman" w:cs="Times New Roman" w:hint="eastAsia"/>
                <w:sz w:val="21"/>
                <w:szCs w:val="21"/>
              </w:rPr>
              <w:t>涉及生产性捕捞</w:t>
            </w:r>
          </w:p>
        </w:tc>
        <w:tc>
          <w:tcPr>
            <w:tcW w:w="791"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sz w:val="21"/>
                <w:szCs w:val="21"/>
              </w:rPr>
              <w:t>符合</w:t>
            </w:r>
          </w:p>
        </w:tc>
      </w:tr>
      <w:tr w:rsidR="00BD5820">
        <w:trPr>
          <w:jc w:val="center"/>
        </w:trPr>
        <w:tc>
          <w:tcPr>
            <w:tcW w:w="584"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sz w:val="21"/>
                <w:szCs w:val="21"/>
              </w:rPr>
              <w:t>第十八条</w:t>
            </w:r>
            <w:r>
              <w:rPr>
                <w:rFonts w:ascii="Times New Roman" w:cs="Times New Roman" w:hint="eastAsia"/>
                <w:sz w:val="21"/>
                <w:szCs w:val="21"/>
              </w:rPr>
              <w:t>、</w:t>
            </w:r>
            <w:r>
              <w:rPr>
                <w:rFonts w:ascii="Times New Roman" w:cs="Times New Roman"/>
                <w:sz w:val="21"/>
                <w:szCs w:val="21"/>
              </w:rPr>
              <w:t>第十九条</w:t>
            </w:r>
            <w:r>
              <w:rPr>
                <w:rFonts w:ascii="Times New Roman" w:cs="Times New Roman" w:hint="eastAsia"/>
                <w:sz w:val="21"/>
                <w:szCs w:val="21"/>
              </w:rPr>
              <w:t>、</w:t>
            </w:r>
            <w:r>
              <w:rPr>
                <w:rFonts w:ascii="Times New Roman" w:cs="Times New Roman"/>
                <w:sz w:val="21"/>
                <w:szCs w:val="21"/>
              </w:rPr>
              <w:t>第二十条</w:t>
            </w:r>
          </w:p>
        </w:tc>
        <w:tc>
          <w:tcPr>
            <w:tcW w:w="5535"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hint="eastAsia"/>
                <w:sz w:val="21"/>
                <w:szCs w:val="21"/>
              </w:rPr>
              <w:t>禁止在长江干支流、重要湖泊岸线一公里范围内</w:t>
            </w:r>
          </w:p>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hint="eastAsia"/>
                <w:sz w:val="21"/>
                <w:szCs w:val="21"/>
              </w:rPr>
              <w:t>新建、扩建化工园区和化工项目</w:t>
            </w:r>
            <w:r>
              <w:rPr>
                <w:rFonts w:ascii="Times New Roman" w:cs="Times New Roman"/>
                <w:sz w:val="21"/>
                <w:szCs w:val="21"/>
              </w:rPr>
              <w:t>。</w:t>
            </w:r>
          </w:p>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hint="eastAsia"/>
                <w:sz w:val="21"/>
                <w:szCs w:val="21"/>
              </w:rPr>
              <w:t>禁止在长江干流岸线三公里范围内和重要支流岸线一公里范围内新建、改建、扩建尾矿库、冶炼渣库、磷石膏库，以提升安全、生态环境保护水平为目的的改建除外。</w:t>
            </w:r>
          </w:p>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hint="eastAsia"/>
                <w:sz w:val="21"/>
                <w:szCs w:val="21"/>
              </w:rPr>
              <w:t>禁止在生态保护红线区域、永久基本农田集中区域和其他需要特别保护的区域内选址建设尾矿库、冶炼渣库、磷石膏库。</w:t>
            </w:r>
          </w:p>
        </w:tc>
        <w:tc>
          <w:tcPr>
            <w:tcW w:w="1875"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hint="eastAsia"/>
                <w:sz w:val="21"/>
                <w:szCs w:val="21"/>
              </w:rPr>
              <w:t>本项目</w:t>
            </w:r>
            <w:r>
              <w:rPr>
                <w:rFonts w:ascii="Times New Roman" w:cs="Times New Roman"/>
                <w:sz w:val="21"/>
                <w:szCs w:val="21"/>
              </w:rPr>
              <w:t>不</w:t>
            </w:r>
            <w:r>
              <w:rPr>
                <w:rFonts w:ascii="Times New Roman" w:cs="Times New Roman" w:hint="eastAsia"/>
                <w:sz w:val="21"/>
                <w:szCs w:val="21"/>
              </w:rPr>
              <w:t>属于化工项目，不属于尾矿库、冶炼渣库、磷石膏库</w:t>
            </w:r>
            <w:r>
              <w:rPr>
                <w:rFonts w:ascii="Times New Roman" w:cs="Times New Roman"/>
                <w:sz w:val="21"/>
                <w:szCs w:val="21"/>
              </w:rPr>
              <w:t>。</w:t>
            </w:r>
          </w:p>
        </w:tc>
        <w:tc>
          <w:tcPr>
            <w:tcW w:w="791"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sz w:val="21"/>
                <w:szCs w:val="21"/>
              </w:rPr>
              <w:t>符合</w:t>
            </w:r>
          </w:p>
        </w:tc>
      </w:tr>
      <w:tr w:rsidR="00BD5820">
        <w:trPr>
          <w:jc w:val="center"/>
        </w:trPr>
        <w:tc>
          <w:tcPr>
            <w:tcW w:w="584"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sz w:val="21"/>
                <w:szCs w:val="21"/>
              </w:rPr>
              <w:t>第二十</w:t>
            </w:r>
            <w:r>
              <w:rPr>
                <w:rFonts w:ascii="Times New Roman" w:cs="Times New Roman" w:hint="eastAsia"/>
                <w:sz w:val="21"/>
                <w:szCs w:val="21"/>
              </w:rPr>
              <w:t>一</w:t>
            </w:r>
            <w:r>
              <w:rPr>
                <w:rFonts w:ascii="Times New Roman" w:cs="Times New Roman"/>
                <w:sz w:val="21"/>
                <w:szCs w:val="21"/>
              </w:rPr>
              <w:t>条</w:t>
            </w:r>
          </w:p>
        </w:tc>
        <w:tc>
          <w:tcPr>
            <w:tcW w:w="5535"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hint="eastAsia"/>
                <w:sz w:val="21"/>
                <w:szCs w:val="21"/>
              </w:rPr>
              <w:t>禁止在合规园区外新建、扩建钢铁、石化、化工、焦化、建材、有色、制浆造纸等高污染项目</w:t>
            </w:r>
            <w:r>
              <w:rPr>
                <w:rFonts w:ascii="Times New Roman" w:cs="Times New Roman"/>
                <w:sz w:val="21"/>
                <w:szCs w:val="21"/>
              </w:rPr>
              <w:t>。</w:t>
            </w:r>
          </w:p>
        </w:tc>
        <w:tc>
          <w:tcPr>
            <w:tcW w:w="1875"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hint="eastAsia"/>
                <w:sz w:val="21"/>
                <w:szCs w:val="21"/>
              </w:rPr>
              <w:t>本项目</w:t>
            </w:r>
            <w:r>
              <w:rPr>
                <w:rFonts w:ascii="Times New Roman" w:cs="Times New Roman"/>
                <w:sz w:val="21"/>
                <w:szCs w:val="21"/>
              </w:rPr>
              <w:t>不</w:t>
            </w:r>
            <w:r>
              <w:rPr>
                <w:rFonts w:ascii="Times New Roman" w:cs="Times New Roman" w:hint="eastAsia"/>
                <w:sz w:val="21"/>
                <w:szCs w:val="21"/>
              </w:rPr>
              <w:t>属于钢铁、石化、化</w:t>
            </w:r>
          </w:p>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hint="eastAsia"/>
                <w:sz w:val="21"/>
                <w:szCs w:val="21"/>
              </w:rPr>
              <w:t>工、焦化、建材、有色、制浆造纸等高污染项目</w:t>
            </w:r>
            <w:r>
              <w:rPr>
                <w:rFonts w:ascii="Times New Roman" w:cs="Times New Roman"/>
                <w:sz w:val="21"/>
                <w:szCs w:val="21"/>
              </w:rPr>
              <w:t>。</w:t>
            </w:r>
          </w:p>
        </w:tc>
        <w:tc>
          <w:tcPr>
            <w:tcW w:w="791"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sz w:val="21"/>
                <w:szCs w:val="21"/>
              </w:rPr>
              <w:t>符合</w:t>
            </w:r>
          </w:p>
        </w:tc>
      </w:tr>
      <w:tr w:rsidR="00BD5820">
        <w:trPr>
          <w:jc w:val="center"/>
        </w:trPr>
        <w:tc>
          <w:tcPr>
            <w:tcW w:w="584"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sz w:val="21"/>
                <w:szCs w:val="21"/>
              </w:rPr>
              <w:lastRenderedPageBreak/>
              <w:t>第二十</w:t>
            </w:r>
            <w:r>
              <w:rPr>
                <w:rFonts w:ascii="Times New Roman" w:cs="Times New Roman" w:hint="eastAsia"/>
                <w:sz w:val="21"/>
                <w:szCs w:val="21"/>
              </w:rPr>
              <w:t>二</w:t>
            </w:r>
            <w:r>
              <w:rPr>
                <w:rFonts w:ascii="Times New Roman" w:cs="Times New Roman"/>
                <w:sz w:val="21"/>
                <w:szCs w:val="21"/>
              </w:rPr>
              <w:t>条</w:t>
            </w:r>
          </w:p>
        </w:tc>
        <w:tc>
          <w:tcPr>
            <w:tcW w:w="5535"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hint="eastAsia"/>
                <w:sz w:val="21"/>
                <w:szCs w:val="21"/>
              </w:rPr>
              <w:t>禁止新建、扩建不符合国家石化、现代煤化工等产业布局规划的项目。</w:t>
            </w:r>
          </w:p>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hint="eastAsia"/>
                <w:sz w:val="21"/>
                <w:szCs w:val="21"/>
              </w:rPr>
              <w:t>（一）严格控制新增炼油项目，未列入《石化产业规划布局</w:t>
            </w:r>
          </w:p>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hint="eastAsia"/>
                <w:sz w:val="21"/>
                <w:szCs w:val="21"/>
              </w:rPr>
              <w:t>方案（修订版）》的新增炼油产能一律不得建设。</w:t>
            </w:r>
          </w:p>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hint="eastAsia"/>
                <w:sz w:val="21"/>
                <w:szCs w:val="21"/>
              </w:rPr>
              <w:t>（二）新建煤制烯烃、煤制芳烃项目必须列入《现代煤化工</w:t>
            </w:r>
          </w:p>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hint="eastAsia"/>
                <w:sz w:val="21"/>
                <w:szCs w:val="21"/>
              </w:rPr>
              <w:t>产业创新发展布局方案》，必须符合《现代煤化工建设项目环境准入条件（试行）》要求。</w:t>
            </w:r>
            <w:r>
              <w:rPr>
                <w:rFonts w:ascii="Times New Roman" w:cs="Times New Roman"/>
                <w:sz w:val="21"/>
                <w:szCs w:val="21"/>
              </w:rPr>
              <w:t>。</w:t>
            </w:r>
          </w:p>
        </w:tc>
        <w:tc>
          <w:tcPr>
            <w:tcW w:w="1875"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hint="eastAsia"/>
                <w:sz w:val="21"/>
                <w:szCs w:val="21"/>
              </w:rPr>
              <w:t>本项目</w:t>
            </w:r>
            <w:r>
              <w:rPr>
                <w:rFonts w:ascii="Times New Roman" w:cs="Times New Roman"/>
                <w:sz w:val="21"/>
                <w:szCs w:val="21"/>
              </w:rPr>
              <w:t>不</w:t>
            </w:r>
            <w:r>
              <w:rPr>
                <w:rFonts w:ascii="Times New Roman" w:cs="Times New Roman" w:hint="eastAsia"/>
                <w:sz w:val="21"/>
                <w:szCs w:val="21"/>
              </w:rPr>
              <w:t>属于石化、现代煤化工等项目</w:t>
            </w:r>
            <w:r>
              <w:rPr>
                <w:rFonts w:ascii="Times New Roman" w:cs="Times New Roman"/>
                <w:sz w:val="21"/>
                <w:szCs w:val="21"/>
              </w:rPr>
              <w:t>。</w:t>
            </w:r>
          </w:p>
        </w:tc>
        <w:tc>
          <w:tcPr>
            <w:tcW w:w="791"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sz w:val="21"/>
                <w:szCs w:val="21"/>
              </w:rPr>
              <w:t>符合</w:t>
            </w:r>
          </w:p>
        </w:tc>
      </w:tr>
      <w:tr w:rsidR="00BD5820">
        <w:trPr>
          <w:jc w:val="center"/>
        </w:trPr>
        <w:tc>
          <w:tcPr>
            <w:tcW w:w="584"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sz w:val="21"/>
                <w:szCs w:val="21"/>
              </w:rPr>
              <w:t>第二十</w:t>
            </w:r>
            <w:r>
              <w:rPr>
                <w:rFonts w:ascii="Times New Roman" w:cs="Times New Roman" w:hint="eastAsia"/>
                <w:sz w:val="21"/>
                <w:szCs w:val="21"/>
              </w:rPr>
              <w:t>三</w:t>
            </w:r>
            <w:r>
              <w:rPr>
                <w:rFonts w:ascii="Times New Roman" w:cs="Times New Roman"/>
                <w:sz w:val="21"/>
                <w:szCs w:val="21"/>
              </w:rPr>
              <w:t>条</w:t>
            </w:r>
          </w:p>
        </w:tc>
        <w:tc>
          <w:tcPr>
            <w:tcW w:w="5535"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hint="eastAsia"/>
                <w:sz w:val="21"/>
                <w:szCs w:val="21"/>
              </w:rPr>
              <w:t>禁止新建、扩建法律法规和相关政策明令禁止的落后产能项目。对《产业结构调整指导目录》中淘汰类项目，禁止投资；限制类的新建项目，禁止投资，对属于限制类的现有生产能力，允许企业在一定期限内采取措施改造升级。</w:t>
            </w:r>
          </w:p>
        </w:tc>
        <w:tc>
          <w:tcPr>
            <w:tcW w:w="1875"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hint="eastAsia"/>
                <w:sz w:val="21"/>
                <w:szCs w:val="21"/>
              </w:rPr>
              <w:t>本项目</w:t>
            </w:r>
            <w:r>
              <w:rPr>
                <w:rFonts w:ascii="Times New Roman" w:cs="Times New Roman"/>
                <w:sz w:val="21"/>
                <w:szCs w:val="21"/>
              </w:rPr>
              <w:t>不</w:t>
            </w:r>
            <w:r>
              <w:rPr>
                <w:rFonts w:ascii="Times New Roman" w:cs="Times New Roman" w:hint="eastAsia"/>
                <w:sz w:val="21"/>
                <w:szCs w:val="21"/>
              </w:rPr>
              <w:t>属于《产业结构调整指导目录》中淘汰类项目</w:t>
            </w:r>
          </w:p>
        </w:tc>
        <w:tc>
          <w:tcPr>
            <w:tcW w:w="791"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sz w:val="21"/>
                <w:szCs w:val="21"/>
              </w:rPr>
              <w:t>符合</w:t>
            </w:r>
          </w:p>
        </w:tc>
      </w:tr>
      <w:tr w:rsidR="00BD5820">
        <w:trPr>
          <w:jc w:val="center"/>
        </w:trPr>
        <w:tc>
          <w:tcPr>
            <w:tcW w:w="584"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sz w:val="21"/>
                <w:szCs w:val="21"/>
              </w:rPr>
              <w:t>第二十</w:t>
            </w:r>
            <w:r>
              <w:rPr>
                <w:rFonts w:ascii="Times New Roman" w:cs="Times New Roman" w:hint="eastAsia"/>
                <w:sz w:val="21"/>
                <w:szCs w:val="21"/>
              </w:rPr>
              <w:t>四</w:t>
            </w:r>
            <w:r>
              <w:rPr>
                <w:rFonts w:ascii="Times New Roman" w:cs="Times New Roman"/>
                <w:sz w:val="21"/>
                <w:szCs w:val="21"/>
              </w:rPr>
              <w:t>条</w:t>
            </w:r>
          </w:p>
        </w:tc>
        <w:tc>
          <w:tcPr>
            <w:tcW w:w="5535"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hint="eastAsia"/>
                <w:sz w:val="21"/>
                <w:szCs w:val="21"/>
              </w:rPr>
              <w:t>禁止新建、扩建不符合国家产能置换要求的严重过剩产能行业的项目。对于不符合国家产能置换要求的严重过剩产能行业，不得以其他任何名义、任何方式备案新增产能项目。</w:t>
            </w:r>
          </w:p>
        </w:tc>
        <w:tc>
          <w:tcPr>
            <w:tcW w:w="1875"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hint="eastAsia"/>
                <w:sz w:val="21"/>
                <w:szCs w:val="21"/>
              </w:rPr>
              <w:t>本项目</w:t>
            </w:r>
            <w:r>
              <w:rPr>
                <w:rFonts w:ascii="Times New Roman" w:cs="Times New Roman"/>
                <w:sz w:val="21"/>
                <w:szCs w:val="21"/>
              </w:rPr>
              <w:t>不</w:t>
            </w:r>
            <w:r>
              <w:rPr>
                <w:rFonts w:ascii="Times New Roman" w:cs="Times New Roman" w:hint="eastAsia"/>
                <w:sz w:val="21"/>
                <w:szCs w:val="21"/>
              </w:rPr>
              <w:t>属于不符合国家产能置换要求的严重过剩产能行业</w:t>
            </w:r>
          </w:p>
        </w:tc>
        <w:tc>
          <w:tcPr>
            <w:tcW w:w="791"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sz w:val="21"/>
                <w:szCs w:val="21"/>
              </w:rPr>
              <w:t>符合</w:t>
            </w:r>
          </w:p>
        </w:tc>
      </w:tr>
      <w:tr w:rsidR="00BD5820">
        <w:trPr>
          <w:jc w:val="center"/>
        </w:trPr>
        <w:tc>
          <w:tcPr>
            <w:tcW w:w="584"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sz w:val="21"/>
                <w:szCs w:val="21"/>
              </w:rPr>
              <w:t>第二十</w:t>
            </w:r>
            <w:r>
              <w:rPr>
                <w:rFonts w:ascii="Times New Roman" w:cs="Times New Roman" w:hint="eastAsia"/>
                <w:sz w:val="21"/>
                <w:szCs w:val="21"/>
              </w:rPr>
              <w:t>五</w:t>
            </w:r>
            <w:r>
              <w:rPr>
                <w:rFonts w:ascii="Times New Roman" w:cs="Times New Roman"/>
                <w:sz w:val="21"/>
                <w:szCs w:val="21"/>
              </w:rPr>
              <w:t>条</w:t>
            </w:r>
          </w:p>
        </w:tc>
        <w:tc>
          <w:tcPr>
            <w:tcW w:w="5535"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hint="eastAsia"/>
                <w:sz w:val="21"/>
                <w:szCs w:val="21"/>
              </w:rPr>
              <w:t>禁止建设以下燃油汽车投资项目（不在中国境内销售产品的投资项目除外）：</w:t>
            </w:r>
          </w:p>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hint="eastAsia"/>
                <w:sz w:val="21"/>
                <w:szCs w:val="21"/>
              </w:rPr>
              <w:t>（一）新建独立燃油汽车企业；</w:t>
            </w:r>
          </w:p>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hint="eastAsia"/>
                <w:sz w:val="21"/>
                <w:szCs w:val="21"/>
              </w:rPr>
              <w:t>（二）现有汽车企业跨乘用车、商用车类别建设燃油汽车生</w:t>
            </w:r>
          </w:p>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hint="eastAsia"/>
                <w:sz w:val="21"/>
                <w:szCs w:val="21"/>
              </w:rPr>
              <w:t>产能力；</w:t>
            </w:r>
          </w:p>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hint="eastAsia"/>
                <w:sz w:val="21"/>
                <w:szCs w:val="21"/>
              </w:rPr>
              <w:t>（三）外省现有燃油汽车企业整体搬迁至本省（列入国家级</w:t>
            </w:r>
          </w:p>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hint="eastAsia"/>
                <w:sz w:val="21"/>
                <w:szCs w:val="21"/>
              </w:rPr>
              <w:t>区域发展规划或不改变企业股权结构的项目除外）；</w:t>
            </w:r>
          </w:p>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hint="eastAsia"/>
                <w:sz w:val="21"/>
                <w:szCs w:val="21"/>
              </w:rPr>
              <w:t>（四）对行业管理部门特别公示的燃油汽车企业进行投资</w:t>
            </w:r>
          </w:p>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hint="eastAsia"/>
                <w:sz w:val="21"/>
                <w:szCs w:val="21"/>
              </w:rPr>
              <w:t>（企业原有股东投资或将该企业转为非独立法人的投资项目除外）。</w:t>
            </w:r>
          </w:p>
        </w:tc>
        <w:tc>
          <w:tcPr>
            <w:tcW w:w="1875"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hint="eastAsia"/>
                <w:sz w:val="21"/>
                <w:szCs w:val="21"/>
              </w:rPr>
              <w:t>本项目</w:t>
            </w:r>
            <w:r>
              <w:rPr>
                <w:rFonts w:ascii="Times New Roman" w:cs="Times New Roman"/>
                <w:sz w:val="21"/>
                <w:szCs w:val="21"/>
              </w:rPr>
              <w:t>不</w:t>
            </w:r>
            <w:r>
              <w:rPr>
                <w:rFonts w:ascii="Times New Roman" w:cs="Times New Roman" w:hint="eastAsia"/>
                <w:sz w:val="21"/>
                <w:szCs w:val="21"/>
              </w:rPr>
              <w:t>属于燃油汽车投资项目</w:t>
            </w:r>
          </w:p>
        </w:tc>
        <w:tc>
          <w:tcPr>
            <w:tcW w:w="791"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sz w:val="21"/>
                <w:szCs w:val="21"/>
              </w:rPr>
              <w:t>符合</w:t>
            </w:r>
          </w:p>
        </w:tc>
      </w:tr>
      <w:tr w:rsidR="00BD5820">
        <w:trPr>
          <w:jc w:val="center"/>
        </w:trPr>
        <w:tc>
          <w:tcPr>
            <w:tcW w:w="584"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sz w:val="21"/>
                <w:szCs w:val="21"/>
              </w:rPr>
              <w:t>第二十</w:t>
            </w:r>
            <w:r>
              <w:rPr>
                <w:rFonts w:ascii="Times New Roman" w:cs="Times New Roman" w:hint="eastAsia"/>
                <w:sz w:val="21"/>
                <w:szCs w:val="21"/>
              </w:rPr>
              <w:t>六</w:t>
            </w:r>
            <w:r>
              <w:rPr>
                <w:rFonts w:ascii="Times New Roman" w:cs="Times New Roman"/>
                <w:sz w:val="21"/>
                <w:szCs w:val="21"/>
              </w:rPr>
              <w:t>条</w:t>
            </w:r>
          </w:p>
        </w:tc>
        <w:tc>
          <w:tcPr>
            <w:tcW w:w="5535"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hint="eastAsia"/>
                <w:sz w:val="21"/>
                <w:szCs w:val="21"/>
              </w:rPr>
              <w:t>禁止新建、扩建不符合要求的高耗能、高排放、低水平项目。</w:t>
            </w:r>
          </w:p>
        </w:tc>
        <w:tc>
          <w:tcPr>
            <w:tcW w:w="1875"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hint="eastAsia"/>
                <w:sz w:val="21"/>
                <w:szCs w:val="21"/>
              </w:rPr>
              <w:t>本项目</w:t>
            </w:r>
            <w:r>
              <w:rPr>
                <w:rFonts w:ascii="Times New Roman" w:cs="Times New Roman"/>
                <w:sz w:val="21"/>
                <w:szCs w:val="21"/>
              </w:rPr>
              <w:t>不</w:t>
            </w:r>
            <w:r>
              <w:rPr>
                <w:rFonts w:ascii="Times New Roman" w:cs="Times New Roman" w:hint="eastAsia"/>
                <w:sz w:val="21"/>
                <w:szCs w:val="21"/>
              </w:rPr>
              <w:t>属于高耗能、高排放、低水平项目</w:t>
            </w:r>
          </w:p>
        </w:tc>
        <w:tc>
          <w:tcPr>
            <w:tcW w:w="791" w:type="dxa"/>
            <w:vAlign w:val="center"/>
          </w:tcPr>
          <w:p w:rsidR="00BD5820" w:rsidRDefault="00F64314">
            <w:pPr>
              <w:autoSpaceDE w:val="0"/>
              <w:autoSpaceDN w:val="0"/>
              <w:spacing w:line="240" w:lineRule="auto"/>
              <w:ind w:firstLineChars="0" w:firstLine="0"/>
              <w:jc w:val="center"/>
              <w:rPr>
                <w:rFonts w:ascii="Times New Roman" w:cs="Times New Roman"/>
                <w:sz w:val="21"/>
                <w:szCs w:val="21"/>
              </w:rPr>
            </w:pPr>
            <w:r>
              <w:rPr>
                <w:rFonts w:ascii="Times New Roman" w:cs="Times New Roman"/>
                <w:sz w:val="21"/>
                <w:szCs w:val="21"/>
              </w:rPr>
              <w:t>符合</w:t>
            </w:r>
          </w:p>
        </w:tc>
      </w:tr>
    </w:tbl>
    <w:p w:rsidR="00BD5820" w:rsidRDefault="00F64314">
      <w:pPr>
        <w:pStyle w:val="affa"/>
        <w:ind w:firstLine="480"/>
      </w:pPr>
      <w:r>
        <w:rPr>
          <w:rFonts w:hint="eastAsia"/>
        </w:rPr>
        <w:t>因此，</w:t>
      </w:r>
      <w:r>
        <w:t>本项目建设符合</w:t>
      </w:r>
      <w:r>
        <w:rPr>
          <w:rFonts w:hint="eastAsia"/>
        </w:rPr>
        <w:t>《四川省、重庆市长江经济带发展负面清单实施细则（试行，</w:t>
      </w:r>
      <w:r>
        <w:rPr>
          <w:rFonts w:hint="eastAsia"/>
        </w:rPr>
        <w:t>2022</w:t>
      </w:r>
      <w:r>
        <w:rPr>
          <w:rFonts w:hint="eastAsia"/>
        </w:rPr>
        <w:t>年版）》</w:t>
      </w:r>
      <w:r>
        <w:t>要求。</w:t>
      </w:r>
    </w:p>
    <w:p w:rsidR="00BD5820" w:rsidRDefault="00F64314">
      <w:pPr>
        <w:keepNext/>
        <w:keepLines/>
        <w:ind w:firstLineChars="0" w:firstLine="0"/>
        <w:outlineLvl w:val="2"/>
        <w:rPr>
          <w:rFonts w:ascii="Times New Roman" w:cs="Times New Roman"/>
          <w:b/>
          <w:szCs w:val="32"/>
        </w:rPr>
      </w:pPr>
      <w:r>
        <w:rPr>
          <w:rFonts w:ascii="Times New Roman" w:cs="Times New Roman"/>
          <w:b/>
          <w:szCs w:val="32"/>
        </w:rPr>
        <w:t>1.8.</w:t>
      </w:r>
      <w:r>
        <w:rPr>
          <w:rFonts w:ascii="Times New Roman" w:cs="Times New Roman" w:hint="eastAsia"/>
          <w:b/>
          <w:szCs w:val="32"/>
        </w:rPr>
        <w:t>6</w:t>
      </w:r>
      <w:r>
        <w:rPr>
          <w:rFonts w:ascii="Times New Roman" w:cs="Times New Roman"/>
          <w:b/>
          <w:szCs w:val="32"/>
        </w:rPr>
        <w:t xml:space="preserve"> </w:t>
      </w:r>
      <w:r>
        <w:rPr>
          <w:rFonts w:ascii="Times New Roman" w:cs="Times New Roman"/>
          <w:b/>
          <w:szCs w:val="32"/>
        </w:rPr>
        <w:t>与土壤污染防治行动计划符合性</w:t>
      </w:r>
    </w:p>
    <w:p w:rsidR="00BD5820" w:rsidRDefault="00F64314">
      <w:pPr>
        <w:keepNext/>
        <w:keepLines/>
        <w:ind w:firstLineChars="0" w:firstLine="0"/>
        <w:outlineLvl w:val="2"/>
        <w:rPr>
          <w:rFonts w:ascii="Times New Roman" w:cs="Times New Roman"/>
          <w:b/>
          <w:szCs w:val="32"/>
        </w:rPr>
      </w:pPr>
      <w:r>
        <w:rPr>
          <w:rFonts w:ascii="Times New Roman" w:cs="Times New Roman"/>
          <w:b/>
          <w:szCs w:val="32"/>
        </w:rPr>
        <w:t>1.8.</w:t>
      </w:r>
      <w:r>
        <w:rPr>
          <w:rFonts w:ascii="Times New Roman" w:cs="Times New Roman" w:hint="eastAsia"/>
          <w:b/>
          <w:szCs w:val="32"/>
        </w:rPr>
        <w:t>6</w:t>
      </w:r>
      <w:r>
        <w:rPr>
          <w:rFonts w:ascii="Times New Roman" w:cs="Times New Roman"/>
          <w:b/>
          <w:szCs w:val="32"/>
        </w:rPr>
        <w:t xml:space="preserve"> </w:t>
      </w:r>
      <w:r>
        <w:rPr>
          <w:rFonts w:ascii="Times New Roman" w:cs="Times New Roman"/>
          <w:b/>
          <w:szCs w:val="32"/>
        </w:rPr>
        <w:t>与</w:t>
      </w:r>
      <w:r>
        <w:rPr>
          <w:rFonts w:ascii="Times New Roman" w:cs="Times New Roman" w:hint="eastAsia"/>
          <w:b/>
          <w:szCs w:val="32"/>
        </w:rPr>
        <w:t>《石油天然气开采业污染防治技术政策》</w:t>
      </w:r>
      <w:r>
        <w:rPr>
          <w:rFonts w:ascii="Times New Roman" w:cs="Times New Roman"/>
          <w:b/>
          <w:szCs w:val="32"/>
        </w:rPr>
        <w:t>符合性</w:t>
      </w:r>
    </w:p>
    <w:p w:rsidR="00BD5820" w:rsidRDefault="00F64314">
      <w:pPr>
        <w:pStyle w:val="affa"/>
        <w:ind w:firstLine="480"/>
      </w:pPr>
      <w:r>
        <w:t>项目与</w:t>
      </w:r>
      <w:r>
        <w:rPr>
          <w:rFonts w:hint="eastAsia"/>
        </w:rPr>
        <w:t>《石油天然气开采业污染防治技术政策》</w:t>
      </w:r>
      <w:r>
        <w:t>符合性如下：</w:t>
      </w:r>
    </w:p>
    <w:p w:rsidR="00BD5820" w:rsidRDefault="00F64314">
      <w:pPr>
        <w:pStyle w:val="10"/>
        <w:rPr>
          <w:rFonts w:cs="Times New Roman"/>
        </w:rPr>
      </w:pPr>
      <w:r>
        <w:rPr>
          <w:rFonts w:cs="Times New Roman"/>
        </w:rPr>
        <w:t>表</w:t>
      </w:r>
      <w:r>
        <w:rPr>
          <w:rFonts w:cs="Times New Roman"/>
        </w:rPr>
        <w:t>1.8-</w:t>
      </w:r>
      <w:r>
        <w:rPr>
          <w:rFonts w:cs="Times New Roman" w:hint="eastAsia"/>
        </w:rPr>
        <w:t>4</w:t>
      </w:r>
      <w:r>
        <w:rPr>
          <w:rFonts w:cs="Times New Roman"/>
        </w:rPr>
        <w:t xml:space="preserve">  </w:t>
      </w:r>
      <w:r>
        <w:rPr>
          <w:rFonts w:cs="Times New Roman"/>
        </w:rPr>
        <w:t>与</w:t>
      </w:r>
      <w:r>
        <w:rPr>
          <w:rFonts w:cs="Times New Roman" w:hint="eastAsia"/>
        </w:rPr>
        <w:t>《石油天然气开采业污染防治技术政策》</w:t>
      </w:r>
      <w:r>
        <w:rPr>
          <w:rFonts w:cs="Times New Roman"/>
        </w:rPr>
        <w:t>符合性</w:t>
      </w:r>
    </w:p>
    <w:tbl>
      <w:tblPr>
        <w:tblW w:w="5000" w:type="pct"/>
        <w:tblBorders>
          <w:top w:val="single" w:sz="12" w:space="0" w:color="auto"/>
          <w:bottom w:val="single" w:sz="12" w:space="0" w:color="auto"/>
          <w:insideH w:val="single" w:sz="4" w:space="0" w:color="auto"/>
          <w:insideV w:val="single" w:sz="4" w:space="0" w:color="auto"/>
        </w:tblBorders>
        <w:tblLayout w:type="fixed"/>
        <w:tblLook w:val="04A0"/>
      </w:tblPr>
      <w:tblGrid>
        <w:gridCol w:w="640"/>
        <w:gridCol w:w="4036"/>
        <w:gridCol w:w="2928"/>
        <w:gridCol w:w="918"/>
      </w:tblGrid>
      <w:tr w:rsidR="00BD5820">
        <w:tc>
          <w:tcPr>
            <w:tcW w:w="494" w:type="dxa"/>
            <w:tcBorders>
              <w:tl2br w:val="nil"/>
              <w:tr2bl w:val="nil"/>
            </w:tcBorders>
            <w:shd w:val="clear" w:color="auto" w:fill="auto"/>
            <w:vAlign w:val="center"/>
          </w:tcPr>
          <w:p w:rsidR="00BD5820" w:rsidRDefault="00F64314">
            <w:pPr>
              <w:spacing w:line="240" w:lineRule="auto"/>
              <w:ind w:rightChars="-34" w:right="-82" w:firstLineChars="0" w:firstLine="0"/>
              <w:jc w:val="center"/>
              <w:rPr>
                <w:rFonts w:hAnsi="宋体"/>
              </w:rPr>
            </w:pPr>
            <w:r>
              <w:rPr>
                <w:rFonts w:ascii="Times New Roman" w:hAnsi="宋体" w:hint="eastAsia"/>
                <w:kern w:val="2"/>
                <w:sz w:val="21"/>
              </w:rPr>
              <w:t>序号</w:t>
            </w:r>
          </w:p>
        </w:tc>
        <w:tc>
          <w:tcPr>
            <w:tcW w:w="3118" w:type="dxa"/>
            <w:tcBorders>
              <w:tl2br w:val="nil"/>
              <w:tr2bl w:val="nil"/>
            </w:tcBorders>
            <w:shd w:val="clear" w:color="auto" w:fill="auto"/>
            <w:vAlign w:val="center"/>
          </w:tcPr>
          <w:p w:rsidR="00BD5820" w:rsidRDefault="00F64314">
            <w:pPr>
              <w:spacing w:line="240" w:lineRule="auto"/>
              <w:ind w:firstLineChars="0" w:firstLine="0"/>
              <w:jc w:val="center"/>
              <w:rPr>
                <w:rFonts w:hAnsi="宋体"/>
              </w:rPr>
            </w:pPr>
            <w:r>
              <w:rPr>
                <w:rFonts w:ascii="Times New Roman" w:hAnsi="宋体" w:hint="eastAsia"/>
                <w:kern w:val="2"/>
                <w:sz w:val="21"/>
              </w:rPr>
              <w:t>技术政策要求</w:t>
            </w:r>
          </w:p>
        </w:tc>
        <w:tc>
          <w:tcPr>
            <w:tcW w:w="2262" w:type="dxa"/>
            <w:tcBorders>
              <w:tl2br w:val="nil"/>
              <w:tr2bl w:val="nil"/>
            </w:tcBorders>
            <w:shd w:val="clear" w:color="auto" w:fill="auto"/>
            <w:vAlign w:val="center"/>
          </w:tcPr>
          <w:p w:rsidR="00BD5820" w:rsidRDefault="00F64314">
            <w:pPr>
              <w:spacing w:line="240" w:lineRule="auto"/>
              <w:ind w:firstLineChars="0" w:firstLine="0"/>
              <w:jc w:val="center"/>
              <w:rPr>
                <w:rFonts w:hAnsi="宋体"/>
              </w:rPr>
            </w:pPr>
            <w:r>
              <w:rPr>
                <w:rFonts w:ascii="Times New Roman" w:hAnsi="宋体" w:hint="eastAsia"/>
                <w:kern w:val="2"/>
                <w:sz w:val="21"/>
              </w:rPr>
              <w:t>本项目内容</w:t>
            </w:r>
          </w:p>
        </w:tc>
        <w:tc>
          <w:tcPr>
            <w:tcW w:w="709" w:type="dxa"/>
            <w:tcBorders>
              <w:tl2br w:val="nil"/>
              <w:tr2bl w:val="nil"/>
            </w:tcBorders>
            <w:shd w:val="clear" w:color="auto" w:fill="auto"/>
            <w:vAlign w:val="center"/>
          </w:tcPr>
          <w:p w:rsidR="00BD5820" w:rsidRDefault="00F64314">
            <w:pPr>
              <w:spacing w:line="240" w:lineRule="auto"/>
              <w:ind w:rightChars="-100" w:right="-240" w:firstLineChars="0" w:firstLine="0"/>
              <w:jc w:val="center"/>
              <w:rPr>
                <w:rFonts w:hAnsi="宋体"/>
              </w:rPr>
            </w:pPr>
            <w:r>
              <w:rPr>
                <w:rFonts w:ascii="Times New Roman" w:hAnsi="宋体" w:hint="eastAsia"/>
                <w:kern w:val="2"/>
                <w:sz w:val="21"/>
              </w:rPr>
              <w:t>符合性</w:t>
            </w:r>
          </w:p>
        </w:tc>
      </w:tr>
      <w:tr w:rsidR="00BD5820">
        <w:tc>
          <w:tcPr>
            <w:tcW w:w="494" w:type="dxa"/>
            <w:tcBorders>
              <w:tl2br w:val="nil"/>
              <w:tr2bl w:val="nil"/>
            </w:tcBorders>
            <w:shd w:val="clear" w:color="auto" w:fill="auto"/>
            <w:vAlign w:val="center"/>
          </w:tcPr>
          <w:p w:rsidR="00BD5820" w:rsidRDefault="00F64314">
            <w:pPr>
              <w:spacing w:line="240" w:lineRule="auto"/>
              <w:ind w:firstLineChars="0" w:firstLine="0"/>
              <w:jc w:val="center"/>
              <w:rPr>
                <w:rFonts w:hAnsi="宋体"/>
              </w:rPr>
            </w:pPr>
            <w:r>
              <w:rPr>
                <w:rFonts w:ascii="Times New Roman" w:hAnsi="宋体" w:hint="eastAsia"/>
                <w:kern w:val="2"/>
                <w:sz w:val="21"/>
              </w:rPr>
              <w:t>一</w:t>
            </w:r>
          </w:p>
        </w:tc>
        <w:tc>
          <w:tcPr>
            <w:tcW w:w="6089" w:type="dxa"/>
            <w:gridSpan w:val="3"/>
            <w:tcBorders>
              <w:tl2br w:val="nil"/>
              <w:tr2bl w:val="nil"/>
            </w:tcBorders>
            <w:shd w:val="clear" w:color="auto" w:fill="auto"/>
            <w:vAlign w:val="center"/>
          </w:tcPr>
          <w:p w:rsidR="00BD5820" w:rsidRDefault="00F64314">
            <w:pPr>
              <w:spacing w:line="240" w:lineRule="auto"/>
              <w:ind w:firstLineChars="0" w:firstLine="0"/>
              <w:jc w:val="center"/>
              <w:rPr>
                <w:rFonts w:hAnsi="宋体"/>
              </w:rPr>
            </w:pPr>
            <w:r>
              <w:rPr>
                <w:rFonts w:ascii="Times New Roman" w:hAnsi="宋体" w:hint="eastAsia"/>
                <w:bCs/>
                <w:kern w:val="2"/>
                <w:sz w:val="21"/>
              </w:rPr>
              <w:t>清洁生产</w:t>
            </w:r>
          </w:p>
        </w:tc>
      </w:tr>
      <w:tr w:rsidR="00BD5820">
        <w:trPr>
          <w:trHeight w:val="604"/>
        </w:trPr>
        <w:tc>
          <w:tcPr>
            <w:tcW w:w="494"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rPr>
            </w:pPr>
            <w:r>
              <w:rPr>
                <w:rFonts w:ascii="Times New Roman" w:hAnsi="宋体" w:cs="Times New Roman"/>
                <w:sz w:val="21"/>
              </w:rPr>
              <w:t>1</w:t>
            </w:r>
          </w:p>
        </w:tc>
        <w:tc>
          <w:tcPr>
            <w:tcW w:w="3118"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rPr>
            </w:pPr>
            <w:r>
              <w:rPr>
                <w:rFonts w:ascii="Times New Roman" w:hAnsi="宋体" w:hint="eastAsia"/>
                <w:sz w:val="21"/>
              </w:rPr>
              <w:t>油气田建设应总体规划，优化布局，整体开发，减少占地和油气损失，实现油气和废物的集中收集、处理处置。</w:t>
            </w:r>
          </w:p>
        </w:tc>
        <w:tc>
          <w:tcPr>
            <w:tcW w:w="2262" w:type="dxa"/>
            <w:tcBorders>
              <w:tl2br w:val="nil"/>
              <w:tr2bl w:val="nil"/>
            </w:tcBorders>
            <w:shd w:val="clear" w:color="auto" w:fill="auto"/>
            <w:vAlign w:val="center"/>
          </w:tcPr>
          <w:p w:rsidR="00BD5820" w:rsidRDefault="00F64314">
            <w:pPr>
              <w:pStyle w:val="af7"/>
              <w:spacing w:after="120"/>
              <w:jc w:val="center"/>
              <w:rPr>
                <w:rFonts w:hAnsi="宋体"/>
                <w:sz w:val="21"/>
                <w:szCs w:val="21"/>
              </w:rPr>
            </w:pPr>
            <w:r>
              <w:rPr>
                <w:rFonts w:ascii="宋体" w:hAnsi="宋体" w:hint="eastAsia"/>
                <w:kern w:val="0"/>
                <w:sz w:val="21"/>
                <w:szCs w:val="21"/>
              </w:rPr>
              <w:t>本项目属于</w:t>
            </w:r>
            <w:r>
              <w:rPr>
                <w:rFonts w:ascii="宋体" w:hAnsi="宋体"/>
                <w:kern w:val="0"/>
                <w:sz w:val="21"/>
                <w:szCs w:val="21"/>
              </w:rPr>
              <w:t>天然气</w:t>
            </w:r>
            <w:r>
              <w:rPr>
                <w:rFonts w:ascii="宋体" w:hAnsi="宋体" w:hint="eastAsia"/>
                <w:kern w:val="0"/>
                <w:sz w:val="21"/>
                <w:szCs w:val="21"/>
              </w:rPr>
              <w:t>湿气增压和</w:t>
            </w:r>
            <w:r>
              <w:rPr>
                <w:rFonts w:ascii="宋体" w:hAnsi="宋体"/>
                <w:kern w:val="0"/>
                <w:sz w:val="21"/>
                <w:szCs w:val="21"/>
              </w:rPr>
              <w:t>内部集输工程</w:t>
            </w:r>
            <w:r>
              <w:rPr>
                <w:rFonts w:ascii="宋体" w:hAnsi="宋体" w:hint="eastAsia"/>
                <w:kern w:val="0"/>
                <w:sz w:val="21"/>
                <w:szCs w:val="21"/>
              </w:rPr>
              <w:t>，占地较少，废水收集集中处置，废物收集</w:t>
            </w:r>
            <w:r>
              <w:rPr>
                <w:rFonts w:ascii="宋体" w:hAnsi="宋体" w:hint="eastAsia"/>
                <w:kern w:val="0"/>
                <w:sz w:val="21"/>
                <w:szCs w:val="21"/>
              </w:rPr>
              <w:lastRenderedPageBreak/>
              <w:t>集中处置。</w:t>
            </w:r>
          </w:p>
        </w:tc>
        <w:tc>
          <w:tcPr>
            <w:tcW w:w="709"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rPr>
            </w:pPr>
            <w:r>
              <w:rPr>
                <w:rFonts w:ascii="Times New Roman" w:hAnsi="宋体" w:hint="eastAsia"/>
                <w:sz w:val="21"/>
              </w:rPr>
              <w:lastRenderedPageBreak/>
              <w:t>符合</w:t>
            </w:r>
          </w:p>
        </w:tc>
      </w:tr>
      <w:tr w:rsidR="00BD5820">
        <w:tc>
          <w:tcPr>
            <w:tcW w:w="494"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rPr>
            </w:pPr>
            <w:r>
              <w:rPr>
                <w:rFonts w:ascii="Times New Roman" w:hAnsi="宋体" w:cs="Times New Roman" w:hint="eastAsia"/>
                <w:sz w:val="21"/>
              </w:rPr>
              <w:lastRenderedPageBreak/>
              <w:t>2</w:t>
            </w:r>
          </w:p>
        </w:tc>
        <w:tc>
          <w:tcPr>
            <w:tcW w:w="3118"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rPr>
            </w:pPr>
            <w:r>
              <w:rPr>
                <w:rFonts w:ascii="Times New Roman" w:hAnsi="宋体" w:hint="eastAsia"/>
                <w:sz w:val="21"/>
              </w:rPr>
              <w:t>油气田开发不得使用含有国际公约禁用化学物质的油气田化学剂，逐步淘汰微毒及以上油气田化学剂，鼓励使用无毒油气田化学剂。</w:t>
            </w:r>
          </w:p>
        </w:tc>
        <w:tc>
          <w:tcPr>
            <w:tcW w:w="2262"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rPr>
            </w:pPr>
            <w:r>
              <w:rPr>
                <w:rFonts w:ascii="Times New Roman" w:hAnsi="宋体" w:hint="eastAsia"/>
                <w:sz w:val="21"/>
              </w:rPr>
              <w:t>本项目无国际公约禁用化学物质，符合要求。</w:t>
            </w:r>
          </w:p>
        </w:tc>
        <w:tc>
          <w:tcPr>
            <w:tcW w:w="709"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rPr>
            </w:pPr>
            <w:r>
              <w:rPr>
                <w:rFonts w:ascii="Times New Roman" w:hAnsi="宋体" w:hint="eastAsia"/>
                <w:sz w:val="21"/>
              </w:rPr>
              <w:t>符合</w:t>
            </w:r>
          </w:p>
        </w:tc>
      </w:tr>
      <w:tr w:rsidR="00BD5820">
        <w:tc>
          <w:tcPr>
            <w:tcW w:w="494"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rPr>
            </w:pPr>
            <w:r>
              <w:rPr>
                <w:rFonts w:ascii="Times New Roman" w:hAnsi="宋体" w:cs="Times New Roman"/>
                <w:sz w:val="21"/>
              </w:rPr>
              <w:t>3</w:t>
            </w:r>
          </w:p>
        </w:tc>
        <w:tc>
          <w:tcPr>
            <w:tcW w:w="3118"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rPr>
            </w:pPr>
            <w:r>
              <w:rPr>
                <w:rFonts w:ascii="Times New Roman" w:hAnsi="宋体" w:hint="eastAsia"/>
                <w:sz w:val="21"/>
              </w:rPr>
              <w:t>在油气勘探过程中，宜使用环保型炸药和可控震源，应采取防渗等措施预防燃料泄漏对环境的污染。</w:t>
            </w:r>
          </w:p>
        </w:tc>
        <w:tc>
          <w:tcPr>
            <w:tcW w:w="2262" w:type="dxa"/>
            <w:tcBorders>
              <w:tl2br w:val="nil"/>
              <w:tr2bl w:val="nil"/>
            </w:tcBorders>
            <w:shd w:val="clear" w:color="auto" w:fill="auto"/>
            <w:vAlign w:val="center"/>
          </w:tcPr>
          <w:p w:rsidR="00BD5820" w:rsidRDefault="00F64314">
            <w:pPr>
              <w:pStyle w:val="af7"/>
              <w:spacing w:after="120"/>
              <w:jc w:val="center"/>
              <w:rPr>
                <w:rFonts w:hAnsi="宋体"/>
                <w:sz w:val="21"/>
                <w:szCs w:val="21"/>
              </w:rPr>
            </w:pPr>
            <w:r>
              <w:rPr>
                <w:rFonts w:ascii="宋体" w:hAnsi="宋体" w:hint="eastAsia"/>
                <w:kern w:val="0"/>
                <w:sz w:val="21"/>
                <w:szCs w:val="21"/>
              </w:rPr>
              <w:t>本项目无需炸药，润滑油储罐设置地面硬化防渗和围堰，符合要求。</w:t>
            </w:r>
          </w:p>
        </w:tc>
        <w:tc>
          <w:tcPr>
            <w:tcW w:w="709"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rPr>
            </w:pPr>
            <w:r>
              <w:rPr>
                <w:rFonts w:ascii="Times New Roman" w:hAnsi="宋体" w:hint="eastAsia"/>
                <w:sz w:val="21"/>
              </w:rPr>
              <w:t>符合</w:t>
            </w:r>
          </w:p>
        </w:tc>
      </w:tr>
      <w:tr w:rsidR="00BD5820">
        <w:trPr>
          <w:trHeight w:val="1373"/>
        </w:trPr>
        <w:tc>
          <w:tcPr>
            <w:tcW w:w="494"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rPr>
            </w:pPr>
            <w:r>
              <w:rPr>
                <w:rFonts w:ascii="Times New Roman" w:hAnsi="宋体" w:cs="Times New Roman"/>
                <w:sz w:val="21"/>
              </w:rPr>
              <w:t>4</w:t>
            </w:r>
          </w:p>
        </w:tc>
        <w:tc>
          <w:tcPr>
            <w:tcW w:w="3118"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rPr>
            </w:pPr>
            <w:r>
              <w:rPr>
                <w:rFonts w:ascii="Times New Roman" w:hAnsi="宋体" w:hint="eastAsia"/>
                <w:sz w:val="21"/>
              </w:rPr>
              <w:t>在钻井过程中，鼓励采用环境友好的钻井液体系；配备完善的固控设备，钻井液循环率达到</w:t>
            </w:r>
            <w:r>
              <w:rPr>
                <w:rFonts w:ascii="Times New Roman" w:hAnsi="宋体" w:cs="Times New Roman"/>
                <w:sz w:val="21"/>
              </w:rPr>
              <w:t>95%</w:t>
            </w:r>
            <w:r>
              <w:rPr>
                <w:rFonts w:ascii="Times New Roman" w:hAnsi="宋体" w:hint="eastAsia"/>
                <w:sz w:val="21"/>
              </w:rPr>
              <w:t>以上；钻井过程产生的废水应回用。</w:t>
            </w:r>
          </w:p>
        </w:tc>
        <w:tc>
          <w:tcPr>
            <w:tcW w:w="2262"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rPr>
            </w:pPr>
            <w:r>
              <w:rPr>
                <w:rFonts w:ascii="Times New Roman" w:hAnsi="宋体" w:hint="eastAsia"/>
                <w:sz w:val="21"/>
              </w:rPr>
              <w:t>本项目不涉及</w:t>
            </w:r>
          </w:p>
        </w:tc>
        <w:tc>
          <w:tcPr>
            <w:tcW w:w="709"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rPr>
            </w:pPr>
            <w:r>
              <w:rPr>
                <w:rFonts w:ascii="Times New Roman" w:hAnsi="宋体" w:hint="eastAsia"/>
                <w:sz w:val="21"/>
              </w:rPr>
              <w:t>符合</w:t>
            </w:r>
          </w:p>
        </w:tc>
      </w:tr>
      <w:tr w:rsidR="00BD5820">
        <w:tc>
          <w:tcPr>
            <w:tcW w:w="494"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rPr>
            </w:pPr>
            <w:r>
              <w:rPr>
                <w:rFonts w:ascii="Times New Roman" w:hAnsi="宋体" w:cs="Times New Roman"/>
                <w:sz w:val="21"/>
              </w:rPr>
              <w:t>5</w:t>
            </w:r>
          </w:p>
        </w:tc>
        <w:tc>
          <w:tcPr>
            <w:tcW w:w="3118"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rPr>
            </w:pPr>
            <w:r>
              <w:rPr>
                <w:rFonts w:ascii="Times New Roman" w:hAnsi="宋体" w:hint="eastAsia"/>
                <w:sz w:val="21"/>
              </w:rPr>
              <w:t>在井下作业过程中，酸化液和压裂液宜集中配制，酸化残液、压裂残液和返排液应回收利用或进行无害化处置，压裂放喷返排入罐率应达到</w:t>
            </w:r>
            <w:r>
              <w:rPr>
                <w:rFonts w:ascii="Times New Roman" w:hAnsi="宋体" w:cs="Times New Roman"/>
                <w:sz w:val="21"/>
              </w:rPr>
              <w:t>100%</w:t>
            </w:r>
            <w:r>
              <w:rPr>
                <w:rFonts w:ascii="Times New Roman" w:hAnsi="宋体" w:hint="eastAsia"/>
                <w:sz w:val="21"/>
              </w:rPr>
              <w:t>。酸化、压裂作业和试油（气）过程应采取防喷、地面管线防刺、防漏、防溢等措施。</w:t>
            </w:r>
          </w:p>
        </w:tc>
        <w:tc>
          <w:tcPr>
            <w:tcW w:w="2262"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rPr>
            </w:pPr>
            <w:r>
              <w:rPr>
                <w:rFonts w:ascii="Times New Roman" w:hAnsi="宋体" w:hint="eastAsia"/>
                <w:sz w:val="21"/>
              </w:rPr>
              <w:t>本项目不涉及</w:t>
            </w:r>
          </w:p>
        </w:tc>
        <w:tc>
          <w:tcPr>
            <w:tcW w:w="709"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rPr>
            </w:pPr>
            <w:r>
              <w:rPr>
                <w:rFonts w:ascii="Times New Roman" w:hAnsi="宋体" w:hint="eastAsia"/>
                <w:sz w:val="21"/>
              </w:rPr>
              <w:t>符合</w:t>
            </w:r>
          </w:p>
        </w:tc>
      </w:tr>
      <w:tr w:rsidR="00BD5820">
        <w:tc>
          <w:tcPr>
            <w:tcW w:w="494"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rPr>
            </w:pPr>
            <w:r>
              <w:rPr>
                <w:rFonts w:ascii="Times New Roman" w:hAnsi="宋体" w:hint="eastAsia"/>
                <w:sz w:val="21"/>
              </w:rPr>
              <w:t>二</w:t>
            </w:r>
          </w:p>
        </w:tc>
        <w:tc>
          <w:tcPr>
            <w:tcW w:w="6089" w:type="dxa"/>
            <w:gridSpan w:val="3"/>
            <w:tcBorders>
              <w:tl2br w:val="nil"/>
              <w:tr2bl w:val="nil"/>
            </w:tcBorders>
            <w:shd w:val="clear" w:color="auto" w:fill="auto"/>
            <w:vAlign w:val="center"/>
          </w:tcPr>
          <w:p w:rsidR="00BD5820" w:rsidRDefault="00F64314">
            <w:pPr>
              <w:widowControl/>
              <w:spacing w:line="240" w:lineRule="auto"/>
              <w:ind w:firstLine="420"/>
              <w:jc w:val="center"/>
              <w:rPr>
                <w:rFonts w:hAnsi="宋体"/>
              </w:rPr>
            </w:pPr>
            <w:r>
              <w:rPr>
                <w:rFonts w:ascii="Times New Roman" w:hAnsi="宋体" w:hint="eastAsia"/>
                <w:bCs/>
                <w:sz w:val="21"/>
              </w:rPr>
              <w:t>生态保护</w:t>
            </w:r>
          </w:p>
        </w:tc>
      </w:tr>
      <w:tr w:rsidR="00BD5820">
        <w:tc>
          <w:tcPr>
            <w:tcW w:w="494"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rPr>
            </w:pPr>
            <w:r>
              <w:rPr>
                <w:rFonts w:ascii="Times New Roman" w:hAnsi="宋体" w:cs="Times New Roman"/>
                <w:sz w:val="21"/>
              </w:rPr>
              <w:t>1</w:t>
            </w:r>
          </w:p>
        </w:tc>
        <w:tc>
          <w:tcPr>
            <w:tcW w:w="3118"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rPr>
            </w:pPr>
            <w:r>
              <w:rPr>
                <w:rFonts w:ascii="Times New Roman" w:hAnsi="宋体" w:hint="eastAsia"/>
                <w:sz w:val="21"/>
              </w:rPr>
              <w:t>在开发过程中，伴生气应回收利用，减少温室气体排放，不具备回收利用条件的，应充分燃烧，伴生气回收利用率应达到</w:t>
            </w:r>
            <w:r>
              <w:rPr>
                <w:rFonts w:ascii="Times New Roman" w:hAnsi="宋体" w:cs="Times New Roman"/>
                <w:sz w:val="21"/>
              </w:rPr>
              <w:t xml:space="preserve"> 80%</w:t>
            </w:r>
            <w:r>
              <w:rPr>
                <w:rFonts w:ascii="Times New Roman" w:hAnsi="宋体" w:hint="eastAsia"/>
                <w:sz w:val="21"/>
              </w:rPr>
              <w:t>以上；站场放空天然气应充分燃烧。燃烧放空设施应避开鸟类迁徙通道</w:t>
            </w:r>
          </w:p>
        </w:tc>
        <w:tc>
          <w:tcPr>
            <w:tcW w:w="2262"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rPr>
            </w:pPr>
            <w:r>
              <w:rPr>
                <w:rFonts w:ascii="Times New Roman" w:hAnsi="宋体" w:hint="eastAsia"/>
                <w:sz w:val="21"/>
              </w:rPr>
              <w:t>放空依托现有</w:t>
            </w:r>
          </w:p>
        </w:tc>
        <w:tc>
          <w:tcPr>
            <w:tcW w:w="709"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rPr>
            </w:pPr>
            <w:r>
              <w:rPr>
                <w:rFonts w:ascii="Times New Roman" w:hAnsi="宋体" w:hint="eastAsia"/>
                <w:sz w:val="21"/>
              </w:rPr>
              <w:t>符合</w:t>
            </w:r>
          </w:p>
        </w:tc>
      </w:tr>
      <w:tr w:rsidR="00BD5820">
        <w:tc>
          <w:tcPr>
            <w:tcW w:w="494"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rPr>
            </w:pPr>
            <w:r>
              <w:rPr>
                <w:rFonts w:ascii="Times New Roman" w:hAnsi="宋体" w:hint="eastAsia"/>
                <w:sz w:val="21"/>
              </w:rPr>
              <w:t>三</w:t>
            </w:r>
          </w:p>
        </w:tc>
        <w:tc>
          <w:tcPr>
            <w:tcW w:w="6089" w:type="dxa"/>
            <w:gridSpan w:val="3"/>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rPr>
            </w:pPr>
            <w:r>
              <w:rPr>
                <w:rFonts w:ascii="Times New Roman" w:hAnsi="宋体" w:hint="eastAsia"/>
                <w:bCs/>
                <w:sz w:val="21"/>
              </w:rPr>
              <w:t>污染治理</w:t>
            </w:r>
          </w:p>
        </w:tc>
      </w:tr>
      <w:tr w:rsidR="00BD5820">
        <w:trPr>
          <w:trHeight w:val="78"/>
        </w:trPr>
        <w:tc>
          <w:tcPr>
            <w:tcW w:w="494"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rPr>
            </w:pPr>
            <w:r>
              <w:rPr>
                <w:rFonts w:ascii="Times New Roman" w:hAnsi="宋体" w:cs="Times New Roman"/>
                <w:sz w:val="21"/>
              </w:rPr>
              <w:t>1</w:t>
            </w:r>
          </w:p>
        </w:tc>
        <w:tc>
          <w:tcPr>
            <w:tcW w:w="3118"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b/>
                <w:bCs/>
              </w:rPr>
            </w:pPr>
            <w:r>
              <w:rPr>
                <w:rFonts w:ascii="Times New Roman" w:hAnsi="宋体" w:hint="eastAsia"/>
                <w:sz w:val="21"/>
              </w:rPr>
              <w:t>在钻井和井下作业过程中，鼓励污油、污水进入生产流程循环利用，未进入生产流程的污油、污水应采用固液分离、</w:t>
            </w:r>
            <w:r>
              <w:rPr>
                <w:rFonts w:ascii="Times New Roman" w:hAnsi="宋体" w:cs="Times New Roman"/>
                <w:sz w:val="21"/>
              </w:rPr>
              <w:t xml:space="preserve"> </w:t>
            </w:r>
            <w:r>
              <w:rPr>
                <w:rFonts w:ascii="Times New Roman" w:hAnsi="宋体" w:hint="eastAsia"/>
                <w:sz w:val="21"/>
              </w:rPr>
              <w:t>废水处理一体化装置等处理后达标外排。在油气开发过程中，未回注的油气田采出水宜采用混凝气浮和生化处理相结合的方式。</w:t>
            </w:r>
          </w:p>
        </w:tc>
        <w:tc>
          <w:tcPr>
            <w:tcW w:w="2262"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b/>
                <w:bCs/>
              </w:rPr>
            </w:pPr>
            <w:r>
              <w:rPr>
                <w:rFonts w:ascii="Times New Roman" w:hAnsi="宋体" w:hint="eastAsia"/>
                <w:sz w:val="21"/>
              </w:rPr>
              <w:t>本项目运营期产生的气田水分别经普光</w:t>
            </w:r>
            <w:r>
              <w:rPr>
                <w:rFonts w:ascii="Times New Roman" w:hAnsi="宋体" w:hint="eastAsia"/>
                <w:sz w:val="21"/>
              </w:rPr>
              <w:t>3#</w:t>
            </w:r>
            <w:r>
              <w:rPr>
                <w:rFonts w:ascii="Times New Roman" w:hAnsi="宋体" w:hint="eastAsia"/>
                <w:sz w:val="21"/>
              </w:rPr>
              <w:t>水处理站、</w:t>
            </w:r>
            <w:r>
              <w:rPr>
                <w:rFonts w:ascii="Times New Roman" w:hAnsi="宋体" w:hint="eastAsia"/>
                <w:sz w:val="21"/>
              </w:rPr>
              <w:t>1#</w:t>
            </w:r>
            <w:r>
              <w:rPr>
                <w:rFonts w:ascii="Times New Roman" w:hAnsi="宋体" w:hint="eastAsia"/>
                <w:sz w:val="21"/>
              </w:rPr>
              <w:t>污水处理站集中处理，水处理采用新建预处理流程，满足压裂液配制要求，剩余采出水然后进入深度水处理站处理后回用，不外排。</w:t>
            </w:r>
          </w:p>
        </w:tc>
        <w:tc>
          <w:tcPr>
            <w:tcW w:w="709"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b/>
                <w:bCs/>
              </w:rPr>
            </w:pPr>
            <w:r>
              <w:rPr>
                <w:rFonts w:ascii="Times New Roman" w:hAnsi="宋体" w:hint="eastAsia"/>
                <w:sz w:val="21"/>
              </w:rPr>
              <w:t>符合</w:t>
            </w:r>
          </w:p>
        </w:tc>
      </w:tr>
      <w:tr w:rsidR="00BD5820">
        <w:trPr>
          <w:trHeight w:val="78"/>
        </w:trPr>
        <w:tc>
          <w:tcPr>
            <w:tcW w:w="494"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rPr>
            </w:pPr>
            <w:r>
              <w:rPr>
                <w:rFonts w:ascii="Times New Roman" w:hAnsi="宋体" w:cs="Times New Roman"/>
                <w:kern w:val="2"/>
                <w:sz w:val="21"/>
              </w:rPr>
              <w:t>2</w:t>
            </w:r>
          </w:p>
        </w:tc>
        <w:tc>
          <w:tcPr>
            <w:tcW w:w="3118"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rPr>
            </w:pPr>
            <w:r>
              <w:rPr>
                <w:rFonts w:ascii="Times New Roman" w:hAnsi="宋体" w:hint="eastAsia"/>
                <w:sz w:val="21"/>
              </w:rPr>
              <w:t>固体废物收集、贮存、处理处置设施应按照标准要求采取防渗措施。试油（气）后应立即封闭废弃钻井液贮池。</w:t>
            </w:r>
          </w:p>
        </w:tc>
        <w:tc>
          <w:tcPr>
            <w:tcW w:w="2262"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rPr>
            </w:pPr>
            <w:r>
              <w:rPr>
                <w:rFonts w:ascii="Times New Roman" w:hAnsi="宋体"/>
                <w:sz w:val="21"/>
              </w:rPr>
              <w:t>废润滑油</w:t>
            </w:r>
            <w:r>
              <w:rPr>
                <w:rFonts w:ascii="Times New Roman" w:hAnsi="宋体" w:hint="eastAsia"/>
                <w:sz w:val="21"/>
              </w:rPr>
              <w:t>、过滤</w:t>
            </w:r>
            <w:r>
              <w:rPr>
                <w:rFonts w:ascii="Times New Roman" w:hAnsi="宋体"/>
                <w:sz w:val="21"/>
              </w:rPr>
              <w:t>分离器及污水罐底部产生的污泥暂存于危废暂存间，</w:t>
            </w:r>
            <w:r>
              <w:rPr>
                <w:rFonts w:ascii="Times New Roman" w:hAnsi="宋体"/>
                <w:bCs/>
                <w:sz w:val="21"/>
              </w:rPr>
              <w:t>及时清运</w:t>
            </w:r>
            <w:r>
              <w:rPr>
                <w:rFonts w:ascii="Times New Roman" w:hAnsi="宋体" w:hint="eastAsia"/>
                <w:bCs/>
                <w:sz w:val="21"/>
              </w:rPr>
              <w:t>至企业净化厂</w:t>
            </w:r>
            <w:r>
              <w:rPr>
                <w:rFonts w:ascii="Times New Roman" w:hAnsi="宋体"/>
                <w:bCs/>
                <w:sz w:val="21"/>
              </w:rPr>
              <w:t>危险废物贮存仓库</w:t>
            </w:r>
            <w:r>
              <w:rPr>
                <w:rFonts w:ascii="Times New Roman" w:hAnsi="宋体" w:hint="eastAsia"/>
                <w:bCs/>
                <w:sz w:val="21"/>
              </w:rPr>
              <w:t>（与普光气田</w:t>
            </w:r>
            <w:r>
              <w:rPr>
                <w:rFonts w:ascii="Times New Roman" w:hAnsi="宋体"/>
                <w:bCs/>
                <w:sz w:val="21"/>
              </w:rPr>
              <w:t>1#</w:t>
            </w:r>
            <w:r>
              <w:rPr>
                <w:rFonts w:ascii="Times New Roman" w:hAnsi="宋体" w:hint="eastAsia"/>
                <w:bCs/>
                <w:sz w:val="21"/>
              </w:rPr>
              <w:t>增压站、普光气田</w:t>
            </w:r>
            <w:r>
              <w:rPr>
                <w:rFonts w:ascii="Times New Roman" w:hAnsi="宋体" w:hint="eastAsia"/>
                <w:bCs/>
                <w:sz w:val="21"/>
              </w:rPr>
              <w:t>2</w:t>
            </w:r>
            <w:r>
              <w:rPr>
                <w:rFonts w:ascii="Times New Roman" w:hAnsi="宋体"/>
                <w:bCs/>
                <w:sz w:val="21"/>
              </w:rPr>
              <w:t>#</w:t>
            </w:r>
            <w:r>
              <w:rPr>
                <w:rFonts w:ascii="Times New Roman" w:hAnsi="宋体" w:hint="eastAsia"/>
                <w:bCs/>
                <w:sz w:val="21"/>
              </w:rPr>
              <w:t>增压站运距分别为</w:t>
            </w:r>
            <w:r>
              <w:rPr>
                <w:rFonts w:ascii="Times New Roman" w:hAnsi="宋体" w:hint="eastAsia"/>
                <w:bCs/>
                <w:sz w:val="21"/>
              </w:rPr>
              <w:t>12km</w:t>
            </w:r>
            <w:r>
              <w:rPr>
                <w:rFonts w:ascii="Times New Roman" w:hAnsi="宋体" w:hint="eastAsia"/>
                <w:bCs/>
                <w:sz w:val="21"/>
              </w:rPr>
              <w:t>和</w:t>
            </w:r>
            <w:r>
              <w:rPr>
                <w:rFonts w:ascii="Times New Roman" w:hAnsi="宋体" w:hint="eastAsia"/>
                <w:bCs/>
                <w:sz w:val="21"/>
              </w:rPr>
              <w:t>1.6km</w:t>
            </w:r>
            <w:r>
              <w:rPr>
                <w:rFonts w:ascii="Times New Roman" w:hAnsi="宋体" w:hint="eastAsia"/>
                <w:bCs/>
                <w:sz w:val="21"/>
              </w:rPr>
              <w:t>）</w:t>
            </w:r>
            <w:r>
              <w:rPr>
                <w:rFonts w:ascii="Times New Roman" w:hAnsi="宋体"/>
                <w:bCs/>
                <w:sz w:val="21"/>
              </w:rPr>
              <w:t>，</w:t>
            </w:r>
            <w:r>
              <w:rPr>
                <w:rFonts w:ascii="Times New Roman" w:hAnsi="宋体" w:hint="eastAsia"/>
                <w:bCs/>
                <w:sz w:val="21"/>
              </w:rPr>
              <w:t>定期</w:t>
            </w:r>
            <w:r>
              <w:rPr>
                <w:rFonts w:ascii="Times New Roman" w:hAnsi="宋体"/>
                <w:bCs/>
                <w:sz w:val="21"/>
              </w:rPr>
              <w:t>委托有资质单位进行处理</w:t>
            </w:r>
            <w:r>
              <w:rPr>
                <w:rFonts w:ascii="Times New Roman" w:hAnsi="宋体" w:hint="eastAsia"/>
                <w:sz w:val="21"/>
              </w:rPr>
              <w:t>。</w:t>
            </w:r>
          </w:p>
        </w:tc>
        <w:tc>
          <w:tcPr>
            <w:tcW w:w="709"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b/>
                <w:bCs/>
              </w:rPr>
            </w:pPr>
            <w:r>
              <w:rPr>
                <w:rFonts w:ascii="Times New Roman" w:hAnsi="宋体" w:hint="eastAsia"/>
                <w:sz w:val="21"/>
              </w:rPr>
              <w:t>符合</w:t>
            </w:r>
          </w:p>
        </w:tc>
      </w:tr>
      <w:tr w:rsidR="00BD5820">
        <w:trPr>
          <w:trHeight w:val="78"/>
        </w:trPr>
        <w:tc>
          <w:tcPr>
            <w:tcW w:w="494"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bCs/>
              </w:rPr>
            </w:pPr>
            <w:r>
              <w:rPr>
                <w:rFonts w:ascii="Times New Roman" w:hAnsi="宋体" w:cs="Times New Roman"/>
                <w:bCs/>
                <w:sz w:val="21"/>
              </w:rPr>
              <w:t>3</w:t>
            </w:r>
          </w:p>
        </w:tc>
        <w:tc>
          <w:tcPr>
            <w:tcW w:w="3118"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bCs/>
              </w:rPr>
            </w:pPr>
            <w:r>
              <w:rPr>
                <w:rFonts w:ascii="Times New Roman" w:hAnsi="宋体" w:hint="eastAsia"/>
                <w:sz w:val="21"/>
              </w:rPr>
              <w:t>应回收落地原油，以及原油处理、废水处理产生的油泥（砂）等中的油类物质，含</w:t>
            </w:r>
            <w:r>
              <w:rPr>
                <w:rFonts w:ascii="Times New Roman" w:hAnsi="宋体" w:hint="eastAsia"/>
                <w:sz w:val="21"/>
              </w:rPr>
              <w:lastRenderedPageBreak/>
              <w:t>油污泥资源化利用率应达到</w:t>
            </w:r>
            <w:r>
              <w:rPr>
                <w:rFonts w:ascii="Times New Roman" w:hAnsi="宋体" w:cs="Times New Roman"/>
                <w:sz w:val="21"/>
              </w:rPr>
              <w:t>90%</w:t>
            </w:r>
            <w:r>
              <w:rPr>
                <w:rFonts w:ascii="Times New Roman" w:hAnsi="宋体" w:hint="eastAsia"/>
                <w:sz w:val="21"/>
              </w:rPr>
              <w:t>以上，残余固体废物应按照《国家危险废物名录》和危险废物鉴别标准识别，根据识别结果资源化利用或无害化处置。</w:t>
            </w:r>
          </w:p>
        </w:tc>
        <w:tc>
          <w:tcPr>
            <w:tcW w:w="2262"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bCs/>
              </w:rPr>
            </w:pPr>
            <w:r>
              <w:rPr>
                <w:rFonts w:ascii="Times New Roman" w:hAnsi="宋体" w:hint="eastAsia"/>
                <w:sz w:val="21"/>
              </w:rPr>
              <w:lastRenderedPageBreak/>
              <w:t>不涉及原油，</w:t>
            </w:r>
            <w:r>
              <w:rPr>
                <w:rFonts w:ascii="Times New Roman" w:hAnsi="宋体"/>
                <w:sz w:val="21"/>
              </w:rPr>
              <w:t>废润滑油</w:t>
            </w:r>
            <w:r>
              <w:rPr>
                <w:rFonts w:ascii="Times New Roman" w:hAnsi="宋体" w:hint="eastAsia"/>
                <w:sz w:val="21"/>
              </w:rPr>
              <w:t>、过滤</w:t>
            </w:r>
            <w:r>
              <w:rPr>
                <w:rFonts w:ascii="Times New Roman" w:hAnsi="宋体"/>
                <w:sz w:val="21"/>
              </w:rPr>
              <w:t>分离器及污水罐底部产生的</w:t>
            </w:r>
            <w:r>
              <w:rPr>
                <w:rFonts w:ascii="Times New Roman" w:hAnsi="宋体"/>
                <w:sz w:val="21"/>
              </w:rPr>
              <w:lastRenderedPageBreak/>
              <w:t>污泥暂存于危废暂存间，</w:t>
            </w:r>
            <w:r>
              <w:rPr>
                <w:rFonts w:ascii="Times New Roman" w:hAnsi="宋体"/>
                <w:bCs/>
                <w:sz w:val="21"/>
              </w:rPr>
              <w:t>及时清运</w:t>
            </w:r>
            <w:r>
              <w:rPr>
                <w:rFonts w:ascii="Times New Roman" w:hAnsi="宋体" w:hint="eastAsia"/>
                <w:bCs/>
                <w:sz w:val="21"/>
              </w:rPr>
              <w:t>至企业净化厂</w:t>
            </w:r>
            <w:r>
              <w:rPr>
                <w:rFonts w:ascii="Times New Roman" w:hAnsi="宋体"/>
                <w:bCs/>
                <w:sz w:val="21"/>
              </w:rPr>
              <w:t>危险废物贮存仓库</w:t>
            </w:r>
            <w:r>
              <w:rPr>
                <w:rFonts w:ascii="Times New Roman" w:hAnsi="宋体" w:hint="eastAsia"/>
                <w:bCs/>
                <w:sz w:val="21"/>
              </w:rPr>
              <w:t>（与普光气田</w:t>
            </w:r>
            <w:r>
              <w:rPr>
                <w:rFonts w:ascii="Times New Roman" w:hAnsi="宋体"/>
                <w:bCs/>
                <w:sz w:val="21"/>
              </w:rPr>
              <w:t>1#</w:t>
            </w:r>
            <w:r>
              <w:rPr>
                <w:rFonts w:ascii="Times New Roman" w:hAnsi="宋体" w:hint="eastAsia"/>
                <w:bCs/>
                <w:sz w:val="21"/>
              </w:rPr>
              <w:t>增压站、普光气田</w:t>
            </w:r>
            <w:r>
              <w:rPr>
                <w:rFonts w:ascii="Times New Roman" w:hAnsi="宋体" w:hint="eastAsia"/>
                <w:bCs/>
                <w:sz w:val="21"/>
              </w:rPr>
              <w:t>2</w:t>
            </w:r>
            <w:r>
              <w:rPr>
                <w:rFonts w:ascii="Times New Roman" w:hAnsi="宋体"/>
                <w:bCs/>
                <w:sz w:val="21"/>
              </w:rPr>
              <w:t>#</w:t>
            </w:r>
            <w:r>
              <w:rPr>
                <w:rFonts w:ascii="Times New Roman" w:hAnsi="宋体" w:hint="eastAsia"/>
                <w:bCs/>
                <w:sz w:val="21"/>
              </w:rPr>
              <w:t>增压站运距分别为</w:t>
            </w:r>
            <w:r>
              <w:rPr>
                <w:rFonts w:ascii="Times New Roman" w:hAnsi="宋体" w:hint="eastAsia"/>
                <w:bCs/>
                <w:sz w:val="21"/>
              </w:rPr>
              <w:t>12km</w:t>
            </w:r>
            <w:r>
              <w:rPr>
                <w:rFonts w:ascii="Times New Roman" w:hAnsi="宋体" w:hint="eastAsia"/>
                <w:bCs/>
                <w:sz w:val="21"/>
              </w:rPr>
              <w:t>和</w:t>
            </w:r>
            <w:r>
              <w:rPr>
                <w:rFonts w:ascii="Times New Roman" w:hAnsi="宋体" w:hint="eastAsia"/>
                <w:bCs/>
                <w:sz w:val="21"/>
              </w:rPr>
              <w:t>1.6km</w:t>
            </w:r>
            <w:r>
              <w:rPr>
                <w:rFonts w:ascii="Times New Roman" w:hAnsi="宋体" w:hint="eastAsia"/>
                <w:bCs/>
                <w:sz w:val="21"/>
              </w:rPr>
              <w:t>）</w:t>
            </w:r>
            <w:r>
              <w:rPr>
                <w:rFonts w:ascii="Times New Roman" w:hAnsi="宋体"/>
                <w:bCs/>
                <w:sz w:val="21"/>
              </w:rPr>
              <w:t>，</w:t>
            </w:r>
            <w:r>
              <w:rPr>
                <w:rFonts w:ascii="Times New Roman" w:hAnsi="宋体" w:hint="eastAsia"/>
                <w:bCs/>
                <w:sz w:val="21"/>
              </w:rPr>
              <w:t>定期</w:t>
            </w:r>
            <w:r>
              <w:rPr>
                <w:rFonts w:ascii="Times New Roman" w:hAnsi="宋体"/>
                <w:bCs/>
                <w:sz w:val="21"/>
              </w:rPr>
              <w:t>委托有资质单位进行处理</w:t>
            </w:r>
            <w:r>
              <w:rPr>
                <w:rFonts w:ascii="Times New Roman" w:hAnsi="宋体" w:hint="eastAsia"/>
                <w:sz w:val="21"/>
              </w:rPr>
              <w:t>。</w:t>
            </w:r>
          </w:p>
        </w:tc>
        <w:tc>
          <w:tcPr>
            <w:tcW w:w="709"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bCs/>
              </w:rPr>
            </w:pPr>
            <w:r>
              <w:rPr>
                <w:rFonts w:ascii="Times New Roman" w:hAnsi="宋体" w:hint="eastAsia"/>
                <w:sz w:val="21"/>
              </w:rPr>
              <w:lastRenderedPageBreak/>
              <w:t>符合</w:t>
            </w:r>
          </w:p>
        </w:tc>
      </w:tr>
      <w:tr w:rsidR="00BD5820">
        <w:trPr>
          <w:trHeight w:val="78"/>
        </w:trPr>
        <w:tc>
          <w:tcPr>
            <w:tcW w:w="494"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bCs/>
              </w:rPr>
            </w:pPr>
            <w:r>
              <w:rPr>
                <w:rFonts w:ascii="Times New Roman" w:hAnsi="宋体" w:cs="Times New Roman"/>
                <w:bCs/>
                <w:sz w:val="21"/>
              </w:rPr>
              <w:lastRenderedPageBreak/>
              <w:t>4</w:t>
            </w:r>
          </w:p>
        </w:tc>
        <w:tc>
          <w:tcPr>
            <w:tcW w:w="3118"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bCs/>
              </w:rPr>
            </w:pPr>
            <w:r>
              <w:rPr>
                <w:rFonts w:ascii="Times New Roman" w:hAnsi="宋体" w:hint="eastAsia"/>
                <w:sz w:val="21"/>
              </w:rPr>
              <w:t>对受到油污染的土壤宜采取生物或物化方法进行修复。</w:t>
            </w:r>
          </w:p>
        </w:tc>
        <w:tc>
          <w:tcPr>
            <w:tcW w:w="2262"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bCs/>
              </w:rPr>
            </w:pPr>
            <w:r>
              <w:rPr>
                <w:rFonts w:ascii="Times New Roman" w:hAnsi="宋体" w:hint="eastAsia"/>
                <w:sz w:val="21"/>
              </w:rPr>
              <w:t>不涉及原油，废油很少，通过采取防渗措施，总体不会造成土壤的油污染。</w:t>
            </w:r>
          </w:p>
        </w:tc>
        <w:tc>
          <w:tcPr>
            <w:tcW w:w="709"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bCs/>
              </w:rPr>
            </w:pPr>
            <w:r>
              <w:rPr>
                <w:rFonts w:ascii="Times New Roman" w:hAnsi="宋体" w:hint="eastAsia"/>
                <w:sz w:val="21"/>
              </w:rPr>
              <w:t>符合</w:t>
            </w:r>
          </w:p>
        </w:tc>
      </w:tr>
      <w:tr w:rsidR="00BD5820">
        <w:trPr>
          <w:trHeight w:val="78"/>
        </w:trPr>
        <w:tc>
          <w:tcPr>
            <w:tcW w:w="494"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bCs/>
              </w:rPr>
            </w:pPr>
            <w:r>
              <w:rPr>
                <w:rFonts w:ascii="Times New Roman" w:hAnsi="宋体" w:hint="eastAsia"/>
                <w:bCs/>
                <w:sz w:val="21"/>
              </w:rPr>
              <w:t>四</w:t>
            </w:r>
          </w:p>
        </w:tc>
        <w:tc>
          <w:tcPr>
            <w:tcW w:w="6089" w:type="dxa"/>
            <w:gridSpan w:val="3"/>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rPr>
            </w:pPr>
            <w:r>
              <w:rPr>
                <w:rFonts w:ascii="Times New Roman" w:hAnsi="宋体" w:hint="eastAsia"/>
                <w:bCs/>
                <w:sz w:val="21"/>
              </w:rPr>
              <w:t>运行风险和环境管理</w:t>
            </w:r>
          </w:p>
        </w:tc>
      </w:tr>
      <w:tr w:rsidR="00BD5820">
        <w:trPr>
          <w:trHeight w:val="172"/>
        </w:trPr>
        <w:tc>
          <w:tcPr>
            <w:tcW w:w="494"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rPr>
            </w:pPr>
            <w:r>
              <w:rPr>
                <w:rFonts w:ascii="Times New Roman" w:hAnsi="宋体" w:cs="Times New Roman"/>
                <w:kern w:val="2"/>
                <w:sz w:val="21"/>
              </w:rPr>
              <w:t>1</w:t>
            </w:r>
          </w:p>
          <w:p w:rsidR="00BD5820" w:rsidRDefault="00BD5820">
            <w:pPr>
              <w:widowControl/>
              <w:spacing w:line="240" w:lineRule="auto"/>
              <w:ind w:firstLine="480"/>
              <w:jc w:val="center"/>
              <w:rPr>
                <w:rFonts w:hAnsi="宋体"/>
              </w:rPr>
            </w:pPr>
          </w:p>
        </w:tc>
        <w:tc>
          <w:tcPr>
            <w:tcW w:w="3118"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rPr>
            </w:pPr>
            <w:r>
              <w:rPr>
                <w:rFonts w:ascii="Times New Roman" w:hAnsi="宋体" w:hint="eastAsia"/>
                <w:sz w:val="21"/>
              </w:rPr>
              <w:t>油气田企业应制定环境保护管理规定，建立并运行健康、安全与环境管理体系。</w:t>
            </w:r>
          </w:p>
        </w:tc>
        <w:tc>
          <w:tcPr>
            <w:tcW w:w="2262"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rPr>
            </w:pPr>
            <w:r>
              <w:rPr>
                <w:rFonts w:ascii="Times New Roman" w:hAnsi="宋体" w:hint="eastAsia"/>
                <w:sz w:val="21"/>
              </w:rPr>
              <w:t>本项目业主制定有完善的环境保护管理规定，并建立运行健康、安全与环境管理体系。</w:t>
            </w:r>
          </w:p>
        </w:tc>
        <w:tc>
          <w:tcPr>
            <w:tcW w:w="709"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rPr>
            </w:pPr>
            <w:r>
              <w:rPr>
                <w:rFonts w:ascii="Times New Roman" w:hAnsi="宋体" w:hint="eastAsia"/>
                <w:sz w:val="21"/>
              </w:rPr>
              <w:t>符合</w:t>
            </w:r>
          </w:p>
        </w:tc>
      </w:tr>
      <w:tr w:rsidR="00BD5820">
        <w:trPr>
          <w:trHeight w:val="172"/>
        </w:trPr>
        <w:tc>
          <w:tcPr>
            <w:tcW w:w="494"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rPr>
            </w:pPr>
            <w:r>
              <w:rPr>
                <w:rFonts w:ascii="Times New Roman" w:hAnsi="宋体" w:cs="Times New Roman"/>
                <w:sz w:val="21"/>
              </w:rPr>
              <w:t>2</w:t>
            </w:r>
          </w:p>
        </w:tc>
        <w:tc>
          <w:tcPr>
            <w:tcW w:w="3118"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rPr>
            </w:pPr>
            <w:r>
              <w:rPr>
                <w:rFonts w:ascii="Times New Roman" w:hAnsi="宋体" w:hint="eastAsia"/>
                <w:sz w:val="21"/>
              </w:rPr>
              <w:t>加强油气田建设、开发过程的环境监督管理。油气田建设过程应开展工程环境监理。</w:t>
            </w:r>
          </w:p>
        </w:tc>
        <w:tc>
          <w:tcPr>
            <w:tcW w:w="2262"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rPr>
            </w:pPr>
            <w:r>
              <w:rPr>
                <w:rFonts w:ascii="Times New Roman" w:hAnsi="宋体" w:hint="eastAsia"/>
                <w:sz w:val="21"/>
              </w:rPr>
              <w:t>本项目制定有环境监理计划</w:t>
            </w:r>
            <w:r>
              <w:rPr>
                <w:rFonts w:ascii="Times New Roman" w:hAnsi="宋体" w:cs="Times New Roman"/>
                <w:sz w:val="21"/>
              </w:rPr>
              <w:t xml:space="preserve"> </w:t>
            </w:r>
            <w:r>
              <w:rPr>
                <w:rFonts w:ascii="Times New Roman" w:hAnsi="宋体" w:hint="eastAsia"/>
                <w:sz w:val="21"/>
              </w:rPr>
              <w:t>。</w:t>
            </w:r>
          </w:p>
        </w:tc>
        <w:tc>
          <w:tcPr>
            <w:tcW w:w="709"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rPr>
            </w:pPr>
            <w:r>
              <w:rPr>
                <w:rFonts w:ascii="Times New Roman" w:hAnsi="宋体" w:hint="eastAsia"/>
                <w:sz w:val="21"/>
              </w:rPr>
              <w:t>符合</w:t>
            </w:r>
          </w:p>
        </w:tc>
      </w:tr>
      <w:tr w:rsidR="00BD5820">
        <w:trPr>
          <w:trHeight w:val="90"/>
        </w:trPr>
        <w:tc>
          <w:tcPr>
            <w:tcW w:w="494"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rPr>
            </w:pPr>
            <w:r>
              <w:rPr>
                <w:rFonts w:ascii="Times New Roman" w:hAnsi="宋体" w:cs="Times New Roman"/>
                <w:sz w:val="21"/>
              </w:rPr>
              <w:t>3</w:t>
            </w:r>
          </w:p>
        </w:tc>
        <w:tc>
          <w:tcPr>
            <w:tcW w:w="3118"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rPr>
            </w:pPr>
            <w:r>
              <w:rPr>
                <w:rFonts w:ascii="Times New Roman" w:hAnsi="宋体" w:hint="eastAsia"/>
                <w:sz w:val="21"/>
              </w:rPr>
              <w:t>在开发过程中，企业应加强油气井套管的检测和维护，防止油气泄漏污染地下水。</w:t>
            </w:r>
          </w:p>
        </w:tc>
        <w:tc>
          <w:tcPr>
            <w:tcW w:w="2262"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rPr>
            </w:pPr>
            <w:r>
              <w:rPr>
                <w:rFonts w:ascii="Times New Roman" w:hAnsi="宋体" w:hint="eastAsia"/>
                <w:sz w:val="21"/>
              </w:rPr>
              <w:t>本项目制定了套管检测和维护计划和制度，防止天然气泄露污染地下水。</w:t>
            </w:r>
          </w:p>
        </w:tc>
        <w:tc>
          <w:tcPr>
            <w:tcW w:w="709"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rPr>
            </w:pPr>
            <w:r>
              <w:rPr>
                <w:rFonts w:ascii="Times New Roman" w:hAnsi="宋体" w:hint="eastAsia"/>
                <w:sz w:val="21"/>
              </w:rPr>
              <w:t>符合</w:t>
            </w:r>
          </w:p>
        </w:tc>
      </w:tr>
      <w:tr w:rsidR="00BD5820">
        <w:trPr>
          <w:trHeight w:val="172"/>
        </w:trPr>
        <w:tc>
          <w:tcPr>
            <w:tcW w:w="494"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rPr>
            </w:pPr>
            <w:r>
              <w:rPr>
                <w:rFonts w:ascii="Times New Roman" w:hAnsi="宋体" w:cs="Times New Roman"/>
                <w:sz w:val="21"/>
              </w:rPr>
              <w:t>4</w:t>
            </w:r>
          </w:p>
        </w:tc>
        <w:tc>
          <w:tcPr>
            <w:tcW w:w="3118"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rPr>
            </w:pPr>
            <w:r>
              <w:rPr>
                <w:rFonts w:ascii="Times New Roman" w:hAnsi="宋体" w:hint="eastAsia"/>
                <w:sz w:val="21"/>
              </w:rPr>
              <w:t>油气田企业应建立环境保护人员培训制度，环境监测人员、统计人员、污染治理设施操作人员应经培训合格后上岗。</w:t>
            </w:r>
          </w:p>
        </w:tc>
        <w:tc>
          <w:tcPr>
            <w:tcW w:w="2262"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rPr>
            </w:pPr>
            <w:r>
              <w:rPr>
                <w:rFonts w:ascii="Times New Roman" w:hAnsi="宋体" w:hint="eastAsia"/>
                <w:sz w:val="21"/>
              </w:rPr>
              <w:t>本项目建设单位设置有专门的环境管理部门，并制定有完善的环境管理制度和培训制度。</w:t>
            </w:r>
          </w:p>
        </w:tc>
        <w:tc>
          <w:tcPr>
            <w:tcW w:w="709"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rPr>
            </w:pPr>
            <w:r>
              <w:rPr>
                <w:rFonts w:ascii="Times New Roman" w:hAnsi="宋体" w:hint="eastAsia"/>
                <w:sz w:val="21"/>
              </w:rPr>
              <w:t>符合</w:t>
            </w:r>
          </w:p>
        </w:tc>
      </w:tr>
      <w:tr w:rsidR="00BD5820">
        <w:trPr>
          <w:trHeight w:val="172"/>
        </w:trPr>
        <w:tc>
          <w:tcPr>
            <w:tcW w:w="494"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rPr>
            </w:pPr>
            <w:r>
              <w:rPr>
                <w:rFonts w:ascii="Times New Roman" w:hAnsi="宋体" w:cs="Times New Roman"/>
                <w:sz w:val="21"/>
              </w:rPr>
              <w:t>5</w:t>
            </w:r>
          </w:p>
        </w:tc>
        <w:tc>
          <w:tcPr>
            <w:tcW w:w="3118"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rPr>
            </w:pPr>
            <w:r>
              <w:rPr>
                <w:rFonts w:ascii="Times New Roman" w:hAnsi="宋体" w:hint="eastAsia"/>
                <w:sz w:val="21"/>
              </w:rPr>
              <w:t>油气田企业应对开发过程进行环境风险因素识别，制定突发环境事件应急预案并定期进行演练。应开展特征污染物监测工作，采取环境风险防范和应急措施，防止发生由突发性油气泄漏产生的环境事故。</w:t>
            </w:r>
          </w:p>
        </w:tc>
        <w:tc>
          <w:tcPr>
            <w:tcW w:w="2262"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rPr>
            </w:pPr>
            <w:r>
              <w:rPr>
                <w:rFonts w:ascii="Times New Roman" w:hAnsi="宋体" w:hint="eastAsia"/>
                <w:sz w:val="21"/>
              </w:rPr>
              <w:t>本项目建设单位设置有突发环境事件应急预案，并定期举行演练。在站场周边设置有事故监测点，实时监测危险因子。</w:t>
            </w:r>
          </w:p>
        </w:tc>
        <w:tc>
          <w:tcPr>
            <w:tcW w:w="709" w:type="dxa"/>
            <w:tcBorders>
              <w:tl2br w:val="nil"/>
              <w:tr2bl w:val="nil"/>
            </w:tcBorders>
            <w:shd w:val="clear" w:color="auto" w:fill="auto"/>
            <w:vAlign w:val="center"/>
          </w:tcPr>
          <w:p w:rsidR="00BD5820" w:rsidRDefault="00F64314">
            <w:pPr>
              <w:widowControl/>
              <w:spacing w:line="240" w:lineRule="auto"/>
              <w:ind w:firstLineChars="0" w:firstLine="0"/>
              <w:jc w:val="center"/>
              <w:rPr>
                <w:rFonts w:hAnsi="宋体"/>
              </w:rPr>
            </w:pPr>
            <w:r>
              <w:rPr>
                <w:rFonts w:ascii="Times New Roman" w:hAnsi="宋体" w:hint="eastAsia"/>
                <w:sz w:val="21"/>
              </w:rPr>
              <w:t>符合</w:t>
            </w:r>
          </w:p>
        </w:tc>
      </w:tr>
    </w:tbl>
    <w:p w:rsidR="00BD5820" w:rsidRDefault="00F64314">
      <w:pPr>
        <w:pStyle w:val="affa"/>
        <w:ind w:firstLine="480"/>
      </w:pPr>
      <w:r>
        <w:t>经上表分析，项目建设与</w:t>
      </w:r>
      <w:r>
        <w:rPr>
          <w:rFonts w:hint="eastAsia"/>
        </w:rPr>
        <w:t>《石油天然气开采业污染防治技术政策》</w:t>
      </w:r>
      <w:r>
        <w:t>相符。</w:t>
      </w:r>
    </w:p>
    <w:p w:rsidR="00BD5820" w:rsidRDefault="00F64314">
      <w:pPr>
        <w:keepNext/>
        <w:keepLines/>
        <w:ind w:firstLineChars="0" w:firstLine="0"/>
        <w:outlineLvl w:val="2"/>
        <w:rPr>
          <w:rFonts w:ascii="Times New Roman" w:cs="Times New Roman"/>
          <w:b/>
          <w:szCs w:val="32"/>
        </w:rPr>
      </w:pPr>
      <w:r>
        <w:rPr>
          <w:rFonts w:ascii="Times New Roman" w:cs="Times New Roman"/>
          <w:b/>
          <w:szCs w:val="32"/>
        </w:rPr>
        <w:t>1.8.</w:t>
      </w:r>
      <w:r>
        <w:rPr>
          <w:rFonts w:ascii="Times New Roman" w:cs="Times New Roman" w:hint="eastAsia"/>
          <w:b/>
          <w:szCs w:val="32"/>
        </w:rPr>
        <w:t>7</w:t>
      </w:r>
      <w:r>
        <w:rPr>
          <w:rFonts w:ascii="Times New Roman" w:cs="Times New Roman"/>
          <w:b/>
          <w:szCs w:val="32"/>
        </w:rPr>
        <w:t xml:space="preserve"> </w:t>
      </w:r>
      <w:r>
        <w:rPr>
          <w:rFonts w:ascii="Times New Roman" w:cs="Times New Roman"/>
          <w:b/>
          <w:szCs w:val="32"/>
        </w:rPr>
        <w:t>与《关于进一步加强石油天然气行业环境影响评价管理的通知》（环办环评函〔</w:t>
      </w:r>
      <w:r>
        <w:rPr>
          <w:rFonts w:ascii="Times New Roman" w:cs="Times New Roman"/>
          <w:b/>
          <w:szCs w:val="32"/>
        </w:rPr>
        <w:t>2019</w:t>
      </w:r>
      <w:r>
        <w:rPr>
          <w:rFonts w:ascii="Times New Roman" w:cs="Times New Roman"/>
          <w:b/>
          <w:szCs w:val="32"/>
        </w:rPr>
        <w:t>〕</w:t>
      </w:r>
      <w:r>
        <w:rPr>
          <w:rFonts w:ascii="Times New Roman" w:cs="Times New Roman"/>
          <w:b/>
          <w:szCs w:val="32"/>
        </w:rPr>
        <w:t>910</w:t>
      </w:r>
      <w:r>
        <w:rPr>
          <w:rFonts w:ascii="Times New Roman" w:cs="Times New Roman"/>
          <w:b/>
          <w:szCs w:val="32"/>
        </w:rPr>
        <w:t>号）符合性分析</w:t>
      </w:r>
    </w:p>
    <w:p w:rsidR="00BD5820" w:rsidRDefault="00F64314">
      <w:pPr>
        <w:pStyle w:val="affa"/>
        <w:ind w:firstLine="480"/>
      </w:pPr>
      <w:r>
        <w:t>本项目与《关于进一步加强石油天然气行业环境影响评价管理的通知》（环办环评函〔</w:t>
      </w:r>
      <w:r>
        <w:t>2019</w:t>
      </w:r>
      <w:r>
        <w:t>〕</w:t>
      </w:r>
      <w:r>
        <w:t>910</w:t>
      </w:r>
      <w:r>
        <w:t>号）对比分析详见表</w:t>
      </w:r>
      <w:r>
        <w:t>1.8-</w:t>
      </w:r>
      <w:r>
        <w:rPr>
          <w:rFonts w:hint="eastAsia"/>
        </w:rPr>
        <w:t>5</w:t>
      </w:r>
      <w:r>
        <w:rPr>
          <w:rFonts w:hint="eastAsia"/>
        </w:rPr>
        <w:t>。</w:t>
      </w:r>
    </w:p>
    <w:p w:rsidR="00BD5820" w:rsidRDefault="00F64314">
      <w:pPr>
        <w:ind w:firstLineChars="0" w:firstLine="480"/>
        <w:jc w:val="center"/>
        <w:rPr>
          <w:rFonts w:ascii="Times New Roman" w:cs="Times New Roman"/>
          <w:b/>
          <w:sz w:val="21"/>
        </w:rPr>
      </w:pPr>
      <w:r>
        <w:rPr>
          <w:rFonts w:ascii="Times New Roman" w:cs="Times New Roman"/>
          <w:b/>
          <w:sz w:val="21"/>
        </w:rPr>
        <w:t>表</w:t>
      </w:r>
      <w:r>
        <w:rPr>
          <w:rFonts w:ascii="Times New Roman" w:cs="Times New Roman"/>
          <w:b/>
          <w:sz w:val="21"/>
        </w:rPr>
        <w:t>1.8-</w:t>
      </w:r>
      <w:r>
        <w:rPr>
          <w:rFonts w:ascii="Times New Roman" w:cs="Times New Roman" w:hint="eastAsia"/>
          <w:b/>
          <w:sz w:val="21"/>
        </w:rPr>
        <w:t>5</w:t>
      </w:r>
      <w:r>
        <w:rPr>
          <w:rFonts w:ascii="Times New Roman" w:cs="Times New Roman"/>
          <w:b/>
          <w:sz w:val="21"/>
        </w:rPr>
        <w:t xml:space="preserve">  </w:t>
      </w:r>
      <w:r>
        <w:rPr>
          <w:rFonts w:ascii="Times New Roman" w:cs="Times New Roman"/>
          <w:b/>
          <w:sz w:val="21"/>
        </w:rPr>
        <w:t>与关于进一步加强石油天然气行业环境影响评价管理的通知符合性</w:t>
      </w:r>
    </w:p>
    <w:tbl>
      <w:tblPr>
        <w:tblW w:w="8926" w:type="dxa"/>
        <w:jc w:val="center"/>
        <w:tblBorders>
          <w:top w:val="single" w:sz="12" w:space="0" w:color="auto"/>
          <w:bottom w:val="single" w:sz="12" w:space="0" w:color="auto"/>
          <w:insideH w:val="single" w:sz="4" w:space="0" w:color="auto"/>
          <w:insideV w:val="single" w:sz="4" w:space="0" w:color="auto"/>
        </w:tblBorders>
        <w:tblLayout w:type="fixed"/>
        <w:tblCellMar>
          <w:left w:w="28" w:type="dxa"/>
          <w:right w:w="28" w:type="dxa"/>
        </w:tblCellMar>
        <w:tblLook w:val="04A0"/>
      </w:tblPr>
      <w:tblGrid>
        <w:gridCol w:w="908"/>
        <w:gridCol w:w="4474"/>
        <w:gridCol w:w="2410"/>
        <w:gridCol w:w="1134"/>
      </w:tblGrid>
      <w:tr w:rsidR="00BD5820">
        <w:trPr>
          <w:trHeight w:val="103"/>
          <w:tblHeader/>
          <w:jc w:val="center"/>
        </w:trPr>
        <w:tc>
          <w:tcPr>
            <w:tcW w:w="509" w:type="pct"/>
            <w:vAlign w:val="center"/>
          </w:tcPr>
          <w:p w:rsidR="00BD5820" w:rsidRDefault="00F64314">
            <w:pPr>
              <w:spacing w:line="240" w:lineRule="auto"/>
              <w:ind w:firstLineChars="0" w:firstLine="0"/>
              <w:jc w:val="center"/>
              <w:rPr>
                <w:rFonts w:ascii="Times New Roman" w:cs="Times New Roman"/>
                <w:b/>
                <w:bCs/>
                <w:sz w:val="21"/>
                <w:szCs w:val="21"/>
              </w:rPr>
            </w:pPr>
            <w:r>
              <w:rPr>
                <w:rFonts w:ascii="Times New Roman" w:cs="Times New Roman"/>
                <w:b/>
                <w:bCs/>
                <w:sz w:val="21"/>
                <w:szCs w:val="21"/>
              </w:rPr>
              <w:t>序号</w:t>
            </w:r>
          </w:p>
        </w:tc>
        <w:tc>
          <w:tcPr>
            <w:tcW w:w="2506" w:type="pct"/>
            <w:vAlign w:val="center"/>
          </w:tcPr>
          <w:p w:rsidR="00BD5820" w:rsidRDefault="00F64314">
            <w:pPr>
              <w:spacing w:line="240" w:lineRule="auto"/>
              <w:ind w:firstLineChars="0" w:firstLine="0"/>
              <w:jc w:val="center"/>
              <w:rPr>
                <w:rFonts w:ascii="Times New Roman" w:cs="Times New Roman"/>
                <w:b/>
                <w:bCs/>
                <w:sz w:val="21"/>
                <w:szCs w:val="21"/>
              </w:rPr>
            </w:pPr>
            <w:r>
              <w:rPr>
                <w:rFonts w:ascii="Times New Roman" w:cs="Times New Roman"/>
                <w:b/>
                <w:bCs/>
                <w:sz w:val="21"/>
                <w:szCs w:val="21"/>
              </w:rPr>
              <w:t>技术政策要求</w:t>
            </w:r>
          </w:p>
        </w:tc>
        <w:tc>
          <w:tcPr>
            <w:tcW w:w="1350" w:type="pct"/>
            <w:vAlign w:val="center"/>
          </w:tcPr>
          <w:p w:rsidR="00BD5820" w:rsidRDefault="00F64314">
            <w:pPr>
              <w:spacing w:line="240" w:lineRule="auto"/>
              <w:ind w:firstLineChars="0" w:firstLine="0"/>
              <w:jc w:val="center"/>
              <w:rPr>
                <w:rFonts w:ascii="Times New Roman" w:cs="Times New Roman"/>
                <w:b/>
                <w:bCs/>
                <w:sz w:val="21"/>
                <w:szCs w:val="21"/>
              </w:rPr>
            </w:pPr>
            <w:r>
              <w:rPr>
                <w:rFonts w:ascii="Times New Roman" w:cs="Times New Roman"/>
                <w:b/>
                <w:bCs/>
                <w:sz w:val="21"/>
                <w:szCs w:val="21"/>
              </w:rPr>
              <w:t>项目内容</w:t>
            </w:r>
          </w:p>
        </w:tc>
        <w:tc>
          <w:tcPr>
            <w:tcW w:w="635" w:type="pct"/>
            <w:vAlign w:val="center"/>
          </w:tcPr>
          <w:p w:rsidR="00BD5820" w:rsidRDefault="00F64314">
            <w:pPr>
              <w:spacing w:line="240" w:lineRule="auto"/>
              <w:ind w:firstLineChars="0" w:firstLine="0"/>
              <w:jc w:val="center"/>
              <w:rPr>
                <w:rFonts w:ascii="Times New Roman" w:cs="Times New Roman"/>
                <w:b/>
                <w:bCs/>
                <w:sz w:val="21"/>
                <w:szCs w:val="21"/>
              </w:rPr>
            </w:pPr>
            <w:r>
              <w:rPr>
                <w:rFonts w:ascii="Times New Roman" w:cs="Times New Roman"/>
                <w:b/>
                <w:bCs/>
                <w:sz w:val="21"/>
                <w:szCs w:val="21"/>
              </w:rPr>
              <w:t>符合性</w:t>
            </w:r>
          </w:p>
        </w:tc>
      </w:tr>
      <w:tr w:rsidR="00BD5820">
        <w:trPr>
          <w:trHeight w:val="258"/>
          <w:jc w:val="center"/>
        </w:trPr>
        <w:tc>
          <w:tcPr>
            <w:tcW w:w="509" w:type="pct"/>
            <w:vAlign w:val="center"/>
          </w:tcPr>
          <w:p w:rsidR="00BD5820" w:rsidRDefault="00F64314">
            <w:pPr>
              <w:pStyle w:val="1L"/>
            </w:pPr>
            <w:r>
              <w:t>一</w:t>
            </w:r>
          </w:p>
        </w:tc>
        <w:tc>
          <w:tcPr>
            <w:tcW w:w="4491" w:type="pct"/>
            <w:gridSpan w:val="3"/>
            <w:vAlign w:val="center"/>
          </w:tcPr>
          <w:p w:rsidR="00BD5820" w:rsidRDefault="00F64314">
            <w:pPr>
              <w:pStyle w:val="1L"/>
            </w:pPr>
            <w:r>
              <w:t>推进规划环境影响评价</w:t>
            </w:r>
          </w:p>
        </w:tc>
      </w:tr>
      <w:tr w:rsidR="00BD5820">
        <w:trPr>
          <w:trHeight w:val="258"/>
          <w:jc w:val="center"/>
        </w:trPr>
        <w:tc>
          <w:tcPr>
            <w:tcW w:w="509" w:type="pct"/>
            <w:vAlign w:val="center"/>
          </w:tcPr>
          <w:p w:rsidR="00BD5820" w:rsidRDefault="00F64314">
            <w:pPr>
              <w:pStyle w:val="1L"/>
            </w:pPr>
            <w:r>
              <w:t>（</w:t>
            </w:r>
            <w:r>
              <w:t>2</w:t>
            </w:r>
            <w:r>
              <w:t>）</w:t>
            </w:r>
          </w:p>
        </w:tc>
        <w:tc>
          <w:tcPr>
            <w:tcW w:w="2506" w:type="pct"/>
            <w:vAlign w:val="center"/>
          </w:tcPr>
          <w:p w:rsidR="00BD5820" w:rsidRDefault="00F64314">
            <w:pPr>
              <w:pStyle w:val="1L"/>
            </w:pPr>
            <w:r>
              <w:t>油气企业在编制内部相关油气开发专项规划时，鼓励同步编制规划环境影响报告书。</w:t>
            </w:r>
          </w:p>
        </w:tc>
        <w:tc>
          <w:tcPr>
            <w:tcW w:w="1350" w:type="pct"/>
            <w:vAlign w:val="center"/>
          </w:tcPr>
          <w:p w:rsidR="00BD5820" w:rsidRDefault="00F64314">
            <w:pPr>
              <w:pStyle w:val="1L"/>
            </w:pPr>
            <w:r>
              <w:t>未编制相油气开发专项规划环境影响报告书。</w:t>
            </w:r>
          </w:p>
        </w:tc>
        <w:tc>
          <w:tcPr>
            <w:tcW w:w="635" w:type="pct"/>
            <w:vAlign w:val="center"/>
          </w:tcPr>
          <w:p w:rsidR="00BD5820" w:rsidRDefault="00F64314">
            <w:pPr>
              <w:pStyle w:val="1L"/>
            </w:pPr>
            <w:r>
              <w:t>非强制性要求，不违背。</w:t>
            </w:r>
          </w:p>
        </w:tc>
      </w:tr>
      <w:tr w:rsidR="00BD5820">
        <w:trPr>
          <w:trHeight w:val="258"/>
          <w:jc w:val="center"/>
        </w:trPr>
        <w:tc>
          <w:tcPr>
            <w:tcW w:w="509" w:type="pct"/>
            <w:vAlign w:val="center"/>
          </w:tcPr>
          <w:p w:rsidR="00BD5820" w:rsidRDefault="00F64314">
            <w:pPr>
              <w:pStyle w:val="1L"/>
            </w:pPr>
            <w:r>
              <w:t>二</w:t>
            </w:r>
          </w:p>
        </w:tc>
        <w:tc>
          <w:tcPr>
            <w:tcW w:w="4491" w:type="pct"/>
            <w:gridSpan w:val="3"/>
            <w:vAlign w:val="center"/>
          </w:tcPr>
          <w:p w:rsidR="00BD5820" w:rsidRDefault="00F64314">
            <w:pPr>
              <w:pStyle w:val="1L"/>
            </w:pPr>
            <w:r>
              <w:t>深化项目环评</w:t>
            </w:r>
            <w:r>
              <w:t>“</w:t>
            </w:r>
            <w:r>
              <w:t>放管服</w:t>
            </w:r>
            <w:r>
              <w:t>”</w:t>
            </w:r>
            <w:r>
              <w:t>改革</w:t>
            </w:r>
          </w:p>
        </w:tc>
      </w:tr>
      <w:tr w:rsidR="00BD5820">
        <w:trPr>
          <w:trHeight w:val="258"/>
          <w:jc w:val="center"/>
        </w:trPr>
        <w:tc>
          <w:tcPr>
            <w:tcW w:w="509" w:type="pct"/>
            <w:vAlign w:val="center"/>
          </w:tcPr>
          <w:p w:rsidR="00BD5820" w:rsidRDefault="00F64314">
            <w:pPr>
              <w:pStyle w:val="1L"/>
            </w:pPr>
            <w:r>
              <w:t>（</w:t>
            </w:r>
            <w:r>
              <w:t>4</w:t>
            </w:r>
            <w:r>
              <w:t>）</w:t>
            </w:r>
          </w:p>
        </w:tc>
        <w:tc>
          <w:tcPr>
            <w:tcW w:w="2506" w:type="pct"/>
            <w:vAlign w:val="center"/>
          </w:tcPr>
          <w:p w:rsidR="00BD5820" w:rsidRDefault="00F64314">
            <w:pPr>
              <w:pStyle w:val="1L"/>
            </w:pPr>
            <w:r>
              <w:t>油气开采项目（含新开发和滚动开发项目）原则上应当以区块为单位开展环评（以下简称区块环评），一般包括区块内拟建的新井、加密井、调整井、站场、设备、管道和电缆及其更换工程、</w:t>
            </w:r>
            <w:r>
              <w:lastRenderedPageBreak/>
              <w:t>弃置工程及配套工程等。项目环评应当深入评价项目建设、运营带来的环境影响和环境风险，提出有效的生态环境保护和环境风险防范措施。滚动开发区块产能建设项目环评文件中还应对现有工程环境影响进行回顾性评价，对存在的生态环境问题和环境风险隐患提出有效防治措施。依托其他防治设施的或者委托第三方处置的，应当论证其可行性和有效性。</w:t>
            </w:r>
          </w:p>
        </w:tc>
        <w:tc>
          <w:tcPr>
            <w:tcW w:w="1350" w:type="pct"/>
            <w:vAlign w:val="center"/>
          </w:tcPr>
          <w:p w:rsidR="00BD5820" w:rsidRDefault="00F64314">
            <w:pPr>
              <w:pStyle w:val="1L"/>
            </w:pPr>
            <w:r>
              <w:rPr>
                <w:szCs w:val="21"/>
              </w:rPr>
              <w:lastRenderedPageBreak/>
              <w:t>2007</w:t>
            </w:r>
            <w:r>
              <w:rPr>
                <w:szCs w:val="21"/>
              </w:rPr>
              <w:t>年，《中国石化普光气田开发及川气东送管道工程环境影响报告书》经原环保部审批，报告中已</w:t>
            </w:r>
            <w:r>
              <w:rPr>
                <w:szCs w:val="21"/>
              </w:rPr>
              <w:lastRenderedPageBreak/>
              <w:t>分析了普光区块相关内容。</w:t>
            </w:r>
            <w:r>
              <w:rPr>
                <w:szCs w:val="21"/>
              </w:rPr>
              <w:t>2018</w:t>
            </w:r>
            <w:r>
              <w:rPr>
                <w:szCs w:val="21"/>
              </w:rPr>
              <w:t>年</w:t>
            </w:r>
            <w:r>
              <w:rPr>
                <w:szCs w:val="21"/>
              </w:rPr>
              <w:t>6</w:t>
            </w:r>
            <w:r>
              <w:rPr>
                <w:szCs w:val="21"/>
              </w:rPr>
              <w:t>月，中原油田普光分公司组织开展了普光气田开发工程环境影响后评价，明确了普光气田普光区块的建设内容和建设进度，后评价报告在国家生态环境部进行备案，非含新开发和滚动开发项目。本项目为气藏勘探井，目的为勘探地层储气情况。同时普光气田属于高含硫气田，其地质结构较为复杂，且目前对普光区块产能储量仍未探明，暂不具备区块开发条件。并且本次评价提出了有效的生态环境保护和环境风险防范措施。充分论证了施工期和</w:t>
            </w:r>
            <w:r>
              <w:rPr>
                <w:rFonts w:hint="eastAsia"/>
                <w:szCs w:val="21"/>
              </w:rPr>
              <w:t>运营</w:t>
            </w:r>
            <w:r>
              <w:rPr>
                <w:szCs w:val="21"/>
              </w:rPr>
              <w:t>期各污染物处置的可行性。</w:t>
            </w:r>
          </w:p>
        </w:tc>
        <w:tc>
          <w:tcPr>
            <w:tcW w:w="635" w:type="pct"/>
            <w:vAlign w:val="center"/>
          </w:tcPr>
          <w:p w:rsidR="00BD5820" w:rsidRDefault="00F64314">
            <w:pPr>
              <w:pStyle w:val="1L"/>
            </w:pPr>
            <w:r>
              <w:lastRenderedPageBreak/>
              <w:t>符合</w:t>
            </w:r>
          </w:p>
        </w:tc>
      </w:tr>
      <w:tr w:rsidR="00BD5820">
        <w:trPr>
          <w:trHeight w:val="258"/>
          <w:jc w:val="center"/>
        </w:trPr>
        <w:tc>
          <w:tcPr>
            <w:tcW w:w="509" w:type="pct"/>
            <w:vAlign w:val="center"/>
          </w:tcPr>
          <w:p w:rsidR="00BD5820" w:rsidRDefault="00F64314">
            <w:pPr>
              <w:pStyle w:val="1L"/>
            </w:pPr>
            <w:r>
              <w:lastRenderedPageBreak/>
              <w:t>三</w:t>
            </w:r>
          </w:p>
        </w:tc>
        <w:tc>
          <w:tcPr>
            <w:tcW w:w="4491" w:type="pct"/>
            <w:gridSpan w:val="3"/>
            <w:vAlign w:val="center"/>
          </w:tcPr>
          <w:p w:rsidR="00BD5820" w:rsidRDefault="00F64314">
            <w:pPr>
              <w:pStyle w:val="1L"/>
            </w:pPr>
            <w:r>
              <w:t>强化生态环境保护措施</w:t>
            </w:r>
          </w:p>
        </w:tc>
      </w:tr>
      <w:tr w:rsidR="00BD5820">
        <w:trPr>
          <w:trHeight w:val="258"/>
          <w:jc w:val="center"/>
        </w:trPr>
        <w:tc>
          <w:tcPr>
            <w:tcW w:w="509" w:type="pct"/>
            <w:vAlign w:val="center"/>
          </w:tcPr>
          <w:p w:rsidR="00BD5820" w:rsidRDefault="00F64314">
            <w:pPr>
              <w:pStyle w:val="1L"/>
            </w:pPr>
            <w:r>
              <w:t>（</w:t>
            </w:r>
            <w:r>
              <w:t>7</w:t>
            </w:r>
            <w:r>
              <w:t>）</w:t>
            </w:r>
          </w:p>
        </w:tc>
        <w:tc>
          <w:tcPr>
            <w:tcW w:w="2506" w:type="pct"/>
            <w:vAlign w:val="center"/>
          </w:tcPr>
          <w:p w:rsidR="00BD5820" w:rsidRDefault="00F64314">
            <w:pPr>
              <w:pStyle w:val="1L"/>
            </w:pPr>
            <w:r>
              <w:t>涉及向地表水体排放污染物的陆地油气开采项目，应当符合国家和地方污染物排放标准，满足重点污染物排放总量控制要求。</w:t>
            </w:r>
          </w:p>
        </w:tc>
        <w:tc>
          <w:tcPr>
            <w:tcW w:w="1350" w:type="pct"/>
            <w:vAlign w:val="center"/>
          </w:tcPr>
          <w:p w:rsidR="00BD5820" w:rsidRDefault="00F64314">
            <w:pPr>
              <w:pStyle w:val="1L"/>
            </w:pPr>
            <w:r>
              <w:t>本项目涉及施工期和</w:t>
            </w:r>
            <w:r>
              <w:rPr>
                <w:rFonts w:hint="eastAsia"/>
              </w:rPr>
              <w:t>运营</w:t>
            </w:r>
            <w:r>
              <w:t>期废水均进行处理，无废水外排。</w:t>
            </w:r>
          </w:p>
        </w:tc>
        <w:tc>
          <w:tcPr>
            <w:tcW w:w="635" w:type="pct"/>
            <w:vAlign w:val="center"/>
          </w:tcPr>
          <w:p w:rsidR="00BD5820" w:rsidRDefault="00F64314">
            <w:pPr>
              <w:pStyle w:val="1L"/>
            </w:pPr>
            <w:r>
              <w:t>符合</w:t>
            </w:r>
          </w:p>
        </w:tc>
      </w:tr>
      <w:tr w:rsidR="00BD5820">
        <w:trPr>
          <w:trHeight w:val="258"/>
          <w:jc w:val="center"/>
        </w:trPr>
        <w:tc>
          <w:tcPr>
            <w:tcW w:w="509" w:type="pct"/>
            <w:vAlign w:val="center"/>
          </w:tcPr>
          <w:p w:rsidR="00BD5820" w:rsidRDefault="00F64314">
            <w:pPr>
              <w:pStyle w:val="1L"/>
            </w:pPr>
            <w:r>
              <w:t>（</w:t>
            </w:r>
            <w:r>
              <w:t>8</w:t>
            </w:r>
            <w:r>
              <w:t>）</w:t>
            </w:r>
          </w:p>
        </w:tc>
        <w:tc>
          <w:tcPr>
            <w:tcW w:w="2506" w:type="pct"/>
            <w:vAlign w:val="center"/>
          </w:tcPr>
          <w:p w:rsidR="00BD5820" w:rsidRDefault="00F64314">
            <w:pPr>
              <w:pStyle w:val="1L"/>
            </w:pPr>
            <w:r>
              <w:t>涉及废水回注的，应当论证回注的环境可行性，采取切实可行的地下水污染防治和监控措施，不得回注与油气开采无关的废水，严禁造成地下水污染。在相关行业污染控制标准发布前，回注的开采废水应当经处理并符合《碎屑岩油藏注水水质推荐指标及分析方法》（</w:t>
            </w:r>
            <w:r>
              <w:t>SY/T5329</w:t>
            </w:r>
            <w:r>
              <w:t>）等相关标准要求后回注，同步采取切实可行措施防治污染。回注目的层应当为地质构造封闭地层，一般应当回注到现役油气藏或枯竭废弃油气藏。</w:t>
            </w:r>
          </w:p>
        </w:tc>
        <w:tc>
          <w:tcPr>
            <w:tcW w:w="1350" w:type="pct"/>
            <w:vAlign w:val="center"/>
          </w:tcPr>
          <w:p w:rsidR="00BD5820" w:rsidRDefault="00F64314">
            <w:pPr>
              <w:pStyle w:val="1L"/>
            </w:pPr>
            <w:r>
              <w:t>本项目属于天然气</w:t>
            </w:r>
            <w:r>
              <w:rPr>
                <w:rFonts w:hint="eastAsia"/>
              </w:rPr>
              <w:t>湿气增压和</w:t>
            </w:r>
            <w:r>
              <w:t>内部集输工程，不涉及天然气开采。本项目运营期产生的气田水</w:t>
            </w:r>
            <w:r>
              <w:rPr>
                <w:rFonts w:hint="eastAsia"/>
              </w:rPr>
              <w:t>分别经普光</w:t>
            </w:r>
            <w:r>
              <w:rPr>
                <w:rFonts w:hint="eastAsia"/>
              </w:rPr>
              <w:t>3#</w:t>
            </w:r>
            <w:r>
              <w:rPr>
                <w:rFonts w:hint="eastAsia"/>
              </w:rPr>
              <w:t>水处理站、</w:t>
            </w:r>
            <w:r>
              <w:rPr>
                <w:rFonts w:hint="eastAsia"/>
              </w:rPr>
              <w:t>1#</w:t>
            </w:r>
            <w:r>
              <w:rPr>
                <w:rFonts w:hint="eastAsia"/>
              </w:rPr>
              <w:t>污水处理站集中处理，水处理采用新建预处理流程，满足压裂液配制要求，剩余采出水然后进入深度水处理站处理后回用</w:t>
            </w:r>
            <w:r>
              <w:t>，不外排。</w:t>
            </w:r>
            <w:r>
              <w:rPr>
                <w:rFonts w:hint="eastAsia"/>
                <w:spacing w:val="-8"/>
                <w:szCs w:val="21"/>
              </w:rPr>
              <w:t>普光</w:t>
            </w:r>
            <w:r>
              <w:rPr>
                <w:rFonts w:hint="eastAsia"/>
                <w:spacing w:val="-8"/>
                <w:szCs w:val="21"/>
              </w:rPr>
              <w:t>1#</w:t>
            </w:r>
            <w:r>
              <w:rPr>
                <w:rFonts w:hint="eastAsia"/>
                <w:spacing w:val="-8"/>
                <w:szCs w:val="21"/>
              </w:rPr>
              <w:t>污水处理站和普光</w:t>
            </w:r>
            <w:r>
              <w:rPr>
                <w:rFonts w:hint="eastAsia"/>
                <w:spacing w:val="-8"/>
                <w:szCs w:val="21"/>
              </w:rPr>
              <w:t>3#</w:t>
            </w:r>
            <w:r>
              <w:rPr>
                <w:rFonts w:hint="eastAsia"/>
                <w:spacing w:val="-8"/>
                <w:szCs w:val="21"/>
              </w:rPr>
              <w:t>污水处理站</w:t>
            </w:r>
            <w:r>
              <w:t>已取得环评批复，并已开展竣工环保验收。</w:t>
            </w:r>
          </w:p>
        </w:tc>
        <w:tc>
          <w:tcPr>
            <w:tcW w:w="635" w:type="pct"/>
            <w:vAlign w:val="center"/>
          </w:tcPr>
          <w:p w:rsidR="00BD5820" w:rsidRDefault="00F64314">
            <w:pPr>
              <w:pStyle w:val="1L"/>
            </w:pPr>
            <w:r>
              <w:t>符合</w:t>
            </w:r>
          </w:p>
        </w:tc>
      </w:tr>
      <w:tr w:rsidR="00BD5820">
        <w:trPr>
          <w:trHeight w:val="258"/>
          <w:jc w:val="center"/>
        </w:trPr>
        <w:tc>
          <w:tcPr>
            <w:tcW w:w="509" w:type="pct"/>
            <w:vAlign w:val="center"/>
          </w:tcPr>
          <w:p w:rsidR="00BD5820" w:rsidRDefault="00F64314">
            <w:pPr>
              <w:pStyle w:val="1L"/>
            </w:pPr>
            <w:r>
              <w:t>（</w:t>
            </w:r>
            <w:r>
              <w:t>9</w:t>
            </w:r>
            <w:r>
              <w:t>）</w:t>
            </w:r>
          </w:p>
        </w:tc>
        <w:tc>
          <w:tcPr>
            <w:tcW w:w="2506" w:type="pct"/>
            <w:vAlign w:val="center"/>
          </w:tcPr>
          <w:p w:rsidR="00BD5820" w:rsidRDefault="00F64314">
            <w:pPr>
              <w:pStyle w:val="1L"/>
            </w:pPr>
            <w:r>
              <w:t>油气开采产生的废弃油基泥浆、含油钻屑及其他固体废物，应当遵循减量化、资源化、无害化原则，按照国家和地方有关固体废物的管理规定进行处置。鼓励企业自建含油污泥集中式处理和综合利用设施，提高废弃油基泥浆和含油钻屑及其处理产物的综合利用率。油气开采项目产生的危险废物，应当按照《建设项目危险废物环境影响评价指南》要求评价。</w:t>
            </w:r>
          </w:p>
        </w:tc>
        <w:tc>
          <w:tcPr>
            <w:tcW w:w="1350" w:type="pct"/>
            <w:vAlign w:val="center"/>
          </w:tcPr>
          <w:p w:rsidR="00BD5820" w:rsidRDefault="00F64314">
            <w:pPr>
              <w:pStyle w:val="1L"/>
            </w:pPr>
            <w:r>
              <w:rPr>
                <w:rFonts w:hAnsi="宋体"/>
              </w:rPr>
              <w:t>废润滑油</w:t>
            </w:r>
            <w:r>
              <w:rPr>
                <w:rFonts w:hAnsi="宋体" w:hint="eastAsia"/>
              </w:rPr>
              <w:t>、过滤</w:t>
            </w:r>
            <w:r>
              <w:rPr>
                <w:rFonts w:hAnsi="宋体"/>
              </w:rPr>
              <w:t>分离器及污水罐底部产生的污泥暂存于危废暂存间，</w:t>
            </w:r>
            <w:r>
              <w:rPr>
                <w:rFonts w:hint="eastAsia"/>
                <w:szCs w:val="21"/>
              </w:rPr>
              <w:t>面积约</w:t>
            </w:r>
            <w:r>
              <w:rPr>
                <w:rFonts w:hint="eastAsia"/>
                <w:szCs w:val="21"/>
              </w:rPr>
              <w:t>5m</w:t>
            </w:r>
            <w:r>
              <w:rPr>
                <w:rFonts w:hint="eastAsia"/>
                <w:szCs w:val="21"/>
                <w:vertAlign w:val="superscript"/>
              </w:rPr>
              <w:t>2</w:t>
            </w:r>
            <w:r>
              <w:rPr>
                <w:rFonts w:hint="eastAsia"/>
                <w:szCs w:val="21"/>
              </w:rPr>
              <w:t>，暂存间地面采取四防措施（防风、防雨、防晒、防渗漏）</w:t>
            </w:r>
            <w:r>
              <w:rPr>
                <w:szCs w:val="21"/>
              </w:rPr>
              <w:t>，委托有资质单位处理</w:t>
            </w:r>
            <w:r>
              <w:rPr>
                <w:rFonts w:hAnsi="宋体"/>
              </w:rPr>
              <w:t>及时清运</w:t>
            </w:r>
            <w:r>
              <w:rPr>
                <w:rFonts w:hAnsi="宋体" w:hint="eastAsia"/>
              </w:rPr>
              <w:t>至企业净化厂</w:t>
            </w:r>
            <w:r>
              <w:rPr>
                <w:rFonts w:hAnsi="宋体"/>
              </w:rPr>
              <w:t>危险废物贮存仓库</w:t>
            </w:r>
            <w:r>
              <w:rPr>
                <w:rFonts w:hAnsi="宋体" w:hint="eastAsia"/>
              </w:rPr>
              <w:t>（</w:t>
            </w:r>
            <w:r>
              <w:rPr>
                <w:rFonts w:hAnsi="宋体" w:hint="eastAsia"/>
                <w:bCs w:val="0"/>
              </w:rPr>
              <w:t>与</w:t>
            </w:r>
            <w:r>
              <w:rPr>
                <w:rFonts w:hAnsi="宋体" w:hint="eastAsia"/>
              </w:rPr>
              <w:t>普光气田</w:t>
            </w:r>
            <w:r>
              <w:rPr>
                <w:rFonts w:hAnsi="宋体"/>
              </w:rPr>
              <w:t>1#</w:t>
            </w:r>
            <w:r>
              <w:rPr>
                <w:rFonts w:hAnsi="宋体" w:hint="eastAsia"/>
              </w:rPr>
              <w:t>增压站</w:t>
            </w:r>
            <w:r>
              <w:rPr>
                <w:rFonts w:hAnsi="宋体" w:hint="eastAsia"/>
                <w:bCs w:val="0"/>
              </w:rPr>
              <w:t>、</w:t>
            </w:r>
            <w:r>
              <w:rPr>
                <w:rFonts w:hAnsi="宋体" w:hint="eastAsia"/>
              </w:rPr>
              <w:t>普光气田</w:t>
            </w:r>
            <w:r>
              <w:rPr>
                <w:rFonts w:hAnsi="宋体" w:hint="eastAsia"/>
                <w:bCs w:val="0"/>
              </w:rPr>
              <w:t>2</w:t>
            </w:r>
            <w:r>
              <w:rPr>
                <w:rFonts w:hAnsi="宋体"/>
              </w:rPr>
              <w:t>#</w:t>
            </w:r>
            <w:r>
              <w:rPr>
                <w:rFonts w:hAnsi="宋体" w:hint="eastAsia"/>
              </w:rPr>
              <w:t>增压站运距</w:t>
            </w:r>
            <w:r>
              <w:rPr>
                <w:rFonts w:hAnsi="宋体" w:hint="eastAsia"/>
                <w:bCs w:val="0"/>
              </w:rPr>
              <w:t>分</w:t>
            </w:r>
            <w:r>
              <w:rPr>
                <w:rFonts w:hAnsi="宋体" w:hint="eastAsia"/>
                <w:bCs w:val="0"/>
              </w:rPr>
              <w:lastRenderedPageBreak/>
              <w:t>别为</w:t>
            </w:r>
            <w:r>
              <w:rPr>
                <w:rFonts w:hAnsi="宋体" w:hint="eastAsia"/>
                <w:bCs w:val="0"/>
              </w:rPr>
              <w:t>1</w:t>
            </w:r>
            <w:r>
              <w:rPr>
                <w:rFonts w:hAnsi="宋体" w:hint="eastAsia"/>
              </w:rPr>
              <w:t>2km</w:t>
            </w:r>
            <w:r>
              <w:rPr>
                <w:rFonts w:hAnsi="宋体" w:hint="eastAsia"/>
                <w:bCs w:val="0"/>
              </w:rPr>
              <w:t>和</w:t>
            </w:r>
            <w:r>
              <w:rPr>
                <w:rFonts w:hAnsi="宋体" w:hint="eastAsia"/>
                <w:bCs w:val="0"/>
              </w:rPr>
              <w:t>1.6</w:t>
            </w:r>
            <w:r>
              <w:rPr>
                <w:rFonts w:hAnsi="宋体" w:hint="eastAsia"/>
              </w:rPr>
              <w:t>km</w:t>
            </w:r>
            <w:r>
              <w:rPr>
                <w:rFonts w:hAnsi="宋体" w:hint="eastAsia"/>
              </w:rPr>
              <w:t>）</w:t>
            </w:r>
            <w:r>
              <w:rPr>
                <w:rFonts w:hAnsi="宋体"/>
              </w:rPr>
              <w:t>，</w:t>
            </w:r>
            <w:r>
              <w:rPr>
                <w:rFonts w:hAnsi="宋体" w:hint="eastAsia"/>
              </w:rPr>
              <w:t>定期</w:t>
            </w:r>
            <w:r>
              <w:rPr>
                <w:rFonts w:hAnsi="宋体"/>
              </w:rPr>
              <w:t>委托有资质单位进行处理</w:t>
            </w:r>
            <w:r>
              <w:rPr>
                <w:rFonts w:hAnsi="宋体" w:hint="eastAsia"/>
              </w:rPr>
              <w:t>。</w:t>
            </w:r>
          </w:p>
        </w:tc>
        <w:tc>
          <w:tcPr>
            <w:tcW w:w="635" w:type="pct"/>
            <w:vAlign w:val="center"/>
          </w:tcPr>
          <w:p w:rsidR="00BD5820" w:rsidRDefault="00F64314">
            <w:pPr>
              <w:pStyle w:val="1L"/>
            </w:pPr>
            <w:r>
              <w:lastRenderedPageBreak/>
              <w:t>符合</w:t>
            </w:r>
          </w:p>
        </w:tc>
      </w:tr>
      <w:tr w:rsidR="00BD5820">
        <w:trPr>
          <w:trHeight w:val="258"/>
          <w:jc w:val="center"/>
        </w:trPr>
        <w:tc>
          <w:tcPr>
            <w:tcW w:w="509" w:type="pct"/>
            <w:vAlign w:val="center"/>
          </w:tcPr>
          <w:p w:rsidR="00BD5820" w:rsidRDefault="00F64314">
            <w:pPr>
              <w:pStyle w:val="1L"/>
            </w:pPr>
            <w:r>
              <w:lastRenderedPageBreak/>
              <w:t>（</w:t>
            </w:r>
            <w:r>
              <w:t>10</w:t>
            </w:r>
            <w:r>
              <w:t>）</w:t>
            </w:r>
          </w:p>
        </w:tc>
        <w:tc>
          <w:tcPr>
            <w:tcW w:w="2506" w:type="pct"/>
            <w:vAlign w:val="center"/>
          </w:tcPr>
          <w:p w:rsidR="00BD5820" w:rsidRDefault="00F64314">
            <w:pPr>
              <w:pStyle w:val="1L"/>
            </w:pPr>
            <w:r>
              <w:t>陆地油气开采项目的建设单位应当对挥发性有机物液体储存和装载损失、废水液面逸散、设备与管线组件泄漏、非正常工况等挥发性有机物无组织排放源进行有效管控，通过采取设备密闭、废气有效收集及配套高效末端处理设施等措施，有效控制挥发性有机物和恶臭气体无组织排放。涉及高含硫天然气开采的，应当强化钻井、输送、净化等环节环境风险防范措施。含硫气田回注采出水，应当采取有效措施减少废水处理站和回注井场硫化氢的无组织排放。高含硫天然气净化厂应当采用先进高效硫磺回收工艺，减少二氧化硫排放。井场加热炉、锅炉、压缩机等排放大气污染物的设备，应当优先使用清洁燃料，废气排放应当满足国家和地方大气污染物排放标准要求。</w:t>
            </w:r>
          </w:p>
        </w:tc>
        <w:tc>
          <w:tcPr>
            <w:tcW w:w="1350" w:type="pct"/>
            <w:vAlign w:val="center"/>
          </w:tcPr>
          <w:p w:rsidR="00BD5820" w:rsidRDefault="00F64314">
            <w:pPr>
              <w:pStyle w:val="1L"/>
            </w:pPr>
            <w:r>
              <w:t>本项目取设备密闭等污染物控制措施</w:t>
            </w:r>
            <w:r>
              <w:rPr>
                <w:rFonts w:hint="eastAsia"/>
              </w:rPr>
              <w:t>，</w:t>
            </w:r>
            <w:r>
              <w:t>天然气输送等环节采取了相应的环境风险防范措施。</w:t>
            </w:r>
          </w:p>
        </w:tc>
        <w:tc>
          <w:tcPr>
            <w:tcW w:w="635" w:type="pct"/>
            <w:vAlign w:val="center"/>
          </w:tcPr>
          <w:p w:rsidR="00BD5820" w:rsidRDefault="00F64314">
            <w:pPr>
              <w:pStyle w:val="1L"/>
            </w:pPr>
            <w:r>
              <w:t>符合</w:t>
            </w:r>
          </w:p>
        </w:tc>
      </w:tr>
      <w:tr w:rsidR="00BD5820">
        <w:trPr>
          <w:trHeight w:val="837"/>
          <w:jc w:val="center"/>
        </w:trPr>
        <w:tc>
          <w:tcPr>
            <w:tcW w:w="509" w:type="pct"/>
            <w:vAlign w:val="center"/>
          </w:tcPr>
          <w:p w:rsidR="00BD5820" w:rsidRDefault="00F64314">
            <w:pPr>
              <w:pStyle w:val="1L"/>
            </w:pPr>
            <w:r>
              <w:t>（</w:t>
            </w:r>
            <w:r>
              <w:t>11</w:t>
            </w:r>
            <w:r>
              <w:t>）</w:t>
            </w:r>
          </w:p>
        </w:tc>
        <w:tc>
          <w:tcPr>
            <w:tcW w:w="2506" w:type="pct"/>
            <w:vAlign w:val="center"/>
          </w:tcPr>
          <w:p w:rsidR="00BD5820" w:rsidRDefault="00F64314">
            <w:pPr>
              <w:pStyle w:val="1L"/>
            </w:pPr>
            <w:r>
              <w:t>施工期应当尽量减少施工占地、缩短施工时间、选择合理施工方式、落实环境敏感区管控要求以及其他生态环境保护措施，降低生态环境影响。钻井和压裂设备应当优先使用网电、高标准清洁燃油，减少废气排放。选用低噪声设备，避免噪声扰民。施工结束后，应当及时落实环评提出的生态保护措施。</w:t>
            </w:r>
          </w:p>
        </w:tc>
        <w:tc>
          <w:tcPr>
            <w:tcW w:w="1350" w:type="pct"/>
            <w:vAlign w:val="center"/>
          </w:tcPr>
          <w:p w:rsidR="00BD5820" w:rsidRDefault="00F64314">
            <w:pPr>
              <w:pStyle w:val="1L"/>
            </w:pPr>
            <w:r>
              <w:t>本项目选用低噪声设备，避免噪声扰民。施工结束后，及时落实环评提出的生态保护措施。</w:t>
            </w:r>
          </w:p>
        </w:tc>
        <w:tc>
          <w:tcPr>
            <w:tcW w:w="635" w:type="pct"/>
            <w:vAlign w:val="center"/>
          </w:tcPr>
          <w:p w:rsidR="00BD5820" w:rsidRDefault="00F64314">
            <w:pPr>
              <w:pStyle w:val="1L"/>
            </w:pPr>
            <w:r>
              <w:t>符合</w:t>
            </w:r>
          </w:p>
        </w:tc>
      </w:tr>
      <w:tr w:rsidR="00BD5820">
        <w:trPr>
          <w:trHeight w:val="258"/>
          <w:jc w:val="center"/>
        </w:trPr>
        <w:tc>
          <w:tcPr>
            <w:tcW w:w="509" w:type="pct"/>
            <w:vAlign w:val="center"/>
          </w:tcPr>
          <w:p w:rsidR="00BD5820" w:rsidRDefault="00F64314">
            <w:pPr>
              <w:pStyle w:val="1L"/>
            </w:pPr>
            <w:r>
              <w:t>（</w:t>
            </w:r>
            <w:r>
              <w:t>12</w:t>
            </w:r>
            <w:r>
              <w:t>）</w:t>
            </w:r>
          </w:p>
        </w:tc>
        <w:tc>
          <w:tcPr>
            <w:tcW w:w="2506" w:type="pct"/>
            <w:vAlign w:val="center"/>
          </w:tcPr>
          <w:p w:rsidR="00BD5820" w:rsidRDefault="00F64314">
            <w:pPr>
              <w:pStyle w:val="1L"/>
            </w:pPr>
            <w:r>
              <w:t>陆地油气长输管道项目，原则上应当单独编制环评文件。</w:t>
            </w:r>
          </w:p>
        </w:tc>
        <w:tc>
          <w:tcPr>
            <w:tcW w:w="1350" w:type="pct"/>
            <w:vAlign w:val="center"/>
          </w:tcPr>
          <w:p w:rsidR="00BD5820" w:rsidRDefault="00F64314">
            <w:pPr>
              <w:pStyle w:val="1L"/>
            </w:pPr>
            <w:r>
              <w:t>本项目属于天然气</w:t>
            </w:r>
            <w:r>
              <w:rPr>
                <w:rFonts w:hint="eastAsia"/>
              </w:rPr>
              <w:t>湿气增压和</w:t>
            </w:r>
            <w:r>
              <w:t>内部集输工程，本项目暂不涉及油气长输管道。</w:t>
            </w:r>
          </w:p>
        </w:tc>
        <w:tc>
          <w:tcPr>
            <w:tcW w:w="635" w:type="pct"/>
            <w:vAlign w:val="center"/>
          </w:tcPr>
          <w:p w:rsidR="00BD5820" w:rsidRDefault="00F64314">
            <w:pPr>
              <w:pStyle w:val="1L"/>
            </w:pPr>
            <w:r>
              <w:t>符合</w:t>
            </w:r>
          </w:p>
        </w:tc>
      </w:tr>
      <w:tr w:rsidR="00BD5820">
        <w:trPr>
          <w:trHeight w:val="258"/>
          <w:jc w:val="center"/>
        </w:trPr>
        <w:tc>
          <w:tcPr>
            <w:tcW w:w="509" w:type="pct"/>
            <w:vAlign w:val="center"/>
          </w:tcPr>
          <w:p w:rsidR="00BD5820" w:rsidRDefault="00F64314">
            <w:pPr>
              <w:pStyle w:val="1L"/>
            </w:pPr>
            <w:r>
              <w:t>（</w:t>
            </w:r>
            <w:r>
              <w:t>13</w:t>
            </w:r>
            <w:r>
              <w:t>）</w:t>
            </w:r>
          </w:p>
        </w:tc>
        <w:tc>
          <w:tcPr>
            <w:tcW w:w="2506" w:type="pct"/>
            <w:vAlign w:val="center"/>
          </w:tcPr>
          <w:p w:rsidR="00BD5820" w:rsidRDefault="00F64314">
            <w:pPr>
              <w:pStyle w:val="1L"/>
            </w:pPr>
            <w:r>
              <w:t>油气储存项目，选址尽量远离环境敏感区。加强甲烷及挥发性有机物的泄漏检测，落实地下水污染防治和跟踪监测要求，采取有效措施做好环境风险防范与环境应急管理；盐穴储气库项目还应当严格落实采卤造腔期和管道施工期的生态环境保护措施，妥善处理采出水。</w:t>
            </w:r>
          </w:p>
        </w:tc>
        <w:tc>
          <w:tcPr>
            <w:tcW w:w="1350" w:type="pct"/>
            <w:vAlign w:val="center"/>
          </w:tcPr>
          <w:p w:rsidR="00BD5820" w:rsidRDefault="00F64314">
            <w:pPr>
              <w:pStyle w:val="1L"/>
            </w:pPr>
            <w:r>
              <w:t>本项目属于天然气</w:t>
            </w:r>
            <w:r>
              <w:rPr>
                <w:rFonts w:hint="eastAsia"/>
              </w:rPr>
              <w:t>湿气增压和</w:t>
            </w:r>
            <w:r>
              <w:t>内部集输工程，不属于油气储存项目。</w:t>
            </w:r>
          </w:p>
        </w:tc>
        <w:tc>
          <w:tcPr>
            <w:tcW w:w="635" w:type="pct"/>
            <w:vAlign w:val="center"/>
          </w:tcPr>
          <w:p w:rsidR="00BD5820" w:rsidRDefault="00F64314">
            <w:pPr>
              <w:pStyle w:val="1L"/>
            </w:pPr>
            <w:r>
              <w:t>符合</w:t>
            </w:r>
          </w:p>
        </w:tc>
      </w:tr>
      <w:tr w:rsidR="00BD5820">
        <w:trPr>
          <w:trHeight w:val="73"/>
          <w:jc w:val="center"/>
        </w:trPr>
        <w:tc>
          <w:tcPr>
            <w:tcW w:w="509" w:type="pct"/>
            <w:vAlign w:val="center"/>
          </w:tcPr>
          <w:p w:rsidR="00BD5820" w:rsidRDefault="00F64314">
            <w:pPr>
              <w:pStyle w:val="1L"/>
            </w:pPr>
            <w:r>
              <w:t>（</w:t>
            </w:r>
            <w:r>
              <w:t>14</w:t>
            </w:r>
            <w:r>
              <w:t>）</w:t>
            </w:r>
          </w:p>
        </w:tc>
        <w:tc>
          <w:tcPr>
            <w:tcW w:w="2506" w:type="pct"/>
            <w:vAlign w:val="center"/>
          </w:tcPr>
          <w:p w:rsidR="00BD5820" w:rsidRDefault="00F64314">
            <w:pPr>
              <w:pStyle w:val="1L"/>
            </w:pPr>
            <w:r>
              <w:t>油气企业应当加强风险防控，按规定编制突发环境事件应急预案，报所在地生态环境主管部门备案。海洋油气勘探开发溢油应急计划报相关海域生态环境监督管理局备案。</w:t>
            </w:r>
          </w:p>
        </w:tc>
        <w:tc>
          <w:tcPr>
            <w:tcW w:w="1350" w:type="pct"/>
            <w:vAlign w:val="center"/>
          </w:tcPr>
          <w:p w:rsidR="00BD5820" w:rsidRDefault="00F64314">
            <w:pPr>
              <w:pStyle w:val="1L"/>
            </w:pPr>
            <w:r>
              <w:t>建设单位严格按照相关要求编制突发环境事件应急预案，并报所在地生态环境主管部门备案。</w:t>
            </w:r>
          </w:p>
        </w:tc>
        <w:tc>
          <w:tcPr>
            <w:tcW w:w="635" w:type="pct"/>
            <w:vAlign w:val="center"/>
          </w:tcPr>
          <w:p w:rsidR="00BD5820" w:rsidRDefault="00F64314">
            <w:pPr>
              <w:pStyle w:val="1L"/>
            </w:pPr>
            <w:r>
              <w:t>符合</w:t>
            </w:r>
          </w:p>
        </w:tc>
      </w:tr>
    </w:tbl>
    <w:p w:rsidR="00BD5820" w:rsidRDefault="00F64314">
      <w:pPr>
        <w:pStyle w:val="affa"/>
        <w:ind w:firstLine="480"/>
      </w:pPr>
      <w:r>
        <w:rPr>
          <w:rFonts w:hint="eastAsia"/>
        </w:rPr>
        <w:t>因此，本项目符合</w:t>
      </w:r>
      <w:r>
        <w:t>《关于进一步加强石油天然气行业环境影响评价管理的通知》（环办环评函〔</w:t>
      </w:r>
      <w:r>
        <w:t>2019</w:t>
      </w:r>
      <w:r>
        <w:t>〕</w:t>
      </w:r>
      <w:r>
        <w:t>910</w:t>
      </w:r>
      <w:r>
        <w:t>号）</w:t>
      </w:r>
      <w:r>
        <w:rPr>
          <w:rFonts w:hint="eastAsia"/>
        </w:rPr>
        <w:t>要求</w:t>
      </w:r>
      <w:r>
        <w:t>。</w:t>
      </w:r>
    </w:p>
    <w:p w:rsidR="00BD5820" w:rsidRDefault="00F64314">
      <w:pPr>
        <w:keepNext/>
        <w:keepLines/>
        <w:ind w:firstLineChars="0" w:firstLine="0"/>
        <w:outlineLvl w:val="2"/>
        <w:rPr>
          <w:rFonts w:ascii="Times New Roman" w:cs="Times New Roman"/>
          <w:b/>
          <w:szCs w:val="32"/>
        </w:rPr>
      </w:pPr>
      <w:r>
        <w:rPr>
          <w:rFonts w:ascii="Times New Roman" w:cs="Times New Roman"/>
          <w:b/>
          <w:szCs w:val="32"/>
        </w:rPr>
        <w:t>1.8.</w:t>
      </w:r>
      <w:r>
        <w:rPr>
          <w:rFonts w:ascii="Times New Roman" w:cs="Times New Roman" w:hint="eastAsia"/>
          <w:b/>
          <w:szCs w:val="32"/>
        </w:rPr>
        <w:t>8</w:t>
      </w:r>
      <w:r>
        <w:rPr>
          <w:rFonts w:ascii="Times New Roman" w:cs="Times New Roman"/>
          <w:b/>
          <w:szCs w:val="32"/>
        </w:rPr>
        <w:t xml:space="preserve"> </w:t>
      </w:r>
      <w:r>
        <w:rPr>
          <w:rFonts w:ascii="Times New Roman" w:cs="Times New Roman" w:hint="eastAsia"/>
          <w:b/>
          <w:szCs w:val="32"/>
        </w:rPr>
        <w:t>用地政策的</w:t>
      </w:r>
      <w:r>
        <w:rPr>
          <w:rFonts w:ascii="Times New Roman" w:cs="Times New Roman"/>
          <w:b/>
          <w:szCs w:val="32"/>
        </w:rPr>
        <w:t>符合性分析</w:t>
      </w:r>
    </w:p>
    <w:p w:rsidR="00BD5820" w:rsidRDefault="00F64314">
      <w:pPr>
        <w:widowControl/>
        <w:topLinePunct w:val="0"/>
        <w:adjustRightInd/>
        <w:ind w:firstLine="480"/>
        <w:rPr>
          <w:rFonts w:ascii="Times New Roman" w:cs="Times New Roman"/>
          <w:kern w:val="2"/>
          <w:szCs w:val="20"/>
        </w:rPr>
      </w:pPr>
      <w:r w:rsidRPr="00263423">
        <w:rPr>
          <w:rFonts w:ascii="Times New Roman" w:cs="Times New Roman"/>
          <w:color w:val="FF0000"/>
          <w:kern w:val="2"/>
          <w:szCs w:val="20"/>
        </w:rPr>
        <w:t>本项目新增</w:t>
      </w:r>
      <w:r w:rsidRPr="00263423">
        <w:rPr>
          <w:rFonts w:ascii="Times New Roman" w:cs="Times New Roman" w:hint="eastAsia"/>
          <w:color w:val="FF0000"/>
          <w:kern w:val="2"/>
          <w:szCs w:val="20"/>
        </w:rPr>
        <w:t>永久</w:t>
      </w:r>
      <w:r w:rsidRPr="00263423">
        <w:rPr>
          <w:rFonts w:ascii="Times New Roman" w:cs="Times New Roman"/>
          <w:color w:val="FF0000"/>
          <w:kern w:val="2"/>
          <w:szCs w:val="20"/>
        </w:rPr>
        <w:t>占地约</w:t>
      </w:r>
      <w:r w:rsidRPr="00263423">
        <w:rPr>
          <w:rFonts w:ascii="Times New Roman" w:cs="Times New Roman" w:hint="eastAsia"/>
          <w:color w:val="FF0000"/>
          <w:kern w:val="2"/>
          <w:szCs w:val="20"/>
        </w:rPr>
        <w:t>18900</w:t>
      </w:r>
      <w:r w:rsidRPr="00263423">
        <w:rPr>
          <w:rFonts w:ascii="Times New Roman" w:cs="Times New Roman"/>
          <w:color w:val="FF0000"/>
          <w:kern w:val="2"/>
          <w:szCs w:val="20"/>
        </w:rPr>
        <w:t>m</w:t>
      </w:r>
      <w:r w:rsidRPr="00263423">
        <w:rPr>
          <w:rFonts w:ascii="Times New Roman" w:cs="Times New Roman"/>
          <w:color w:val="FF0000"/>
          <w:kern w:val="2"/>
          <w:szCs w:val="20"/>
          <w:vertAlign w:val="superscript"/>
        </w:rPr>
        <w:t>2</w:t>
      </w:r>
      <w:r w:rsidRPr="00263423">
        <w:rPr>
          <w:rFonts w:ascii="Times New Roman" w:cs="Times New Roman"/>
          <w:color w:val="FF0000"/>
          <w:kern w:val="2"/>
          <w:szCs w:val="20"/>
        </w:rPr>
        <w:t>，</w:t>
      </w:r>
      <w:r>
        <w:rPr>
          <w:rFonts w:ascii="Times New Roman" w:cs="Times New Roman"/>
          <w:kern w:val="2"/>
          <w:szCs w:val="20"/>
        </w:rPr>
        <w:t>主要</w:t>
      </w:r>
      <w:r>
        <w:rPr>
          <w:rFonts w:ascii="Times New Roman" w:cs="Times New Roman" w:hint="eastAsia"/>
          <w:kern w:val="2"/>
          <w:szCs w:val="20"/>
        </w:rPr>
        <w:t>为</w:t>
      </w:r>
      <w:r>
        <w:rPr>
          <w:rFonts w:ascii="Times New Roman" w:cs="Times New Roman" w:hint="eastAsia"/>
          <w:bCs/>
          <w:kern w:val="2"/>
          <w:szCs w:val="20"/>
        </w:rPr>
        <w:t>普光气田</w:t>
      </w:r>
      <w:r>
        <w:rPr>
          <w:rFonts w:ascii="Times New Roman" w:cs="Times New Roman"/>
          <w:bCs/>
          <w:kern w:val="2"/>
          <w:szCs w:val="20"/>
        </w:rPr>
        <w:t>1#</w:t>
      </w:r>
      <w:r>
        <w:rPr>
          <w:rFonts w:ascii="Times New Roman" w:cs="Times New Roman" w:hint="eastAsia"/>
          <w:bCs/>
          <w:kern w:val="2"/>
          <w:szCs w:val="20"/>
        </w:rPr>
        <w:t>增压站占地</w:t>
      </w:r>
      <w:r>
        <w:rPr>
          <w:rFonts w:ascii="Times New Roman" w:cs="Times New Roman" w:hint="eastAsia"/>
          <w:kern w:val="2"/>
          <w:szCs w:val="20"/>
        </w:rPr>
        <w:t>，</w:t>
      </w:r>
      <w:r>
        <w:rPr>
          <w:rFonts w:ascii="Times New Roman" w:cs="Times New Roman" w:hint="eastAsia"/>
          <w:bCs/>
          <w:kern w:val="2"/>
          <w:szCs w:val="20"/>
        </w:rPr>
        <w:t>普光气田</w:t>
      </w:r>
      <w:r>
        <w:rPr>
          <w:rFonts w:ascii="Times New Roman" w:cs="Times New Roman" w:hint="eastAsia"/>
          <w:bCs/>
          <w:kern w:val="2"/>
          <w:szCs w:val="20"/>
        </w:rPr>
        <w:t>2</w:t>
      </w:r>
      <w:r>
        <w:rPr>
          <w:rFonts w:ascii="Times New Roman" w:cs="Times New Roman"/>
          <w:bCs/>
          <w:kern w:val="2"/>
          <w:szCs w:val="20"/>
        </w:rPr>
        <w:t>#</w:t>
      </w:r>
      <w:r>
        <w:rPr>
          <w:rFonts w:ascii="Times New Roman" w:cs="Times New Roman" w:hint="eastAsia"/>
          <w:bCs/>
          <w:kern w:val="2"/>
          <w:szCs w:val="20"/>
        </w:rPr>
        <w:t>增压站</w:t>
      </w:r>
      <w:r>
        <w:rPr>
          <w:rFonts w:ascii="Times New Roman" w:cs="Times New Roman" w:hint="eastAsia"/>
          <w:kern w:val="2"/>
          <w:szCs w:val="20"/>
        </w:rPr>
        <w:t>主要依托净化厂东侧料仓改造建设，其中涉及</w:t>
      </w:r>
      <w:r>
        <w:rPr>
          <w:rFonts w:ascii="Times New Roman" w:cs="Times New Roman" w:hint="eastAsia"/>
          <w:bCs/>
          <w:kern w:val="2"/>
          <w:szCs w:val="20"/>
        </w:rPr>
        <w:t>增压站建设及集输送</w:t>
      </w:r>
      <w:r>
        <w:rPr>
          <w:rFonts w:ascii="Times New Roman" w:cs="Times New Roman" w:hint="eastAsia"/>
          <w:bCs/>
          <w:kern w:val="2"/>
          <w:szCs w:val="20"/>
        </w:rPr>
        <w:lastRenderedPageBreak/>
        <w:t>管道建设涉及临时占地约</w:t>
      </w:r>
      <w:r>
        <w:rPr>
          <w:rFonts w:ascii="Times New Roman" w:cs="Times New Roman" w:hint="eastAsia"/>
          <w:bCs/>
          <w:kern w:val="2"/>
          <w:szCs w:val="20"/>
        </w:rPr>
        <w:t>36060</w:t>
      </w:r>
      <w:r>
        <w:rPr>
          <w:rFonts w:ascii="Times New Roman" w:cs="Times New Roman"/>
          <w:kern w:val="2"/>
          <w:szCs w:val="20"/>
        </w:rPr>
        <w:t>m</w:t>
      </w:r>
      <w:r>
        <w:rPr>
          <w:rFonts w:ascii="Times New Roman" w:cs="Times New Roman"/>
          <w:kern w:val="2"/>
          <w:szCs w:val="20"/>
          <w:vertAlign w:val="superscript"/>
        </w:rPr>
        <w:t>2</w:t>
      </w:r>
      <w:r>
        <w:rPr>
          <w:rFonts w:ascii="Times New Roman" w:cs="Times New Roman"/>
          <w:kern w:val="2"/>
          <w:szCs w:val="20"/>
        </w:rPr>
        <w:t>，环评单位要求建设单位按照自然资规〔</w:t>
      </w:r>
      <w:r>
        <w:rPr>
          <w:rFonts w:ascii="Times New Roman" w:cs="Times New Roman"/>
          <w:kern w:val="2"/>
          <w:szCs w:val="20"/>
        </w:rPr>
        <w:t>2021</w:t>
      </w:r>
      <w:r>
        <w:rPr>
          <w:rFonts w:ascii="Times New Roman" w:cs="Times New Roman"/>
          <w:kern w:val="2"/>
          <w:szCs w:val="20"/>
        </w:rPr>
        <w:t>〕</w:t>
      </w:r>
      <w:r>
        <w:rPr>
          <w:rFonts w:ascii="Times New Roman" w:cs="Times New Roman"/>
          <w:kern w:val="2"/>
          <w:szCs w:val="20"/>
        </w:rPr>
        <w:t>2</w:t>
      </w:r>
      <w:r>
        <w:rPr>
          <w:rFonts w:ascii="Times New Roman" w:cs="Times New Roman"/>
          <w:kern w:val="2"/>
          <w:szCs w:val="20"/>
        </w:rPr>
        <w:t>号、川自然资规〔</w:t>
      </w:r>
      <w:r>
        <w:rPr>
          <w:rFonts w:ascii="Times New Roman" w:cs="Times New Roman"/>
          <w:kern w:val="2"/>
          <w:szCs w:val="20"/>
        </w:rPr>
        <w:t>2022</w:t>
      </w:r>
      <w:r>
        <w:rPr>
          <w:rFonts w:ascii="Times New Roman" w:cs="Times New Roman"/>
          <w:kern w:val="2"/>
          <w:szCs w:val="20"/>
        </w:rPr>
        <w:t>〕</w:t>
      </w:r>
      <w:r>
        <w:rPr>
          <w:rFonts w:ascii="Times New Roman" w:cs="Times New Roman"/>
          <w:kern w:val="2"/>
          <w:szCs w:val="20"/>
        </w:rPr>
        <w:t>3</w:t>
      </w:r>
      <w:r>
        <w:rPr>
          <w:rFonts w:ascii="Times New Roman" w:cs="Times New Roman"/>
          <w:kern w:val="2"/>
          <w:szCs w:val="20"/>
        </w:rPr>
        <w:t>号文件要求办理临时用地手续。</w:t>
      </w:r>
    </w:p>
    <w:p w:rsidR="00BD5820" w:rsidRDefault="00F64314">
      <w:pPr>
        <w:pStyle w:val="affa"/>
        <w:ind w:firstLine="480"/>
        <w:rPr>
          <w:kern w:val="2"/>
        </w:rPr>
      </w:pPr>
      <w:r>
        <w:rPr>
          <w:kern w:val="2"/>
        </w:rPr>
        <w:t>本项目与《自然资源部关于规范临时用地管理的通知》（自然资规〔</w:t>
      </w:r>
      <w:r>
        <w:rPr>
          <w:kern w:val="2"/>
        </w:rPr>
        <w:t>2021</w:t>
      </w:r>
      <w:r>
        <w:rPr>
          <w:kern w:val="2"/>
        </w:rPr>
        <w:t>〕</w:t>
      </w:r>
      <w:r>
        <w:rPr>
          <w:kern w:val="2"/>
        </w:rPr>
        <w:t>2</w:t>
      </w:r>
      <w:r>
        <w:rPr>
          <w:kern w:val="2"/>
        </w:rPr>
        <w:t>号）、《四川省自然资源厅关于进一步明确临时用地管理有关事项的通知》（川自然资规〔</w:t>
      </w:r>
      <w:r>
        <w:rPr>
          <w:kern w:val="2"/>
        </w:rPr>
        <w:t>2022</w:t>
      </w:r>
      <w:r>
        <w:rPr>
          <w:kern w:val="2"/>
        </w:rPr>
        <w:t>〕</w:t>
      </w:r>
      <w:r>
        <w:rPr>
          <w:kern w:val="2"/>
        </w:rPr>
        <w:t>3</w:t>
      </w:r>
      <w:r>
        <w:rPr>
          <w:kern w:val="2"/>
        </w:rPr>
        <w:t>号）的符合性见下表：</w:t>
      </w:r>
    </w:p>
    <w:p w:rsidR="00BD5820" w:rsidRDefault="00F64314">
      <w:pPr>
        <w:widowControl/>
        <w:topLinePunct w:val="0"/>
        <w:adjustRightInd/>
        <w:ind w:firstLineChars="0" w:firstLine="0"/>
        <w:jc w:val="center"/>
        <w:rPr>
          <w:rFonts w:ascii="Times New Roman" w:cs="Times New Roman"/>
          <w:b/>
          <w:bCs/>
          <w:sz w:val="21"/>
          <w:szCs w:val="28"/>
        </w:rPr>
      </w:pPr>
      <w:r>
        <w:rPr>
          <w:rFonts w:ascii="Times New Roman" w:cs="Times New Roman"/>
          <w:b/>
          <w:bCs/>
          <w:sz w:val="21"/>
          <w:szCs w:val="28"/>
        </w:rPr>
        <w:t>表</w:t>
      </w:r>
      <w:r>
        <w:rPr>
          <w:rFonts w:ascii="Times New Roman" w:cs="Times New Roman"/>
          <w:b/>
          <w:bCs/>
          <w:sz w:val="21"/>
          <w:szCs w:val="28"/>
        </w:rPr>
        <w:t>1.8-</w:t>
      </w:r>
      <w:r>
        <w:rPr>
          <w:rFonts w:ascii="Times New Roman" w:cs="Times New Roman" w:hint="eastAsia"/>
          <w:b/>
          <w:bCs/>
          <w:sz w:val="21"/>
          <w:szCs w:val="28"/>
        </w:rPr>
        <w:t>6</w:t>
      </w:r>
      <w:r>
        <w:rPr>
          <w:rFonts w:ascii="Times New Roman" w:cs="Times New Roman"/>
          <w:b/>
          <w:bCs/>
          <w:sz w:val="21"/>
          <w:szCs w:val="28"/>
        </w:rPr>
        <w:t xml:space="preserve">  </w:t>
      </w:r>
      <w:r>
        <w:rPr>
          <w:rFonts w:ascii="Times New Roman" w:cs="Times New Roman"/>
          <w:b/>
          <w:bCs/>
          <w:sz w:val="21"/>
          <w:szCs w:val="28"/>
        </w:rPr>
        <w:t>与《自然资源部关于规范临时用地管理的通知》和《四川省自然资源厅关于进一步明确临时用地管理有关事项的通知》的符合性分析</w:t>
      </w:r>
    </w:p>
    <w:tbl>
      <w:tblPr>
        <w:tblW w:w="5358"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tblPr>
      <w:tblGrid>
        <w:gridCol w:w="615"/>
        <w:gridCol w:w="4663"/>
        <w:gridCol w:w="2764"/>
        <w:gridCol w:w="919"/>
      </w:tblGrid>
      <w:tr w:rsidR="00BD5820">
        <w:trPr>
          <w:trHeight w:val="101"/>
          <w:tblHeader/>
          <w:jc w:val="center"/>
        </w:trPr>
        <w:tc>
          <w:tcPr>
            <w:tcW w:w="343" w:type="pct"/>
            <w:vAlign w:val="center"/>
          </w:tcPr>
          <w:p w:rsidR="00BD5820" w:rsidRDefault="00F64314">
            <w:pPr>
              <w:widowControl/>
              <w:topLinePunct w:val="0"/>
              <w:adjustRightInd/>
              <w:spacing w:line="240" w:lineRule="auto"/>
              <w:ind w:firstLineChars="0" w:firstLine="0"/>
              <w:jc w:val="center"/>
              <w:rPr>
                <w:rFonts w:ascii="Times New Roman" w:cs="Times New Roman"/>
                <w:b/>
                <w:bCs/>
                <w:sz w:val="21"/>
                <w:szCs w:val="21"/>
                <w:lang w:eastAsia="en-US"/>
              </w:rPr>
            </w:pPr>
            <w:r>
              <w:rPr>
                <w:rFonts w:ascii="Times New Roman" w:cs="Times New Roman"/>
                <w:b/>
                <w:bCs/>
                <w:sz w:val="21"/>
                <w:szCs w:val="21"/>
              </w:rPr>
              <w:t>序号</w:t>
            </w:r>
          </w:p>
        </w:tc>
        <w:tc>
          <w:tcPr>
            <w:tcW w:w="2601" w:type="pct"/>
            <w:vAlign w:val="center"/>
          </w:tcPr>
          <w:p w:rsidR="00BD5820" w:rsidRDefault="00F64314">
            <w:pPr>
              <w:widowControl/>
              <w:topLinePunct w:val="0"/>
              <w:adjustRightInd/>
              <w:spacing w:line="240" w:lineRule="auto"/>
              <w:ind w:firstLineChars="0" w:firstLine="0"/>
              <w:jc w:val="center"/>
              <w:rPr>
                <w:rFonts w:ascii="Times New Roman" w:cs="Times New Roman"/>
                <w:b/>
                <w:bCs/>
                <w:sz w:val="21"/>
                <w:szCs w:val="21"/>
              </w:rPr>
            </w:pPr>
            <w:r>
              <w:rPr>
                <w:rFonts w:ascii="Times New Roman" w:cs="Times New Roman"/>
                <w:b/>
                <w:bCs/>
                <w:sz w:val="21"/>
                <w:szCs w:val="21"/>
              </w:rPr>
              <w:t>自然资源部关于规范临时用地管理的通知要求</w:t>
            </w:r>
          </w:p>
        </w:tc>
        <w:tc>
          <w:tcPr>
            <w:tcW w:w="1542" w:type="pct"/>
            <w:vAlign w:val="center"/>
          </w:tcPr>
          <w:p w:rsidR="00BD5820" w:rsidRDefault="00F64314">
            <w:pPr>
              <w:widowControl/>
              <w:topLinePunct w:val="0"/>
              <w:adjustRightInd/>
              <w:spacing w:line="240" w:lineRule="auto"/>
              <w:ind w:firstLineChars="0" w:firstLine="0"/>
              <w:jc w:val="center"/>
              <w:rPr>
                <w:rFonts w:ascii="Times New Roman" w:cs="Times New Roman"/>
                <w:b/>
                <w:bCs/>
                <w:sz w:val="21"/>
                <w:szCs w:val="21"/>
                <w:lang w:eastAsia="en-US"/>
              </w:rPr>
            </w:pPr>
            <w:r>
              <w:rPr>
                <w:rFonts w:ascii="Times New Roman" w:cs="Times New Roman"/>
                <w:b/>
                <w:bCs/>
                <w:sz w:val="21"/>
                <w:szCs w:val="21"/>
                <w:lang w:eastAsia="en-US"/>
              </w:rPr>
              <w:t>本项目</w:t>
            </w:r>
          </w:p>
        </w:tc>
        <w:tc>
          <w:tcPr>
            <w:tcW w:w="513" w:type="pct"/>
            <w:vAlign w:val="center"/>
          </w:tcPr>
          <w:p w:rsidR="00BD5820" w:rsidRDefault="00F64314">
            <w:pPr>
              <w:widowControl/>
              <w:topLinePunct w:val="0"/>
              <w:adjustRightInd/>
              <w:spacing w:line="240" w:lineRule="auto"/>
              <w:ind w:firstLineChars="0" w:firstLine="0"/>
              <w:jc w:val="center"/>
              <w:rPr>
                <w:rFonts w:ascii="Times New Roman" w:cs="Times New Roman"/>
                <w:b/>
                <w:bCs/>
                <w:sz w:val="21"/>
                <w:szCs w:val="21"/>
                <w:lang w:eastAsia="en-US"/>
              </w:rPr>
            </w:pPr>
            <w:r>
              <w:rPr>
                <w:rFonts w:ascii="Times New Roman" w:cs="Times New Roman"/>
                <w:b/>
                <w:bCs/>
                <w:sz w:val="21"/>
                <w:szCs w:val="21"/>
                <w:lang w:eastAsia="en-US"/>
              </w:rPr>
              <w:t>符合性</w:t>
            </w:r>
          </w:p>
        </w:tc>
      </w:tr>
      <w:tr w:rsidR="00BD5820">
        <w:trPr>
          <w:trHeight w:val="251"/>
          <w:jc w:val="center"/>
        </w:trPr>
        <w:tc>
          <w:tcPr>
            <w:tcW w:w="343" w:type="pct"/>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sz w:val="21"/>
                <w:szCs w:val="21"/>
              </w:rPr>
              <w:t>1</w:t>
            </w:r>
          </w:p>
        </w:tc>
        <w:tc>
          <w:tcPr>
            <w:tcW w:w="2601" w:type="pct"/>
            <w:vAlign w:val="center"/>
          </w:tcPr>
          <w:p w:rsidR="00BD5820" w:rsidRDefault="00F64314">
            <w:pPr>
              <w:widowControl/>
              <w:topLinePunct w:val="0"/>
              <w:autoSpaceDE w:val="0"/>
              <w:autoSpaceDN w:val="0"/>
              <w:adjustRightInd/>
              <w:spacing w:line="240" w:lineRule="auto"/>
              <w:ind w:firstLineChars="0" w:firstLine="0"/>
              <w:jc w:val="center"/>
              <w:rPr>
                <w:rFonts w:ascii="Times New Roman" w:cs="Times New Roman"/>
                <w:sz w:val="21"/>
                <w:szCs w:val="21"/>
              </w:rPr>
            </w:pPr>
            <w:r>
              <w:rPr>
                <w:rFonts w:ascii="Times New Roman" w:cs="Times New Roman"/>
                <w:sz w:val="21"/>
                <w:szCs w:val="21"/>
              </w:rPr>
              <w:t>临时用地的范围包括：（二）矿产资源勘查、工程地质勘查、水文地质勘查等，在勘查期间临时生活用房、临时工棚、勘查作业及其辅助工程、施工便道、运输便道等使用的土地，包括油气资源勘查中钻井井场、配套管线、电力设施、进场道路等钻井及配套设施使用的土地。（三）符合法律、法规规定的其他需要临时使用的土地。</w:t>
            </w:r>
          </w:p>
        </w:tc>
        <w:tc>
          <w:tcPr>
            <w:tcW w:w="1542" w:type="pct"/>
            <w:vAlign w:val="center"/>
          </w:tcPr>
          <w:p w:rsidR="00BD5820" w:rsidRDefault="00F64314">
            <w:pPr>
              <w:widowControl/>
              <w:topLinePunct w:val="0"/>
              <w:autoSpaceDE w:val="0"/>
              <w:autoSpaceDN w:val="0"/>
              <w:adjustRightInd/>
              <w:spacing w:line="240" w:lineRule="auto"/>
              <w:ind w:firstLineChars="0" w:firstLine="0"/>
              <w:jc w:val="center"/>
              <w:rPr>
                <w:rFonts w:ascii="Times New Roman" w:cs="Times New Roman"/>
                <w:sz w:val="21"/>
                <w:szCs w:val="21"/>
              </w:rPr>
            </w:pPr>
            <w:r>
              <w:rPr>
                <w:rFonts w:ascii="Times New Roman" w:cs="Times New Roman"/>
                <w:sz w:val="21"/>
                <w:szCs w:val="21"/>
              </w:rPr>
              <w:t>本项目既有</w:t>
            </w:r>
            <w:r>
              <w:rPr>
                <w:rFonts w:ascii="Times New Roman" w:cs="Times New Roman" w:hint="eastAsia"/>
                <w:sz w:val="21"/>
                <w:szCs w:val="21"/>
              </w:rPr>
              <w:t>集气站</w:t>
            </w:r>
            <w:r>
              <w:rPr>
                <w:rFonts w:ascii="Times New Roman" w:cs="Times New Roman"/>
                <w:sz w:val="21"/>
                <w:szCs w:val="21"/>
              </w:rPr>
              <w:t>、进场道路、清废水池、放喷池等原已取得临时用地手续；本项目</w:t>
            </w:r>
            <w:r>
              <w:rPr>
                <w:rFonts w:ascii="Times New Roman" w:cs="Times New Roman" w:hint="eastAsia"/>
                <w:bCs/>
                <w:sz w:val="21"/>
                <w:szCs w:val="21"/>
              </w:rPr>
              <w:t>增压站建设及集输送管道建设涉及</w:t>
            </w:r>
            <w:r>
              <w:rPr>
                <w:rFonts w:ascii="Times New Roman" w:cs="Times New Roman"/>
                <w:sz w:val="21"/>
                <w:szCs w:val="21"/>
              </w:rPr>
              <w:t>新增临时占地。</w:t>
            </w:r>
          </w:p>
        </w:tc>
        <w:tc>
          <w:tcPr>
            <w:tcW w:w="513" w:type="pct"/>
            <w:vAlign w:val="center"/>
          </w:tcPr>
          <w:p w:rsidR="00BD5820" w:rsidRDefault="00F64314">
            <w:pPr>
              <w:widowControl/>
              <w:topLinePunct w:val="0"/>
              <w:autoSpaceDE w:val="0"/>
              <w:autoSpaceDN w:val="0"/>
              <w:adjustRightInd/>
              <w:spacing w:line="240" w:lineRule="auto"/>
              <w:ind w:firstLineChars="0" w:firstLine="0"/>
              <w:jc w:val="center"/>
              <w:rPr>
                <w:rFonts w:ascii="Times New Roman" w:cs="Times New Roman"/>
                <w:sz w:val="21"/>
                <w:szCs w:val="21"/>
              </w:rPr>
            </w:pPr>
            <w:r>
              <w:rPr>
                <w:rFonts w:ascii="Times New Roman" w:cs="Times New Roman"/>
                <w:sz w:val="21"/>
                <w:szCs w:val="21"/>
              </w:rPr>
              <w:t>符合</w:t>
            </w:r>
          </w:p>
        </w:tc>
      </w:tr>
      <w:tr w:rsidR="00BD5820">
        <w:trPr>
          <w:trHeight w:val="251"/>
          <w:jc w:val="center"/>
        </w:trPr>
        <w:tc>
          <w:tcPr>
            <w:tcW w:w="343" w:type="pct"/>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sz w:val="21"/>
                <w:szCs w:val="21"/>
              </w:rPr>
              <w:t>2</w:t>
            </w:r>
          </w:p>
        </w:tc>
        <w:tc>
          <w:tcPr>
            <w:tcW w:w="2601" w:type="pct"/>
            <w:vAlign w:val="center"/>
          </w:tcPr>
          <w:p w:rsidR="00BD5820" w:rsidRDefault="00F64314">
            <w:pPr>
              <w:widowControl/>
              <w:topLinePunct w:val="0"/>
              <w:autoSpaceDE w:val="0"/>
              <w:autoSpaceDN w:val="0"/>
              <w:adjustRightInd/>
              <w:spacing w:line="240" w:lineRule="auto"/>
              <w:ind w:firstLineChars="0" w:firstLine="0"/>
              <w:jc w:val="center"/>
              <w:rPr>
                <w:rFonts w:ascii="Times New Roman" w:cs="Times New Roman"/>
                <w:sz w:val="21"/>
                <w:szCs w:val="21"/>
              </w:rPr>
            </w:pPr>
            <w:r>
              <w:rPr>
                <w:rFonts w:ascii="Times New Roman" w:cs="Times New Roman"/>
                <w:sz w:val="21"/>
                <w:szCs w:val="21"/>
              </w:rPr>
              <w:t>建设项目施工、地质勘查使用临时用地时应坚持</w:t>
            </w:r>
            <w:r>
              <w:rPr>
                <w:rFonts w:ascii="Times New Roman" w:cs="Times New Roman"/>
                <w:sz w:val="21"/>
                <w:szCs w:val="21"/>
              </w:rPr>
              <w:t>“</w:t>
            </w:r>
            <w:r>
              <w:rPr>
                <w:rFonts w:ascii="Times New Roman" w:cs="Times New Roman"/>
                <w:sz w:val="21"/>
                <w:szCs w:val="21"/>
              </w:rPr>
              <w:t>用多少、批多少、占多少、恢复多少</w:t>
            </w:r>
            <w:r>
              <w:rPr>
                <w:rFonts w:ascii="Times New Roman" w:cs="Times New Roman"/>
                <w:sz w:val="21"/>
                <w:szCs w:val="21"/>
              </w:rPr>
              <w:t>”</w:t>
            </w:r>
            <w:r>
              <w:rPr>
                <w:rFonts w:ascii="Times New Roman" w:cs="Times New Roman"/>
                <w:sz w:val="21"/>
                <w:szCs w:val="21"/>
              </w:rPr>
              <w:t>，尽量不占或者少占耕地。临时用地使用期限一般不超过两年。建设周期较长的能源、交通、水利等基础设施建设项目施工使用的临时用地，期限不超过四年。</w:t>
            </w:r>
          </w:p>
        </w:tc>
        <w:tc>
          <w:tcPr>
            <w:tcW w:w="1542" w:type="pct"/>
            <w:vAlign w:val="center"/>
          </w:tcPr>
          <w:p w:rsidR="00BD5820" w:rsidRDefault="00F64314">
            <w:pPr>
              <w:widowControl/>
              <w:topLinePunct w:val="0"/>
              <w:autoSpaceDE w:val="0"/>
              <w:autoSpaceDN w:val="0"/>
              <w:adjustRightInd/>
              <w:spacing w:line="240" w:lineRule="auto"/>
              <w:ind w:firstLineChars="0" w:firstLine="0"/>
              <w:jc w:val="center"/>
              <w:rPr>
                <w:rFonts w:ascii="Times New Roman" w:cs="Times New Roman"/>
                <w:sz w:val="21"/>
                <w:szCs w:val="21"/>
              </w:rPr>
            </w:pPr>
            <w:r>
              <w:rPr>
                <w:rFonts w:ascii="Times New Roman" w:cs="Times New Roman"/>
                <w:sz w:val="21"/>
                <w:szCs w:val="21"/>
              </w:rPr>
              <w:t>本项目</w:t>
            </w:r>
            <w:r>
              <w:rPr>
                <w:rFonts w:ascii="Times New Roman" w:cs="Times New Roman" w:hint="eastAsia"/>
                <w:bCs/>
                <w:sz w:val="21"/>
                <w:szCs w:val="21"/>
              </w:rPr>
              <w:t>增压站建设及集输送管道建设涉及</w:t>
            </w:r>
            <w:r>
              <w:rPr>
                <w:rFonts w:ascii="Times New Roman" w:cs="Times New Roman"/>
                <w:sz w:val="21"/>
                <w:szCs w:val="21"/>
              </w:rPr>
              <w:t>新增临时占地，建设单位将依法办理相关用地手续。</w:t>
            </w:r>
          </w:p>
        </w:tc>
        <w:tc>
          <w:tcPr>
            <w:tcW w:w="513" w:type="pct"/>
            <w:vAlign w:val="center"/>
          </w:tcPr>
          <w:p w:rsidR="00BD5820" w:rsidRDefault="00F64314">
            <w:pPr>
              <w:widowControl/>
              <w:topLinePunct w:val="0"/>
              <w:autoSpaceDE w:val="0"/>
              <w:autoSpaceDN w:val="0"/>
              <w:adjustRightInd/>
              <w:spacing w:line="240" w:lineRule="auto"/>
              <w:ind w:firstLineChars="0" w:firstLine="0"/>
              <w:jc w:val="center"/>
              <w:rPr>
                <w:rFonts w:ascii="Times New Roman" w:cs="Times New Roman"/>
                <w:sz w:val="21"/>
                <w:szCs w:val="21"/>
              </w:rPr>
            </w:pPr>
            <w:r>
              <w:rPr>
                <w:rFonts w:ascii="Times New Roman" w:cs="Times New Roman"/>
                <w:sz w:val="21"/>
                <w:szCs w:val="21"/>
              </w:rPr>
              <w:t>符合</w:t>
            </w:r>
          </w:p>
        </w:tc>
      </w:tr>
      <w:tr w:rsidR="00BD5820">
        <w:trPr>
          <w:trHeight w:val="251"/>
          <w:jc w:val="center"/>
        </w:trPr>
        <w:tc>
          <w:tcPr>
            <w:tcW w:w="343" w:type="pct"/>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sz w:val="21"/>
                <w:szCs w:val="21"/>
              </w:rPr>
              <w:t>3</w:t>
            </w:r>
          </w:p>
        </w:tc>
        <w:tc>
          <w:tcPr>
            <w:tcW w:w="2601" w:type="pct"/>
            <w:vAlign w:val="center"/>
          </w:tcPr>
          <w:p w:rsidR="00BD5820" w:rsidRDefault="00F64314">
            <w:pPr>
              <w:widowControl/>
              <w:topLinePunct w:val="0"/>
              <w:autoSpaceDE w:val="0"/>
              <w:autoSpaceDN w:val="0"/>
              <w:adjustRightInd/>
              <w:spacing w:line="240" w:lineRule="auto"/>
              <w:ind w:firstLineChars="0" w:firstLine="0"/>
              <w:jc w:val="center"/>
              <w:rPr>
                <w:rFonts w:ascii="Times New Roman" w:cs="Times New Roman"/>
                <w:sz w:val="21"/>
                <w:szCs w:val="21"/>
              </w:rPr>
            </w:pPr>
            <w:r>
              <w:rPr>
                <w:rFonts w:ascii="Times New Roman" w:cs="Times New Roman"/>
                <w:sz w:val="21"/>
                <w:szCs w:val="21"/>
              </w:rPr>
              <w:t>县（市）自然资源主管部门负责临时用地审批，其中涉及占用耕地和永久基本农田的，由市级或者市级以上自然资源主管部门负责审批。油气资源探采合一开发涉及的钻井及配套设施建设用地，可先以临时用地方式批准使用，勘探结束转入生产使用的，办理建设用地审批手续；不转入生产的，油气企业应当完成土地复垦，按期归还。</w:t>
            </w:r>
          </w:p>
        </w:tc>
        <w:tc>
          <w:tcPr>
            <w:tcW w:w="1542" w:type="pct"/>
            <w:vAlign w:val="center"/>
          </w:tcPr>
          <w:p w:rsidR="00BD5820" w:rsidRDefault="00F64314">
            <w:pPr>
              <w:widowControl/>
              <w:topLinePunct w:val="0"/>
              <w:autoSpaceDE w:val="0"/>
              <w:autoSpaceDN w:val="0"/>
              <w:adjustRightInd/>
              <w:spacing w:line="240" w:lineRule="auto"/>
              <w:ind w:firstLineChars="0" w:firstLine="0"/>
              <w:jc w:val="center"/>
              <w:rPr>
                <w:rFonts w:ascii="Times New Roman" w:cs="Times New Roman"/>
                <w:sz w:val="21"/>
                <w:szCs w:val="21"/>
              </w:rPr>
            </w:pPr>
            <w:r>
              <w:rPr>
                <w:rFonts w:ascii="Times New Roman" w:cs="Times New Roman"/>
                <w:sz w:val="21"/>
                <w:szCs w:val="21"/>
              </w:rPr>
              <w:t>本项目新增用地不涉及基本农田，新增占地</w:t>
            </w:r>
            <w:r>
              <w:rPr>
                <w:rFonts w:ascii="Times New Roman" w:cs="Times New Roman" w:hint="eastAsia"/>
                <w:sz w:val="21"/>
                <w:szCs w:val="21"/>
              </w:rPr>
              <w:t>施工</w:t>
            </w:r>
            <w:r>
              <w:rPr>
                <w:rFonts w:ascii="Times New Roman" w:cs="Times New Roman"/>
                <w:sz w:val="21"/>
                <w:szCs w:val="21"/>
              </w:rPr>
              <w:t>结束后进行复垦。</w:t>
            </w:r>
          </w:p>
        </w:tc>
        <w:tc>
          <w:tcPr>
            <w:tcW w:w="513" w:type="pct"/>
            <w:vAlign w:val="center"/>
          </w:tcPr>
          <w:p w:rsidR="00BD5820" w:rsidRDefault="00F64314">
            <w:pPr>
              <w:widowControl/>
              <w:topLinePunct w:val="0"/>
              <w:autoSpaceDE w:val="0"/>
              <w:autoSpaceDN w:val="0"/>
              <w:adjustRightInd/>
              <w:spacing w:line="240" w:lineRule="auto"/>
              <w:ind w:firstLineChars="0" w:firstLine="0"/>
              <w:jc w:val="center"/>
              <w:rPr>
                <w:rFonts w:ascii="Times New Roman" w:cs="Times New Roman"/>
                <w:sz w:val="21"/>
                <w:szCs w:val="21"/>
              </w:rPr>
            </w:pPr>
            <w:r>
              <w:rPr>
                <w:rFonts w:ascii="Times New Roman" w:cs="Times New Roman"/>
                <w:sz w:val="21"/>
                <w:szCs w:val="21"/>
              </w:rPr>
              <w:t>符合</w:t>
            </w:r>
          </w:p>
        </w:tc>
      </w:tr>
      <w:tr w:rsidR="00BD5820">
        <w:trPr>
          <w:trHeight w:val="251"/>
          <w:jc w:val="center"/>
        </w:trPr>
        <w:tc>
          <w:tcPr>
            <w:tcW w:w="343" w:type="pct"/>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sz w:val="21"/>
                <w:szCs w:val="21"/>
              </w:rPr>
              <w:t>4</w:t>
            </w:r>
          </w:p>
        </w:tc>
        <w:tc>
          <w:tcPr>
            <w:tcW w:w="2601" w:type="pct"/>
            <w:vAlign w:val="center"/>
          </w:tcPr>
          <w:p w:rsidR="00BD5820" w:rsidRDefault="00F64314">
            <w:pPr>
              <w:widowControl/>
              <w:topLinePunct w:val="0"/>
              <w:autoSpaceDE w:val="0"/>
              <w:autoSpaceDN w:val="0"/>
              <w:adjustRightInd/>
              <w:spacing w:line="240" w:lineRule="auto"/>
              <w:ind w:firstLineChars="0" w:firstLine="0"/>
              <w:jc w:val="center"/>
              <w:rPr>
                <w:rFonts w:ascii="Times New Roman" w:cs="Times New Roman"/>
                <w:sz w:val="21"/>
                <w:szCs w:val="21"/>
              </w:rPr>
            </w:pPr>
            <w:r>
              <w:rPr>
                <w:rFonts w:ascii="Times New Roman" w:cs="Times New Roman"/>
                <w:sz w:val="21"/>
                <w:szCs w:val="21"/>
              </w:rPr>
              <w:t>临时用地使用人应当按照批准的用途使用土地，不得转让、出租、抵押临时用地。临时用地使用人应当自临时用地期满之日起一年内完成土地复垦，因气候、灾害等不可抗力因素影响复垦的，经批准可以适当延长复垦期限。</w:t>
            </w:r>
          </w:p>
          <w:p w:rsidR="00BD5820" w:rsidRDefault="00F64314">
            <w:pPr>
              <w:widowControl/>
              <w:topLinePunct w:val="0"/>
              <w:autoSpaceDE w:val="0"/>
              <w:autoSpaceDN w:val="0"/>
              <w:adjustRightInd/>
              <w:spacing w:line="240" w:lineRule="auto"/>
              <w:ind w:firstLineChars="0" w:firstLine="0"/>
              <w:jc w:val="center"/>
              <w:rPr>
                <w:rFonts w:ascii="Times New Roman" w:cs="Times New Roman"/>
                <w:sz w:val="21"/>
                <w:szCs w:val="21"/>
              </w:rPr>
            </w:pPr>
            <w:r>
              <w:rPr>
                <w:rFonts w:ascii="Times New Roman" w:cs="Times New Roman"/>
                <w:sz w:val="21"/>
                <w:szCs w:val="21"/>
              </w:rPr>
              <w:t>严格落实临时用地恢复责任，临时用地期满后应当拆除临时建（构）筑物，使用耕地的应当复垦为耕地，确保耕地面积不减少、质量不降低；使用耕地以外的其他农用地的应当恢复为农用地；使用未利用地的，对于符合条件的鼓励复垦为耕地。</w:t>
            </w:r>
          </w:p>
        </w:tc>
        <w:tc>
          <w:tcPr>
            <w:tcW w:w="1542" w:type="pct"/>
            <w:vAlign w:val="center"/>
          </w:tcPr>
          <w:p w:rsidR="00BD5820" w:rsidRDefault="00F64314">
            <w:pPr>
              <w:widowControl/>
              <w:topLinePunct w:val="0"/>
              <w:autoSpaceDE w:val="0"/>
              <w:autoSpaceDN w:val="0"/>
              <w:adjustRightInd/>
              <w:spacing w:line="240" w:lineRule="auto"/>
              <w:ind w:firstLineChars="0" w:firstLine="0"/>
              <w:jc w:val="center"/>
              <w:rPr>
                <w:rFonts w:ascii="Times New Roman" w:cs="Times New Roman"/>
                <w:sz w:val="21"/>
                <w:szCs w:val="21"/>
              </w:rPr>
            </w:pPr>
            <w:r>
              <w:rPr>
                <w:rFonts w:ascii="Times New Roman" w:cs="Times New Roman"/>
                <w:sz w:val="21"/>
                <w:szCs w:val="21"/>
              </w:rPr>
              <w:t>建设单位不会转让、出租、抵押临时用地。若临时用地期满且后续</w:t>
            </w:r>
            <w:r w:rsidRPr="00E25F28">
              <w:rPr>
                <w:rFonts w:ascii="Times New Roman" w:cs="Times New Roman"/>
                <w:color w:val="FF0000"/>
                <w:sz w:val="21"/>
                <w:szCs w:val="21"/>
              </w:rPr>
              <w:t>不</w:t>
            </w:r>
            <w:r w:rsidR="00E25F28" w:rsidRPr="00E25F28">
              <w:rPr>
                <w:rFonts w:ascii="Times New Roman" w:cs="Times New Roman" w:hint="eastAsia"/>
                <w:color w:val="FF0000"/>
                <w:sz w:val="21"/>
                <w:szCs w:val="21"/>
              </w:rPr>
              <w:t>再</w:t>
            </w:r>
            <w:r w:rsidRPr="00E25F28">
              <w:rPr>
                <w:rFonts w:ascii="Times New Roman" w:cs="Times New Roman"/>
                <w:color w:val="FF0000"/>
                <w:sz w:val="21"/>
                <w:szCs w:val="21"/>
              </w:rPr>
              <w:t>利用</w:t>
            </w:r>
            <w:r>
              <w:rPr>
                <w:rFonts w:ascii="Times New Roman" w:cs="Times New Roman"/>
                <w:sz w:val="21"/>
                <w:szCs w:val="21"/>
              </w:rPr>
              <w:t>，建设单位将在用地期满之日起一年内完成土地复垦。并按照当地主管部门恢复用地性质。</w:t>
            </w:r>
          </w:p>
        </w:tc>
        <w:tc>
          <w:tcPr>
            <w:tcW w:w="513" w:type="pct"/>
            <w:vAlign w:val="center"/>
          </w:tcPr>
          <w:p w:rsidR="00BD5820" w:rsidRDefault="00F64314">
            <w:pPr>
              <w:widowControl/>
              <w:topLinePunct w:val="0"/>
              <w:autoSpaceDE w:val="0"/>
              <w:autoSpaceDN w:val="0"/>
              <w:adjustRightInd/>
              <w:spacing w:line="240" w:lineRule="auto"/>
              <w:ind w:firstLineChars="0" w:firstLine="0"/>
              <w:jc w:val="center"/>
              <w:rPr>
                <w:rFonts w:ascii="Times New Roman" w:cs="Times New Roman"/>
                <w:sz w:val="21"/>
                <w:szCs w:val="21"/>
              </w:rPr>
            </w:pPr>
            <w:r>
              <w:rPr>
                <w:rFonts w:ascii="Times New Roman" w:cs="Times New Roman"/>
                <w:sz w:val="21"/>
                <w:szCs w:val="21"/>
              </w:rPr>
              <w:t>符合</w:t>
            </w:r>
          </w:p>
        </w:tc>
      </w:tr>
    </w:tbl>
    <w:p w:rsidR="00BD5820" w:rsidRPr="00263423" w:rsidRDefault="00F64314">
      <w:pPr>
        <w:pStyle w:val="affa"/>
        <w:ind w:firstLine="480"/>
        <w:rPr>
          <w:color w:val="FF0000"/>
        </w:rPr>
      </w:pPr>
      <w:r w:rsidRPr="00263423">
        <w:rPr>
          <w:color w:val="FF0000"/>
          <w:kern w:val="2"/>
        </w:rPr>
        <w:t>综上所述，本项目</w:t>
      </w:r>
      <w:r w:rsidR="00263423" w:rsidRPr="00263423">
        <w:rPr>
          <w:rFonts w:hint="eastAsia"/>
          <w:color w:val="FF0000"/>
          <w:kern w:val="2"/>
        </w:rPr>
        <w:t>占地</w:t>
      </w:r>
      <w:r w:rsidRPr="00263423">
        <w:rPr>
          <w:color w:val="FF0000"/>
          <w:kern w:val="2"/>
        </w:rPr>
        <w:t>与《自然资源部关于规范临时用地管理的通知》（自然资规〔</w:t>
      </w:r>
      <w:r w:rsidRPr="00263423">
        <w:rPr>
          <w:color w:val="FF0000"/>
          <w:kern w:val="2"/>
        </w:rPr>
        <w:t>2021</w:t>
      </w:r>
      <w:r w:rsidRPr="00263423">
        <w:rPr>
          <w:color w:val="FF0000"/>
          <w:kern w:val="2"/>
        </w:rPr>
        <w:t>〕</w:t>
      </w:r>
      <w:r w:rsidRPr="00263423">
        <w:rPr>
          <w:color w:val="FF0000"/>
          <w:kern w:val="2"/>
        </w:rPr>
        <w:t>2</w:t>
      </w:r>
      <w:r w:rsidRPr="00263423">
        <w:rPr>
          <w:color w:val="FF0000"/>
          <w:kern w:val="2"/>
        </w:rPr>
        <w:t>号）、《四川省自然资源厅关于进一步明确临时用地管理有关</w:t>
      </w:r>
      <w:r w:rsidRPr="00263423">
        <w:rPr>
          <w:color w:val="FF0000"/>
          <w:kern w:val="2"/>
        </w:rPr>
        <w:lastRenderedPageBreak/>
        <w:t>事项的通知》（川自然资规〔</w:t>
      </w:r>
      <w:r w:rsidRPr="00263423">
        <w:rPr>
          <w:color w:val="FF0000"/>
          <w:kern w:val="2"/>
        </w:rPr>
        <w:t>2022</w:t>
      </w:r>
      <w:r w:rsidRPr="00263423">
        <w:rPr>
          <w:color w:val="FF0000"/>
          <w:kern w:val="2"/>
        </w:rPr>
        <w:t>〕</w:t>
      </w:r>
      <w:r w:rsidRPr="00263423">
        <w:rPr>
          <w:color w:val="FF0000"/>
          <w:kern w:val="2"/>
        </w:rPr>
        <w:t>3</w:t>
      </w:r>
      <w:r w:rsidRPr="00263423">
        <w:rPr>
          <w:color w:val="FF0000"/>
          <w:kern w:val="2"/>
        </w:rPr>
        <w:t>号）中相关要求相符。</w:t>
      </w:r>
    </w:p>
    <w:p w:rsidR="00BD5820" w:rsidRDefault="00F64314">
      <w:pPr>
        <w:keepNext/>
        <w:keepLines/>
        <w:ind w:firstLineChars="0" w:firstLine="0"/>
        <w:outlineLvl w:val="2"/>
        <w:rPr>
          <w:rFonts w:ascii="Times New Roman" w:cs="Times New Roman"/>
          <w:b/>
          <w:szCs w:val="32"/>
        </w:rPr>
      </w:pPr>
      <w:r>
        <w:rPr>
          <w:rFonts w:ascii="Times New Roman" w:cs="Times New Roman"/>
          <w:b/>
          <w:szCs w:val="32"/>
        </w:rPr>
        <w:t>1.8.</w:t>
      </w:r>
      <w:r>
        <w:rPr>
          <w:rFonts w:ascii="Times New Roman" w:cs="Times New Roman" w:hint="eastAsia"/>
          <w:b/>
          <w:szCs w:val="32"/>
        </w:rPr>
        <w:t>9</w:t>
      </w:r>
      <w:r>
        <w:rPr>
          <w:rFonts w:ascii="Times New Roman" w:cs="Times New Roman"/>
          <w:b/>
          <w:szCs w:val="32"/>
        </w:rPr>
        <w:t xml:space="preserve"> </w:t>
      </w:r>
      <w:r>
        <w:rPr>
          <w:rFonts w:ascii="Times New Roman" w:cs="Times New Roman" w:hint="eastAsia"/>
          <w:b/>
          <w:szCs w:val="32"/>
        </w:rPr>
        <w:t>《四川省“十四五”能源发展规划》（川府发〔</w:t>
      </w:r>
      <w:r>
        <w:rPr>
          <w:rFonts w:ascii="Times New Roman" w:cs="Times New Roman" w:hint="eastAsia"/>
          <w:b/>
          <w:szCs w:val="32"/>
        </w:rPr>
        <w:t>2022</w:t>
      </w:r>
      <w:r>
        <w:rPr>
          <w:rFonts w:ascii="Times New Roman" w:cs="Times New Roman" w:hint="eastAsia"/>
          <w:b/>
          <w:szCs w:val="32"/>
        </w:rPr>
        <w:t>〕</w:t>
      </w:r>
      <w:r>
        <w:rPr>
          <w:rFonts w:ascii="Times New Roman" w:cs="Times New Roman" w:hint="eastAsia"/>
          <w:b/>
          <w:szCs w:val="32"/>
        </w:rPr>
        <w:t>8</w:t>
      </w:r>
      <w:r>
        <w:rPr>
          <w:rFonts w:ascii="Times New Roman" w:cs="Times New Roman" w:hint="eastAsia"/>
          <w:b/>
          <w:szCs w:val="32"/>
        </w:rPr>
        <w:t>号）</w:t>
      </w:r>
      <w:r>
        <w:rPr>
          <w:rFonts w:ascii="Times New Roman" w:cs="Times New Roman"/>
          <w:b/>
          <w:szCs w:val="32"/>
        </w:rPr>
        <w:t>符合性分析</w:t>
      </w:r>
    </w:p>
    <w:p w:rsidR="00BD5820" w:rsidRDefault="00F64314">
      <w:pPr>
        <w:ind w:firstLine="480"/>
        <w:rPr>
          <w:rFonts w:asciiTheme="minorEastAsia" w:eastAsiaTheme="minorEastAsia" w:hAnsiTheme="minorEastAsia" w:cs="Times New Roman"/>
        </w:rPr>
      </w:pPr>
      <w:r>
        <w:rPr>
          <w:rFonts w:asciiTheme="minorEastAsia" w:eastAsiaTheme="minorEastAsia" w:hAnsiTheme="minorEastAsia" w:cs="Times New Roman"/>
        </w:rPr>
        <w:t>根据《四川省“十四五”能源发展规划》（川府发〔</w:t>
      </w:r>
      <w:r>
        <w:rPr>
          <w:rFonts w:ascii="Times New Roman" w:eastAsiaTheme="minorEastAsia" w:cs="Times New Roman"/>
        </w:rPr>
        <w:t>2022</w:t>
      </w:r>
      <w:r>
        <w:rPr>
          <w:rFonts w:ascii="Times New Roman" w:eastAsiaTheme="minorEastAsia" w:hAnsiTheme="minorEastAsia" w:cs="Times New Roman"/>
        </w:rPr>
        <w:t>〕</w:t>
      </w:r>
      <w:r>
        <w:rPr>
          <w:rFonts w:ascii="Times New Roman" w:eastAsiaTheme="minorEastAsia" w:cs="Times New Roman"/>
        </w:rPr>
        <w:t>8</w:t>
      </w:r>
      <w:r>
        <w:rPr>
          <w:rFonts w:asciiTheme="minorEastAsia" w:eastAsiaTheme="minorEastAsia" w:hAnsiTheme="minorEastAsia" w:cs="Times New Roman"/>
        </w:rPr>
        <w:t>号）中“第五章 加快天然气勘探开发利用”中“第一节 建设千亿立方米级产能基地 大力推进天然气(页岩气)勘探开发,实施国家天然气(页岩气)千亿立方米级产能基地建设行动方案,建成全国最大的现代化 天然气(页岩气) 生产基地。 加大德阳—安岳古裂陷周缘、川中下古生界—震旦系、下二叠统、川西雷口坡组、川南五峰组—龙马溪组层系勘探力度。 加快川中下古生界—震旦系气藏、川西和川中致密气藏、川东北高含硫气田、川西致密气田以及长宁、威远、泸州 等区块产能建设,稳定主产区产量</w:t>
      </w:r>
      <w:r>
        <w:rPr>
          <w:rFonts w:asciiTheme="minorEastAsia" w:eastAsiaTheme="minorEastAsia" w:hAnsiTheme="minorEastAsia" w:cs="Times New Roman" w:hint="eastAsia"/>
        </w:rPr>
        <w:t>，</w:t>
      </w:r>
      <w:r>
        <w:rPr>
          <w:rFonts w:asciiTheme="minorEastAsia" w:eastAsiaTheme="minorEastAsia" w:hAnsiTheme="minorEastAsia" w:cs="Times New Roman"/>
        </w:rPr>
        <w:t>开发接续区块。 到</w:t>
      </w:r>
      <w:r>
        <w:rPr>
          <w:rFonts w:ascii="Times New Roman" w:eastAsiaTheme="minorEastAsia" w:cs="Times New Roman"/>
        </w:rPr>
        <w:t>2025</w:t>
      </w:r>
      <w:r>
        <w:rPr>
          <w:rFonts w:ascii="Times New Roman" w:eastAsiaTheme="minorEastAsia" w:hAnsiTheme="minorEastAsia" w:cs="Times New Roman"/>
        </w:rPr>
        <w:t>年</w:t>
      </w:r>
      <w:r>
        <w:rPr>
          <w:rFonts w:asciiTheme="minorEastAsia" w:eastAsiaTheme="minorEastAsia" w:hAnsiTheme="minorEastAsia" w:cs="Times New Roman" w:hint="eastAsia"/>
        </w:rPr>
        <w:t>，</w:t>
      </w:r>
      <w:r>
        <w:rPr>
          <w:rFonts w:ascii="Times New Roman" w:eastAsiaTheme="minorEastAsia" w:hAnsiTheme="minorEastAsia" w:cs="Times New Roman"/>
        </w:rPr>
        <w:t>天然气</w:t>
      </w:r>
      <w:r>
        <w:rPr>
          <w:rFonts w:asciiTheme="minorEastAsia" w:eastAsiaTheme="minorEastAsia" w:hAnsiTheme="minorEastAsia" w:cs="Times New Roman"/>
        </w:rPr>
        <w:t>(页岩气)</w:t>
      </w:r>
      <w:r>
        <w:rPr>
          <w:rFonts w:ascii="Times New Roman" w:eastAsiaTheme="minorEastAsia" w:hAnsiTheme="minorEastAsia" w:cs="Times New Roman"/>
        </w:rPr>
        <w:t>年产量达到</w:t>
      </w:r>
      <w:r>
        <w:rPr>
          <w:rFonts w:ascii="Times New Roman" w:eastAsiaTheme="minorEastAsia" w:cs="Times New Roman"/>
        </w:rPr>
        <w:t>630</w:t>
      </w:r>
      <w:r>
        <w:rPr>
          <w:rFonts w:asciiTheme="minorEastAsia" w:eastAsiaTheme="minorEastAsia" w:hAnsiTheme="minorEastAsia" w:cs="Times New Roman"/>
        </w:rPr>
        <w:t>亿立方米”。“第二节 大力推进油气基础设施建设 按照适度超前的原则,加快省内油气输送管网建设</w:t>
      </w:r>
      <w:r>
        <w:rPr>
          <w:rFonts w:asciiTheme="minorEastAsia" w:eastAsiaTheme="minorEastAsia" w:hAnsiTheme="minorEastAsia" w:cs="Times New Roman" w:hint="eastAsia"/>
        </w:rPr>
        <w:t>，</w:t>
      </w:r>
      <w:r>
        <w:rPr>
          <w:rFonts w:asciiTheme="minorEastAsia" w:eastAsiaTheme="minorEastAsia" w:hAnsiTheme="minorEastAsia" w:cs="Times New Roman"/>
        </w:rPr>
        <w:t>围绕主要产气区、消费区和薄弱区</w:t>
      </w:r>
      <w:r>
        <w:rPr>
          <w:rFonts w:asciiTheme="minorEastAsia" w:eastAsiaTheme="minorEastAsia" w:hAnsiTheme="minorEastAsia" w:cs="Times New Roman" w:hint="eastAsia"/>
        </w:rPr>
        <w:t>，</w:t>
      </w:r>
      <w:r>
        <w:rPr>
          <w:rFonts w:asciiTheme="minorEastAsia" w:eastAsiaTheme="minorEastAsia" w:hAnsiTheme="minorEastAsia" w:cs="Times New Roman"/>
        </w:rPr>
        <w:t>统筹优化管网布局,构建供应稳定、运行高效、安全可靠的输配系统。推进川气东送二线(四川段) 、威远和泸州区块页岩气集输干线工程、攀枝花—凉山等天然气管道建设</w:t>
      </w:r>
      <w:r>
        <w:rPr>
          <w:rFonts w:asciiTheme="minorEastAsia" w:eastAsiaTheme="minorEastAsia" w:hAnsiTheme="minorEastAsia" w:cs="Times New Roman" w:hint="eastAsia"/>
        </w:rPr>
        <w:t>，</w:t>
      </w:r>
      <w:r>
        <w:rPr>
          <w:rFonts w:asciiTheme="minorEastAsia" w:eastAsiaTheme="minorEastAsia" w:hAnsiTheme="minorEastAsia" w:cs="Times New Roman"/>
        </w:rPr>
        <w:t>进一步完善达州、雅安、乐山、泸州、巴中等末端区域供气管网,布局南向管道并适时建设。规划新增成品油入川管道。到</w:t>
      </w:r>
      <w:r>
        <w:rPr>
          <w:rFonts w:ascii="Times New Roman" w:eastAsiaTheme="minorEastAsia" w:cs="Times New Roman"/>
        </w:rPr>
        <w:t xml:space="preserve"> 2025</w:t>
      </w:r>
      <w:r>
        <w:rPr>
          <w:rFonts w:asciiTheme="minorEastAsia" w:eastAsiaTheme="minorEastAsia" w:hAnsiTheme="minorEastAsia" w:cs="Times New Roman"/>
        </w:rPr>
        <w:t>年</w:t>
      </w:r>
      <w:r>
        <w:rPr>
          <w:rFonts w:asciiTheme="minorEastAsia" w:eastAsiaTheme="minorEastAsia" w:hAnsiTheme="minorEastAsia" w:cs="Times New Roman" w:hint="eastAsia"/>
        </w:rPr>
        <w:t>，</w:t>
      </w:r>
      <w:r>
        <w:rPr>
          <w:rFonts w:asciiTheme="minorEastAsia" w:eastAsiaTheme="minorEastAsia" w:hAnsiTheme="minorEastAsia" w:cs="Times New Roman"/>
        </w:rPr>
        <w:t>形成输气能力</w:t>
      </w:r>
      <w:r>
        <w:rPr>
          <w:rFonts w:ascii="Times New Roman" w:eastAsiaTheme="minorEastAsia" w:cs="Times New Roman"/>
        </w:rPr>
        <w:t xml:space="preserve"> 700</w:t>
      </w:r>
      <w:r>
        <w:rPr>
          <w:rFonts w:asciiTheme="minorEastAsia" w:eastAsiaTheme="minorEastAsia" w:hAnsiTheme="minorEastAsia" w:cs="Times New Roman"/>
        </w:rPr>
        <w:t>亿立方米/年。”</w:t>
      </w:r>
    </w:p>
    <w:p w:rsidR="00BD5820" w:rsidRDefault="00F64314">
      <w:pPr>
        <w:ind w:firstLine="480"/>
        <w:rPr>
          <w:rFonts w:ascii="Times New Roman" w:cs="Times New Roman"/>
        </w:rPr>
      </w:pPr>
      <w:r>
        <w:rPr>
          <w:rFonts w:ascii="Times New Roman" w:cs="Times New Roman"/>
        </w:rPr>
        <w:t>本项目为普光气田</w:t>
      </w:r>
      <w:r>
        <w:rPr>
          <w:rFonts w:ascii="Times New Roman" w:cs="Times New Roman" w:hint="eastAsia"/>
        </w:rPr>
        <w:t>普光主体</w:t>
      </w:r>
      <w:r>
        <w:rPr>
          <w:rFonts w:ascii="Times New Roman" w:cs="Times New Roman"/>
        </w:rPr>
        <w:t>区块天然气</w:t>
      </w:r>
      <w:r>
        <w:rPr>
          <w:rFonts w:ascii="Times New Roman" w:cs="Times New Roman" w:hint="eastAsia"/>
        </w:rPr>
        <w:t>开采</w:t>
      </w:r>
      <w:r>
        <w:rPr>
          <w:rFonts w:ascii="Times New Roman" w:cs="Times New Roman"/>
        </w:rPr>
        <w:t>和内部集输工程，属于天然气支线网络建设的配套工程，符合</w:t>
      </w:r>
      <w:r>
        <w:rPr>
          <w:rFonts w:ascii="Times New Roman" w:cs="Times New Roman" w:hint="eastAsia"/>
        </w:rPr>
        <w:t>《四川省“十四五”能源发展规划》</w:t>
      </w:r>
      <w:r>
        <w:rPr>
          <w:rFonts w:ascii="Times New Roman" w:cs="Times New Roman"/>
        </w:rPr>
        <w:t>要求。</w:t>
      </w:r>
    </w:p>
    <w:p w:rsidR="00BD5820" w:rsidRDefault="00F64314">
      <w:pPr>
        <w:keepNext/>
        <w:keepLines/>
        <w:ind w:firstLineChars="0" w:firstLine="0"/>
        <w:outlineLvl w:val="2"/>
        <w:rPr>
          <w:rFonts w:ascii="Times New Roman" w:cs="Times New Roman"/>
          <w:b/>
          <w:szCs w:val="32"/>
        </w:rPr>
      </w:pPr>
      <w:r>
        <w:rPr>
          <w:rFonts w:ascii="Times New Roman" w:cs="Times New Roman"/>
          <w:b/>
          <w:szCs w:val="32"/>
        </w:rPr>
        <w:t>1.8.</w:t>
      </w:r>
      <w:r>
        <w:rPr>
          <w:rFonts w:ascii="Times New Roman" w:cs="Times New Roman" w:hint="eastAsia"/>
          <w:b/>
          <w:szCs w:val="32"/>
        </w:rPr>
        <w:t>10</w:t>
      </w:r>
      <w:r>
        <w:rPr>
          <w:rFonts w:ascii="Times New Roman" w:cs="Times New Roman"/>
          <w:b/>
          <w:szCs w:val="32"/>
        </w:rPr>
        <w:t xml:space="preserve"> </w:t>
      </w:r>
      <w:r>
        <w:rPr>
          <w:rFonts w:ascii="Times New Roman" w:cs="Times New Roman"/>
          <w:b/>
          <w:szCs w:val="32"/>
        </w:rPr>
        <w:t>本项目与水源地合理性分析</w:t>
      </w:r>
    </w:p>
    <w:p w:rsidR="00BD5820" w:rsidRDefault="00F64314">
      <w:pPr>
        <w:pStyle w:val="affa"/>
        <w:ind w:firstLine="480"/>
      </w:pPr>
      <w:r>
        <w:t>根据达州市人民政府《关于划定万源市、宣汉县和大竹县乡镇及以下集中式饮用水水源地保护区的批复》（达市府发</w:t>
      </w:r>
      <w:r>
        <w:rPr>
          <w:kern w:val="2"/>
        </w:rPr>
        <w:t>〔</w:t>
      </w:r>
      <w:r>
        <w:rPr>
          <w:kern w:val="2"/>
        </w:rPr>
        <w:t>2020</w:t>
      </w:r>
      <w:r>
        <w:rPr>
          <w:kern w:val="2"/>
        </w:rPr>
        <w:t>〕</w:t>
      </w:r>
      <w:r>
        <w:t>124</w:t>
      </w:r>
      <w:r>
        <w:t>号）结合现场调查，项目</w:t>
      </w:r>
      <w:r>
        <w:rPr>
          <w:rFonts w:hint="eastAsia"/>
        </w:rPr>
        <w:t>沿线</w:t>
      </w:r>
      <w:r>
        <w:t>不涉及乡镇水源地保护区。</w:t>
      </w:r>
    </w:p>
    <w:p w:rsidR="00BD5820" w:rsidRDefault="00F64314">
      <w:pPr>
        <w:keepNext/>
        <w:keepLines/>
        <w:ind w:firstLineChars="0" w:firstLine="0"/>
        <w:outlineLvl w:val="2"/>
        <w:rPr>
          <w:rFonts w:ascii="Times New Roman" w:cs="Times New Roman"/>
          <w:b/>
          <w:szCs w:val="32"/>
        </w:rPr>
      </w:pPr>
      <w:r>
        <w:rPr>
          <w:rFonts w:ascii="Times New Roman" w:cs="Times New Roman"/>
          <w:b/>
          <w:szCs w:val="32"/>
        </w:rPr>
        <w:t>1.8.1</w:t>
      </w:r>
      <w:r>
        <w:rPr>
          <w:rFonts w:ascii="Times New Roman" w:cs="Times New Roman" w:hint="eastAsia"/>
          <w:b/>
          <w:szCs w:val="32"/>
        </w:rPr>
        <w:t>1</w:t>
      </w:r>
      <w:r>
        <w:rPr>
          <w:rFonts w:ascii="Times New Roman" w:cs="Times New Roman"/>
          <w:b/>
          <w:szCs w:val="32"/>
        </w:rPr>
        <w:t xml:space="preserve"> </w:t>
      </w:r>
      <w:r>
        <w:rPr>
          <w:rFonts w:ascii="Times New Roman" w:cs="Times New Roman"/>
          <w:b/>
          <w:szCs w:val="32"/>
        </w:rPr>
        <w:t>本项目与</w:t>
      </w:r>
      <w:r>
        <w:rPr>
          <w:rFonts w:ascii="Times New Roman" w:cs="Times New Roman"/>
          <w:b/>
          <w:szCs w:val="32"/>
        </w:rPr>
        <w:t>“</w:t>
      </w:r>
      <w:r>
        <w:rPr>
          <w:rFonts w:ascii="Times New Roman" w:cs="Times New Roman"/>
          <w:b/>
          <w:szCs w:val="32"/>
        </w:rPr>
        <w:t>三线一单</w:t>
      </w:r>
      <w:r>
        <w:rPr>
          <w:rFonts w:ascii="Times New Roman" w:cs="Times New Roman"/>
          <w:b/>
          <w:szCs w:val="32"/>
        </w:rPr>
        <w:t>”</w:t>
      </w:r>
      <w:r>
        <w:rPr>
          <w:rFonts w:ascii="Times New Roman" w:cs="Times New Roman"/>
          <w:b/>
          <w:szCs w:val="32"/>
        </w:rPr>
        <w:t>符合性分析</w:t>
      </w:r>
    </w:p>
    <w:p w:rsidR="00BD5820" w:rsidRDefault="00F64314">
      <w:pPr>
        <w:pStyle w:val="affa"/>
        <w:ind w:firstLine="480"/>
      </w:pPr>
      <w:r>
        <w:t>根据环保部发布的《关于以改善环境质量为核心加强环境影响评价管理的通知》要求：切实加强环境影响评价管理，落实</w:t>
      </w:r>
      <w:r>
        <w:t>“</w:t>
      </w:r>
      <w:r>
        <w:t>生态保护红线、环境质量底线、资源利用上线和环境准入负面清单</w:t>
      </w:r>
      <w:r>
        <w:t>”</w:t>
      </w:r>
      <w:r>
        <w:t>约束，更好地发挥环评制度从源头防范环境污染和生态破坏的作用，加快推进改善环境质量。</w:t>
      </w:r>
    </w:p>
    <w:p w:rsidR="00BD5820" w:rsidRDefault="00F64314">
      <w:pPr>
        <w:ind w:firstLine="482"/>
        <w:rPr>
          <w:rFonts w:ascii="Times New Roman" w:cs="Times New Roman"/>
          <w:b/>
          <w:bCs/>
        </w:rPr>
      </w:pPr>
      <w:r>
        <w:rPr>
          <w:rFonts w:ascii="Times New Roman" w:cs="Times New Roman"/>
          <w:b/>
          <w:bCs/>
        </w:rPr>
        <w:t>1</w:t>
      </w:r>
      <w:r>
        <w:rPr>
          <w:rFonts w:ascii="Times New Roman" w:cs="Times New Roman"/>
          <w:b/>
          <w:bCs/>
        </w:rPr>
        <w:t>、生态保护红线</w:t>
      </w:r>
    </w:p>
    <w:p w:rsidR="00BD5820" w:rsidRDefault="00F64314">
      <w:pPr>
        <w:ind w:firstLine="480"/>
        <w:rPr>
          <w:rFonts w:ascii="Times New Roman" w:cs="Times New Roman"/>
        </w:rPr>
      </w:pPr>
      <w:r>
        <w:rPr>
          <w:rFonts w:ascii="Times New Roman" w:cs="Times New Roman"/>
        </w:rPr>
        <w:lastRenderedPageBreak/>
        <w:t>2017</w:t>
      </w:r>
      <w:r>
        <w:rPr>
          <w:rFonts w:ascii="Times New Roman" w:cs="Times New Roman"/>
        </w:rPr>
        <w:t>年</w:t>
      </w:r>
      <w:r>
        <w:rPr>
          <w:rFonts w:ascii="Times New Roman" w:cs="Times New Roman"/>
        </w:rPr>
        <w:t>2</w:t>
      </w:r>
      <w:r>
        <w:rPr>
          <w:rFonts w:ascii="Times New Roman" w:cs="Times New Roman"/>
        </w:rPr>
        <w:t>月，中共中央办公厅国务院办公厅印发了《关于划定并严守生态保护红线的若干意见》，意见中关于红线管控要求如下：</w:t>
      </w:r>
    </w:p>
    <w:p w:rsidR="00BD5820" w:rsidRDefault="00F64314">
      <w:pPr>
        <w:ind w:firstLine="480"/>
        <w:rPr>
          <w:rFonts w:ascii="Times New Roman" w:cs="Times New Roman"/>
        </w:rPr>
      </w:pPr>
      <w:r>
        <w:rPr>
          <w:rFonts w:ascii="Times New Roman" w:cs="Times New Roman"/>
        </w:rPr>
        <w:t>实行严格管控。生态保护红线原则上按禁止开发区域的要求进行管理。严禁不符合主体功能定位的各类开发活动，严禁任意改变用途。生态保护红线划定后，只能增加、不能减少，因国家重大基础设施、重大民生保障项目建设等需要调整的，由省级政府组织论证，提出调整方案，经环境保护部、国家发展改革委会同有关部门提出审核意见后，报国务院批准。因国家重大战略资源勘查需要，在不影响主体功能定位的前提下，经依法批准后予以安排勘查项目。</w:t>
      </w:r>
    </w:p>
    <w:p w:rsidR="00BD5820" w:rsidRDefault="00F64314">
      <w:pPr>
        <w:ind w:firstLine="480"/>
        <w:rPr>
          <w:rFonts w:ascii="Times New Roman" w:cs="Times New Roman"/>
        </w:rPr>
      </w:pPr>
      <w:r>
        <w:rPr>
          <w:rFonts w:ascii="Times New Roman" w:cs="Times New Roman"/>
        </w:rPr>
        <w:t>四川省人民政府《关于印发四川省生态保护红线方案的通知》（川府发〔</w:t>
      </w:r>
      <w:r>
        <w:rPr>
          <w:rFonts w:ascii="Times New Roman" w:cs="Times New Roman"/>
        </w:rPr>
        <w:t>2018</w:t>
      </w:r>
      <w:r>
        <w:rPr>
          <w:rFonts w:ascii="Times New Roman" w:cs="Times New Roman"/>
        </w:rPr>
        <w:t>〕</w:t>
      </w:r>
      <w:r>
        <w:rPr>
          <w:rFonts w:ascii="Times New Roman" w:cs="Times New Roman"/>
        </w:rPr>
        <w:t>24</w:t>
      </w:r>
      <w:r>
        <w:rPr>
          <w:rFonts w:ascii="Times New Roman" w:cs="Times New Roman"/>
        </w:rPr>
        <w:t>号）中指出：</w:t>
      </w:r>
      <w:r>
        <w:rPr>
          <w:rFonts w:ascii="Times New Roman" w:cs="Times New Roman"/>
        </w:rPr>
        <w:t>“</w:t>
      </w:r>
      <w:r>
        <w:rPr>
          <w:rFonts w:ascii="Times New Roman" w:cs="Times New Roman"/>
        </w:rPr>
        <w:t>四川省生态保护红线总面积</w:t>
      </w:r>
      <w:r>
        <w:rPr>
          <w:rFonts w:ascii="Times New Roman" w:cs="Times New Roman"/>
        </w:rPr>
        <w:t>14.80</w:t>
      </w:r>
      <w:r>
        <w:rPr>
          <w:rFonts w:ascii="Times New Roman" w:cs="Times New Roman"/>
        </w:rPr>
        <w:t>万平方公里，占全省幅员面积的</w:t>
      </w:r>
      <w:r>
        <w:rPr>
          <w:rFonts w:ascii="Times New Roman" w:cs="Times New Roman"/>
        </w:rPr>
        <w:t>30.45%</w:t>
      </w:r>
      <w:r>
        <w:rPr>
          <w:rFonts w:ascii="Times New Roman" w:cs="Times New Roman"/>
        </w:rPr>
        <w:t>，主要分布于川西高山高原、川西南山地和盆周山地，分布格局为</w:t>
      </w:r>
      <w:r>
        <w:rPr>
          <w:rFonts w:ascii="Times New Roman" w:cs="Times New Roman"/>
        </w:rPr>
        <w:t>“</w:t>
      </w:r>
      <w:r>
        <w:rPr>
          <w:rFonts w:ascii="Times New Roman" w:cs="Times New Roman"/>
        </w:rPr>
        <w:t>四轴九核</w:t>
      </w:r>
      <w:r>
        <w:rPr>
          <w:rFonts w:ascii="Times New Roman" w:cs="Times New Roman"/>
        </w:rPr>
        <w:t>”</w:t>
      </w:r>
      <w:r>
        <w:rPr>
          <w:rFonts w:ascii="Times New Roman" w:cs="Times New Roman"/>
        </w:rPr>
        <w:t>。</w:t>
      </w:r>
      <w:r>
        <w:rPr>
          <w:rFonts w:ascii="Times New Roman" w:cs="Times New Roman"/>
        </w:rPr>
        <w:t>“</w:t>
      </w:r>
      <w:r>
        <w:rPr>
          <w:rFonts w:ascii="Times New Roman" w:cs="Times New Roman"/>
        </w:rPr>
        <w:t>四轴</w:t>
      </w:r>
      <w:r>
        <w:rPr>
          <w:rFonts w:ascii="Times New Roman" w:cs="Times New Roman"/>
        </w:rPr>
        <w:t>”</w:t>
      </w:r>
      <w:r>
        <w:rPr>
          <w:rFonts w:ascii="Times New Roman" w:cs="Times New Roman"/>
        </w:rPr>
        <w:t>指大巴山、金沙江下游干热河谷、川东南山地以及盆中丘陵区，呈带状分布；</w:t>
      </w:r>
      <w:r>
        <w:rPr>
          <w:rFonts w:ascii="Times New Roman" w:cs="Times New Roman"/>
        </w:rPr>
        <w:t>“</w:t>
      </w:r>
      <w:r>
        <w:rPr>
          <w:rFonts w:ascii="Times New Roman" w:cs="Times New Roman"/>
        </w:rPr>
        <w:t>九核</w:t>
      </w:r>
      <w:r>
        <w:rPr>
          <w:rFonts w:ascii="Times New Roman" w:cs="Times New Roman"/>
        </w:rPr>
        <w:t>”</w:t>
      </w:r>
      <w:r>
        <w:rPr>
          <w:rFonts w:ascii="Times New Roman" w:cs="Times New Roman"/>
        </w:rPr>
        <w:t>指若尔盖湿地（黄河源）雅砻江源、大渡河源以及大雪山、沙鲁里山、岷山、邛崃山、凉山</w:t>
      </w:r>
      <w:r>
        <w:rPr>
          <w:rFonts w:ascii="Times New Roman" w:cs="Times New Roman"/>
        </w:rPr>
        <w:t>—</w:t>
      </w:r>
      <w:r>
        <w:rPr>
          <w:rFonts w:ascii="Times New Roman" w:cs="Times New Roman"/>
        </w:rPr>
        <w:t>相岭、锦屏山，以水系、山系为骨架集中成片分布。</w:t>
      </w:r>
    </w:p>
    <w:p w:rsidR="00BD5820" w:rsidRDefault="00F64314">
      <w:pPr>
        <w:ind w:firstLine="480"/>
        <w:rPr>
          <w:rFonts w:ascii="Times New Roman" w:cs="Times New Roman"/>
        </w:rPr>
      </w:pPr>
      <w:r>
        <w:rPr>
          <w:rFonts w:ascii="Times New Roman" w:cs="Times New Roman"/>
        </w:rPr>
        <w:t>根据该《通知》，达州市宣汉县、万源市的部分地区涉及</w:t>
      </w:r>
      <w:r>
        <w:rPr>
          <w:rFonts w:ascii="Times New Roman" w:cs="Times New Roman"/>
        </w:rPr>
        <w:t>“</w:t>
      </w:r>
      <w:r>
        <w:rPr>
          <w:rFonts w:ascii="Times New Roman" w:cs="Times New Roman"/>
        </w:rPr>
        <w:t>大巴山生物多样性维护</w:t>
      </w:r>
      <w:r>
        <w:rPr>
          <w:rFonts w:ascii="Times New Roman" w:cs="Times New Roman"/>
        </w:rPr>
        <w:t>—</w:t>
      </w:r>
      <w:r>
        <w:rPr>
          <w:rFonts w:ascii="Times New Roman" w:cs="Times New Roman"/>
        </w:rPr>
        <w:t>水源涵养生态保护红线</w:t>
      </w:r>
      <w:r>
        <w:rPr>
          <w:rFonts w:ascii="Times New Roman" w:cs="Times New Roman"/>
        </w:rPr>
        <w:t>”</w:t>
      </w:r>
      <w:r>
        <w:rPr>
          <w:rFonts w:ascii="Times New Roman" w:cs="Times New Roman"/>
        </w:rPr>
        <w:t>；大竹县的部分地区涉及</w:t>
      </w:r>
      <w:r>
        <w:rPr>
          <w:rFonts w:ascii="Times New Roman" w:cs="Times New Roman"/>
        </w:rPr>
        <w:t>“</w:t>
      </w:r>
      <w:r>
        <w:rPr>
          <w:rFonts w:ascii="Times New Roman" w:cs="Times New Roman"/>
        </w:rPr>
        <w:t>川东南石漠化敏感生态保护红线</w:t>
      </w:r>
      <w:r>
        <w:rPr>
          <w:rFonts w:ascii="Times New Roman" w:cs="Times New Roman"/>
        </w:rPr>
        <w:t>”</w:t>
      </w:r>
      <w:r>
        <w:rPr>
          <w:rFonts w:ascii="Times New Roman" w:cs="Times New Roman"/>
        </w:rPr>
        <w:t>；达州市及其区县的城市饮用水源保护区和零散分布于四川盆地的自然保护区、风景名胜区、湿地公园、地质公园等各类生态保护重要区域为</w:t>
      </w:r>
      <w:r>
        <w:rPr>
          <w:rFonts w:ascii="Times New Roman" w:cs="Times New Roman"/>
        </w:rPr>
        <w:t>“</w:t>
      </w:r>
      <w:r>
        <w:rPr>
          <w:rFonts w:ascii="Times New Roman" w:cs="Times New Roman"/>
        </w:rPr>
        <w:t>盆中城市饮用水源</w:t>
      </w:r>
      <w:r>
        <w:rPr>
          <w:rFonts w:ascii="Times New Roman" w:cs="Times New Roman"/>
        </w:rPr>
        <w:t>—</w:t>
      </w:r>
      <w:r>
        <w:rPr>
          <w:rFonts w:ascii="Times New Roman" w:cs="Times New Roman"/>
        </w:rPr>
        <w:t>水土保持生态保护红线</w:t>
      </w:r>
      <w:r>
        <w:rPr>
          <w:rFonts w:ascii="Times New Roman" w:cs="Times New Roman"/>
        </w:rPr>
        <w:t>”</w:t>
      </w:r>
      <w:r>
        <w:rPr>
          <w:rFonts w:ascii="Times New Roman" w:cs="Times New Roman"/>
        </w:rPr>
        <w:t>。</w:t>
      </w:r>
    </w:p>
    <w:p w:rsidR="00BD5820" w:rsidRDefault="00F64314">
      <w:pPr>
        <w:ind w:firstLine="480"/>
        <w:rPr>
          <w:rFonts w:ascii="Times New Roman" w:cs="Times New Roman"/>
        </w:rPr>
      </w:pPr>
      <w:r>
        <w:rPr>
          <w:rFonts w:ascii="Times New Roman" w:cs="Times New Roman"/>
        </w:rPr>
        <w:t>本项目</w:t>
      </w:r>
      <w:r>
        <w:rPr>
          <w:rFonts w:ascii="Times New Roman" w:cs="Times New Roman" w:hint="eastAsia"/>
        </w:rPr>
        <w:t>涉及</w:t>
      </w:r>
      <w:r>
        <w:rPr>
          <w:rFonts w:ascii="Times New Roman" w:cs="Times New Roman"/>
        </w:rPr>
        <w:t>的</w:t>
      </w:r>
      <w:r>
        <w:rPr>
          <w:rFonts w:ascii="Times New Roman" w:cs="Times New Roman" w:hint="eastAsia"/>
          <w:bCs/>
        </w:rPr>
        <w:t>普光气田</w:t>
      </w:r>
      <w:r>
        <w:rPr>
          <w:rFonts w:ascii="Times New Roman" w:cs="Times New Roman"/>
          <w:bCs/>
        </w:rPr>
        <w:t>1#</w:t>
      </w:r>
      <w:r>
        <w:rPr>
          <w:rFonts w:ascii="Times New Roman" w:cs="Times New Roman" w:hint="eastAsia"/>
          <w:bCs/>
        </w:rPr>
        <w:t>增压站位于四川省宣汉县普光镇北斗村岳家坡，普光气田</w:t>
      </w:r>
      <w:r>
        <w:rPr>
          <w:rFonts w:ascii="Times New Roman" w:cs="Times New Roman" w:hint="eastAsia"/>
          <w:bCs/>
        </w:rPr>
        <w:t>2</w:t>
      </w:r>
      <w:r>
        <w:rPr>
          <w:rFonts w:ascii="Times New Roman" w:cs="Times New Roman"/>
          <w:bCs/>
        </w:rPr>
        <w:t>#</w:t>
      </w:r>
      <w:r>
        <w:rPr>
          <w:rFonts w:ascii="Times New Roman" w:cs="Times New Roman" w:hint="eastAsia"/>
          <w:bCs/>
        </w:rPr>
        <w:t>增压站位于四川省宣汉县普光镇铜坎村，</w:t>
      </w:r>
      <w:r>
        <w:rPr>
          <w:rFonts w:ascii="Times New Roman" w:cs="Times New Roman"/>
          <w:bCs/>
        </w:rPr>
        <w:t>P106-P104-</w:t>
      </w:r>
      <w:r>
        <w:rPr>
          <w:rFonts w:ascii="Times New Roman" w:cs="Times New Roman" w:hint="eastAsia"/>
          <w:bCs/>
        </w:rPr>
        <w:t>1</w:t>
      </w:r>
      <w:r>
        <w:rPr>
          <w:rFonts w:ascii="Times New Roman" w:cs="Times New Roman"/>
          <w:bCs/>
        </w:rPr>
        <w:t>#</w:t>
      </w:r>
      <w:r>
        <w:rPr>
          <w:rFonts w:ascii="Times New Roman" w:cs="Times New Roman" w:hint="eastAsia"/>
          <w:bCs/>
        </w:rPr>
        <w:t>增压站集输管道</w:t>
      </w:r>
      <w:r>
        <w:rPr>
          <w:rFonts w:ascii="Times New Roman" w:cs="Times New Roman" w:hint="eastAsia"/>
          <w:bCs/>
        </w:rPr>
        <w:t>4.1km</w:t>
      </w:r>
      <w:r>
        <w:rPr>
          <w:rFonts w:ascii="Times New Roman" w:cs="Times New Roman" w:hint="eastAsia"/>
          <w:bCs/>
        </w:rPr>
        <w:t>位于四川省宣汉县普光镇北斗村</w:t>
      </w:r>
      <w:r>
        <w:rPr>
          <w:rFonts w:ascii="Times New Roman" w:cs="Times New Roman"/>
        </w:rPr>
        <w:t>，均不在饮用水源保护区、自然保护区、风景名胜区、湿地公园、地质公园等各类生态保护重要区域。结合《四川省生态保护红线分布图》和</w:t>
      </w:r>
      <w:r>
        <w:rPr>
          <w:rFonts w:ascii="Times New Roman" w:cs="Times New Roman" w:hint="eastAsia"/>
        </w:rPr>
        <w:t>《达州市生态保护红线分布图》</w:t>
      </w:r>
      <w:r>
        <w:rPr>
          <w:rFonts w:ascii="Times New Roman" w:cs="Times New Roman"/>
        </w:rPr>
        <w:t>分析，项目选址与《四川省生态保护红线方案》及达州市</w:t>
      </w:r>
      <w:r>
        <w:rPr>
          <w:rFonts w:ascii="Times New Roman" w:cs="Times New Roman" w:hint="eastAsia"/>
        </w:rPr>
        <w:t>生态保护红线保护要求</w:t>
      </w:r>
      <w:r>
        <w:rPr>
          <w:rFonts w:ascii="Times New Roman" w:cs="Times New Roman"/>
        </w:rPr>
        <w:t>是相协调的。</w:t>
      </w:r>
    </w:p>
    <w:p w:rsidR="00BD5820" w:rsidRDefault="00EA3750" w:rsidP="00C74272">
      <w:pPr>
        <w:pStyle w:val="affa"/>
        <w:ind w:firstLineChars="83" w:firstLine="232"/>
        <w:jc w:val="center"/>
      </w:pPr>
      <w:r w:rsidRPr="00EA3750">
        <w:rPr>
          <w:rFonts w:eastAsia="仿宋_GB2312"/>
          <w:spacing w:val="-4"/>
          <w:sz w:val="28"/>
          <w:szCs w:val="28"/>
        </w:rPr>
        <w:lastRenderedPageBrea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_x0000_s1045" type="#_x0000_t61" style="position:absolute;left:0;text-align:left;margin-left:89.4pt;margin-top:58.65pt;width:90.95pt;height:25pt;z-index:251661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" adj="22823,52056" filled="f">
            <v:textbox>
              <w:txbxContent>
                <w:p w:rsidR="004841B2" w:rsidRDefault="004841B2">
                  <w:pPr>
                    <w:spacing w:line="240" w:lineRule="auto"/>
                    <w:ind w:firstLineChars="0" w:firstLine="0"/>
                    <w:rPr>
                      <w:sz w:val="21"/>
                      <w:szCs w:val="21"/>
                    </w:rPr>
                  </w:pPr>
                  <w:r>
                    <w:rPr>
                      <w:rFonts w:hint="eastAsia"/>
                      <w:sz w:val="21"/>
                      <w:szCs w:val="21"/>
                    </w:rPr>
                    <w:t>本项目所在位置</w:t>
                  </w:r>
                </w:p>
              </w:txbxContent>
            </v:textbox>
          </v:shape>
        </w:pict>
      </w:r>
      <w:r w:rsidRPr="00EA3750">
        <w:rPr>
          <w:rFonts w:eastAsia="仿宋_GB2312"/>
          <w:spacing w:val="-4"/>
          <w:sz w:val="28"/>
          <w:szCs w:val="28"/>
        </w:rPr>
        <w:pict>
          <v:oval id="_x0000_s1077" style="position:absolute;left:0;text-align:left;margin-left:182.75pt;margin-top:116.7pt;width:4.25pt;height:4.25pt;z-index:251663360" fillcolor="red" strokecolor="red"/>
        </w:pict>
      </w:r>
      <w:r w:rsidR="00F64314">
        <w:rPr>
          <w:rFonts w:eastAsia="仿宋_GB2312"/>
          <w:noProof/>
          <w:spacing w:val="-4"/>
          <w:sz w:val="28"/>
          <w:szCs w:val="28"/>
        </w:rPr>
        <w:drawing>
          <wp:inline distT="0" distB="0" distL="0" distR="0">
            <wp:extent cx="5027403" cy="3548541"/>
            <wp:effectExtent l="19050" t="0" r="1797" b="0"/>
            <wp:docPr id="4" name="图片 10326" descr="G:\1\达州成果\现阶段成果\达州5月出图\生态保护红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326" descr="G:\1\达州成果\现阶段成果\达州5月出图\生态保护红线.jpg"/>
                    <pic:cNvPicPr>
                      <a:picLocks noChangeAspect="1" noChangeArrowheads="1"/>
                    </pic:cNvPicPr>
                  </pic:nvPicPr>
                  <pic:blipFill>
                    <a:blip r:embed="rId21" cstate="print"/>
                    <a:srcRect/>
                    <a:stretch>
                      <a:fillRect/>
                    </a:stretch>
                  </pic:blipFill>
                  <pic:spPr>
                    <a:xfrm>
                      <a:off x="0" y="0"/>
                      <a:ext cx="5026718" cy="3548057"/>
                    </a:xfrm>
                    <a:prstGeom prst="rect">
                      <a:avLst/>
                    </a:prstGeom>
                    <a:noFill/>
                    <a:ln w="9525">
                      <a:noFill/>
                      <a:miter lim="800000"/>
                      <a:headEnd/>
                      <a:tailEnd/>
                    </a:ln>
                  </pic:spPr>
                </pic:pic>
              </a:graphicData>
            </a:graphic>
          </wp:inline>
        </w:drawing>
      </w:r>
    </w:p>
    <w:p w:rsidR="00BD5820" w:rsidRDefault="00F64314">
      <w:pPr>
        <w:pStyle w:val="affa"/>
        <w:ind w:firstLineChars="83" w:firstLine="175"/>
        <w:jc w:val="center"/>
        <w:rPr>
          <w:b/>
          <w:sz w:val="21"/>
          <w:szCs w:val="21"/>
        </w:rPr>
      </w:pPr>
      <w:r>
        <w:rPr>
          <w:b/>
          <w:sz w:val="21"/>
          <w:szCs w:val="21"/>
        </w:rPr>
        <w:t>图</w:t>
      </w:r>
      <w:r>
        <w:rPr>
          <w:b/>
          <w:sz w:val="21"/>
          <w:szCs w:val="21"/>
        </w:rPr>
        <w:t>1.8-</w:t>
      </w:r>
      <w:r>
        <w:rPr>
          <w:rFonts w:hint="eastAsia"/>
          <w:b/>
          <w:sz w:val="21"/>
          <w:szCs w:val="21"/>
        </w:rPr>
        <w:t>1</w:t>
      </w:r>
      <w:r>
        <w:rPr>
          <w:b/>
          <w:sz w:val="21"/>
          <w:szCs w:val="21"/>
        </w:rPr>
        <w:t xml:space="preserve">  </w:t>
      </w:r>
      <w:r>
        <w:rPr>
          <w:rFonts w:hint="eastAsia"/>
          <w:b/>
          <w:sz w:val="21"/>
          <w:szCs w:val="21"/>
        </w:rPr>
        <w:t>达州市</w:t>
      </w:r>
      <w:r>
        <w:rPr>
          <w:b/>
          <w:sz w:val="21"/>
          <w:szCs w:val="21"/>
        </w:rPr>
        <w:t>生态红线分布图</w:t>
      </w:r>
    </w:p>
    <w:p w:rsidR="00BD5820" w:rsidRDefault="00F64314">
      <w:pPr>
        <w:pStyle w:val="affa"/>
        <w:ind w:firstLine="482"/>
        <w:rPr>
          <w:b/>
          <w:bCs/>
        </w:rPr>
      </w:pPr>
      <w:r>
        <w:rPr>
          <w:b/>
          <w:bCs/>
        </w:rPr>
        <w:t>2</w:t>
      </w:r>
      <w:r>
        <w:rPr>
          <w:b/>
          <w:bCs/>
        </w:rPr>
        <w:t>、与环境质量底线的符合性分析</w:t>
      </w:r>
    </w:p>
    <w:p w:rsidR="00BD5820" w:rsidRDefault="00F64314">
      <w:pPr>
        <w:pStyle w:val="affa"/>
        <w:ind w:firstLine="480"/>
      </w:pPr>
      <w:r>
        <w:t>项目所在区域环境空气均满足《环境空气质量标准》（</w:t>
      </w:r>
      <w:r>
        <w:t>GB3095-2012</w:t>
      </w:r>
      <w:r>
        <w:t>）二级，区域地表水环境质量满足《地表水环境质量标准》（</w:t>
      </w:r>
      <w:r>
        <w:t>GB3838-2002</w:t>
      </w:r>
      <w:r>
        <w:t>）</w:t>
      </w:r>
      <w:r>
        <w:t>Ⅲ</w:t>
      </w:r>
      <w:r>
        <w:t>类标准，地下水环境质量满足《地下水质量标准》（</w:t>
      </w:r>
      <w:r>
        <w:t>GB/T14848-2017</w:t>
      </w:r>
      <w:r>
        <w:t>）中</w:t>
      </w:r>
      <w:r>
        <w:t>Ⅲ</w:t>
      </w:r>
      <w:r>
        <w:t>类标准，声环境质量满足《声环境质量标准》（</w:t>
      </w:r>
      <w:r>
        <w:t>GB3096-2008</w:t>
      </w:r>
      <w:r>
        <w:t>）</w:t>
      </w:r>
      <w:r>
        <w:t>2</w:t>
      </w:r>
      <w:r>
        <w:t>类，环境质量较好。</w:t>
      </w:r>
    </w:p>
    <w:p w:rsidR="00BD5820" w:rsidRDefault="00F64314">
      <w:pPr>
        <w:pStyle w:val="affa"/>
        <w:ind w:firstLine="480"/>
      </w:pPr>
      <w:r>
        <w:t>经分析，目前区域环境空气、地表水及声环境质量均尚有容量。项目</w:t>
      </w:r>
      <w:r>
        <w:rPr>
          <w:rFonts w:hint="eastAsia"/>
        </w:rPr>
        <w:t>运营期</w:t>
      </w:r>
      <w:r>
        <w:t>正常情况下不对大气环境排放污染物，在非正常生产时有超压和检修时依托</w:t>
      </w:r>
      <w:r>
        <w:t>P102</w:t>
      </w:r>
      <w:r>
        <w:rPr>
          <w:rFonts w:hint="eastAsia"/>
        </w:rPr>
        <w:t>集气站</w:t>
      </w:r>
      <w:r>
        <w:t>已建点火放空系统排放点火放空燃烧废气；本项目运营期产生的气田水</w:t>
      </w:r>
      <w:r>
        <w:rPr>
          <w:rFonts w:hint="eastAsia"/>
        </w:rPr>
        <w:t>分别经普光</w:t>
      </w:r>
      <w:r>
        <w:rPr>
          <w:rFonts w:hint="eastAsia"/>
        </w:rPr>
        <w:t>3#</w:t>
      </w:r>
      <w:r>
        <w:rPr>
          <w:rFonts w:hint="eastAsia"/>
        </w:rPr>
        <w:t>水处理站、</w:t>
      </w:r>
      <w:r>
        <w:rPr>
          <w:rFonts w:hint="eastAsia"/>
        </w:rPr>
        <w:t>1#</w:t>
      </w:r>
      <w:r>
        <w:rPr>
          <w:rFonts w:hint="eastAsia"/>
        </w:rPr>
        <w:t>污水处理站集中处理，水处理采用新建预处理流程，满足压裂液配制要求，剩余采出水然后进入深度水处理站处理后回用</w:t>
      </w:r>
      <w:r>
        <w:t>，不外排。项目站场设备运行和气流噪声值较小，不会对当地的声环境容量造成较大影响。本项目严格执行设计及环评提出的相关污染防治措施后，排放的污染源不会对区域环境质量底线造成冲击。</w:t>
      </w:r>
    </w:p>
    <w:p w:rsidR="00BD5820" w:rsidRDefault="00F64314">
      <w:pPr>
        <w:pStyle w:val="affa"/>
        <w:ind w:firstLine="482"/>
        <w:rPr>
          <w:b/>
          <w:bCs/>
        </w:rPr>
      </w:pPr>
      <w:r>
        <w:rPr>
          <w:b/>
          <w:bCs/>
        </w:rPr>
        <w:t>3</w:t>
      </w:r>
      <w:r>
        <w:rPr>
          <w:b/>
          <w:bCs/>
        </w:rPr>
        <w:t>、与自然资源利用上线的符合性分析</w:t>
      </w:r>
    </w:p>
    <w:p w:rsidR="00BD5820" w:rsidRDefault="00F64314">
      <w:pPr>
        <w:pStyle w:val="affa"/>
        <w:ind w:firstLine="480"/>
      </w:pPr>
      <w:r>
        <w:t>本项目运营过程中除消耗电、气外，无其他能源消耗，项目建成运行后通过内部管理、设备选择、原辅材料的选用和管理、废物回收利用、污染治理等多方</w:t>
      </w:r>
      <w:r>
        <w:lastRenderedPageBreak/>
        <w:t>面采取合理可行的防治措施，以</w:t>
      </w:r>
      <w:r>
        <w:t>“</w:t>
      </w:r>
      <w:r>
        <w:t>节能、降耗、减污</w:t>
      </w:r>
      <w:r>
        <w:t>”</w:t>
      </w:r>
      <w:r>
        <w:t>为目标，有效地控制污染。项目资源利用不会突破区域的资源利用上线。</w:t>
      </w:r>
    </w:p>
    <w:p w:rsidR="00BD5820" w:rsidRDefault="00F64314">
      <w:pPr>
        <w:pStyle w:val="affa"/>
        <w:ind w:firstLine="482"/>
        <w:rPr>
          <w:b/>
          <w:bCs/>
        </w:rPr>
      </w:pPr>
      <w:r>
        <w:rPr>
          <w:b/>
          <w:bCs/>
        </w:rPr>
        <w:t>4</w:t>
      </w:r>
      <w:r>
        <w:rPr>
          <w:b/>
          <w:bCs/>
        </w:rPr>
        <w:t>、与</w:t>
      </w:r>
      <w:r>
        <w:rPr>
          <w:rFonts w:hint="eastAsia"/>
          <w:b/>
          <w:bCs/>
        </w:rPr>
        <w:t>生态环境准入清单</w:t>
      </w:r>
      <w:r>
        <w:rPr>
          <w:b/>
          <w:bCs/>
        </w:rPr>
        <w:t>的符合性分析</w:t>
      </w:r>
    </w:p>
    <w:p w:rsidR="00BD5820" w:rsidRDefault="00F64314">
      <w:pPr>
        <w:pStyle w:val="affa"/>
        <w:ind w:firstLine="480"/>
      </w:pPr>
      <w:r>
        <w:rPr>
          <w:rFonts w:hint="eastAsia"/>
        </w:rPr>
        <w:t>本项目</w:t>
      </w:r>
      <w:r>
        <w:t>选址位于达州市宣汉县，根据《四川省人民政府关于落实生态保护红线、环境质量底线、资源利用上线，制定生态环境准入清单，实施生态环境分区管控的通知》（川府发〔</w:t>
      </w:r>
      <w:r>
        <w:t>2020</w:t>
      </w:r>
      <w:r>
        <w:t>〕</w:t>
      </w:r>
      <w:r>
        <w:t>9</w:t>
      </w:r>
      <w:r>
        <w:t>号），项目所在地属于川东北经济区，该区域总体生态环境管控要求为：</w:t>
      </w:r>
      <w:r>
        <w:rPr>
          <w:rFonts w:ascii="宋体" w:hAnsi="宋体" w:cs="宋体" w:hint="eastAsia"/>
        </w:rPr>
        <w:t>①</w:t>
      </w:r>
      <w:r>
        <w:t>控制农村面源污染，提高污水收集处理率，加快乡镇污水处理基础设施建设。</w:t>
      </w:r>
      <w:r>
        <w:rPr>
          <w:rFonts w:ascii="宋体" w:hAnsi="宋体" w:cs="宋体" w:hint="eastAsia"/>
        </w:rPr>
        <w:t>②</w:t>
      </w:r>
      <w:r>
        <w:t>建设流域水环境风险联防联控体系。</w:t>
      </w:r>
      <w:r>
        <w:rPr>
          <w:rFonts w:ascii="宋体" w:hAnsi="宋体" w:cs="宋体" w:hint="eastAsia"/>
        </w:rPr>
        <w:t>③</w:t>
      </w:r>
      <w:r>
        <w:t>提高大气污染治理水平。</w:t>
      </w:r>
    </w:p>
    <w:p w:rsidR="00BD5820" w:rsidRDefault="00F64314">
      <w:pPr>
        <w:pStyle w:val="affa"/>
        <w:ind w:firstLine="480"/>
      </w:pPr>
      <w:r>
        <w:t>本项目为天然气</w:t>
      </w:r>
      <w:r>
        <w:rPr>
          <w:rFonts w:hint="eastAsia"/>
        </w:rPr>
        <w:t>湿气增压</w:t>
      </w:r>
      <w:r>
        <w:t>及管线建设项目，不属于《四川省人民政府关于落实生态保护红线、环境质量底线、资源利用上线，制定生态环境准入清单，实施生态环境分区管控的通知》（川府发〔</w:t>
      </w:r>
      <w:r>
        <w:t>2020</w:t>
      </w:r>
      <w:r>
        <w:t>〕</w:t>
      </w:r>
      <w:r>
        <w:t>9</w:t>
      </w:r>
      <w:r>
        <w:t>号）中所列的建材、家具、电子信息、装备制造、先进材料、食品饮料、生物医药等行业，项目施工期废水不外排，运营期无废水</w:t>
      </w:r>
      <w:r>
        <w:rPr>
          <w:rFonts w:hint="eastAsia"/>
        </w:rPr>
        <w:t>排放</w:t>
      </w:r>
      <w:r>
        <w:t>，营运期</w:t>
      </w:r>
      <w:r>
        <w:rPr>
          <w:rFonts w:hint="eastAsia"/>
        </w:rPr>
        <w:t>正常工况下无废气</w:t>
      </w:r>
      <w:r>
        <w:t>排放。项目所在地生态环境良好，无突出环境问题，因此，项目的建设满足《四川省人民政府关于落实生态保护红线、环境质量底线、资源利用上线，制定生态环境准入清单，实施生态环境分区管控的通知》（川府发〔</w:t>
      </w:r>
      <w:r>
        <w:t>2020</w:t>
      </w:r>
      <w:r>
        <w:t>〕</w:t>
      </w:r>
      <w:r>
        <w:t>9</w:t>
      </w:r>
      <w:r>
        <w:t>号）中川东北经济区的生态环境管控要求。</w:t>
      </w:r>
    </w:p>
    <w:p w:rsidR="00BD5820" w:rsidRDefault="00F64314">
      <w:pPr>
        <w:pStyle w:val="affa"/>
        <w:ind w:firstLine="480"/>
      </w:pPr>
      <w:r>
        <w:t>同时根据《四川省国家重点生态功能区产业准入负面清单（第一批）（试行）》、《四川省重点生态功能区产业准入负面清单</w:t>
      </w:r>
      <w:r>
        <w:rPr>
          <w:rFonts w:hint="eastAsia"/>
        </w:rPr>
        <w:t>（</w:t>
      </w:r>
      <w:r>
        <w:t>第二批</w:t>
      </w:r>
      <w:r>
        <w:rPr>
          <w:rFonts w:hint="eastAsia"/>
        </w:rPr>
        <w:t>）</w:t>
      </w:r>
      <w:r>
        <w:t>（试行）》，</w:t>
      </w:r>
      <w:r>
        <w:rPr>
          <w:rFonts w:hint="eastAsia"/>
        </w:rPr>
        <w:t>本项目</w:t>
      </w:r>
      <w:r>
        <w:t>不涉及《四川省国家重点生态功能区产业准入负面清单（第一批）（试行）》</w:t>
      </w:r>
      <w:r>
        <w:t>42</w:t>
      </w:r>
      <w:r>
        <w:t>个市县、《四川省重点生态功能区产业准入负面清单</w:t>
      </w:r>
      <w:r>
        <w:rPr>
          <w:rFonts w:hint="eastAsia"/>
        </w:rPr>
        <w:t>（</w:t>
      </w:r>
      <w:r>
        <w:t>第二批</w:t>
      </w:r>
      <w:r>
        <w:rPr>
          <w:rFonts w:hint="eastAsia"/>
        </w:rPr>
        <w:t>）</w:t>
      </w:r>
      <w:r>
        <w:t>（试行）》</w:t>
      </w:r>
      <w:r>
        <w:t>15</w:t>
      </w:r>
      <w:r>
        <w:t>个县。因此，不属于区域环境准入负面清单行业内容。</w:t>
      </w:r>
    </w:p>
    <w:p w:rsidR="00BD5820" w:rsidRDefault="00F64314">
      <w:pPr>
        <w:pStyle w:val="affa"/>
        <w:ind w:firstLine="480"/>
      </w:pPr>
      <w:r>
        <w:t>根据</w:t>
      </w:r>
      <w:r>
        <w:rPr>
          <w:rFonts w:hint="eastAsia"/>
          <w:kern w:val="2"/>
          <w:szCs w:val="22"/>
        </w:rPr>
        <w:t>《四川省、重庆市长江经济带发展负面清单实施细则（试行，</w:t>
      </w:r>
      <w:r>
        <w:rPr>
          <w:rFonts w:hint="eastAsia"/>
          <w:kern w:val="2"/>
          <w:szCs w:val="22"/>
        </w:rPr>
        <w:t>2022</w:t>
      </w:r>
      <w:r>
        <w:rPr>
          <w:rFonts w:hint="eastAsia"/>
          <w:kern w:val="2"/>
          <w:szCs w:val="22"/>
        </w:rPr>
        <w:t>年版）》</w:t>
      </w:r>
      <w:r>
        <w:t>：禁止在自然保护区核心区、缓冲区的岸线和河段范围内投资建设旅游和生产经营项目。自然保护区的内部未分区的，依照本实施细则核心区和缓冲区的规定管控。禁止违反风景名胜区规划，在风景名胜区内设立各</w:t>
      </w:r>
      <w:r>
        <w:t xml:space="preserve"> </w:t>
      </w:r>
      <w:r>
        <w:t>类开发区。禁止在风景名胜区核心景区的岸线和河段范围内建设宾馆、招待所、培训中心、疗养院以及与风景名胜资源保护无关的项目。禁止在饮用水水源准保护区的岸线和河段范围内新建、扩建对水体污染严重的建设项目，禁止改建增加排污量的建设项</w:t>
      </w:r>
      <w:r>
        <w:lastRenderedPageBreak/>
        <w:t>目。饮用水水源二级保护区的岸线和河段范围内，除应遵守准保护区规定外，禁止新建、改建、扩建排放污染物的投资</w:t>
      </w:r>
      <w:r>
        <w:t xml:space="preserve"> </w:t>
      </w:r>
      <w:r>
        <w:t>建设项目；禁止从事采石（砂）、对水体有污染的水产养殖等活动。饮用水水源一级保护区的岸线和河段范围内，除应遵守二级保护区规定外，禁止新建、改建、扩建与供（取）水设施和保护水源无关的项目，以及网箱养殖、畜禽养殖、旅游等可能污染饮用水水体的投资建设项目。禁止在长江干支流、重要湖泊岸线一公里范围内新建、扩建化工园区和化工项目</w:t>
      </w:r>
      <w:r>
        <w:rPr>
          <w:rFonts w:hint="eastAsia"/>
        </w:rPr>
        <w:t>。</w:t>
      </w:r>
      <w:r>
        <w:t>禁止在长江干流岸线三公里范围内和重要支流岸线一公里范围内新建、改建、扩建尾矿库、冶炼渣库、磷石膏库，以提升安全、生态环境保护水平为目的的改建除外。禁止在生态保护红线区域、永久基本农田集中区域和其他需要特别保护的区域内选址建设尾矿库、冶炼渣库、磷石膏库。禁止在合规园区外新建、扩建钢铁、石化、化</w:t>
      </w:r>
      <w:r>
        <w:t xml:space="preserve"> </w:t>
      </w:r>
      <w:r>
        <w:t>工、焦化、建材、有色、制浆造纸等高污染项目</w:t>
      </w:r>
      <w:r>
        <w:t>……</w:t>
      </w:r>
    </w:p>
    <w:p w:rsidR="00BD5820" w:rsidRDefault="00F64314">
      <w:pPr>
        <w:pStyle w:val="affa"/>
        <w:ind w:firstLine="480"/>
      </w:pPr>
      <w:r>
        <w:rPr>
          <w:rFonts w:hint="eastAsia"/>
        </w:rPr>
        <w:t>根据《达州市人民政府关于落实生态保护红线、环境质量底线、资源利用上线制定生态环境准入清单实施生态分区管控的通知》（达市府发</w:t>
      </w:r>
      <w:r>
        <w:rPr>
          <w:rFonts w:hint="eastAsia"/>
        </w:rPr>
        <w:t>[2021]17</w:t>
      </w:r>
      <w:r>
        <w:rPr>
          <w:rFonts w:hint="eastAsia"/>
        </w:rPr>
        <w:t>号），本项目不属于优先保护单元和重点管控单元，为一般管控单元，其生态环境管控要求为：执行区域生态环境保护的基本要求，重点加强农业、生活等领域污染治理，本项目施工期采取相应的生态保护措施能够满足区域生态环境保护的基本要求，满足一般管控单元的生态环境管控要求。</w:t>
      </w:r>
    </w:p>
    <w:p w:rsidR="00BD5820" w:rsidRDefault="00F64314">
      <w:pPr>
        <w:pStyle w:val="affa"/>
        <w:ind w:firstLine="480"/>
      </w:pPr>
      <w:r>
        <w:t>本项目位于达州市宣汉县</w:t>
      </w:r>
      <w:r>
        <w:rPr>
          <w:rFonts w:hint="eastAsia"/>
        </w:rPr>
        <w:t>普光</w:t>
      </w:r>
      <w:r>
        <w:t>镇境内，查阅相关资料，项目建设区域不属于自然保护区、风景名胜区、饮用水源保护区以及生态保护红线范围等</w:t>
      </w:r>
      <w:r>
        <w:rPr>
          <w:rFonts w:hint="eastAsia"/>
        </w:rPr>
        <w:t>，不属于优先保护单元和重点管控单元，为一般管控单元</w:t>
      </w:r>
      <w:r>
        <w:t>。项目为天然气输气管线项目，属于鼓励类项目。因此，项目建设满足</w:t>
      </w:r>
      <w:r>
        <w:rPr>
          <w:rFonts w:hint="eastAsia"/>
          <w:kern w:val="2"/>
          <w:szCs w:val="22"/>
        </w:rPr>
        <w:t>《四川省、重庆市长江经济带发展负面清单实施细则（试行，</w:t>
      </w:r>
      <w:r>
        <w:rPr>
          <w:rFonts w:hint="eastAsia"/>
          <w:kern w:val="2"/>
          <w:szCs w:val="22"/>
        </w:rPr>
        <w:t>2022</w:t>
      </w:r>
      <w:r>
        <w:rPr>
          <w:rFonts w:hint="eastAsia"/>
          <w:kern w:val="2"/>
          <w:szCs w:val="22"/>
        </w:rPr>
        <w:t>年版）》</w:t>
      </w:r>
      <w:r>
        <w:t>和</w:t>
      </w:r>
      <w:r>
        <w:rPr>
          <w:rFonts w:hint="eastAsia"/>
        </w:rPr>
        <w:t>《达州市人民政府关于落实生态保护红线、环境质量底线、资源利用上线制定生态环境准入清单实施生态分区管控的通知》（达市府发</w:t>
      </w:r>
      <w:r>
        <w:rPr>
          <w:rFonts w:hint="eastAsia"/>
        </w:rPr>
        <w:t>[2021]17</w:t>
      </w:r>
      <w:r>
        <w:rPr>
          <w:rFonts w:hint="eastAsia"/>
        </w:rPr>
        <w:t>号）</w:t>
      </w:r>
      <w:r>
        <w:t>的相应要求。</w:t>
      </w:r>
    </w:p>
    <w:p w:rsidR="00BD5820" w:rsidRDefault="00F64314">
      <w:pPr>
        <w:pStyle w:val="affa"/>
        <w:ind w:firstLine="480"/>
      </w:pPr>
      <w:r>
        <w:t>根据</w:t>
      </w:r>
      <w:r>
        <w:rPr>
          <w:rFonts w:hint="eastAsia"/>
        </w:rPr>
        <w:t>《长江经济带战略环境评价四川省达州市“三线一单”生态环境分区管控优化完善研究报告》（</w:t>
      </w:r>
      <w:r>
        <w:t>达州市生态环境局</w:t>
      </w:r>
      <w:r>
        <w:rPr>
          <w:rFonts w:hint="eastAsia"/>
        </w:rPr>
        <w:t>，</w:t>
      </w:r>
      <w:r>
        <w:rPr>
          <w:rFonts w:hint="eastAsia"/>
        </w:rPr>
        <w:t>2021</w:t>
      </w:r>
      <w:r>
        <w:rPr>
          <w:rFonts w:hint="eastAsia"/>
        </w:rPr>
        <w:t>年</w:t>
      </w:r>
      <w:r>
        <w:rPr>
          <w:rFonts w:hint="eastAsia"/>
        </w:rPr>
        <w:t>5</w:t>
      </w:r>
      <w:r>
        <w:rPr>
          <w:rFonts w:hint="eastAsia"/>
        </w:rPr>
        <w:t>月），本项目所在地属于</w:t>
      </w:r>
      <w:r>
        <w:rPr>
          <w:bCs/>
        </w:rPr>
        <w:t>宣汉县一般管控单元</w:t>
      </w:r>
      <w:r>
        <w:rPr>
          <w:b/>
          <w:bCs/>
        </w:rPr>
        <w:t>（</w:t>
      </w:r>
      <w:r>
        <w:rPr>
          <w:bCs/>
        </w:rPr>
        <w:t>ZH51172230001</w:t>
      </w:r>
      <w:r>
        <w:rPr>
          <w:b/>
          <w:bCs/>
        </w:rPr>
        <w:t>）</w:t>
      </w:r>
      <w:r>
        <w:rPr>
          <w:rFonts w:hint="eastAsia"/>
        </w:rPr>
        <w:t>，项目与管控单元相对位置见图</w:t>
      </w:r>
      <w:r>
        <w:rPr>
          <w:rFonts w:hint="eastAsia"/>
        </w:rPr>
        <w:t>1.8-2</w:t>
      </w:r>
      <w:r>
        <w:rPr>
          <w:rFonts w:hint="eastAsia"/>
        </w:rPr>
        <w:t>。</w:t>
      </w:r>
    </w:p>
    <w:p w:rsidR="00BD5820" w:rsidRDefault="00EA3750">
      <w:pPr>
        <w:pStyle w:val="affa"/>
        <w:ind w:firstLine="480"/>
      </w:pPr>
      <w:r>
        <w:lastRenderedPageBreak/>
        <w:pict>
          <v:shape id="_x0000_s1141" type="#_x0000_t61" style="position:absolute;left:0;text-align:left;margin-left:103.2pt;margin-top:49.1pt;width:90.95pt;height:25pt;z-index:25166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" adj="22823,52056" filled="f">
            <v:textbox>
              <w:txbxContent>
                <w:p w:rsidR="004841B2" w:rsidRDefault="004841B2">
                  <w:pPr>
                    <w:spacing w:line="240" w:lineRule="auto"/>
                    <w:ind w:firstLineChars="0" w:firstLine="0"/>
                    <w:rPr>
                      <w:sz w:val="21"/>
                      <w:szCs w:val="21"/>
                    </w:rPr>
                  </w:pPr>
                  <w:r>
                    <w:rPr>
                      <w:rFonts w:hint="eastAsia"/>
                      <w:sz w:val="21"/>
                      <w:szCs w:val="21"/>
                    </w:rPr>
                    <w:t>本项目所在位置</w:t>
                  </w:r>
                </w:p>
              </w:txbxContent>
            </v:textbox>
          </v:shape>
        </w:pict>
      </w:r>
      <w:r>
        <w:pict>
          <v:oval id="_x0000_s1142" style="position:absolute;left:0;text-align:left;margin-left:198.95pt;margin-top:107.75pt;width:4.25pt;height:4.25pt;z-index:251665408" fillcolor="red" strokecolor="red"/>
        </w:pict>
      </w:r>
      <w:r w:rsidR="00F64314">
        <w:rPr>
          <w:noProof/>
        </w:rPr>
        <w:drawing>
          <wp:inline distT="0" distB="0" distL="0" distR="0">
            <wp:extent cx="5274310" cy="3441065"/>
            <wp:effectExtent l="19050" t="0" r="2540" b="0"/>
            <wp:docPr id="20" name="图片 23" descr="C:\Users\ADMINI~1.USE\AppData\Local\Temp\16615321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3" descr="C:\Users\ADMINI~1.USE\AppData\Local\Temp\1661532114(1).jpg"/>
                    <pic:cNvPicPr>
                      <a:picLocks noChangeAspect="1" noChangeArrowheads="1"/>
                    </pic:cNvPicPr>
                  </pic:nvPicPr>
                  <pic:blipFill>
                    <a:blip r:embed="rId22" cstate="print"/>
                    <a:srcRect/>
                    <a:stretch>
                      <a:fillRect/>
                    </a:stretch>
                  </pic:blipFill>
                  <pic:spPr>
                    <a:xfrm>
                      <a:off x="0" y="0"/>
                      <a:ext cx="5274310" cy="3441429"/>
                    </a:xfrm>
                    <a:prstGeom prst="rect">
                      <a:avLst/>
                    </a:prstGeom>
                    <a:noFill/>
                    <a:ln w="9525">
                      <a:noFill/>
                      <a:miter lim="800000"/>
                      <a:headEnd/>
                      <a:tailEnd/>
                    </a:ln>
                  </pic:spPr>
                </pic:pic>
              </a:graphicData>
            </a:graphic>
          </wp:inline>
        </w:drawing>
      </w:r>
    </w:p>
    <w:p w:rsidR="00BD5820" w:rsidRDefault="00F64314">
      <w:pPr>
        <w:pStyle w:val="affa"/>
        <w:ind w:firstLineChars="83"/>
        <w:jc w:val="center"/>
      </w:pPr>
      <w:r>
        <w:rPr>
          <w:rFonts w:hint="eastAsia"/>
          <w:b/>
        </w:rPr>
        <w:t>图</w:t>
      </w:r>
      <w:r>
        <w:rPr>
          <w:rFonts w:hint="eastAsia"/>
          <w:b/>
        </w:rPr>
        <w:t xml:space="preserve">1.8-2  </w:t>
      </w:r>
      <w:r>
        <w:rPr>
          <w:rFonts w:hint="eastAsia"/>
          <w:b/>
        </w:rPr>
        <w:t>项目与达州市环境管控单元位置关系图</w:t>
      </w:r>
    </w:p>
    <w:p w:rsidR="00BD5820" w:rsidRDefault="00F64314">
      <w:pPr>
        <w:pStyle w:val="affa"/>
        <w:ind w:firstLine="480"/>
      </w:pPr>
      <w:r>
        <w:rPr>
          <w:rFonts w:hint="eastAsia"/>
        </w:rPr>
        <w:t>本项目与达州市“三线一单”符合性分析见表</w:t>
      </w:r>
      <w:r>
        <w:rPr>
          <w:rFonts w:hint="eastAsia"/>
        </w:rPr>
        <w:t>1.8-7</w:t>
      </w:r>
      <w:r>
        <w:rPr>
          <w:rFonts w:hint="eastAsia"/>
        </w:rPr>
        <w:t>。</w:t>
      </w:r>
    </w:p>
    <w:p w:rsidR="00BD5820" w:rsidRDefault="00F64314">
      <w:pPr>
        <w:pStyle w:val="10"/>
        <w:rPr>
          <w:rFonts w:cs="Times New Roman"/>
        </w:rPr>
      </w:pPr>
      <w:r>
        <w:rPr>
          <w:rFonts w:cs="Times New Roman"/>
        </w:rPr>
        <w:t>表</w:t>
      </w:r>
      <w:r>
        <w:rPr>
          <w:rFonts w:cs="Times New Roman"/>
        </w:rPr>
        <w:t>1.8-</w:t>
      </w:r>
      <w:r>
        <w:rPr>
          <w:rFonts w:cs="Times New Roman" w:hint="eastAsia"/>
        </w:rPr>
        <w:t>7</w:t>
      </w:r>
      <w:r>
        <w:rPr>
          <w:rFonts w:cs="Times New Roman"/>
        </w:rPr>
        <w:t xml:space="preserve">  </w:t>
      </w:r>
      <w:r>
        <w:rPr>
          <w:rFonts w:cs="Times New Roman"/>
        </w:rPr>
        <w:t>与</w:t>
      </w:r>
      <w:r>
        <w:rPr>
          <w:rFonts w:cs="Times New Roman" w:hint="eastAsia"/>
        </w:rPr>
        <w:t>达州市“三线一单”符合性</w:t>
      </w:r>
    </w:p>
    <w:tbl>
      <w:tblPr>
        <w:tblW w:w="8732" w:type="dxa"/>
        <w:jc w:val="center"/>
        <w:tblBorders>
          <w:top w:val="single" w:sz="12" w:space="0" w:color="auto"/>
          <w:bottom w:val="single" w:sz="12" w:space="0" w:color="auto"/>
          <w:insideH w:val="single" w:sz="4" w:space="0" w:color="auto"/>
          <w:insideV w:val="single" w:sz="4" w:space="0" w:color="auto"/>
        </w:tblBorders>
        <w:tblLook w:val="04A0"/>
      </w:tblPr>
      <w:tblGrid>
        <w:gridCol w:w="1966"/>
        <w:gridCol w:w="938"/>
        <w:gridCol w:w="990"/>
        <w:gridCol w:w="2687"/>
        <w:gridCol w:w="1430"/>
        <w:gridCol w:w="721"/>
      </w:tblGrid>
      <w:tr w:rsidR="00BD5820">
        <w:trPr>
          <w:trHeight w:val="274"/>
          <w:tblHeader/>
          <w:jc w:val="center"/>
        </w:trPr>
        <w:tc>
          <w:tcPr>
            <w:tcW w:w="6592" w:type="dxa"/>
            <w:gridSpan w:val="4"/>
            <w:vAlign w:val="center"/>
          </w:tcPr>
          <w:p w:rsidR="00BD5820" w:rsidRDefault="00F64314">
            <w:pPr>
              <w:pStyle w:val="10"/>
              <w:spacing w:line="240" w:lineRule="auto"/>
              <w:rPr>
                <w:rFonts w:cs="Times New Roman"/>
              </w:rPr>
            </w:pPr>
            <w:r>
              <w:rPr>
                <w:rFonts w:cs="Times New Roman" w:hint="eastAsia"/>
              </w:rPr>
              <w:t>“三线一单”具体要求</w:t>
            </w:r>
          </w:p>
        </w:tc>
        <w:tc>
          <w:tcPr>
            <w:tcW w:w="1418" w:type="dxa"/>
            <w:vMerge w:val="restart"/>
            <w:vAlign w:val="center"/>
          </w:tcPr>
          <w:p w:rsidR="00BD5820" w:rsidRDefault="00F64314">
            <w:pPr>
              <w:pStyle w:val="10"/>
              <w:spacing w:line="240" w:lineRule="auto"/>
              <w:rPr>
                <w:rFonts w:cs="Times New Roman"/>
              </w:rPr>
            </w:pPr>
            <w:r>
              <w:rPr>
                <w:rFonts w:cs="Times New Roman" w:hint="eastAsia"/>
              </w:rPr>
              <w:t>本</w:t>
            </w:r>
            <w:r>
              <w:rPr>
                <w:rFonts w:cs="Times New Roman"/>
              </w:rPr>
              <w:t>项目情况</w:t>
            </w:r>
          </w:p>
        </w:tc>
        <w:tc>
          <w:tcPr>
            <w:tcW w:w="722" w:type="dxa"/>
            <w:vMerge w:val="restart"/>
            <w:vAlign w:val="center"/>
          </w:tcPr>
          <w:p w:rsidR="00BD5820" w:rsidRDefault="00F64314">
            <w:pPr>
              <w:pStyle w:val="10"/>
              <w:spacing w:line="240" w:lineRule="auto"/>
              <w:rPr>
                <w:rFonts w:cs="Times New Roman"/>
              </w:rPr>
            </w:pPr>
            <w:r>
              <w:rPr>
                <w:rFonts w:cs="Times New Roman"/>
              </w:rPr>
              <w:t>符合性</w:t>
            </w:r>
          </w:p>
        </w:tc>
      </w:tr>
      <w:tr w:rsidR="00BD5820">
        <w:trPr>
          <w:trHeight w:val="274"/>
          <w:tblHeader/>
          <w:jc w:val="center"/>
        </w:trPr>
        <w:tc>
          <w:tcPr>
            <w:tcW w:w="3899" w:type="dxa"/>
            <w:gridSpan w:val="3"/>
            <w:vAlign w:val="center"/>
          </w:tcPr>
          <w:p w:rsidR="00BD5820" w:rsidRDefault="00F64314">
            <w:pPr>
              <w:pStyle w:val="10"/>
              <w:spacing w:line="240" w:lineRule="auto"/>
              <w:rPr>
                <w:rFonts w:cs="Times New Roman"/>
              </w:rPr>
            </w:pPr>
            <w:r>
              <w:rPr>
                <w:rFonts w:cs="Times New Roman" w:hint="eastAsia"/>
              </w:rPr>
              <w:t>类别</w:t>
            </w:r>
          </w:p>
        </w:tc>
        <w:tc>
          <w:tcPr>
            <w:tcW w:w="2693" w:type="dxa"/>
            <w:vAlign w:val="center"/>
          </w:tcPr>
          <w:p w:rsidR="00BD5820" w:rsidRDefault="00F64314">
            <w:pPr>
              <w:pStyle w:val="10"/>
              <w:spacing w:line="240" w:lineRule="auto"/>
              <w:rPr>
                <w:rFonts w:cs="Times New Roman"/>
              </w:rPr>
            </w:pPr>
            <w:r>
              <w:rPr>
                <w:rFonts w:cs="Times New Roman" w:hint="eastAsia"/>
              </w:rPr>
              <w:t>对应管控要求</w:t>
            </w:r>
          </w:p>
        </w:tc>
        <w:tc>
          <w:tcPr>
            <w:tcW w:w="1418" w:type="dxa"/>
            <w:vMerge/>
            <w:vAlign w:val="center"/>
          </w:tcPr>
          <w:p w:rsidR="00BD5820" w:rsidRDefault="00BD5820">
            <w:pPr>
              <w:pStyle w:val="10"/>
              <w:spacing w:line="240" w:lineRule="auto"/>
              <w:rPr>
                <w:rFonts w:cs="Times New Roman"/>
              </w:rPr>
            </w:pPr>
          </w:p>
        </w:tc>
        <w:tc>
          <w:tcPr>
            <w:tcW w:w="722" w:type="dxa"/>
            <w:vMerge/>
            <w:vAlign w:val="center"/>
          </w:tcPr>
          <w:p w:rsidR="00BD5820" w:rsidRDefault="00BD5820">
            <w:pPr>
              <w:pStyle w:val="10"/>
              <w:spacing w:line="240" w:lineRule="auto"/>
              <w:rPr>
                <w:rFonts w:cs="Times New Roman"/>
              </w:rPr>
            </w:pPr>
          </w:p>
        </w:tc>
      </w:tr>
      <w:tr w:rsidR="00BD5820">
        <w:trPr>
          <w:trHeight w:val="843"/>
          <w:jc w:val="center"/>
        </w:trPr>
        <w:tc>
          <w:tcPr>
            <w:tcW w:w="1966" w:type="dxa"/>
            <w:vMerge w:val="restart"/>
            <w:vAlign w:val="center"/>
          </w:tcPr>
          <w:p w:rsidR="00BD5820" w:rsidRDefault="00F64314">
            <w:pPr>
              <w:pStyle w:val="10"/>
              <w:spacing w:line="240" w:lineRule="auto"/>
              <w:rPr>
                <w:rFonts w:cs="Times New Roman"/>
                <w:b w:val="0"/>
                <w:bCs/>
              </w:rPr>
            </w:pPr>
            <w:r>
              <w:rPr>
                <w:rFonts w:cs="Times New Roman"/>
                <w:b w:val="0"/>
                <w:bCs/>
              </w:rPr>
              <w:t>宣汉县一般管控单元</w:t>
            </w:r>
            <w:r>
              <w:rPr>
                <w:rFonts w:cs="Times New Roman" w:hint="eastAsia"/>
                <w:b w:val="0"/>
                <w:bCs/>
              </w:rPr>
              <w:t>（</w:t>
            </w:r>
            <w:r>
              <w:rPr>
                <w:rFonts w:cs="Times New Roman"/>
                <w:b w:val="0"/>
                <w:bCs/>
              </w:rPr>
              <w:t>ZH51172230001</w:t>
            </w:r>
            <w:r>
              <w:rPr>
                <w:rFonts w:cs="Times New Roman" w:hint="eastAsia"/>
                <w:b w:val="0"/>
                <w:bCs/>
              </w:rPr>
              <w:t>）</w:t>
            </w:r>
          </w:p>
        </w:tc>
        <w:tc>
          <w:tcPr>
            <w:tcW w:w="941" w:type="dxa"/>
            <w:vMerge w:val="restart"/>
            <w:vAlign w:val="center"/>
          </w:tcPr>
          <w:p w:rsidR="00BD5820" w:rsidRDefault="00F64314">
            <w:pPr>
              <w:pStyle w:val="10"/>
              <w:spacing w:line="240" w:lineRule="auto"/>
              <w:rPr>
                <w:rFonts w:cs="Times New Roman"/>
                <w:b w:val="0"/>
                <w:bCs/>
              </w:rPr>
            </w:pPr>
            <w:r>
              <w:rPr>
                <w:rFonts w:cs="Times New Roman" w:hint="eastAsia"/>
                <w:b w:val="0"/>
                <w:bCs/>
              </w:rPr>
              <w:t>普适性清单管控要求</w:t>
            </w:r>
          </w:p>
        </w:tc>
        <w:tc>
          <w:tcPr>
            <w:tcW w:w="992" w:type="dxa"/>
            <w:vMerge w:val="restart"/>
            <w:vAlign w:val="center"/>
          </w:tcPr>
          <w:p w:rsidR="00BD5820" w:rsidRDefault="00F64314">
            <w:pPr>
              <w:pStyle w:val="10"/>
              <w:spacing w:line="240" w:lineRule="auto"/>
              <w:rPr>
                <w:rFonts w:cs="Times New Roman"/>
                <w:b w:val="0"/>
                <w:bCs/>
              </w:rPr>
            </w:pPr>
            <w:r>
              <w:rPr>
                <w:rFonts w:cs="Times New Roman"/>
                <w:b w:val="0"/>
                <w:bCs/>
              </w:rPr>
              <w:t>空间布局约束</w:t>
            </w:r>
          </w:p>
        </w:tc>
        <w:tc>
          <w:tcPr>
            <w:tcW w:w="2693" w:type="dxa"/>
            <w:vAlign w:val="center"/>
          </w:tcPr>
          <w:p w:rsidR="00BD5820" w:rsidRDefault="00F64314">
            <w:pPr>
              <w:pStyle w:val="10"/>
              <w:spacing w:line="240" w:lineRule="auto"/>
              <w:rPr>
                <w:rFonts w:cs="Times New Roman"/>
                <w:b w:val="0"/>
                <w:bCs/>
              </w:rPr>
            </w:pPr>
            <w:r>
              <w:rPr>
                <w:rFonts w:cs="Times New Roman"/>
                <w:b w:val="0"/>
                <w:bCs/>
              </w:rPr>
              <w:t>禁止开发建设活动的要求</w:t>
            </w:r>
            <w:r>
              <w:rPr>
                <w:rFonts w:cs="Times New Roman" w:hint="eastAsia"/>
                <w:b w:val="0"/>
                <w:bCs/>
              </w:rPr>
              <w:t>：</w:t>
            </w:r>
          </w:p>
          <w:p w:rsidR="00BD5820" w:rsidRDefault="00F64314">
            <w:pPr>
              <w:pStyle w:val="10"/>
              <w:spacing w:line="240" w:lineRule="auto"/>
              <w:rPr>
                <w:rFonts w:cs="Times New Roman"/>
                <w:b w:val="0"/>
                <w:bCs/>
              </w:rPr>
            </w:pPr>
            <w:r>
              <w:rPr>
                <w:rFonts w:cs="Times New Roman" w:hint="eastAsia"/>
                <w:b w:val="0"/>
                <w:bCs/>
              </w:rPr>
              <w:t>-</w:t>
            </w:r>
            <w:r>
              <w:rPr>
                <w:rFonts w:cs="Times New Roman" w:hint="eastAsia"/>
                <w:b w:val="0"/>
                <w:bCs/>
              </w:rPr>
              <w:t>禁止在长江干支流</w:t>
            </w:r>
            <w:r>
              <w:rPr>
                <w:rFonts w:cs="Times New Roman" w:hint="eastAsia"/>
                <w:b w:val="0"/>
                <w:bCs/>
              </w:rPr>
              <w:t>1</w:t>
            </w:r>
            <w:r>
              <w:rPr>
                <w:rFonts w:cs="Times New Roman" w:hint="eastAsia"/>
                <w:b w:val="0"/>
                <w:bCs/>
              </w:rPr>
              <w:t>公里范围内新建、扩建化工园区和化工项目。</w:t>
            </w:r>
          </w:p>
          <w:p w:rsidR="00BD5820" w:rsidRDefault="00F64314">
            <w:pPr>
              <w:pStyle w:val="10"/>
              <w:spacing w:line="240" w:lineRule="auto"/>
              <w:rPr>
                <w:rFonts w:cs="Times New Roman"/>
                <w:b w:val="0"/>
                <w:bCs/>
              </w:rPr>
            </w:pPr>
            <w:r>
              <w:rPr>
                <w:rFonts w:cs="Times New Roman" w:hint="eastAsia"/>
                <w:b w:val="0"/>
                <w:bCs/>
              </w:rPr>
              <w:t>-</w:t>
            </w:r>
            <w:r>
              <w:rPr>
                <w:rFonts w:cs="Times New Roman" w:hint="eastAsia"/>
                <w:b w:val="0"/>
                <w:bCs/>
              </w:rPr>
              <w:t>禁止在法律法规规定的禁采区内新建矿山；禁止土法采、选、冶严重污染环境的矿产资源。</w:t>
            </w:r>
          </w:p>
          <w:p w:rsidR="00BD5820" w:rsidRDefault="00F64314">
            <w:pPr>
              <w:pStyle w:val="10"/>
              <w:spacing w:line="240" w:lineRule="auto"/>
              <w:rPr>
                <w:rFonts w:cs="Times New Roman"/>
                <w:b w:val="0"/>
                <w:bCs/>
              </w:rPr>
            </w:pPr>
            <w:r>
              <w:rPr>
                <w:rFonts w:cs="Times New Roman" w:hint="eastAsia"/>
                <w:b w:val="0"/>
                <w:bCs/>
              </w:rPr>
              <w:t>-</w:t>
            </w:r>
            <w:r>
              <w:rPr>
                <w:rFonts w:cs="Times New Roman" w:hint="eastAsia"/>
                <w:b w:val="0"/>
                <w:bCs/>
              </w:rPr>
              <w:t>涉及永久基本农田的区域，除法律规定的重点建设项目选址确实无法避让外，其他任何建设不得占用。</w:t>
            </w:r>
          </w:p>
          <w:p w:rsidR="00BD5820" w:rsidRDefault="00F64314">
            <w:pPr>
              <w:pStyle w:val="10"/>
              <w:spacing w:line="240" w:lineRule="auto"/>
              <w:rPr>
                <w:rFonts w:cs="Times New Roman"/>
                <w:b w:val="0"/>
                <w:bCs/>
              </w:rPr>
            </w:pPr>
            <w:r>
              <w:rPr>
                <w:rFonts w:cs="Times New Roman" w:hint="eastAsia"/>
                <w:b w:val="0"/>
                <w:bCs/>
              </w:rPr>
              <w:t>-</w:t>
            </w:r>
            <w:r>
              <w:rPr>
                <w:rFonts w:cs="Times New Roman" w:hint="eastAsia"/>
                <w:b w:val="0"/>
                <w:bCs/>
              </w:rPr>
              <w:t>禁止在长江流域河湖管理范围内倾倒、填埋、堆放、弃置、处理固体废物。</w:t>
            </w:r>
          </w:p>
        </w:tc>
        <w:tc>
          <w:tcPr>
            <w:tcW w:w="1418" w:type="dxa"/>
            <w:vAlign w:val="center"/>
          </w:tcPr>
          <w:p w:rsidR="00BD5820" w:rsidRDefault="00F64314">
            <w:pPr>
              <w:pStyle w:val="10"/>
              <w:spacing w:line="240" w:lineRule="auto"/>
              <w:rPr>
                <w:rFonts w:cs="Times New Roman"/>
                <w:b w:val="0"/>
                <w:bCs/>
              </w:rPr>
            </w:pPr>
            <w:r>
              <w:rPr>
                <w:rFonts w:cs="Times New Roman" w:hint="eastAsia"/>
                <w:b w:val="0"/>
                <w:bCs/>
              </w:rPr>
              <w:t>普光气田</w:t>
            </w:r>
            <w:r>
              <w:rPr>
                <w:rFonts w:cs="Times New Roman" w:hint="eastAsia"/>
                <w:b w:val="0"/>
                <w:bCs/>
              </w:rPr>
              <w:t>1#</w:t>
            </w:r>
            <w:r>
              <w:rPr>
                <w:rFonts w:cs="Times New Roman" w:hint="eastAsia"/>
                <w:b w:val="0"/>
                <w:bCs/>
              </w:rPr>
              <w:t>增压站位于四川省宣汉县普光镇北斗村岳家坡，普光气田</w:t>
            </w:r>
            <w:r>
              <w:rPr>
                <w:rFonts w:cs="Times New Roman" w:hint="eastAsia"/>
                <w:b w:val="0"/>
                <w:bCs/>
              </w:rPr>
              <w:t>2#</w:t>
            </w:r>
            <w:r>
              <w:rPr>
                <w:rFonts w:cs="Times New Roman" w:hint="eastAsia"/>
                <w:b w:val="0"/>
                <w:bCs/>
              </w:rPr>
              <w:t>增压站位于四川省宣汉县普光镇铜坎村，</w:t>
            </w:r>
            <w:r>
              <w:rPr>
                <w:rFonts w:cs="Times New Roman" w:hint="eastAsia"/>
                <w:b w:val="0"/>
                <w:bCs/>
              </w:rPr>
              <w:t>P106-P104-1#</w:t>
            </w:r>
            <w:r>
              <w:rPr>
                <w:rFonts w:cs="Times New Roman" w:hint="eastAsia"/>
                <w:b w:val="0"/>
                <w:bCs/>
              </w:rPr>
              <w:t>增压站集输管道</w:t>
            </w:r>
            <w:r>
              <w:rPr>
                <w:rFonts w:cs="Times New Roman" w:hint="eastAsia"/>
                <w:b w:val="0"/>
                <w:bCs/>
              </w:rPr>
              <w:t>4.1km</w:t>
            </w:r>
            <w:r>
              <w:rPr>
                <w:rFonts w:cs="Times New Roman" w:hint="eastAsia"/>
                <w:b w:val="0"/>
                <w:bCs/>
              </w:rPr>
              <w:t>位于四川省宣汉县普光镇北斗村</w:t>
            </w:r>
            <w:r>
              <w:rPr>
                <w:rFonts w:cs="Times New Roman"/>
                <w:b w:val="0"/>
                <w:bCs/>
              </w:rPr>
              <w:t>，占地</w:t>
            </w:r>
            <w:r>
              <w:rPr>
                <w:rFonts w:cs="Times New Roman" w:hint="eastAsia"/>
                <w:b w:val="0"/>
                <w:bCs/>
              </w:rPr>
              <w:t>不涉及永久基本农田，不属于</w:t>
            </w:r>
            <w:r>
              <w:rPr>
                <w:rFonts w:cs="Times New Roman"/>
                <w:b w:val="0"/>
                <w:bCs/>
              </w:rPr>
              <w:t>禁止开</w:t>
            </w:r>
            <w:r>
              <w:rPr>
                <w:rFonts w:cs="Times New Roman"/>
                <w:b w:val="0"/>
                <w:bCs/>
              </w:rPr>
              <w:lastRenderedPageBreak/>
              <w:t>发建设活动</w:t>
            </w:r>
            <w:r>
              <w:rPr>
                <w:rFonts w:cs="Times New Roman" w:hint="eastAsia"/>
                <w:b w:val="0"/>
                <w:bCs/>
              </w:rPr>
              <w:t>。</w:t>
            </w:r>
          </w:p>
        </w:tc>
        <w:tc>
          <w:tcPr>
            <w:tcW w:w="722" w:type="dxa"/>
            <w:vAlign w:val="center"/>
          </w:tcPr>
          <w:p w:rsidR="00BD5820" w:rsidRDefault="00F64314">
            <w:pPr>
              <w:pStyle w:val="10"/>
              <w:spacing w:line="240" w:lineRule="auto"/>
              <w:rPr>
                <w:rFonts w:cs="Times New Roman"/>
                <w:b w:val="0"/>
                <w:bCs/>
              </w:rPr>
            </w:pPr>
            <w:r>
              <w:rPr>
                <w:rFonts w:cs="Times New Roman"/>
                <w:b w:val="0"/>
                <w:bCs/>
              </w:rPr>
              <w:lastRenderedPageBreak/>
              <w:t>符合</w:t>
            </w:r>
          </w:p>
        </w:tc>
      </w:tr>
      <w:tr w:rsidR="00BD5820">
        <w:trPr>
          <w:trHeight w:val="843"/>
          <w:jc w:val="center"/>
        </w:trPr>
        <w:tc>
          <w:tcPr>
            <w:tcW w:w="1966" w:type="dxa"/>
            <w:vMerge/>
            <w:vAlign w:val="center"/>
          </w:tcPr>
          <w:p w:rsidR="00BD5820" w:rsidRDefault="00BD5820">
            <w:pPr>
              <w:pStyle w:val="10"/>
              <w:spacing w:line="240" w:lineRule="auto"/>
              <w:rPr>
                <w:rFonts w:cs="Times New Roman"/>
                <w:b w:val="0"/>
                <w:bCs/>
              </w:rPr>
            </w:pPr>
          </w:p>
        </w:tc>
        <w:tc>
          <w:tcPr>
            <w:tcW w:w="941" w:type="dxa"/>
            <w:vMerge/>
            <w:vAlign w:val="center"/>
          </w:tcPr>
          <w:p w:rsidR="00BD5820" w:rsidRDefault="00BD5820">
            <w:pPr>
              <w:pStyle w:val="10"/>
              <w:spacing w:line="240" w:lineRule="auto"/>
              <w:rPr>
                <w:rFonts w:cs="Times New Roman"/>
                <w:b w:val="0"/>
                <w:bCs/>
              </w:rPr>
            </w:pPr>
          </w:p>
        </w:tc>
        <w:tc>
          <w:tcPr>
            <w:tcW w:w="992" w:type="dxa"/>
            <w:vMerge/>
            <w:vAlign w:val="center"/>
          </w:tcPr>
          <w:p w:rsidR="00BD5820" w:rsidRDefault="00BD5820">
            <w:pPr>
              <w:pStyle w:val="10"/>
              <w:spacing w:line="240" w:lineRule="auto"/>
              <w:rPr>
                <w:rFonts w:cs="Times New Roman"/>
                <w:b w:val="0"/>
                <w:bCs/>
              </w:rPr>
            </w:pPr>
          </w:p>
        </w:tc>
        <w:tc>
          <w:tcPr>
            <w:tcW w:w="2693" w:type="dxa"/>
            <w:vAlign w:val="center"/>
          </w:tcPr>
          <w:p w:rsidR="00BD5820" w:rsidRDefault="00F64314">
            <w:pPr>
              <w:pStyle w:val="10"/>
              <w:spacing w:line="240" w:lineRule="auto"/>
              <w:rPr>
                <w:rFonts w:cs="Times New Roman"/>
                <w:b w:val="0"/>
                <w:bCs/>
              </w:rPr>
            </w:pPr>
            <w:r>
              <w:rPr>
                <w:rFonts w:cs="Times New Roman"/>
                <w:b w:val="0"/>
                <w:bCs/>
              </w:rPr>
              <w:t>限制开发建设活动的要求</w:t>
            </w:r>
            <w:r>
              <w:rPr>
                <w:rFonts w:cs="Times New Roman" w:hint="eastAsia"/>
                <w:b w:val="0"/>
                <w:bCs/>
              </w:rPr>
              <w:t>：</w:t>
            </w:r>
            <w:r>
              <w:rPr>
                <w:rFonts w:cs="Times New Roman" w:hint="eastAsia"/>
                <w:b w:val="0"/>
                <w:bCs/>
              </w:rPr>
              <w:t>-</w:t>
            </w:r>
            <w:r>
              <w:rPr>
                <w:rFonts w:cs="Times New Roman" w:hint="eastAsia"/>
                <w:b w:val="0"/>
                <w:bCs/>
              </w:rPr>
              <w:t>按照相关要求严控水泥新增产能。</w:t>
            </w:r>
          </w:p>
          <w:p w:rsidR="00BD5820" w:rsidRDefault="00F64314">
            <w:pPr>
              <w:pStyle w:val="10"/>
              <w:spacing w:line="240" w:lineRule="auto"/>
              <w:rPr>
                <w:rFonts w:cs="Times New Roman"/>
                <w:b w:val="0"/>
                <w:bCs/>
              </w:rPr>
            </w:pPr>
            <w:r>
              <w:rPr>
                <w:rFonts w:cs="Times New Roman" w:hint="eastAsia"/>
                <w:b w:val="0"/>
                <w:bCs/>
              </w:rPr>
              <w:t>-</w:t>
            </w:r>
            <w:r>
              <w:rPr>
                <w:rFonts w:cs="Times New Roman" w:hint="eastAsia"/>
                <w:b w:val="0"/>
                <w:bCs/>
              </w:rPr>
              <w:t>涉及法定保护地，严格按照国家及地方法律法规、管理办法等相关要求进行控制。配套旅游、基础设施等建设项目，在符合规划和相关保护要求的前提下，应实施生态避让、减缓影响及生态恢复措施。</w:t>
            </w:r>
          </w:p>
          <w:p w:rsidR="00BD5820" w:rsidRDefault="00F64314">
            <w:pPr>
              <w:pStyle w:val="10"/>
              <w:spacing w:line="240" w:lineRule="auto"/>
              <w:rPr>
                <w:rFonts w:cs="Times New Roman"/>
                <w:b w:val="0"/>
                <w:bCs/>
              </w:rPr>
            </w:pPr>
            <w:r>
              <w:rPr>
                <w:rFonts w:cs="Times New Roman" w:hint="eastAsia"/>
                <w:b w:val="0"/>
                <w:bCs/>
              </w:rPr>
              <w:t>-</w:t>
            </w:r>
            <w:r>
              <w:rPr>
                <w:rFonts w:cs="Times New Roman" w:hint="eastAsia"/>
                <w:b w:val="0"/>
                <w:bCs/>
              </w:rPr>
              <w:t>按照相关要求严控水泥新增产能。</w:t>
            </w:r>
          </w:p>
          <w:p w:rsidR="00BD5820" w:rsidRDefault="00F64314">
            <w:pPr>
              <w:pStyle w:val="10"/>
              <w:spacing w:line="240" w:lineRule="auto"/>
              <w:rPr>
                <w:rFonts w:cs="Times New Roman"/>
                <w:b w:val="0"/>
                <w:bCs/>
              </w:rPr>
            </w:pPr>
            <w:r>
              <w:rPr>
                <w:rFonts w:cs="Times New Roman" w:hint="eastAsia"/>
                <w:b w:val="0"/>
                <w:bCs/>
              </w:rPr>
              <w:t>-</w:t>
            </w:r>
            <w:r>
              <w:rPr>
                <w:rFonts w:cs="Times New Roman" w:hint="eastAsia"/>
                <w:b w:val="0"/>
                <w:bCs/>
              </w:rPr>
              <w:t>禁止在长江干流岸线三公里范围内和重要支流岸线一公里范围内新建、改建、扩建尾矿库；但是以提升安全、生态环境保护水平为目的的改建除外。</w:t>
            </w:r>
          </w:p>
          <w:p w:rsidR="00BD5820" w:rsidRDefault="00F64314">
            <w:pPr>
              <w:pStyle w:val="10"/>
              <w:spacing w:line="240" w:lineRule="auto"/>
              <w:rPr>
                <w:rFonts w:cs="Times New Roman"/>
                <w:b w:val="0"/>
                <w:bCs/>
              </w:rPr>
            </w:pPr>
            <w:r>
              <w:rPr>
                <w:rFonts w:cs="Times New Roman" w:hint="eastAsia"/>
                <w:b w:val="0"/>
                <w:bCs/>
              </w:rPr>
              <w:t>-</w:t>
            </w:r>
            <w:r>
              <w:rPr>
                <w:rFonts w:cs="Times New Roman" w:hint="eastAsia"/>
                <w:b w:val="0"/>
                <w:bCs/>
              </w:rPr>
              <w:t>单元内若新布局工业园区，应结合区域环境特点、三线成果、园区产业类别，充分论证选址的环境合理性。</w:t>
            </w:r>
          </w:p>
        </w:tc>
        <w:tc>
          <w:tcPr>
            <w:tcW w:w="1418" w:type="dxa"/>
            <w:vAlign w:val="center"/>
          </w:tcPr>
          <w:p w:rsidR="00BD5820" w:rsidRDefault="00F64314">
            <w:pPr>
              <w:pStyle w:val="10"/>
              <w:spacing w:line="240" w:lineRule="auto"/>
              <w:rPr>
                <w:rFonts w:cs="Times New Roman"/>
                <w:b w:val="0"/>
                <w:bCs/>
              </w:rPr>
            </w:pPr>
            <w:r>
              <w:rPr>
                <w:rFonts w:cs="Times New Roman"/>
                <w:b w:val="0"/>
                <w:bCs/>
              </w:rPr>
              <w:t>项目属于天然气</w:t>
            </w:r>
            <w:r>
              <w:rPr>
                <w:rFonts w:cs="Times New Roman" w:hint="eastAsia"/>
                <w:b w:val="0"/>
                <w:bCs/>
              </w:rPr>
              <w:t>湿气增压</w:t>
            </w:r>
            <w:r>
              <w:rPr>
                <w:rFonts w:cs="Times New Roman"/>
                <w:b w:val="0"/>
                <w:bCs/>
              </w:rPr>
              <w:t>和内部集输工程</w:t>
            </w:r>
            <w:r>
              <w:rPr>
                <w:rFonts w:cs="Times New Roman" w:hint="eastAsia"/>
                <w:b w:val="0"/>
                <w:bCs/>
              </w:rPr>
              <w:t>，不属于</w:t>
            </w:r>
            <w:r>
              <w:rPr>
                <w:rFonts w:cs="Times New Roman"/>
                <w:b w:val="0"/>
                <w:bCs/>
              </w:rPr>
              <w:t>限制开发建设活动</w:t>
            </w:r>
            <w:r>
              <w:rPr>
                <w:rFonts w:cs="Times New Roman" w:hint="eastAsia"/>
                <w:b w:val="0"/>
                <w:bCs/>
              </w:rPr>
              <w:t>。</w:t>
            </w:r>
          </w:p>
        </w:tc>
        <w:tc>
          <w:tcPr>
            <w:tcW w:w="722" w:type="dxa"/>
            <w:vAlign w:val="center"/>
          </w:tcPr>
          <w:p w:rsidR="00BD5820" w:rsidRDefault="00F64314">
            <w:pPr>
              <w:pStyle w:val="10"/>
              <w:spacing w:line="240" w:lineRule="auto"/>
              <w:rPr>
                <w:rFonts w:cs="Times New Roman"/>
                <w:b w:val="0"/>
                <w:bCs/>
              </w:rPr>
            </w:pPr>
            <w:r>
              <w:rPr>
                <w:rFonts w:cs="Times New Roman"/>
                <w:b w:val="0"/>
                <w:bCs/>
              </w:rPr>
              <w:t>符合</w:t>
            </w:r>
          </w:p>
        </w:tc>
      </w:tr>
      <w:tr w:rsidR="00BD5820">
        <w:trPr>
          <w:trHeight w:val="843"/>
          <w:jc w:val="center"/>
        </w:trPr>
        <w:tc>
          <w:tcPr>
            <w:tcW w:w="1966" w:type="dxa"/>
            <w:vMerge/>
            <w:vAlign w:val="center"/>
          </w:tcPr>
          <w:p w:rsidR="00BD5820" w:rsidRDefault="00BD5820">
            <w:pPr>
              <w:pStyle w:val="10"/>
              <w:spacing w:line="240" w:lineRule="auto"/>
              <w:rPr>
                <w:rFonts w:cs="Times New Roman"/>
                <w:b w:val="0"/>
                <w:bCs/>
              </w:rPr>
            </w:pPr>
          </w:p>
        </w:tc>
        <w:tc>
          <w:tcPr>
            <w:tcW w:w="941" w:type="dxa"/>
            <w:vMerge/>
            <w:vAlign w:val="center"/>
          </w:tcPr>
          <w:p w:rsidR="00BD5820" w:rsidRDefault="00BD5820">
            <w:pPr>
              <w:pStyle w:val="10"/>
              <w:spacing w:line="240" w:lineRule="auto"/>
              <w:rPr>
                <w:rFonts w:cs="Times New Roman"/>
                <w:b w:val="0"/>
                <w:bCs/>
              </w:rPr>
            </w:pPr>
          </w:p>
        </w:tc>
        <w:tc>
          <w:tcPr>
            <w:tcW w:w="992" w:type="dxa"/>
            <w:vMerge/>
            <w:vAlign w:val="center"/>
          </w:tcPr>
          <w:p w:rsidR="00BD5820" w:rsidRDefault="00BD5820">
            <w:pPr>
              <w:pStyle w:val="10"/>
              <w:spacing w:line="240" w:lineRule="auto"/>
              <w:rPr>
                <w:rFonts w:cs="Times New Roman"/>
                <w:b w:val="0"/>
                <w:bCs/>
              </w:rPr>
            </w:pPr>
          </w:p>
        </w:tc>
        <w:tc>
          <w:tcPr>
            <w:tcW w:w="2693" w:type="dxa"/>
            <w:vAlign w:val="center"/>
          </w:tcPr>
          <w:p w:rsidR="00BD5820" w:rsidRDefault="00F64314">
            <w:pPr>
              <w:pStyle w:val="10"/>
              <w:spacing w:line="240" w:lineRule="auto"/>
              <w:rPr>
                <w:rFonts w:cs="Times New Roman"/>
                <w:b w:val="0"/>
                <w:bCs/>
              </w:rPr>
            </w:pPr>
            <w:r>
              <w:rPr>
                <w:rFonts w:cs="Times New Roman"/>
                <w:b w:val="0"/>
                <w:bCs/>
              </w:rPr>
              <w:t>不符合空间布局要求活动的退出要求</w:t>
            </w:r>
            <w:r>
              <w:rPr>
                <w:rFonts w:cs="Times New Roman" w:hint="eastAsia"/>
                <w:b w:val="0"/>
                <w:bCs/>
              </w:rPr>
              <w:t>：</w:t>
            </w:r>
            <w:r>
              <w:rPr>
                <w:rFonts w:cs="Times New Roman" w:hint="eastAsia"/>
                <w:b w:val="0"/>
                <w:bCs/>
              </w:rPr>
              <w:t>-</w:t>
            </w:r>
            <w:r>
              <w:rPr>
                <w:rFonts w:cs="Times New Roman" w:hint="eastAsia"/>
                <w:b w:val="0"/>
                <w:bCs/>
              </w:rPr>
              <w:t>针对现有水泥企业，强化污染治理和污染物减排，依法依规整治或搬迁。</w:t>
            </w:r>
          </w:p>
          <w:p w:rsidR="00BD5820" w:rsidRDefault="00F64314">
            <w:pPr>
              <w:pStyle w:val="10"/>
              <w:spacing w:line="240" w:lineRule="auto"/>
              <w:rPr>
                <w:rFonts w:cs="Times New Roman"/>
                <w:b w:val="0"/>
                <w:bCs/>
              </w:rPr>
            </w:pPr>
            <w:r>
              <w:rPr>
                <w:rFonts w:cs="Times New Roman" w:hint="eastAsia"/>
                <w:b w:val="0"/>
                <w:bCs/>
              </w:rPr>
              <w:t>-</w:t>
            </w:r>
            <w:r>
              <w:rPr>
                <w:rFonts w:cs="Times New Roman" w:hint="eastAsia"/>
                <w:b w:val="0"/>
                <w:bCs/>
              </w:rPr>
              <w:t>全面取缔禁养区内规模化畜禽养殖场。</w:t>
            </w:r>
          </w:p>
          <w:p w:rsidR="00BD5820" w:rsidRDefault="00F64314">
            <w:pPr>
              <w:pStyle w:val="10"/>
              <w:spacing w:line="240" w:lineRule="auto"/>
              <w:rPr>
                <w:rFonts w:cs="Times New Roman"/>
                <w:b w:val="0"/>
                <w:bCs/>
              </w:rPr>
            </w:pPr>
            <w:r>
              <w:rPr>
                <w:rFonts w:cs="Times New Roman" w:hint="eastAsia"/>
                <w:b w:val="0"/>
                <w:bCs/>
              </w:rPr>
              <w:t>-2025</w:t>
            </w:r>
            <w:r>
              <w:rPr>
                <w:rFonts w:cs="Times New Roman" w:hint="eastAsia"/>
                <w:b w:val="0"/>
                <w:bCs/>
              </w:rPr>
              <w:t>年基本完成全域内“散乱污”企业整治工作。</w:t>
            </w:r>
          </w:p>
        </w:tc>
        <w:tc>
          <w:tcPr>
            <w:tcW w:w="1418" w:type="dxa"/>
            <w:vAlign w:val="center"/>
          </w:tcPr>
          <w:p w:rsidR="00BD5820" w:rsidRDefault="00F64314">
            <w:pPr>
              <w:pStyle w:val="10"/>
              <w:spacing w:line="240" w:lineRule="auto"/>
              <w:rPr>
                <w:rFonts w:cs="Times New Roman"/>
                <w:b w:val="0"/>
                <w:bCs/>
              </w:rPr>
            </w:pPr>
            <w:r>
              <w:rPr>
                <w:rFonts w:cs="Times New Roman"/>
                <w:b w:val="0"/>
                <w:bCs/>
              </w:rPr>
              <w:t>项目属于天然气</w:t>
            </w:r>
            <w:r>
              <w:rPr>
                <w:rFonts w:cs="Times New Roman" w:hint="eastAsia"/>
                <w:b w:val="0"/>
                <w:bCs/>
              </w:rPr>
              <w:t>湿气增压</w:t>
            </w:r>
            <w:r>
              <w:rPr>
                <w:rFonts w:cs="Times New Roman"/>
                <w:b w:val="0"/>
                <w:bCs/>
              </w:rPr>
              <w:t>和内部集输工程</w:t>
            </w:r>
            <w:r>
              <w:rPr>
                <w:rFonts w:cs="Times New Roman" w:hint="eastAsia"/>
                <w:b w:val="0"/>
                <w:bCs/>
              </w:rPr>
              <w:t>，不属于“散乱污”企业。</w:t>
            </w:r>
          </w:p>
        </w:tc>
        <w:tc>
          <w:tcPr>
            <w:tcW w:w="722" w:type="dxa"/>
            <w:vAlign w:val="center"/>
          </w:tcPr>
          <w:p w:rsidR="00BD5820" w:rsidRDefault="00F64314">
            <w:pPr>
              <w:pStyle w:val="10"/>
              <w:spacing w:line="240" w:lineRule="auto"/>
              <w:rPr>
                <w:rFonts w:cs="Times New Roman"/>
                <w:b w:val="0"/>
                <w:bCs/>
              </w:rPr>
            </w:pPr>
            <w:r>
              <w:rPr>
                <w:rFonts w:cs="Times New Roman"/>
                <w:b w:val="0"/>
                <w:bCs/>
              </w:rPr>
              <w:t>符合</w:t>
            </w:r>
          </w:p>
        </w:tc>
      </w:tr>
      <w:tr w:rsidR="00BD5820">
        <w:trPr>
          <w:trHeight w:val="1693"/>
          <w:jc w:val="center"/>
        </w:trPr>
        <w:tc>
          <w:tcPr>
            <w:tcW w:w="1966" w:type="dxa"/>
            <w:vMerge/>
            <w:vAlign w:val="center"/>
          </w:tcPr>
          <w:p w:rsidR="00BD5820" w:rsidRDefault="00BD5820">
            <w:pPr>
              <w:pStyle w:val="10"/>
              <w:spacing w:line="240" w:lineRule="auto"/>
              <w:rPr>
                <w:rFonts w:cs="Times New Roman"/>
                <w:b w:val="0"/>
                <w:bCs/>
              </w:rPr>
            </w:pPr>
          </w:p>
        </w:tc>
        <w:tc>
          <w:tcPr>
            <w:tcW w:w="941" w:type="dxa"/>
            <w:vMerge/>
            <w:vAlign w:val="center"/>
          </w:tcPr>
          <w:p w:rsidR="00BD5820" w:rsidRDefault="00BD5820">
            <w:pPr>
              <w:pStyle w:val="10"/>
              <w:spacing w:line="240" w:lineRule="auto"/>
              <w:rPr>
                <w:rFonts w:cs="Times New Roman"/>
                <w:b w:val="0"/>
                <w:bCs/>
              </w:rPr>
            </w:pPr>
          </w:p>
        </w:tc>
        <w:tc>
          <w:tcPr>
            <w:tcW w:w="992" w:type="dxa"/>
            <w:vMerge w:val="restart"/>
            <w:vAlign w:val="center"/>
          </w:tcPr>
          <w:p w:rsidR="00BD5820" w:rsidRDefault="00F64314">
            <w:pPr>
              <w:pStyle w:val="10"/>
              <w:spacing w:line="240" w:lineRule="auto"/>
              <w:rPr>
                <w:rFonts w:cs="Times New Roman"/>
                <w:b w:val="0"/>
                <w:bCs/>
              </w:rPr>
            </w:pPr>
            <w:r>
              <w:rPr>
                <w:rFonts w:cs="Times New Roman"/>
                <w:b w:val="0"/>
                <w:bCs/>
              </w:rPr>
              <w:t>污染物排放管控</w:t>
            </w:r>
          </w:p>
        </w:tc>
        <w:tc>
          <w:tcPr>
            <w:tcW w:w="2693" w:type="dxa"/>
            <w:vAlign w:val="center"/>
          </w:tcPr>
          <w:p w:rsidR="00BD5820" w:rsidRDefault="00F64314">
            <w:pPr>
              <w:pStyle w:val="10"/>
              <w:spacing w:line="240" w:lineRule="auto"/>
              <w:rPr>
                <w:rFonts w:cs="Times New Roman"/>
                <w:b w:val="0"/>
                <w:bCs/>
              </w:rPr>
            </w:pPr>
            <w:r>
              <w:rPr>
                <w:rFonts w:cs="Times New Roman"/>
                <w:b w:val="0"/>
                <w:bCs/>
              </w:rPr>
              <w:t>现有源提标升级改造</w:t>
            </w:r>
            <w:r>
              <w:rPr>
                <w:rFonts w:cs="Times New Roman" w:hint="eastAsia"/>
                <w:b w:val="0"/>
                <w:bCs/>
              </w:rPr>
              <w:t>：</w:t>
            </w:r>
          </w:p>
          <w:p w:rsidR="00BD5820" w:rsidRDefault="00F64314">
            <w:pPr>
              <w:pStyle w:val="10"/>
              <w:spacing w:line="240" w:lineRule="auto"/>
              <w:rPr>
                <w:rFonts w:cs="Times New Roman"/>
                <w:b w:val="0"/>
                <w:bCs/>
              </w:rPr>
            </w:pPr>
            <w:r>
              <w:rPr>
                <w:rFonts w:cs="Times New Roman" w:hint="eastAsia"/>
                <w:b w:val="0"/>
                <w:bCs/>
              </w:rPr>
              <w:t>-</w:t>
            </w:r>
            <w:r>
              <w:rPr>
                <w:rFonts w:cs="Times New Roman" w:hint="eastAsia"/>
                <w:b w:val="0"/>
                <w:bCs/>
              </w:rPr>
              <w:t>加快现有乡镇污水处理设施升级改造，按要求达《城镇污水处理厂污染物排放标准》一级</w:t>
            </w:r>
            <w:r>
              <w:rPr>
                <w:rFonts w:cs="Times New Roman" w:hint="eastAsia"/>
                <w:b w:val="0"/>
                <w:bCs/>
              </w:rPr>
              <w:t>A</w:t>
            </w:r>
            <w:r>
              <w:rPr>
                <w:rFonts w:cs="Times New Roman" w:hint="eastAsia"/>
                <w:b w:val="0"/>
                <w:bCs/>
              </w:rPr>
              <w:t>标后排放。</w:t>
            </w:r>
          </w:p>
          <w:p w:rsidR="00BD5820" w:rsidRDefault="00F64314">
            <w:pPr>
              <w:pStyle w:val="10"/>
              <w:spacing w:line="240" w:lineRule="auto"/>
              <w:rPr>
                <w:rFonts w:cs="Times New Roman"/>
                <w:b w:val="0"/>
                <w:bCs/>
              </w:rPr>
            </w:pPr>
            <w:r>
              <w:rPr>
                <w:rFonts w:cs="Times New Roman" w:hint="eastAsia"/>
                <w:b w:val="0"/>
                <w:bCs/>
              </w:rPr>
              <w:t>-</w:t>
            </w:r>
            <w:r>
              <w:rPr>
                <w:rFonts w:cs="Times New Roman" w:hint="eastAsia"/>
                <w:b w:val="0"/>
                <w:bCs/>
              </w:rPr>
              <w:t>在矿产资源开发活动集中</w:t>
            </w:r>
            <w:r>
              <w:rPr>
                <w:rFonts w:cs="Times New Roman" w:hint="eastAsia"/>
                <w:b w:val="0"/>
                <w:bCs/>
              </w:rPr>
              <w:lastRenderedPageBreak/>
              <w:t>区域，废水执行重金属污染物排放特别限值。</w:t>
            </w:r>
          </w:p>
          <w:p w:rsidR="00BD5820" w:rsidRDefault="00F64314">
            <w:pPr>
              <w:pStyle w:val="10"/>
              <w:spacing w:line="240" w:lineRule="auto"/>
              <w:rPr>
                <w:rFonts w:cs="Times New Roman"/>
                <w:b w:val="0"/>
                <w:bCs/>
              </w:rPr>
            </w:pPr>
            <w:r>
              <w:rPr>
                <w:rFonts w:cs="Times New Roman" w:hint="eastAsia"/>
                <w:b w:val="0"/>
                <w:bCs/>
              </w:rPr>
              <w:t>-</w:t>
            </w:r>
            <w:r>
              <w:rPr>
                <w:rFonts w:cs="Times New Roman" w:hint="eastAsia"/>
                <w:b w:val="0"/>
                <w:bCs/>
              </w:rPr>
              <w:t>火电、水泥等行业按相关要求推进大气污染物超低排放和深度治理。</w:t>
            </w:r>
          </w:p>
          <w:p w:rsidR="00BD5820" w:rsidRDefault="00F64314">
            <w:pPr>
              <w:pStyle w:val="10"/>
              <w:spacing w:line="240" w:lineRule="auto"/>
              <w:rPr>
                <w:rFonts w:cs="Times New Roman"/>
                <w:b w:val="0"/>
                <w:bCs/>
              </w:rPr>
            </w:pPr>
            <w:r>
              <w:rPr>
                <w:rFonts w:cs="Times New Roman" w:hint="eastAsia"/>
                <w:b w:val="0"/>
                <w:bCs/>
              </w:rPr>
              <w:t>-</w:t>
            </w:r>
            <w:r>
              <w:rPr>
                <w:rFonts w:cs="Times New Roman" w:hint="eastAsia"/>
                <w:b w:val="0"/>
                <w:bCs/>
              </w:rPr>
              <w:t>砖瓦行业实施脱硫、除尘升级改造，污染物排放达到《砖瓦工业大气污染物排放标准》相关要求。</w:t>
            </w:r>
          </w:p>
        </w:tc>
        <w:tc>
          <w:tcPr>
            <w:tcW w:w="1418" w:type="dxa"/>
            <w:vAlign w:val="center"/>
          </w:tcPr>
          <w:p w:rsidR="00BD5820" w:rsidRDefault="00F64314">
            <w:pPr>
              <w:pStyle w:val="10"/>
              <w:spacing w:line="240" w:lineRule="auto"/>
              <w:rPr>
                <w:rFonts w:cs="Times New Roman"/>
                <w:b w:val="0"/>
                <w:bCs/>
              </w:rPr>
            </w:pPr>
            <w:r>
              <w:rPr>
                <w:rFonts w:cs="Times New Roman"/>
                <w:b w:val="0"/>
                <w:bCs/>
              </w:rPr>
              <w:lastRenderedPageBreak/>
              <w:t>项目属于天然气</w:t>
            </w:r>
            <w:r>
              <w:rPr>
                <w:rFonts w:cs="Times New Roman" w:hint="eastAsia"/>
                <w:b w:val="0"/>
                <w:bCs/>
              </w:rPr>
              <w:t>湿气增压</w:t>
            </w:r>
            <w:r>
              <w:rPr>
                <w:rFonts w:cs="Times New Roman"/>
                <w:b w:val="0"/>
                <w:bCs/>
              </w:rPr>
              <w:t>和内部集输工程</w:t>
            </w:r>
            <w:r>
              <w:rPr>
                <w:rFonts w:cs="Times New Roman" w:hint="eastAsia"/>
                <w:b w:val="0"/>
                <w:bCs/>
              </w:rPr>
              <w:t>，不属于火电、水泥、砖瓦等行</w:t>
            </w:r>
            <w:r>
              <w:rPr>
                <w:rFonts w:cs="Times New Roman" w:hint="eastAsia"/>
                <w:b w:val="0"/>
                <w:bCs/>
              </w:rPr>
              <w:lastRenderedPageBreak/>
              <w:t>业。</w:t>
            </w:r>
          </w:p>
        </w:tc>
        <w:tc>
          <w:tcPr>
            <w:tcW w:w="722" w:type="dxa"/>
            <w:vAlign w:val="center"/>
          </w:tcPr>
          <w:p w:rsidR="00BD5820" w:rsidRDefault="00F64314">
            <w:pPr>
              <w:pStyle w:val="10"/>
              <w:spacing w:line="240" w:lineRule="auto"/>
              <w:rPr>
                <w:rFonts w:cs="Times New Roman"/>
                <w:b w:val="0"/>
                <w:bCs/>
              </w:rPr>
            </w:pPr>
            <w:r>
              <w:rPr>
                <w:rFonts w:cs="Times New Roman"/>
                <w:b w:val="0"/>
                <w:bCs/>
              </w:rPr>
              <w:lastRenderedPageBreak/>
              <w:t>符合</w:t>
            </w:r>
          </w:p>
        </w:tc>
      </w:tr>
      <w:tr w:rsidR="00BD5820">
        <w:trPr>
          <w:trHeight w:val="1693"/>
          <w:jc w:val="center"/>
        </w:trPr>
        <w:tc>
          <w:tcPr>
            <w:tcW w:w="1966" w:type="dxa"/>
            <w:vMerge/>
            <w:vAlign w:val="center"/>
          </w:tcPr>
          <w:p w:rsidR="00BD5820" w:rsidRDefault="00BD5820">
            <w:pPr>
              <w:pStyle w:val="10"/>
              <w:spacing w:line="240" w:lineRule="auto"/>
              <w:rPr>
                <w:rFonts w:cs="Times New Roman"/>
                <w:b w:val="0"/>
                <w:bCs/>
              </w:rPr>
            </w:pPr>
          </w:p>
        </w:tc>
        <w:tc>
          <w:tcPr>
            <w:tcW w:w="941" w:type="dxa"/>
            <w:vMerge/>
            <w:vAlign w:val="center"/>
          </w:tcPr>
          <w:p w:rsidR="00BD5820" w:rsidRDefault="00BD5820">
            <w:pPr>
              <w:pStyle w:val="10"/>
              <w:spacing w:line="240" w:lineRule="auto"/>
              <w:rPr>
                <w:rFonts w:cs="Times New Roman"/>
                <w:b w:val="0"/>
                <w:bCs/>
              </w:rPr>
            </w:pPr>
          </w:p>
        </w:tc>
        <w:tc>
          <w:tcPr>
            <w:tcW w:w="992" w:type="dxa"/>
            <w:vMerge/>
            <w:vAlign w:val="center"/>
          </w:tcPr>
          <w:p w:rsidR="00BD5820" w:rsidRDefault="00BD5820">
            <w:pPr>
              <w:pStyle w:val="10"/>
              <w:spacing w:line="240" w:lineRule="auto"/>
              <w:rPr>
                <w:rFonts w:cs="Times New Roman"/>
                <w:b w:val="0"/>
                <w:bCs/>
              </w:rPr>
            </w:pPr>
          </w:p>
        </w:tc>
        <w:tc>
          <w:tcPr>
            <w:tcW w:w="2693" w:type="dxa"/>
            <w:vAlign w:val="center"/>
          </w:tcPr>
          <w:p w:rsidR="00BD5820" w:rsidRDefault="00F64314">
            <w:pPr>
              <w:pStyle w:val="10"/>
              <w:spacing w:line="240" w:lineRule="auto"/>
              <w:rPr>
                <w:rFonts w:cs="Times New Roman"/>
                <w:b w:val="0"/>
                <w:bCs/>
              </w:rPr>
            </w:pPr>
            <w:r>
              <w:rPr>
                <w:rFonts w:cs="Times New Roman"/>
                <w:b w:val="0"/>
                <w:bCs/>
              </w:rPr>
              <w:t>新增源等量或倍量替代</w:t>
            </w:r>
            <w:r>
              <w:rPr>
                <w:rFonts w:cs="Times New Roman" w:hint="eastAsia"/>
                <w:b w:val="0"/>
                <w:bCs/>
              </w:rPr>
              <w:t>：</w:t>
            </w:r>
          </w:p>
          <w:p w:rsidR="00BD5820" w:rsidRDefault="00F64314">
            <w:pPr>
              <w:spacing w:line="240" w:lineRule="auto"/>
              <w:ind w:firstLine="420"/>
              <w:rPr>
                <w:sz w:val="21"/>
                <w:szCs w:val="21"/>
              </w:rPr>
            </w:pPr>
            <w:r>
              <w:rPr>
                <w:sz w:val="21"/>
                <w:szCs w:val="21"/>
              </w:rPr>
              <w:t>-上一年度水环境质量未完成目标的，新建排放水污染的建设项目按照总量管控要求进行倍量削减替代。</w:t>
            </w:r>
          </w:p>
          <w:p w:rsidR="00BD5820" w:rsidRDefault="00F64314">
            <w:pPr>
              <w:spacing w:line="240" w:lineRule="auto"/>
              <w:ind w:firstLine="420"/>
              <w:rPr>
                <w:sz w:val="21"/>
                <w:szCs w:val="21"/>
              </w:rPr>
            </w:pPr>
            <w:r>
              <w:rPr>
                <w:sz w:val="21"/>
                <w:szCs w:val="21"/>
              </w:rPr>
              <w:t>-上一年度空气质量年平均浓度不达标的城市，建设项目新增相关污染物按照总量管控要求进行倍量削减替代。</w:t>
            </w:r>
          </w:p>
          <w:p w:rsidR="00BD5820" w:rsidRDefault="00F64314">
            <w:pPr>
              <w:spacing w:line="240" w:lineRule="auto"/>
              <w:ind w:firstLine="420"/>
            </w:pPr>
            <w:r>
              <w:rPr>
                <w:sz w:val="21"/>
                <w:szCs w:val="21"/>
              </w:rPr>
              <w:t>-大气环境重点管控区内，新增大气污染物排放的建设项目实施总量削减替代。</w:t>
            </w:r>
          </w:p>
        </w:tc>
        <w:tc>
          <w:tcPr>
            <w:tcW w:w="1418" w:type="dxa"/>
            <w:vAlign w:val="center"/>
          </w:tcPr>
          <w:p w:rsidR="00BD5820" w:rsidRDefault="00F64314">
            <w:pPr>
              <w:pStyle w:val="10"/>
              <w:spacing w:line="240" w:lineRule="auto"/>
              <w:rPr>
                <w:rFonts w:cs="Times New Roman"/>
                <w:b w:val="0"/>
                <w:bCs/>
              </w:rPr>
            </w:pPr>
            <w:r>
              <w:rPr>
                <w:rFonts w:cs="Times New Roman"/>
                <w:b w:val="0"/>
                <w:bCs/>
              </w:rPr>
              <w:t>项目属于</w:t>
            </w:r>
            <w:r>
              <w:rPr>
                <w:rFonts w:cs="Times New Roman" w:hint="eastAsia"/>
                <w:b w:val="0"/>
                <w:bCs/>
              </w:rPr>
              <w:t>大气环境一般管控区内。</w:t>
            </w:r>
          </w:p>
        </w:tc>
        <w:tc>
          <w:tcPr>
            <w:tcW w:w="722" w:type="dxa"/>
            <w:vAlign w:val="center"/>
          </w:tcPr>
          <w:p w:rsidR="00BD5820" w:rsidRDefault="00F64314">
            <w:pPr>
              <w:pStyle w:val="10"/>
              <w:spacing w:line="240" w:lineRule="auto"/>
              <w:rPr>
                <w:rFonts w:cs="Times New Roman"/>
                <w:b w:val="0"/>
                <w:bCs/>
              </w:rPr>
            </w:pPr>
            <w:r>
              <w:rPr>
                <w:rFonts w:cs="Times New Roman"/>
                <w:b w:val="0"/>
                <w:bCs/>
              </w:rPr>
              <w:t>符合</w:t>
            </w:r>
          </w:p>
        </w:tc>
      </w:tr>
      <w:tr w:rsidR="00BD5820">
        <w:trPr>
          <w:trHeight w:val="855"/>
          <w:jc w:val="center"/>
        </w:trPr>
        <w:tc>
          <w:tcPr>
            <w:tcW w:w="1966" w:type="dxa"/>
            <w:vMerge/>
            <w:vAlign w:val="center"/>
          </w:tcPr>
          <w:p w:rsidR="00BD5820" w:rsidRDefault="00BD5820">
            <w:pPr>
              <w:pStyle w:val="10"/>
              <w:spacing w:line="240" w:lineRule="auto"/>
              <w:rPr>
                <w:rFonts w:cs="Times New Roman"/>
                <w:b w:val="0"/>
                <w:bCs/>
              </w:rPr>
            </w:pPr>
          </w:p>
        </w:tc>
        <w:tc>
          <w:tcPr>
            <w:tcW w:w="941" w:type="dxa"/>
            <w:vMerge/>
            <w:vAlign w:val="center"/>
          </w:tcPr>
          <w:p w:rsidR="00BD5820" w:rsidRDefault="00BD5820">
            <w:pPr>
              <w:pStyle w:val="10"/>
              <w:spacing w:line="240" w:lineRule="auto"/>
              <w:rPr>
                <w:rFonts w:cs="Times New Roman"/>
                <w:b w:val="0"/>
                <w:bCs/>
              </w:rPr>
            </w:pPr>
          </w:p>
        </w:tc>
        <w:tc>
          <w:tcPr>
            <w:tcW w:w="992" w:type="dxa"/>
            <w:vAlign w:val="center"/>
          </w:tcPr>
          <w:p w:rsidR="00BD5820" w:rsidRDefault="00F64314">
            <w:pPr>
              <w:pStyle w:val="10"/>
              <w:spacing w:line="240" w:lineRule="auto"/>
              <w:rPr>
                <w:rFonts w:cs="Times New Roman"/>
                <w:b w:val="0"/>
                <w:bCs/>
              </w:rPr>
            </w:pPr>
            <w:r>
              <w:rPr>
                <w:rFonts w:cs="Times New Roman"/>
                <w:b w:val="0"/>
                <w:bCs/>
              </w:rPr>
              <w:t>环境风险</w:t>
            </w:r>
            <w:r>
              <w:rPr>
                <w:rFonts w:cs="Times New Roman" w:hint="eastAsia"/>
                <w:b w:val="0"/>
                <w:bCs/>
              </w:rPr>
              <w:t>防控</w:t>
            </w:r>
          </w:p>
        </w:tc>
        <w:tc>
          <w:tcPr>
            <w:tcW w:w="2693" w:type="dxa"/>
            <w:vAlign w:val="center"/>
          </w:tcPr>
          <w:p w:rsidR="00BD5820" w:rsidRDefault="00F64314">
            <w:pPr>
              <w:pStyle w:val="10"/>
              <w:spacing w:line="240" w:lineRule="auto"/>
              <w:rPr>
                <w:rFonts w:cs="Times New Roman"/>
                <w:b w:val="0"/>
                <w:bCs/>
              </w:rPr>
            </w:pPr>
            <w:r>
              <w:rPr>
                <w:rFonts w:cs="Times New Roman" w:hint="eastAsia"/>
                <w:b w:val="0"/>
                <w:bCs/>
              </w:rPr>
              <w:t>-</w:t>
            </w:r>
            <w:r>
              <w:rPr>
                <w:rFonts w:cs="Times New Roman" w:hint="eastAsia"/>
                <w:b w:val="0"/>
                <w:bCs/>
              </w:rPr>
              <w:t>工业企业退出用地，须经评估、修复满足相应用地功能后，方可改变用途。</w:t>
            </w:r>
          </w:p>
          <w:p w:rsidR="00BD5820" w:rsidRDefault="00F64314">
            <w:pPr>
              <w:pStyle w:val="10"/>
              <w:spacing w:line="240" w:lineRule="auto"/>
              <w:rPr>
                <w:rFonts w:cs="Times New Roman"/>
                <w:b w:val="0"/>
                <w:bCs/>
              </w:rPr>
            </w:pPr>
            <w:r>
              <w:rPr>
                <w:rFonts w:cs="Times New Roman" w:hint="eastAsia"/>
                <w:b w:val="0"/>
                <w:bCs/>
              </w:rPr>
              <w:t>-</w:t>
            </w:r>
            <w:r>
              <w:rPr>
                <w:rFonts w:cs="Times New Roman" w:hint="eastAsia"/>
                <w:b w:val="0"/>
                <w:bCs/>
              </w:rPr>
              <w:t>加强“散乱污”企业环境风险防控。</w:t>
            </w:r>
          </w:p>
          <w:p w:rsidR="00BD5820" w:rsidRDefault="00F64314">
            <w:pPr>
              <w:pStyle w:val="10"/>
              <w:spacing w:line="240" w:lineRule="auto"/>
              <w:rPr>
                <w:rFonts w:cs="Times New Roman"/>
                <w:b w:val="0"/>
                <w:bCs/>
                <w:szCs w:val="21"/>
              </w:rPr>
            </w:pPr>
            <w:r>
              <w:rPr>
                <w:rFonts w:cs="Times New Roman" w:hint="eastAsia"/>
                <w:b w:val="0"/>
                <w:bCs/>
              </w:rPr>
              <w:t>-</w:t>
            </w:r>
            <w:r>
              <w:rPr>
                <w:rFonts w:cs="Times New Roman" w:hint="eastAsia"/>
                <w:b w:val="0"/>
                <w:bCs/>
              </w:rPr>
              <w:t>对拟收回土地使用权的有色金属矿采选、有色金属冶炼、石油加工、化工、焦化、电镀、制革、天然（页岩）气开采、铅蓄电池、汽车制造、农药、危废处置、电子拆解等行业企业用地，以及用途拟变更为居住和商业、学校、医疗、养老机构等公共设施的上述企业用地，以及由重度污染农用地转为的城镇建设用地，开展土壤</w:t>
            </w:r>
            <w:r>
              <w:rPr>
                <w:rFonts w:cs="Times New Roman" w:hint="eastAsia"/>
                <w:b w:val="0"/>
                <w:bCs/>
                <w:szCs w:val="21"/>
              </w:rPr>
              <w:t>环境状况调查评估。</w:t>
            </w:r>
          </w:p>
          <w:p w:rsidR="00BD5820" w:rsidRDefault="00F64314">
            <w:pPr>
              <w:spacing w:line="240" w:lineRule="auto"/>
              <w:ind w:firstLine="420"/>
              <w:rPr>
                <w:sz w:val="21"/>
                <w:szCs w:val="21"/>
              </w:rPr>
            </w:pPr>
            <w:r>
              <w:rPr>
                <w:rFonts w:hint="eastAsia"/>
                <w:sz w:val="21"/>
                <w:szCs w:val="21"/>
              </w:rPr>
              <w:lastRenderedPageBreak/>
              <w:t>-严禁将城镇生活垃圾、污泥、工业废物直接用作肥料，禁止处理不达标的污泥进入耕地；禁止在农用地排放、倾倒、使用污泥、清淤底泥、尾矿（渣）等可能对土壤造成污染的固体废物。</w:t>
            </w:r>
          </w:p>
          <w:p w:rsidR="00BD5820" w:rsidRDefault="00F64314">
            <w:pPr>
              <w:spacing w:line="240" w:lineRule="auto"/>
              <w:ind w:firstLine="420"/>
              <w:rPr>
                <w:sz w:val="21"/>
                <w:szCs w:val="21"/>
              </w:rPr>
            </w:pPr>
            <w:r>
              <w:rPr>
                <w:rFonts w:hint="eastAsia"/>
                <w:sz w:val="21"/>
                <w:szCs w:val="21"/>
              </w:rPr>
              <w:t>-定期对单元内尾矿库进行风险巡查，建立监测系统和环境风险应急预案；完善各尾矿库渗滤液收集、处理、回用系统，杜绝事故排放；尾矿库闭矿后因地制宜进行植被恢复和综合利用。</w:t>
            </w:r>
          </w:p>
          <w:p w:rsidR="00BD5820" w:rsidRDefault="00F64314">
            <w:pPr>
              <w:spacing w:line="240" w:lineRule="auto"/>
              <w:ind w:firstLine="420"/>
              <w:rPr>
                <w:sz w:val="21"/>
                <w:szCs w:val="21"/>
              </w:rPr>
            </w:pPr>
            <w:r>
              <w:rPr>
                <w:rFonts w:hint="eastAsia"/>
                <w:sz w:val="21"/>
                <w:szCs w:val="21"/>
              </w:rPr>
              <w:t>-规范排土场、渣场等整治。</w:t>
            </w:r>
          </w:p>
          <w:p w:rsidR="00BD5820" w:rsidRDefault="00F64314">
            <w:pPr>
              <w:spacing w:line="240" w:lineRule="auto"/>
              <w:ind w:firstLine="420"/>
              <w:rPr>
                <w:rFonts w:ascii="Times New Roman" w:cs="Times New Roman"/>
                <w:sz w:val="21"/>
                <w:szCs w:val="21"/>
              </w:rPr>
            </w:pPr>
            <w:r>
              <w:rPr>
                <w:rFonts w:hint="eastAsia"/>
                <w:sz w:val="21"/>
                <w:szCs w:val="21"/>
              </w:rPr>
              <w:t>-禁止处理不达标的污泥</w:t>
            </w:r>
            <w:r>
              <w:rPr>
                <w:rFonts w:ascii="Times New Roman" w:cs="Times New Roman"/>
                <w:sz w:val="21"/>
                <w:szCs w:val="21"/>
              </w:rPr>
              <w:t>进入耕地。</w:t>
            </w:r>
          </w:p>
          <w:p w:rsidR="00BD5820" w:rsidRDefault="00F64314">
            <w:pPr>
              <w:spacing w:line="240" w:lineRule="auto"/>
              <w:ind w:firstLine="420"/>
              <w:rPr>
                <w:rFonts w:ascii="Times New Roman" w:cs="Times New Roman"/>
                <w:sz w:val="21"/>
                <w:szCs w:val="21"/>
              </w:rPr>
            </w:pPr>
            <w:r>
              <w:rPr>
                <w:rFonts w:ascii="Times New Roman" w:cs="Times New Roman"/>
                <w:sz w:val="21"/>
                <w:szCs w:val="21"/>
              </w:rPr>
              <w:t>-</w:t>
            </w:r>
            <w:r>
              <w:rPr>
                <w:rFonts w:ascii="Times New Roman" w:cs="Times New Roman"/>
                <w:sz w:val="21"/>
                <w:szCs w:val="21"/>
              </w:rPr>
              <w:t>严格控制林地、草地、园地的农药使用量，禁止使用高毒、高残留农药。</w:t>
            </w:r>
          </w:p>
          <w:p w:rsidR="00BD5820" w:rsidRDefault="00F64314">
            <w:pPr>
              <w:spacing w:line="240" w:lineRule="auto"/>
              <w:ind w:firstLine="420"/>
            </w:pPr>
            <w:r>
              <w:rPr>
                <w:rFonts w:ascii="Times New Roman" w:cs="Times New Roman"/>
                <w:sz w:val="21"/>
                <w:szCs w:val="21"/>
              </w:rPr>
              <w:t>-</w:t>
            </w:r>
            <w:r>
              <w:rPr>
                <w:rFonts w:ascii="Times New Roman" w:cs="Times New Roman"/>
                <w:sz w:val="21"/>
                <w:szCs w:val="21"/>
              </w:rPr>
              <w:t>到</w:t>
            </w:r>
            <w:r>
              <w:rPr>
                <w:rFonts w:ascii="Times New Roman" w:cs="Times New Roman"/>
                <w:sz w:val="21"/>
                <w:szCs w:val="21"/>
              </w:rPr>
              <w:t>2030</w:t>
            </w:r>
            <w:r>
              <w:rPr>
                <w:rFonts w:ascii="Times New Roman" w:cs="Times New Roman"/>
                <w:sz w:val="21"/>
                <w:szCs w:val="21"/>
              </w:rPr>
              <w:t>年，全市受污染耕地安全利用率达到</w:t>
            </w:r>
            <w:r>
              <w:rPr>
                <w:rFonts w:ascii="Times New Roman" w:cs="Times New Roman"/>
                <w:sz w:val="21"/>
                <w:szCs w:val="21"/>
              </w:rPr>
              <w:t>95%</w:t>
            </w:r>
            <w:r>
              <w:rPr>
                <w:rFonts w:ascii="Times New Roman" w:cs="Times New Roman"/>
                <w:sz w:val="21"/>
                <w:szCs w:val="21"/>
              </w:rPr>
              <w:t>以上，污染地块安全利用率达到</w:t>
            </w:r>
            <w:r>
              <w:rPr>
                <w:rFonts w:ascii="Times New Roman" w:cs="Times New Roman"/>
                <w:sz w:val="21"/>
                <w:szCs w:val="21"/>
              </w:rPr>
              <w:t>95%</w:t>
            </w:r>
            <w:r>
              <w:rPr>
                <w:rFonts w:ascii="Times New Roman" w:cs="Times New Roman"/>
                <w:sz w:val="21"/>
                <w:szCs w:val="21"/>
              </w:rPr>
              <w:t>以上。</w:t>
            </w:r>
          </w:p>
        </w:tc>
        <w:tc>
          <w:tcPr>
            <w:tcW w:w="1418" w:type="dxa"/>
            <w:vAlign w:val="center"/>
          </w:tcPr>
          <w:p w:rsidR="00BD5820" w:rsidRDefault="00F64314">
            <w:pPr>
              <w:pStyle w:val="10"/>
              <w:spacing w:line="240" w:lineRule="auto"/>
              <w:rPr>
                <w:rFonts w:cs="Times New Roman"/>
                <w:b w:val="0"/>
                <w:bCs/>
              </w:rPr>
            </w:pPr>
            <w:r>
              <w:rPr>
                <w:rFonts w:cs="Times New Roman"/>
                <w:b w:val="0"/>
                <w:bCs/>
              </w:rPr>
              <w:lastRenderedPageBreak/>
              <w:t>项目属于天然气</w:t>
            </w:r>
            <w:r>
              <w:rPr>
                <w:rFonts w:cs="Times New Roman" w:hint="eastAsia"/>
                <w:b w:val="0"/>
                <w:bCs/>
              </w:rPr>
              <w:t>湿气增压</w:t>
            </w:r>
            <w:r>
              <w:rPr>
                <w:rFonts w:cs="Times New Roman"/>
                <w:b w:val="0"/>
                <w:bCs/>
              </w:rPr>
              <w:t>和内部集输工程</w:t>
            </w:r>
            <w:r>
              <w:rPr>
                <w:rFonts w:cs="Times New Roman" w:hint="eastAsia"/>
                <w:b w:val="0"/>
                <w:bCs/>
              </w:rPr>
              <w:t>，不属于“散乱污”企业。</w:t>
            </w:r>
          </w:p>
        </w:tc>
        <w:tc>
          <w:tcPr>
            <w:tcW w:w="722" w:type="dxa"/>
            <w:vAlign w:val="center"/>
          </w:tcPr>
          <w:p w:rsidR="00BD5820" w:rsidRDefault="00F64314">
            <w:pPr>
              <w:pStyle w:val="10"/>
              <w:spacing w:line="240" w:lineRule="auto"/>
              <w:rPr>
                <w:rFonts w:cs="Times New Roman"/>
                <w:b w:val="0"/>
                <w:bCs/>
              </w:rPr>
            </w:pPr>
            <w:r>
              <w:rPr>
                <w:rFonts w:cs="Times New Roman"/>
                <w:b w:val="0"/>
                <w:bCs/>
              </w:rPr>
              <w:t>符合</w:t>
            </w:r>
          </w:p>
        </w:tc>
      </w:tr>
      <w:tr w:rsidR="00BD5820">
        <w:trPr>
          <w:trHeight w:val="3286"/>
          <w:jc w:val="center"/>
        </w:trPr>
        <w:tc>
          <w:tcPr>
            <w:tcW w:w="1966" w:type="dxa"/>
            <w:vMerge/>
            <w:vAlign w:val="center"/>
          </w:tcPr>
          <w:p w:rsidR="00BD5820" w:rsidRDefault="00BD5820">
            <w:pPr>
              <w:pStyle w:val="10"/>
              <w:spacing w:line="240" w:lineRule="auto"/>
              <w:rPr>
                <w:rFonts w:cs="Times New Roman"/>
                <w:b w:val="0"/>
                <w:bCs/>
              </w:rPr>
            </w:pPr>
          </w:p>
        </w:tc>
        <w:tc>
          <w:tcPr>
            <w:tcW w:w="941" w:type="dxa"/>
            <w:vMerge/>
            <w:vAlign w:val="center"/>
          </w:tcPr>
          <w:p w:rsidR="00BD5820" w:rsidRDefault="00BD5820">
            <w:pPr>
              <w:pStyle w:val="10"/>
              <w:spacing w:line="240" w:lineRule="auto"/>
              <w:rPr>
                <w:rFonts w:cs="Times New Roman"/>
                <w:b w:val="0"/>
                <w:bCs/>
              </w:rPr>
            </w:pPr>
          </w:p>
        </w:tc>
        <w:tc>
          <w:tcPr>
            <w:tcW w:w="992" w:type="dxa"/>
            <w:vAlign w:val="center"/>
          </w:tcPr>
          <w:p w:rsidR="00BD5820" w:rsidRDefault="00F64314">
            <w:pPr>
              <w:pStyle w:val="10"/>
              <w:spacing w:line="240" w:lineRule="auto"/>
              <w:rPr>
                <w:rFonts w:cs="Times New Roman"/>
                <w:b w:val="0"/>
                <w:bCs/>
              </w:rPr>
            </w:pPr>
            <w:r>
              <w:rPr>
                <w:rFonts w:cs="Times New Roman"/>
                <w:b w:val="0"/>
                <w:bCs/>
              </w:rPr>
              <w:t>资源开发利用效率</w:t>
            </w:r>
          </w:p>
        </w:tc>
        <w:tc>
          <w:tcPr>
            <w:tcW w:w="2693" w:type="dxa"/>
            <w:vAlign w:val="center"/>
          </w:tcPr>
          <w:p w:rsidR="00BD5820" w:rsidRDefault="00F64314">
            <w:pPr>
              <w:pStyle w:val="10"/>
              <w:spacing w:line="240" w:lineRule="auto"/>
              <w:rPr>
                <w:rFonts w:cs="Times New Roman"/>
                <w:b w:val="0"/>
                <w:bCs/>
                <w:szCs w:val="21"/>
              </w:rPr>
            </w:pPr>
            <w:r>
              <w:rPr>
                <w:rFonts w:cs="Times New Roman"/>
                <w:bCs/>
              </w:rPr>
              <w:t>-</w:t>
            </w:r>
            <w:r>
              <w:rPr>
                <w:rFonts w:cs="Times New Roman"/>
                <w:b w:val="0"/>
                <w:bCs/>
                <w:szCs w:val="21"/>
              </w:rPr>
              <w:t>到</w:t>
            </w:r>
            <w:r>
              <w:rPr>
                <w:rFonts w:cs="Times New Roman"/>
                <w:b w:val="0"/>
                <w:bCs/>
                <w:szCs w:val="21"/>
              </w:rPr>
              <w:t>2025</w:t>
            </w:r>
            <w:r>
              <w:rPr>
                <w:rFonts w:cs="Times New Roman"/>
                <w:b w:val="0"/>
                <w:bCs/>
                <w:szCs w:val="21"/>
              </w:rPr>
              <w:t>年完成流域内大型灌区续建配套和节水改造任务，农田灌溉水有效利用系数提高到</w:t>
            </w:r>
            <w:r>
              <w:rPr>
                <w:rFonts w:cs="Times New Roman"/>
                <w:b w:val="0"/>
                <w:bCs/>
                <w:szCs w:val="21"/>
              </w:rPr>
              <w:t>0.508</w:t>
            </w:r>
            <w:r>
              <w:rPr>
                <w:rFonts w:cs="Times New Roman"/>
                <w:b w:val="0"/>
                <w:bCs/>
                <w:szCs w:val="21"/>
              </w:rPr>
              <w:t>以上。</w:t>
            </w:r>
          </w:p>
          <w:p w:rsidR="00BD5820" w:rsidRDefault="00F64314">
            <w:pPr>
              <w:pStyle w:val="10"/>
              <w:spacing w:line="240" w:lineRule="auto"/>
              <w:rPr>
                <w:rFonts w:cs="Times New Roman"/>
                <w:b w:val="0"/>
                <w:bCs/>
                <w:szCs w:val="21"/>
              </w:rPr>
            </w:pPr>
            <w:r>
              <w:rPr>
                <w:rFonts w:cs="Times New Roman"/>
                <w:b w:val="0"/>
                <w:bCs/>
                <w:szCs w:val="21"/>
              </w:rPr>
              <w:t>-</w:t>
            </w:r>
            <w:r>
              <w:rPr>
                <w:rFonts w:cs="Times New Roman"/>
                <w:b w:val="0"/>
                <w:bCs/>
                <w:szCs w:val="21"/>
              </w:rPr>
              <w:t>达州市</w:t>
            </w:r>
            <w:r>
              <w:rPr>
                <w:rFonts w:cs="Times New Roman"/>
                <w:b w:val="0"/>
                <w:bCs/>
                <w:szCs w:val="21"/>
              </w:rPr>
              <w:t>2025</w:t>
            </w:r>
            <w:r>
              <w:rPr>
                <w:rFonts w:cs="Times New Roman"/>
                <w:b w:val="0"/>
                <w:bCs/>
                <w:szCs w:val="21"/>
              </w:rPr>
              <w:t>年用水控制总量</w:t>
            </w:r>
            <w:r>
              <w:rPr>
                <w:rFonts w:cs="Times New Roman"/>
                <w:b w:val="0"/>
                <w:bCs/>
                <w:szCs w:val="21"/>
              </w:rPr>
              <w:t>14.6</w:t>
            </w:r>
            <w:r>
              <w:rPr>
                <w:rFonts w:cs="Times New Roman"/>
                <w:b w:val="0"/>
                <w:bCs/>
                <w:szCs w:val="21"/>
              </w:rPr>
              <w:t>亿</w:t>
            </w:r>
            <w:r>
              <w:rPr>
                <w:rFonts w:cs="Times New Roman"/>
                <w:b w:val="0"/>
                <w:bCs/>
                <w:szCs w:val="21"/>
              </w:rPr>
              <w:t>m</w:t>
            </w:r>
            <w:r>
              <w:rPr>
                <w:rFonts w:cs="Times New Roman"/>
                <w:b w:val="0"/>
                <w:bCs/>
                <w:szCs w:val="21"/>
                <w:vertAlign w:val="superscript"/>
              </w:rPr>
              <w:t>3</w:t>
            </w:r>
            <w:r>
              <w:rPr>
                <w:rFonts w:cs="Times New Roman"/>
                <w:b w:val="0"/>
                <w:bCs/>
                <w:szCs w:val="21"/>
              </w:rPr>
              <w:t>（其中地下水开采控制量</w:t>
            </w:r>
            <w:r>
              <w:rPr>
                <w:rFonts w:cs="Times New Roman"/>
                <w:b w:val="0"/>
                <w:bCs/>
                <w:szCs w:val="21"/>
              </w:rPr>
              <w:t>1.09m³</w:t>
            </w:r>
            <w:r>
              <w:rPr>
                <w:rFonts w:cs="Times New Roman"/>
                <w:b w:val="0"/>
                <w:bCs/>
                <w:szCs w:val="21"/>
              </w:rPr>
              <w:t>），</w:t>
            </w:r>
            <w:r>
              <w:rPr>
                <w:rFonts w:cs="Times New Roman"/>
                <w:b w:val="0"/>
                <w:bCs/>
                <w:szCs w:val="21"/>
              </w:rPr>
              <w:t>2035</w:t>
            </w:r>
            <w:r>
              <w:rPr>
                <w:rFonts w:cs="Times New Roman"/>
                <w:b w:val="0"/>
                <w:bCs/>
                <w:szCs w:val="21"/>
              </w:rPr>
              <w:t>年用水控制总量为</w:t>
            </w:r>
            <w:r>
              <w:rPr>
                <w:rFonts w:cs="Times New Roman"/>
                <w:b w:val="0"/>
                <w:bCs/>
                <w:szCs w:val="21"/>
              </w:rPr>
              <w:t>15.0</w:t>
            </w:r>
            <w:r>
              <w:rPr>
                <w:rFonts w:cs="Times New Roman"/>
                <w:b w:val="0"/>
                <w:bCs/>
                <w:szCs w:val="21"/>
              </w:rPr>
              <w:t>亿</w:t>
            </w:r>
            <w:r>
              <w:rPr>
                <w:rFonts w:cs="Times New Roman"/>
                <w:b w:val="0"/>
                <w:bCs/>
                <w:szCs w:val="21"/>
              </w:rPr>
              <w:t>m</w:t>
            </w:r>
            <w:r>
              <w:rPr>
                <w:rFonts w:cs="Times New Roman"/>
                <w:b w:val="0"/>
                <w:bCs/>
                <w:szCs w:val="21"/>
                <w:vertAlign w:val="superscript"/>
              </w:rPr>
              <w:t>3</w:t>
            </w:r>
            <w:r>
              <w:rPr>
                <w:rFonts w:cs="Times New Roman"/>
                <w:b w:val="0"/>
                <w:bCs/>
                <w:szCs w:val="21"/>
              </w:rPr>
              <w:t>（其中地下水开采控制量</w:t>
            </w:r>
            <w:r>
              <w:rPr>
                <w:rFonts w:cs="Times New Roman"/>
                <w:b w:val="0"/>
                <w:bCs/>
                <w:szCs w:val="21"/>
              </w:rPr>
              <w:t>1.09m³</w:t>
            </w:r>
            <w:r>
              <w:rPr>
                <w:rFonts w:cs="Times New Roman"/>
                <w:b w:val="0"/>
                <w:bCs/>
                <w:szCs w:val="21"/>
              </w:rPr>
              <w:t>）。</w:t>
            </w:r>
          </w:p>
          <w:p w:rsidR="00BD5820" w:rsidRDefault="00F64314">
            <w:pPr>
              <w:spacing w:line="240" w:lineRule="auto"/>
              <w:ind w:firstLine="420"/>
              <w:rPr>
                <w:rFonts w:ascii="Times New Roman" w:cs="Times New Roman"/>
                <w:sz w:val="21"/>
                <w:szCs w:val="21"/>
              </w:rPr>
            </w:pPr>
            <w:r>
              <w:rPr>
                <w:rFonts w:ascii="Times New Roman" w:cs="Times New Roman"/>
                <w:sz w:val="21"/>
                <w:szCs w:val="21"/>
              </w:rPr>
              <w:t>-</w:t>
            </w:r>
            <w:r>
              <w:rPr>
                <w:rFonts w:ascii="Times New Roman" w:cs="Times New Roman"/>
                <w:sz w:val="21"/>
                <w:szCs w:val="21"/>
              </w:rPr>
              <w:t>推进清洁能源的推广使用，全面推进散煤清洁化整治；禁止新建每小时</w:t>
            </w:r>
            <w:r>
              <w:rPr>
                <w:rFonts w:ascii="Times New Roman" w:cs="Times New Roman"/>
                <w:sz w:val="21"/>
                <w:szCs w:val="21"/>
              </w:rPr>
              <w:t>10</w:t>
            </w:r>
            <w:r>
              <w:rPr>
                <w:rFonts w:ascii="Times New Roman" w:cs="Times New Roman"/>
                <w:sz w:val="21"/>
                <w:szCs w:val="21"/>
              </w:rPr>
              <w:t>蒸吨以下的燃煤锅炉及其他燃煤设施。</w:t>
            </w:r>
          </w:p>
          <w:p w:rsidR="00BD5820" w:rsidRDefault="00F64314">
            <w:pPr>
              <w:spacing w:line="240" w:lineRule="auto"/>
              <w:ind w:firstLine="420"/>
            </w:pPr>
            <w:r>
              <w:rPr>
                <w:rFonts w:ascii="Times New Roman" w:cs="Times New Roman"/>
                <w:sz w:val="21"/>
                <w:szCs w:val="21"/>
              </w:rPr>
              <w:t>-</w:t>
            </w:r>
            <w:r>
              <w:rPr>
                <w:rFonts w:ascii="Times New Roman" w:cs="Times New Roman"/>
                <w:sz w:val="21"/>
                <w:szCs w:val="21"/>
              </w:rPr>
              <w:t>禁止焚烧秸秆和垃</w:t>
            </w:r>
            <w:r>
              <w:rPr>
                <w:rFonts w:ascii="Times New Roman" w:cs="Times New Roman"/>
                <w:sz w:val="21"/>
                <w:szCs w:val="21"/>
              </w:rPr>
              <w:lastRenderedPageBreak/>
              <w:t>圾，到</w:t>
            </w:r>
            <w:r>
              <w:rPr>
                <w:rFonts w:ascii="Times New Roman" w:cs="Times New Roman"/>
                <w:sz w:val="21"/>
                <w:szCs w:val="21"/>
              </w:rPr>
              <w:t>2025</w:t>
            </w:r>
            <w:r>
              <w:rPr>
                <w:rFonts w:ascii="Times New Roman" w:cs="Times New Roman"/>
                <w:sz w:val="21"/>
                <w:szCs w:val="21"/>
              </w:rPr>
              <w:t>年底，秸秆综合利用率达到</w:t>
            </w:r>
            <w:r>
              <w:rPr>
                <w:rFonts w:ascii="Times New Roman" w:cs="Times New Roman"/>
                <w:sz w:val="21"/>
                <w:szCs w:val="21"/>
              </w:rPr>
              <w:t>90%</w:t>
            </w:r>
            <w:r>
              <w:rPr>
                <w:rFonts w:ascii="Times New Roman" w:cs="Times New Roman"/>
                <w:sz w:val="21"/>
                <w:szCs w:val="21"/>
              </w:rPr>
              <w:t>以上。</w:t>
            </w:r>
          </w:p>
        </w:tc>
        <w:tc>
          <w:tcPr>
            <w:tcW w:w="1418" w:type="dxa"/>
            <w:vAlign w:val="center"/>
          </w:tcPr>
          <w:p w:rsidR="00BD5820" w:rsidRDefault="00F64314">
            <w:pPr>
              <w:pStyle w:val="10"/>
              <w:spacing w:line="240" w:lineRule="auto"/>
              <w:rPr>
                <w:rFonts w:cs="Times New Roman"/>
                <w:b w:val="0"/>
                <w:bCs/>
              </w:rPr>
            </w:pPr>
            <w:r>
              <w:rPr>
                <w:rFonts w:cs="Times New Roman"/>
                <w:b w:val="0"/>
                <w:bCs/>
              </w:rPr>
              <w:lastRenderedPageBreak/>
              <w:t>项目</w:t>
            </w:r>
            <w:r>
              <w:rPr>
                <w:rFonts w:cs="Times New Roman" w:hint="eastAsia"/>
                <w:b w:val="0"/>
                <w:bCs/>
              </w:rPr>
              <w:t>使用天然气，为清洁能源。</w:t>
            </w:r>
          </w:p>
        </w:tc>
        <w:tc>
          <w:tcPr>
            <w:tcW w:w="722" w:type="dxa"/>
            <w:vAlign w:val="center"/>
          </w:tcPr>
          <w:p w:rsidR="00BD5820" w:rsidRDefault="00F64314">
            <w:pPr>
              <w:pStyle w:val="10"/>
              <w:spacing w:line="240" w:lineRule="auto"/>
              <w:rPr>
                <w:rFonts w:cs="Times New Roman"/>
                <w:b w:val="0"/>
                <w:bCs/>
              </w:rPr>
            </w:pPr>
            <w:r>
              <w:rPr>
                <w:rFonts w:cs="Times New Roman"/>
                <w:b w:val="0"/>
                <w:bCs/>
              </w:rPr>
              <w:t>符合</w:t>
            </w:r>
          </w:p>
        </w:tc>
      </w:tr>
      <w:tr w:rsidR="00BD5820">
        <w:trPr>
          <w:trHeight w:val="1460"/>
          <w:jc w:val="center"/>
        </w:trPr>
        <w:tc>
          <w:tcPr>
            <w:tcW w:w="1966" w:type="dxa"/>
            <w:vMerge/>
            <w:vAlign w:val="center"/>
          </w:tcPr>
          <w:p w:rsidR="00BD5820" w:rsidRDefault="00BD5820">
            <w:pPr>
              <w:pStyle w:val="10"/>
              <w:spacing w:line="240" w:lineRule="auto"/>
              <w:rPr>
                <w:rFonts w:cs="Times New Roman"/>
                <w:b w:val="0"/>
                <w:bCs/>
              </w:rPr>
            </w:pPr>
          </w:p>
        </w:tc>
        <w:tc>
          <w:tcPr>
            <w:tcW w:w="941" w:type="dxa"/>
            <w:vMerge w:val="restart"/>
            <w:vAlign w:val="center"/>
          </w:tcPr>
          <w:p w:rsidR="00BD5820" w:rsidRDefault="00F64314">
            <w:pPr>
              <w:pStyle w:val="10"/>
              <w:spacing w:line="240" w:lineRule="auto"/>
              <w:rPr>
                <w:rFonts w:cs="Times New Roman"/>
                <w:b w:val="0"/>
                <w:bCs/>
              </w:rPr>
            </w:pPr>
            <w:r>
              <w:rPr>
                <w:rFonts w:cs="Times New Roman" w:hint="eastAsia"/>
                <w:b w:val="0"/>
                <w:bCs/>
              </w:rPr>
              <w:t>单元级清单管控要求</w:t>
            </w:r>
          </w:p>
        </w:tc>
        <w:tc>
          <w:tcPr>
            <w:tcW w:w="992" w:type="dxa"/>
            <w:vAlign w:val="center"/>
          </w:tcPr>
          <w:p w:rsidR="00BD5820" w:rsidRDefault="00F64314">
            <w:pPr>
              <w:pStyle w:val="10"/>
              <w:spacing w:line="240" w:lineRule="auto"/>
              <w:rPr>
                <w:rFonts w:cs="Times New Roman"/>
                <w:b w:val="0"/>
                <w:bCs/>
              </w:rPr>
            </w:pPr>
            <w:r>
              <w:rPr>
                <w:rFonts w:cs="Times New Roman"/>
                <w:b w:val="0"/>
                <w:bCs/>
              </w:rPr>
              <w:t>空间布局约束</w:t>
            </w:r>
          </w:p>
        </w:tc>
        <w:tc>
          <w:tcPr>
            <w:tcW w:w="2693" w:type="dxa"/>
            <w:vAlign w:val="center"/>
          </w:tcPr>
          <w:p w:rsidR="00BD5820" w:rsidRDefault="00F64314">
            <w:pPr>
              <w:pStyle w:val="10"/>
              <w:spacing w:line="240" w:lineRule="auto"/>
              <w:rPr>
                <w:rFonts w:cs="Times New Roman"/>
                <w:b w:val="0"/>
                <w:bCs/>
              </w:rPr>
            </w:pPr>
            <w:r>
              <w:rPr>
                <w:rFonts w:cs="Times New Roman"/>
                <w:b w:val="0"/>
                <w:bCs/>
              </w:rPr>
              <w:t>限制开发建设活动的要求：</w:t>
            </w:r>
          </w:p>
          <w:p w:rsidR="00BD5820" w:rsidRDefault="00F64314">
            <w:pPr>
              <w:pStyle w:val="10"/>
              <w:spacing w:line="240" w:lineRule="auto"/>
              <w:rPr>
                <w:rFonts w:cs="Times New Roman"/>
                <w:b w:val="0"/>
                <w:bCs/>
              </w:rPr>
            </w:pPr>
            <w:r>
              <w:rPr>
                <w:rFonts w:cs="Times New Roman"/>
                <w:b w:val="0"/>
                <w:bCs/>
              </w:rPr>
              <w:t>-</w:t>
            </w:r>
            <w:r>
              <w:rPr>
                <w:rFonts w:cs="Times New Roman"/>
                <w:b w:val="0"/>
                <w:bCs/>
              </w:rPr>
              <w:t>对四川省主体功能区划中的农产品主产区，应限制进行大规模高强度工业化城镇化开发，严格控制有色金属冶炼、石油加工、化工、焦化、电镀、制革等产能，原则上不增加产能。</w:t>
            </w:r>
          </w:p>
          <w:p w:rsidR="00BD5820" w:rsidRDefault="00F64314">
            <w:pPr>
              <w:pStyle w:val="10"/>
              <w:spacing w:line="240" w:lineRule="auto"/>
              <w:rPr>
                <w:rFonts w:cs="Times New Roman"/>
                <w:b w:val="0"/>
                <w:bCs/>
              </w:rPr>
            </w:pPr>
            <w:r>
              <w:rPr>
                <w:rFonts w:cs="Times New Roman" w:hint="eastAsia"/>
                <w:b w:val="0"/>
                <w:bCs/>
              </w:rPr>
              <w:t>位于城镇空间外的工业园区外工业企业：具有合法手续的企业，且污染物排放及环境风险满足管理要求的企业，可继续保留，要求污染物排放只降不增，并进一步加强日常环保监管；严控新（扩）建水泥厂、危废焚烧、陶瓷厂等以大气污染为主的企业；不具备合法手续，或污染物排放超标、环境风险不可控的企业，限期进行整改提升，通过环保、安全、工艺装备升级等落实整改措施并达到相关标准实现合法生产，整改后仍不能达到要求的，属地政府应按相关要求责令关停并退出。</w:t>
            </w:r>
          </w:p>
          <w:p w:rsidR="00BD5820" w:rsidRDefault="00F64314">
            <w:pPr>
              <w:pStyle w:val="10"/>
              <w:spacing w:line="240" w:lineRule="auto"/>
              <w:rPr>
                <w:rFonts w:cs="Times New Roman"/>
                <w:bCs/>
              </w:rPr>
            </w:pPr>
            <w:r>
              <w:rPr>
                <w:rFonts w:cs="Times New Roman"/>
                <w:b w:val="0"/>
                <w:bCs/>
              </w:rPr>
              <w:t>-</w:t>
            </w:r>
            <w:r>
              <w:rPr>
                <w:rFonts w:cs="Times New Roman"/>
                <w:b w:val="0"/>
                <w:bCs/>
              </w:rPr>
              <w:t>其他</w:t>
            </w:r>
            <w:r>
              <w:rPr>
                <w:rFonts w:cs="Times New Roman" w:hint="eastAsia"/>
                <w:b w:val="0"/>
                <w:bCs/>
              </w:rPr>
              <w:t>-</w:t>
            </w:r>
            <w:r>
              <w:rPr>
                <w:rFonts w:cs="Times New Roman" w:hint="eastAsia"/>
                <w:b w:val="0"/>
                <w:bCs/>
              </w:rPr>
              <w:t>其他参照达州市一般管控单元总体准入要求。</w:t>
            </w:r>
          </w:p>
        </w:tc>
        <w:tc>
          <w:tcPr>
            <w:tcW w:w="1418" w:type="dxa"/>
            <w:vAlign w:val="center"/>
          </w:tcPr>
          <w:p w:rsidR="00BD5820" w:rsidRDefault="00F64314">
            <w:pPr>
              <w:pStyle w:val="10"/>
              <w:spacing w:line="240" w:lineRule="auto"/>
              <w:rPr>
                <w:rFonts w:cs="Times New Roman"/>
                <w:b w:val="0"/>
                <w:bCs/>
              </w:rPr>
            </w:pPr>
            <w:r>
              <w:rPr>
                <w:rFonts w:cs="Times New Roman"/>
                <w:b w:val="0"/>
                <w:bCs/>
              </w:rPr>
              <w:t>项目属于天然气</w:t>
            </w:r>
            <w:r>
              <w:rPr>
                <w:rFonts w:cs="Times New Roman" w:hint="eastAsia"/>
                <w:b w:val="0"/>
                <w:bCs/>
              </w:rPr>
              <w:t>湿气增压</w:t>
            </w:r>
            <w:r>
              <w:rPr>
                <w:rFonts w:cs="Times New Roman"/>
                <w:b w:val="0"/>
                <w:bCs/>
              </w:rPr>
              <w:t>和内部集输工程</w:t>
            </w:r>
            <w:r>
              <w:rPr>
                <w:rFonts w:cs="Times New Roman" w:hint="eastAsia"/>
                <w:b w:val="0"/>
                <w:bCs/>
              </w:rPr>
              <w:t>，不属于</w:t>
            </w:r>
            <w:r>
              <w:rPr>
                <w:rFonts w:cs="Times New Roman"/>
                <w:b w:val="0"/>
                <w:bCs/>
              </w:rPr>
              <w:t>限制开发建设活动</w:t>
            </w:r>
            <w:r>
              <w:rPr>
                <w:rFonts w:cs="Times New Roman" w:hint="eastAsia"/>
                <w:b w:val="0"/>
                <w:bCs/>
              </w:rPr>
              <w:t>。</w:t>
            </w:r>
          </w:p>
        </w:tc>
        <w:tc>
          <w:tcPr>
            <w:tcW w:w="722" w:type="dxa"/>
            <w:vAlign w:val="center"/>
          </w:tcPr>
          <w:p w:rsidR="00BD5820" w:rsidRDefault="00F64314">
            <w:pPr>
              <w:pStyle w:val="10"/>
              <w:spacing w:line="240" w:lineRule="auto"/>
              <w:rPr>
                <w:rFonts w:cs="Times New Roman"/>
                <w:b w:val="0"/>
                <w:bCs/>
              </w:rPr>
            </w:pPr>
            <w:r>
              <w:rPr>
                <w:rFonts w:cs="Times New Roman"/>
                <w:b w:val="0"/>
                <w:bCs/>
              </w:rPr>
              <w:t>符合</w:t>
            </w:r>
          </w:p>
        </w:tc>
      </w:tr>
      <w:tr w:rsidR="00BD5820">
        <w:trPr>
          <w:trHeight w:val="1864"/>
          <w:jc w:val="center"/>
        </w:trPr>
        <w:tc>
          <w:tcPr>
            <w:tcW w:w="1966" w:type="dxa"/>
            <w:vMerge/>
            <w:vAlign w:val="center"/>
          </w:tcPr>
          <w:p w:rsidR="00BD5820" w:rsidRDefault="00BD5820">
            <w:pPr>
              <w:pStyle w:val="10"/>
              <w:spacing w:line="240" w:lineRule="auto"/>
              <w:rPr>
                <w:rFonts w:cs="Times New Roman"/>
                <w:b w:val="0"/>
                <w:bCs/>
              </w:rPr>
            </w:pPr>
          </w:p>
        </w:tc>
        <w:tc>
          <w:tcPr>
            <w:tcW w:w="941" w:type="dxa"/>
            <w:vMerge/>
            <w:vAlign w:val="center"/>
          </w:tcPr>
          <w:p w:rsidR="00BD5820" w:rsidRDefault="00BD5820">
            <w:pPr>
              <w:pStyle w:val="10"/>
              <w:spacing w:line="240" w:lineRule="auto"/>
              <w:rPr>
                <w:rFonts w:cs="Times New Roman"/>
                <w:b w:val="0"/>
                <w:bCs/>
              </w:rPr>
            </w:pPr>
          </w:p>
        </w:tc>
        <w:tc>
          <w:tcPr>
            <w:tcW w:w="992" w:type="dxa"/>
            <w:vAlign w:val="center"/>
          </w:tcPr>
          <w:p w:rsidR="00BD5820" w:rsidRDefault="00F64314">
            <w:pPr>
              <w:pStyle w:val="10"/>
              <w:spacing w:line="240" w:lineRule="auto"/>
              <w:rPr>
                <w:rFonts w:cs="Times New Roman"/>
                <w:b w:val="0"/>
                <w:bCs/>
              </w:rPr>
            </w:pPr>
            <w:r>
              <w:rPr>
                <w:rFonts w:cs="Times New Roman"/>
                <w:b w:val="0"/>
                <w:bCs/>
              </w:rPr>
              <w:t>污染物排放管控</w:t>
            </w:r>
          </w:p>
        </w:tc>
        <w:tc>
          <w:tcPr>
            <w:tcW w:w="2693" w:type="dxa"/>
            <w:vAlign w:val="center"/>
          </w:tcPr>
          <w:p w:rsidR="00BD5820" w:rsidRDefault="00F64314">
            <w:pPr>
              <w:pStyle w:val="10"/>
              <w:spacing w:line="240" w:lineRule="auto"/>
              <w:rPr>
                <w:rFonts w:cs="Times New Roman"/>
                <w:b w:val="0"/>
                <w:bCs/>
              </w:rPr>
            </w:pPr>
            <w:r>
              <w:rPr>
                <w:rFonts w:cs="Times New Roman"/>
                <w:b w:val="0"/>
                <w:bCs/>
              </w:rPr>
              <w:t>污染物排放绩效水平准入要求：</w:t>
            </w:r>
          </w:p>
          <w:p w:rsidR="00BD5820" w:rsidRDefault="00F64314">
            <w:pPr>
              <w:pStyle w:val="10"/>
              <w:spacing w:line="240" w:lineRule="auto"/>
              <w:rPr>
                <w:rFonts w:cs="Times New Roman"/>
                <w:b w:val="0"/>
                <w:bCs/>
              </w:rPr>
            </w:pPr>
            <w:r>
              <w:rPr>
                <w:rFonts w:cs="Times New Roman"/>
                <w:b w:val="0"/>
                <w:bCs/>
              </w:rPr>
              <w:t>-</w:t>
            </w:r>
            <w:r>
              <w:rPr>
                <w:rFonts w:cs="Times New Roman"/>
                <w:b w:val="0"/>
                <w:bCs/>
              </w:rPr>
              <w:t>大气环境布局敏感和弱扩散重点管控区内，现有大气污染重点企业，限期进行深度治理或关停并转。</w:t>
            </w:r>
          </w:p>
          <w:p w:rsidR="00BD5820" w:rsidRDefault="00F64314">
            <w:pPr>
              <w:pStyle w:val="10"/>
              <w:spacing w:line="240" w:lineRule="auto"/>
              <w:rPr>
                <w:rFonts w:cs="Times New Roman"/>
                <w:bCs/>
              </w:rPr>
            </w:pPr>
            <w:r>
              <w:rPr>
                <w:rFonts w:cs="Times New Roman" w:hint="eastAsia"/>
                <w:b w:val="0"/>
                <w:bCs/>
              </w:rPr>
              <w:t>-</w:t>
            </w:r>
            <w:r>
              <w:rPr>
                <w:rFonts w:cs="Times New Roman" w:hint="eastAsia"/>
                <w:b w:val="0"/>
                <w:bCs/>
              </w:rPr>
              <w:t>其他参照达州市一般管控单元总体准入要求</w:t>
            </w:r>
            <w:r>
              <w:rPr>
                <w:rFonts w:cs="Times New Roman"/>
                <w:b w:val="0"/>
                <w:bCs/>
              </w:rPr>
              <w:t>。</w:t>
            </w:r>
          </w:p>
        </w:tc>
        <w:tc>
          <w:tcPr>
            <w:tcW w:w="1418" w:type="dxa"/>
            <w:vAlign w:val="center"/>
          </w:tcPr>
          <w:p w:rsidR="00BD5820" w:rsidRDefault="00F64314">
            <w:pPr>
              <w:pStyle w:val="10"/>
              <w:spacing w:line="240" w:lineRule="auto"/>
              <w:rPr>
                <w:rFonts w:cs="Times New Roman"/>
                <w:b w:val="0"/>
                <w:bCs/>
              </w:rPr>
            </w:pPr>
            <w:r>
              <w:rPr>
                <w:rFonts w:cs="Times New Roman"/>
                <w:b w:val="0"/>
                <w:bCs/>
              </w:rPr>
              <w:t>项目属于天然气</w:t>
            </w:r>
            <w:r>
              <w:rPr>
                <w:rFonts w:cs="Times New Roman" w:hint="eastAsia"/>
                <w:b w:val="0"/>
                <w:bCs/>
              </w:rPr>
              <w:t>湿气增压</w:t>
            </w:r>
            <w:r>
              <w:rPr>
                <w:rFonts w:cs="Times New Roman"/>
                <w:b w:val="0"/>
                <w:bCs/>
              </w:rPr>
              <w:t>和内部集输工程</w:t>
            </w:r>
            <w:r>
              <w:rPr>
                <w:rFonts w:cs="Times New Roman" w:hint="eastAsia"/>
                <w:b w:val="0"/>
                <w:bCs/>
              </w:rPr>
              <w:t>，不属于</w:t>
            </w:r>
            <w:r>
              <w:rPr>
                <w:rFonts w:cs="Times New Roman"/>
                <w:b w:val="0"/>
                <w:bCs/>
              </w:rPr>
              <w:t>大气环境布局敏感和弱扩散重点管控区内</w:t>
            </w:r>
            <w:r>
              <w:rPr>
                <w:rFonts w:cs="Times New Roman" w:hint="eastAsia"/>
                <w:b w:val="0"/>
                <w:bCs/>
              </w:rPr>
              <w:t>，</w:t>
            </w:r>
            <w:r>
              <w:rPr>
                <w:rFonts w:cs="Times New Roman"/>
                <w:b w:val="0"/>
                <w:bCs/>
              </w:rPr>
              <w:t>废气污染物能够达标排放</w:t>
            </w:r>
            <w:r>
              <w:rPr>
                <w:rFonts w:cs="Times New Roman" w:hint="eastAsia"/>
                <w:b w:val="0"/>
                <w:bCs/>
              </w:rPr>
              <w:t>。</w:t>
            </w:r>
          </w:p>
        </w:tc>
        <w:tc>
          <w:tcPr>
            <w:tcW w:w="722" w:type="dxa"/>
            <w:vAlign w:val="center"/>
          </w:tcPr>
          <w:p w:rsidR="00BD5820" w:rsidRDefault="00F64314">
            <w:pPr>
              <w:pStyle w:val="10"/>
              <w:spacing w:line="240" w:lineRule="auto"/>
              <w:rPr>
                <w:rFonts w:cs="Times New Roman"/>
                <w:b w:val="0"/>
                <w:bCs/>
              </w:rPr>
            </w:pPr>
            <w:r>
              <w:rPr>
                <w:rFonts w:cs="Times New Roman"/>
                <w:b w:val="0"/>
                <w:bCs/>
              </w:rPr>
              <w:t>符合</w:t>
            </w:r>
          </w:p>
        </w:tc>
      </w:tr>
      <w:tr w:rsidR="00BD5820">
        <w:trPr>
          <w:trHeight w:val="576"/>
          <w:jc w:val="center"/>
        </w:trPr>
        <w:tc>
          <w:tcPr>
            <w:tcW w:w="1966" w:type="dxa"/>
            <w:vMerge/>
            <w:vAlign w:val="center"/>
          </w:tcPr>
          <w:p w:rsidR="00BD5820" w:rsidRDefault="00BD5820">
            <w:pPr>
              <w:pStyle w:val="10"/>
              <w:spacing w:line="240" w:lineRule="auto"/>
              <w:rPr>
                <w:rFonts w:cs="Times New Roman"/>
                <w:b w:val="0"/>
                <w:bCs/>
              </w:rPr>
            </w:pPr>
          </w:p>
        </w:tc>
        <w:tc>
          <w:tcPr>
            <w:tcW w:w="941" w:type="dxa"/>
            <w:vMerge/>
            <w:vAlign w:val="center"/>
          </w:tcPr>
          <w:p w:rsidR="00BD5820" w:rsidRDefault="00BD5820">
            <w:pPr>
              <w:pStyle w:val="10"/>
              <w:spacing w:line="240" w:lineRule="auto"/>
              <w:rPr>
                <w:rFonts w:cs="Times New Roman"/>
                <w:b w:val="0"/>
                <w:bCs/>
              </w:rPr>
            </w:pPr>
          </w:p>
        </w:tc>
        <w:tc>
          <w:tcPr>
            <w:tcW w:w="992" w:type="dxa"/>
            <w:vAlign w:val="center"/>
          </w:tcPr>
          <w:p w:rsidR="00BD5820" w:rsidRDefault="00F64314">
            <w:pPr>
              <w:pStyle w:val="10"/>
              <w:spacing w:line="240" w:lineRule="auto"/>
              <w:rPr>
                <w:rFonts w:cs="Times New Roman"/>
                <w:b w:val="0"/>
                <w:bCs/>
              </w:rPr>
            </w:pPr>
            <w:r>
              <w:rPr>
                <w:rFonts w:cs="Times New Roman"/>
                <w:b w:val="0"/>
                <w:bCs/>
              </w:rPr>
              <w:t>环境风险</w:t>
            </w:r>
            <w:r>
              <w:rPr>
                <w:rFonts w:cs="Times New Roman" w:hint="eastAsia"/>
                <w:b w:val="0"/>
                <w:bCs/>
              </w:rPr>
              <w:t>防控</w:t>
            </w:r>
          </w:p>
        </w:tc>
        <w:tc>
          <w:tcPr>
            <w:tcW w:w="2693" w:type="dxa"/>
            <w:vAlign w:val="center"/>
          </w:tcPr>
          <w:p w:rsidR="00BD5820" w:rsidRDefault="00F64314">
            <w:pPr>
              <w:pStyle w:val="10"/>
              <w:spacing w:line="240" w:lineRule="auto"/>
              <w:rPr>
                <w:rFonts w:cs="Times New Roman"/>
                <w:bCs/>
              </w:rPr>
            </w:pPr>
            <w:r>
              <w:rPr>
                <w:rFonts w:cs="Times New Roman" w:hint="eastAsia"/>
                <w:bCs/>
              </w:rPr>
              <w:t>-</w:t>
            </w:r>
            <w:r>
              <w:rPr>
                <w:rFonts w:cs="Times New Roman" w:hint="eastAsia"/>
                <w:b w:val="0"/>
                <w:bCs/>
              </w:rPr>
              <w:t>其他参照达州市一般管控单元总体准入要求。</w:t>
            </w:r>
          </w:p>
        </w:tc>
        <w:tc>
          <w:tcPr>
            <w:tcW w:w="1418" w:type="dxa"/>
            <w:vAlign w:val="center"/>
          </w:tcPr>
          <w:p w:rsidR="00BD5820" w:rsidRDefault="00F64314">
            <w:pPr>
              <w:pStyle w:val="10"/>
              <w:spacing w:line="240" w:lineRule="auto"/>
              <w:rPr>
                <w:rFonts w:cs="Times New Roman"/>
                <w:b w:val="0"/>
                <w:bCs/>
              </w:rPr>
            </w:pPr>
            <w:r>
              <w:rPr>
                <w:rFonts w:cs="Times New Roman"/>
                <w:b w:val="0"/>
                <w:bCs/>
              </w:rPr>
              <w:t>项目属于天然气</w:t>
            </w:r>
            <w:r>
              <w:rPr>
                <w:rFonts w:cs="Times New Roman" w:hint="eastAsia"/>
                <w:b w:val="0"/>
                <w:bCs/>
              </w:rPr>
              <w:t>湿气增压</w:t>
            </w:r>
            <w:r>
              <w:rPr>
                <w:rFonts w:cs="Times New Roman"/>
                <w:b w:val="0"/>
                <w:bCs/>
              </w:rPr>
              <w:t>和内部集输工程</w:t>
            </w:r>
            <w:r>
              <w:rPr>
                <w:rFonts w:cs="Times New Roman" w:hint="eastAsia"/>
                <w:b w:val="0"/>
                <w:bCs/>
              </w:rPr>
              <w:t>，不属于“散乱污”企业。</w:t>
            </w:r>
          </w:p>
        </w:tc>
        <w:tc>
          <w:tcPr>
            <w:tcW w:w="722" w:type="dxa"/>
            <w:vAlign w:val="center"/>
          </w:tcPr>
          <w:p w:rsidR="00BD5820" w:rsidRDefault="00F64314">
            <w:pPr>
              <w:pStyle w:val="10"/>
              <w:spacing w:line="240" w:lineRule="auto"/>
              <w:rPr>
                <w:rFonts w:cs="Times New Roman"/>
                <w:b w:val="0"/>
                <w:bCs/>
              </w:rPr>
            </w:pPr>
            <w:r>
              <w:rPr>
                <w:rFonts w:cs="Times New Roman"/>
                <w:b w:val="0"/>
                <w:bCs/>
              </w:rPr>
              <w:t>符合</w:t>
            </w:r>
          </w:p>
        </w:tc>
      </w:tr>
      <w:tr w:rsidR="00BD5820">
        <w:trPr>
          <w:trHeight w:val="940"/>
          <w:jc w:val="center"/>
        </w:trPr>
        <w:tc>
          <w:tcPr>
            <w:tcW w:w="1966" w:type="dxa"/>
            <w:vMerge/>
            <w:vAlign w:val="center"/>
          </w:tcPr>
          <w:p w:rsidR="00BD5820" w:rsidRDefault="00BD5820">
            <w:pPr>
              <w:pStyle w:val="10"/>
              <w:spacing w:line="240" w:lineRule="auto"/>
              <w:rPr>
                <w:rFonts w:cs="Times New Roman"/>
                <w:b w:val="0"/>
                <w:bCs/>
              </w:rPr>
            </w:pPr>
          </w:p>
        </w:tc>
        <w:tc>
          <w:tcPr>
            <w:tcW w:w="941" w:type="dxa"/>
            <w:vMerge/>
            <w:vAlign w:val="center"/>
          </w:tcPr>
          <w:p w:rsidR="00BD5820" w:rsidRDefault="00BD5820">
            <w:pPr>
              <w:pStyle w:val="10"/>
              <w:spacing w:line="240" w:lineRule="auto"/>
              <w:rPr>
                <w:rFonts w:cs="Times New Roman"/>
                <w:b w:val="0"/>
                <w:bCs/>
              </w:rPr>
            </w:pPr>
          </w:p>
        </w:tc>
        <w:tc>
          <w:tcPr>
            <w:tcW w:w="992" w:type="dxa"/>
            <w:vAlign w:val="center"/>
          </w:tcPr>
          <w:p w:rsidR="00BD5820" w:rsidRDefault="00F64314">
            <w:pPr>
              <w:pStyle w:val="10"/>
              <w:spacing w:line="240" w:lineRule="auto"/>
              <w:rPr>
                <w:rFonts w:cs="Times New Roman"/>
                <w:b w:val="0"/>
                <w:bCs/>
              </w:rPr>
            </w:pPr>
            <w:r>
              <w:rPr>
                <w:rFonts w:cs="Times New Roman"/>
                <w:b w:val="0"/>
                <w:bCs/>
              </w:rPr>
              <w:t>资源开发利用效率</w:t>
            </w:r>
          </w:p>
        </w:tc>
        <w:tc>
          <w:tcPr>
            <w:tcW w:w="2693" w:type="dxa"/>
            <w:vAlign w:val="center"/>
          </w:tcPr>
          <w:p w:rsidR="00BD5820" w:rsidRDefault="00F64314">
            <w:pPr>
              <w:pStyle w:val="10"/>
              <w:spacing w:line="240" w:lineRule="auto"/>
              <w:rPr>
                <w:rFonts w:cs="Times New Roman"/>
                <w:bCs/>
              </w:rPr>
            </w:pPr>
            <w:r>
              <w:rPr>
                <w:rFonts w:cs="Times New Roman" w:hint="eastAsia"/>
                <w:bCs/>
              </w:rPr>
              <w:t>-</w:t>
            </w:r>
            <w:r>
              <w:rPr>
                <w:rFonts w:cs="Times New Roman" w:hint="eastAsia"/>
                <w:b w:val="0"/>
                <w:bCs/>
              </w:rPr>
              <w:t>其他参照达州市一般管控单元总体准入要求。</w:t>
            </w:r>
          </w:p>
        </w:tc>
        <w:tc>
          <w:tcPr>
            <w:tcW w:w="1418" w:type="dxa"/>
            <w:vAlign w:val="center"/>
          </w:tcPr>
          <w:p w:rsidR="00BD5820" w:rsidRDefault="00F64314">
            <w:pPr>
              <w:pStyle w:val="10"/>
              <w:spacing w:line="240" w:lineRule="auto"/>
              <w:rPr>
                <w:rFonts w:cs="Times New Roman"/>
                <w:b w:val="0"/>
                <w:bCs/>
              </w:rPr>
            </w:pPr>
            <w:r>
              <w:rPr>
                <w:rFonts w:cs="Times New Roman"/>
                <w:b w:val="0"/>
                <w:bCs/>
              </w:rPr>
              <w:t>项目</w:t>
            </w:r>
            <w:r>
              <w:rPr>
                <w:rFonts w:cs="Times New Roman" w:hint="eastAsia"/>
                <w:b w:val="0"/>
                <w:bCs/>
              </w:rPr>
              <w:t>使用天然气，为清洁能源。</w:t>
            </w:r>
          </w:p>
        </w:tc>
        <w:tc>
          <w:tcPr>
            <w:tcW w:w="722" w:type="dxa"/>
            <w:vAlign w:val="center"/>
          </w:tcPr>
          <w:p w:rsidR="00BD5820" w:rsidRDefault="00F64314">
            <w:pPr>
              <w:pStyle w:val="10"/>
              <w:spacing w:line="240" w:lineRule="auto"/>
              <w:rPr>
                <w:rFonts w:cs="Times New Roman"/>
                <w:b w:val="0"/>
                <w:bCs/>
              </w:rPr>
            </w:pPr>
            <w:r>
              <w:rPr>
                <w:rFonts w:cs="Times New Roman"/>
                <w:b w:val="0"/>
                <w:bCs/>
              </w:rPr>
              <w:t>符合</w:t>
            </w:r>
          </w:p>
        </w:tc>
      </w:tr>
    </w:tbl>
    <w:p w:rsidR="00BD5820" w:rsidRDefault="00F64314">
      <w:pPr>
        <w:pStyle w:val="affa"/>
        <w:ind w:firstLine="482"/>
        <w:rPr>
          <w:b/>
          <w:bCs/>
        </w:rPr>
      </w:pPr>
      <w:r>
        <w:rPr>
          <w:b/>
          <w:bCs/>
        </w:rPr>
        <w:t>综上，本项目的建设满足区域</w:t>
      </w:r>
      <w:r>
        <w:rPr>
          <w:b/>
          <w:bCs/>
        </w:rPr>
        <w:t>“</w:t>
      </w:r>
      <w:r>
        <w:rPr>
          <w:b/>
          <w:bCs/>
        </w:rPr>
        <w:t>三线一单</w:t>
      </w:r>
      <w:r>
        <w:rPr>
          <w:b/>
          <w:bCs/>
        </w:rPr>
        <w:t>”</w:t>
      </w:r>
      <w:r>
        <w:rPr>
          <w:b/>
          <w:bCs/>
        </w:rPr>
        <w:t>的环境管理机制要求。</w:t>
      </w:r>
    </w:p>
    <w:p w:rsidR="00BD5820" w:rsidRDefault="00F64314">
      <w:pPr>
        <w:keepNext/>
        <w:keepLines/>
        <w:ind w:firstLineChars="0" w:firstLine="0"/>
        <w:outlineLvl w:val="2"/>
        <w:rPr>
          <w:rFonts w:ascii="Times New Roman" w:cs="Times New Roman"/>
          <w:b/>
          <w:szCs w:val="32"/>
        </w:rPr>
      </w:pPr>
      <w:r>
        <w:rPr>
          <w:rFonts w:ascii="Times New Roman" w:cs="Times New Roman"/>
          <w:b/>
          <w:szCs w:val="32"/>
        </w:rPr>
        <w:t>1.8.1</w:t>
      </w:r>
      <w:r>
        <w:rPr>
          <w:rFonts w:ascii="Times New Roman" w:cs="Times New Roman" w:hint="eastAsia"/>
          <w:b/>
          <w:szCs w:val="32"/>
        </w:rPr>
        <w:t>2</w:t>
      </w:r>
      <w:r>
        <w:rPr>
          <w:rFonts w:ascii="Times New Roman" w:cs="Times New Roman"/>
          <w:b/>
          <w:szCs w:val="32"/>
        </w:rPr>
        <w:t>本项目</w:t>
      </w:r>
      <w:r>
        <w:rPr>
          <w:rFonts w:ascii="Times New Roman" w:cs="Times New Roman" w:hint="eastAsia"/>
          <w:b/>
          <w:szCs w:val="32"/>
        </w:rPr>
        <w:t>与四川省</w:t>
      </w:r>
      <w:r>
        <w:rPr>
          <w:rFonts w:ascii="Times New Roman" w:cs="Times New Roman"/>
          <w:b/>
          <w:bCs/>
          <w:szCs w:val="32"/>
        </w:rPr>
        <w:t>国土空间规划</w:t>
      </w:r>
      <w:r>
        <w:rPr>
          <w:rFonts w:ascii="Times New Roman" w:cs="Times New Roman" w:hint="eastAsia"/>
          <w:b/>
          <w:bCs/>
          <w:szCs w:val="32"/>
        </w:rPr>
        <w:t>“三区三线”划定成果</w:t>
      </w:r>
      <w:r>
        <w:rPr>
          <w:rFonts w:ascii="Times New Roman" w:cs="Times New Roman"/>
          <w:b/>
          <w:szCs w:val="32"/>
        </w:rPr>
        <w:t>符合性分析</w:t>
      </w:r>
    </w:p>
    <w:p w:rsidR="00BD5820" w:rsidRDefault="00F64314">
      <w:pPr>
        <w:ind w:firstLine="480"/>
      </w:pPr>
      <w:r>
        <w:rPr>
          <w:rFonts w:hint="eastAsia"/>
          <w:bCs/>
        </w:rPr>
        <w:t>根据</w:t>
      </w:r>
      <w:r>
        <w:rPr>
          <w:bCs/>
        </w:rPr>
        <w:t>四川省国土空间规划</w:t>
      </w:r>
      <w:r>
        <w:rPr>
          <w:bCs/>
        </w:rPr>
        <w:t>“</w:t>
      </w:r>
      <w:r>
        <w:rPr>
          <w:bCs/>
        </w:rPr>
        <w:t>三区三线</w:t>
      </w:r>
      <w:r>
        <w:rPr>
          <w:bCs/>
        </w:rPr>
        <w:t>”</w:t>
      </w:r>
      <w:r>
        <w:rPr>
          <w:bCs/>
        </w:rPr>
        <w:t>划定成果</w:t>
      </w:r>
      <w:r>
        <w:rPr>
          <w:rFonts w:hint="eastAsia"/>
          <w:bCs/>
        </w:rPr>
        <w:t>，本项目不涉及占用四川省各类重大项目的</w:t>
      </w:r>
      <w:r>
        <w:rPr>
          <w:bCs/>
        </w:rPr>
        <w:t>农业空间、生态空间、城镇空间</w:t>
      </w:r>
      <w:r>
        <w:rPr>
          <w:rFonts w:hint="eastAsia"/>
          <w:bCs/>
        </w:rPr>
        <w:t>三种类型的国土空间</w:t>
      </w:r>
      <w:r w:rsidR="00E25F28">
        <w:rPr>
          <w:rFonts w:hint="eastAsia"/>
          <w:bCs/>
        </w:rPr>
        <w:t>，</w:t>
      </w:r>
      <w:r w:rsidR="00E25F28" w:rsidRPr="00E25F28">
        <w:rPr>
          <w:rFonts w:hint="eastAsia"/>
          <w:bCs/>
          <w:color w:val="FF0000"/>
        </w:rPr>
        <w:t>不在城镇开发边界范围内</w:t>
      </w:r>
      <w:r w:rsidRPr="00E25F28">
        <w:rPr>
          <w:rFonts w:hint="eastAsia"/>
          <w:bCs/>
          <w:color w:val="FF0000"/>
        </w:rPr>
        <w:t>，</w:t>
      </w:r>
      <w:r>
        <w:rPr>
          <w:rFonts w:hint="eastAsia"/>
          <w:bCs/>
        </w:rPr>
        <w:t>亦不涉及占用</w:t>
      </w:r>
      <w:r>
        <w:rPr>
          <w:bCs/>
        </w:rPr>
        <w:t>永久基本农田、生态保护红线和城镇开发边界三条控制线</w:t>
      </w:r>
      <w:r>
        <w:rPr>
          <w:rFonts w:hint="eastAsia"/>
          <w:bCs/>
        </w:rPr>
        <w:t>，</w:t>
      </w:r>
      <w:r>
        <w:rPr>
          <w:bCs/>
        </w:rPr>
        <w:t>项目</w:t>
      </w:r>
      <w:r>
        <w:rPr>
          <w:rFonts w:hint="eastAsia"/>
          <w:bCs/>
        </w:rPr>
        <w:t>符合</w:t>
      </w:r>
      <w:r>
        <w:rPr>
          <w:bCs/>
        </w:rPr>
        <w:t>四川省国土空间规划</w:t>
      </w:r>
      <w:r>
        <w:rPr>
          <w:bCs/>
        </w:rPr>
        <w:t>“</w:t>
      </w:r>
      <w:r>
        <w:rPr>
          <w:bCs/>
        </w:rPr>
        <w:t>三区三线</w:t>
      </w:r>
      <w:r>
        <w:rPr>
          <w:bCs/>
        </w:rPr>
        <w:t>”</w:t>
      </w:r>
      <w:r>
        <w:rPr>
          <w:bCs/>
        </w:rPr>
        <w:t>划定成果</w:t>
      </w:r>
      <w:r>
        <w:rPr>
          <w:rFonts w:hint="eastAsia"/>
          <w:bCs/>
        </w:rPr>
        <w:t>要求</w:t>
      </w:r>
      <w:r>
        <w:rPr>
          <w:rFonts w:hint="eastAsia"/>
        </w:rPr>
        <w:t>。</w:t>
      </w:r>
    </w:p>
    <w:p w:rsidR="00BD5820" w:rsidRDefault="00F64314">
      <w:pPr>
        <w:keepNext/>
        <w:keepLines/>
        <w:ind w:firstLineChars="0" w:firstLine="0"/>
        <w:outlineLvl w:val="2"/>
        <w:rPr>
          <w:rFonts w:ascii="Times New Roman" w:cs="Times New Roman"/>
          <w:b/>
          <w:szCs w:val="32"/>
        </w:rPr>
      </w:pPr>
      <w:r>
        <w:rPr>
          <w:rFonts w:ascii="Times New Roman" w:cs="Times New Roman"/>
          <w:b/>
          <w:szCs w:val="32"/>
        </w:rPr>
        <w:t>1.8.1</w:t>
      </w:r>
      <w:r>
        <w:rPr>
          <w:rFonts w:ascii="Times New Roman" w:cs="Times New Roman" w:hint="eastAsia"/>
          <w:b/>
          <w:szCs w:val="32"/>
        </w:rPr>
        <w:t>3</w:t>
      </w:r>
      <w:r>
        <w:rPr>
          <w:rFonts w:ascii="Times New Roman" w:cs="Times New Roman"/>
          <w:b/>
          <w:szCs w:val="32"/>
        </w:rPr>
        <w:t>本项目</w:t>
      </w:r>
      <w:r>
        <w:rPr>
          <w:rFonts w:ascii="Times New Roman" w:cs="Times New Roman" w:hint="eastAsia"/>
          <w:b/>
          <w:szCs w:val="32"/>
        </w:rPr>
        <w:t>《国家级公益林管理办法》（国家林业局财政部林资发〔</w:t>
      </w:r>
      <w:r>
        <w:rPr>
          <w:rFonts w:ascii="Times New Roman" w:cs="Times New Roman" w:hint="eastAsia"/>
          <w:b/>
          <w:szCs w:val="32"/>
        </w:rPr>
        <w:t>2017</w:t>
      </w:r>
      <w:r>
        <w:rPr>
          <w:rFonts w:ascii="Times New Roman" w:cs="Times New Roman" w:hint="eastAsia"/>
          <w:b/>
          <w:szCs w:val="32"/>
        </w:rPr>
        <w:t>〕</w:t>
      </w:r>
      <w:r>
        <w:rPr>
          <w:rFonts w:ascii="Times New Roman" w:cs="Times New Roman" w:hint="eastAsia"/>
          <w:b/>
          <w:szCs w:val="32"/>
        </w:rPr>
        <w:t>34 </w:t>
      </w:r>
      <w:r>
        <w:rPr>
          <w:rFonts w:ascii="Times New Roman" w:cs="Times New Roman" w:hint="eastAsia"/>
          <w:b/>
          <w:szCs w:val="32"/>
        </w:rPr>
        <w:t>号印发）</w:t>
      </w:r>
      <w:r>
        <w:rPr>
          <w:rFonts w:ascii="Times New Roman" w:cs="Times New Roman"/>
          <w:b/>
          <w:szCs w:val="32"/>
        </w:rPr>
        <w:t>符合性分析</w:t>
      </w:r>
    </w:p>
    <w:p w:rsidR="00BD5820" w:rsidRDefault="00F64314">
      <w:pPr>
        <w:pStyle w:val="affa"/>
        <w:ind w:firstLine="480"/>
        <w:rPr>
          <w:bCs/>
          <w:szCs w:val="24"/>
        </w:rPr>
      </w:pPr>
      <w:r>
        <w:rPr>
          <w:bCs/>
          <w:szCs w:val="24"/>
        </w:rPr>
        <w:t>根据《国家级公益林管理办法》（国家林业局财政部林资发〔</w:t>
      </w:r>
      <w:r>
        <w:rPr>
          <w:bCs/>
          <w:szCs w:val="24"/>
        </w:rPr>
        <w:t>2017</w:t>
      </w:r>
      <w:r>
        <w:rPr>
          <w:bCs/>
          <w:szCs w:val="24"/>
        </w:rPr>
        <w:t>〕</w:t>
      </w:r>
      <w:r>
        <w:rPr>
          <w:bCs/>
          <w:szCs w:val="24"/>
        </w:rPr>
        <w:t xml:space="preserve">34 </w:t>
      </w:r>
      <w:r>
        <w:rPr>
          <w:bCs/>
          <w:szCs w:val="24"/>
        </w:rPr>
        <w:t>号印发）：严格控制勘查、开采矿藏和工程建设使用国家级公益林地。确需使用的，严格按照《建设项目使用林地审核审批管理办法》有关规定办理使用林地手续。涉及林木采伐的，按相关规定依法办理林木采伐手续。</w:t>
      </w:r>
    </w:p>
    <w:p w:rsidR="00BD5820" w:rsidRDefault="00F64314">
      <w:pPr>
        <w:ind w:firstLine="480"/>
        <w:rPr>
          <w:rFonts w:ascii="Times New Roman" w:cs="Times New Roman"/>
          <w:b/>
          <w:bCs/>
        </w:rPr>
      </w:pPr>
      <w:r>
        <w:rPr>
          <w:rFonts w:ascii="Times New Roman" w:cs="Times New Roman" w:hint="eastAsia"/>
          <w:bCs/>
        </w:rPr>
        <w:t>本项目涉及的普光气田</w:t>
      </w:r>
      <w:r>
        <w:rPr>
          <w:rFonts w:ascii="Times New Roman" w:cs="Times New Roman"/>
          <w:bCs/>
        </w:rPr>
        <w:t>1#</w:t>
      </w:r>
      <w:r>
        <w:rPr>
          <w:rFonts w:ascii="Times New Roman" w:cs="Times New Roman" w:hint="eastAsia"/>
          <w:bCs/>
        </w:rPr>
        <w:t>增压站</w:t>
      </w:r>
      <w:r>
        <w:rPr>
          <w:rFonts w:ascii="Times New Roman" w:cs="Times New Roman"/>
          <w:bCs/>
        </w:rPr>
        <w:t>200m</w:t>
      </w:r>
      <w:r>
        <w:rPr>
          <w:rFonts w:ascii="Times New Roman" w:cs="Times New Roman"/>
          <w:bCs/>
        </w:rPr>
        <w:t>范围分布有公益林，但本项目占地不涉及占用公益林，同时施工期通过采取严格措施保护公益林（如：封山育林、人工造林等），符合《国家级公益林管理办法》（国家林业局财政部林资发〔</w:t>
      </w:r>
      <w:r>
        <w:rPr>
          <w:rFonts w:ascii="Times New Roman" w:cs="Times New Roman"/>
          <w:bCs/>
        </w:rPr>
        <w:t>2017</w:t>
      </w:r>
      <w:r>
        <w:rPr>
          <w:rFonts w:ascii="Times New Roman" w:cs="Times New Roman"/>
          <w:bCs/>
        </w:rPr>
        <w:t>〕</w:t>
      </w:r>
      <w:r>
        <w:rPr>
          <w:rFonts w:ascii="Times New Roman" w:cs="Times New Roman"/>
          <w:bCs/>
        </w:rPr>
        <w:lastRenderedPageBreak/>
        <w:t xml:space="preserve">34 </w:t>
      </w:r>
      <w:r>
        <w:rPr>
          <w:rFonts w:ascii="Times New Roman" w:cs="Times New Roman"/>
          <w:bCs/>
        </w:rPr>
        <w:t>号印发）相关要求。</w:t>
      </w:r>
    </w:p>
    <w:p w:rsidR="00BD5820" w:rsidRDefault="00F64314">
      <w:pPr>
        <w:keepNext/>
        <w:keepLines/>
        <w:spacing w:before="120"/>
        <w:ind w:firstLineChars="0" w:firstLine="0"/>
        <w:outlineLvl w:val="1"/>
        <w:rPr>
          <w:rFonts w:ascii="Times New Roman" w:cs="Times New Roman"/>
          <w:b/>
          <w:bCs/>
          <w:sz w:val="28"/>
          <w:szCs w:val="32"/>
        </w:rPr>
      </w:pPr>
      <w:bookmarkStart w:id="92" w:name="_Toc12288389"/>
      <w:bookmarkStart w:id="93" w:name="_Toc19815938"/>
      <w:bookmarkStart w:id="94" w:name="_Toc29703"/>
      <w:r>
        <w:rPr>
          <w:rFonts w:ascii="Times New Roman" w:cs="Times New Roman"/>
          <w:b/>
          <w:bCs/>
          <w:sz w:val="28"/>
          <w:szCs w:val="32"/>
        </w:rPr>
        <w:t xml:space="preserve">1.9 </w:t>
      </w:r>
      <w:r>
        <w:rPr>
          <w:rFonts w:ascii="Times New Roman" w:cs="Times New Roman"/>
          <w:b/>
          <w:bCs/>
          <w:sz w:val="28"/>
          <w:szCs w:val="32"/>
        </w:rPr>
        <w:t>污染控制与环境保护目标</w:t>
      </w:r>
      <w:bookmarkEnd w:id="92"/>
      <w:bookmarkEnd w:id="93"/>
      <w:bookmarkEnd w:id="94"/>
    </w:p>
    <w:p w:rsidR="00BD5820" w:rsidRDefault="00F64314">
      <w:pPr>
        <w:keepNext/>
        <w:keepLines/>
        <w:ind w:firstLineChars="0" w:firstLine="0"/>
        <w:outlineLvl w:val="2"/>
        <w:rPr>
          <w:rFonts w:ascii="Times New Roman" w:cs="Times New Roman"/>
          <w:b/>
          <w:szCs w:val="32"/>
        </w:rPr>
      </w:pPr>
      <w:bookmarkStart w:id="95" w:name="_Toc19815939"/>
      <w:r>
        <w:rPr>
          <w:rFonts w:ascii="Times New Roman" w:cs="Times New Roman"/>
          <w:b/>
          <w:szCs w:val="32"/>
        </w:rPr>
        <w:t xml:space="preserve">1.9.1 </w:t>
      </w:r>
      <w:r>
        <w:rPr>
          <w:rFonts w:ascii="Times New Roman" w:cs="Times New Roman"/>
          <w:b/>
          <w:szCs w:val="32"/>
        </w:rPr>
        <w:t>污染控制目标</w:t>
      </w:r>
      <w:bookmarkEnd w:id="95"/>
    </w:p>
    <w:p w:rsidR="00BD5820" w:rsidRDefault="00F64314">
      <w:pPr>
        <w:pStyle w:val="affa"/>
        <w:ind w:firstLine="480"/>
      </w:pPr>
      <w:r>
        <w:t>1</w:t>
      </w:r>
      <w:r>
        <w:t>、控制场站各种污染物排放量，做到达标排放。</w:t>
      </w:r>
    </w:p>
    <w:p w:rsidR="00BD5820" w:rsidRDefault="00F64314">
      <w:pPr>
        <w:pStyle w:val="affa"/>
        <w:ind w:firstLine="480"/>
      </w:pPr>
      <w:r>
        <w:t>2</w:t>
      </w:r>
      <w:r>
        <w:t>、控制和减轻管沟开挖及施工临时便道建设对地表植被、土壤的破坏及造成的水土流失，特别注意控制对丘陵、山区的生态环境敏感区的影响。</w:t>
      </w:r>
    </w:p>
    <w:p w:rsidR="00BD5820" w:rsidRDefault="00F64314">
      <w:pPr>
        <w:pStyle w:val="affa"/>
        <w:ind w:firstLine="480"/>
      </w:pPr>
      <w:r>
        <w:t>3</w:t>
      </w:r>
      <w:r>
        <w:t>、防止由于施工活动地表水体及地下水环境。</w:t>
      </w:r>
    </w:p>
    <w:p w:rsidR="00BD5820" w:rsidRDefault="00F64314">
      <w:pPr>
        <w:pStyle w:val="affa"/>
        <w:ind w:firstLine="480"/>
      </w:pPr>
      <w:r>
        <w:t>4</w:t>
      </w:r>
      <w:r>
        <w:t>、控制和减轻管沟开挖建设对管道沿线林地及农业生态系统的影响，尽量减少对林木的砍伐，并落实植被及农田恢复的措施工作。</w:t>
      </w:r>
    </w:p>
    <w:p w:rsidR="00BD5820" w:rsidRDefault="00F64314">
      <w:pPr>
        <w:pStyle w:val="affa"/>
        <w:ind w:firstLine="480"/>
      </w:pPr>
      <w:r>
        <w:t>5</w:t>
      </w:r>
      <w:r>
        <w:t>、控制和减轻施工活动对管道沿线及站场周围居民的影响。</w:t>
      </w:r>
    </w:p>
    <w:p w:rsidR="00BD5820" w:rsidRDefault="00F64314">
      <w:pPr>
        <w:keepNext/>
        <w:keepLines/>
        <w:ind w:firstLineChars="0" w:firstLine="0"/>
        <w:outlineLvl w:val="2"/>
        <w:rPr>
          <w:rFonts w:ascii="Times New Roman" w:cs="Times New Roman"/>
          <w:b/>
          <w:szCs w:val="32"/>
        </w:rPr>
      </w:pPr>
      <w:bookmarkStart w:id="96" w:name="_Toc19815940"/>
      <w:r>
        <w:rPr>
          <w:rFonts w:ascii="Times New Roman" w:cs="Times New Roman"/>
          <w:b/>
          <w:szCs w:val="32"/>
        </w:rPr>
        <w:t xml:space="preserve">1.9.2 </w:t>
      </w:r>
      <w:r>
        <w:rPr>
          <w:rFonts w:ascii="Times New Roman" w:cs="Times New Roman"/>
          <w:b/>
          <w:szCs w:val="32"/>
        </w:rPr>
        <w:t>环境保护目标</w:t>
      </w:r>
      <w:bookmarkEnd w:id="96"/>
    </w:p>
    <w:p w:rsidR="00BD5820" w:rsidRDefault="00F64314">
      <w:pPr>
        <w:pStyle w:val="affa"/>
        <w:ind w:firstLine="482"/>
        <w:rPr>
          <w:b/>
          <w:bCs/>
        </w:rPr>
      </w:pPr>
      <w:r>
        <w:rPr>
          <w:b/>
          <w:bCs/>
        </w:rPr>
        <w:t>1</w:t>
      </w:r>
      <w:r>
        <w:rPr>
          <w:b/>
          <w:bCs/>
        </w:rPr>
        <w:t>、大气环境敏感目标</w:t>
      </w:r>
    </w:p>
    <w:p w:rsidR="00BD5820" w:rsidRDefault="00F64314">
      <w:pPr>
        <w:pStyle w:val="affa"/>
        <w:ind w:firstLine="480"/>
      </w:pPr>
      <w:r>
        <w:t>本项目大气环境敏感目标</w:t>
      </w:r>
      <w:r>
        <w:rPr>
          <w:rFonts w:hint="eastAsia"/>
        </w:rPr>
        <w:t>为以本项目</w:t>
      </w:r>
      <w:r>
        <w:rPr>
          <w:rFonts w:hint="eastAsia"/>
          <w:bCs/>
        </w:rPr>
        <w:t>普光气田</w:t>
      </w:r>
      <w:r>
        <w:rPr>
          <w:bCs/>
        </w:rPr>
        <w:t>1#</w:t>
      </w:r>
      <w:r>
        <w:rPr>
          <w:rFonts w:hint="eastAsia"/>
          <w:bCs/>
        </w:rPr>
        <w:t>增压站、</w:t>
      </w:r>
      <w:r>
        <w:rPr>
          <w:rFonts w:hint="eastAsia"/>
          <w:bCs/>
        </w:rPr>
        <w:t>2</w:t>
      </w:r>
      <w:r>
        <w:rPr>
          <w:bCs/>
        </w:rPr>
        <w:t>#</w:t>
      </w:r>
      <w:r>
        <w:rPr>
          <w:rFonts w:hint="eastAsia"/>
          <w:bCs/>
        </w:rPr>
        <w:t>增压站</w:t>
      </w:r>
      <w:r>
        <w:t>为中心，边长</w:t>
      </w:r>
      <w:r>
        <w:t>5km</w:t>
      </w:r>
      <w:r>
        <w:t>矩形区域的人口集中区、社会关注区等。</w:t>
      </w:r>
    </w:p>
    <w:p w:rsidR="00BD5820" w:rsidRDefault="00F64314">
      <w:pPr>
        <w:pStyle w:val="affa"/>
        <w:ind w:firstLine="482"/>
        <w:rPr>
          <w:b/>
          <w:bCs/>
        </w:rPr>
      </w:pPr>
      <w:r>
        <w:rPr>
          <w:b/>
          <w:bCs/>
        </w:rPr>
        <w:t>2</w:t>
      </w:r>
      <w:r>
        <w:rPr>
          <w:b/>
          <w:bCs/>
        </w:rPr>
        <w:t>、地表水环境敏感目标</w:t>
      </w:r>
    </w:p>
    <w:p w:rsidR="00BD5820" w:rsidRDefault="00F64314">
      <w:pPr>
        <w:pStyle w:val="affa"/>
        <w:ind w:firstLine="480"/>
        <w:rPr>
          <w:szCs w:val="24"/>
        </w:rPr>
      </w:pPr>
      <w:r>
        <w:rPr>
          <w:rFonts w:hint="eastAsia"/>
        </w:rPr>
        <w:t>本项目</w:t>
      </w:r>
      <w:r>
        <w:rPr>
          <w:szCs w:val="24"/>
        </w:rPr>
        <w:t>未穿越地表水水源保护区，评价范围内不涉及地表水水源保护区。</w:t>
      </w:r>
    </w:p>
    <w:p w:rsidR="00BD5820" w:rsidRDefault="00F64314">
      <w:pPr>
        <w:pStyle w:val="affa"/>
        <w:ind w:firstLine="480"/>
        <w:rPr>
          <w:szCs w:val="24"/>
        </w:rPr>
      </w:pPr>
      <w:r>
        <w:rPr>
          <w:szCs w:val="24"/>
        </w:rPr>
        <w:t>本项目运营期产生的气田水</w:t>
      </w:r>
      <w:r>
        <w:rPr>
          <w:rFonts w:hint="eastAsia"/>
          <w:szCs w:val="24"/>
        </w:rPr>
        <w:t>分别经普光</w:t>
      </w:r>
      <w:r>
        <w:rPr>
          <w:rFonts w:hint="eastAsia"/>
          <w:szCs w:val="24"/>
        </w:rPr>
        <w:t>3#</w:t>
      </w:r>
      <w:r>
        <w:rPr>
          <w:rFonts w:hint="eastAsia"/>
          <w:szCs w:val="24"/>
        </w:rPr>
        <w:t>水处理站、</w:t>
      </w:r>
      <w:r>
        <w:rPr>
          <w:rFonts w:hint="eastAsia"/>
          <w:szCs w:val="24"/>
        </w:rPr>
        <w:t>1#</w:t>
      </w:r>
      <w:r>
        <w:rPr>
          <w:rFonts w:hint="eastAsia"/>
          <w:szCs w:val="24"/>
        </w:rPr>
        <w:t>污水处理站集中处理，水处理采用新建预处理流程，满足压裂液配制要求，剩余采出水然后进入深度水处理站处理后回用</w:t>
      </w:r>
      <w:r>
        <w:rPr>
          <w:szCs w:val="24"/>
        </w:rPr>
        <w:t>，不外排。</w:t>
      </w:r>
      <w:r w:rsidRPr="00957A41">
        <w:rPr>
          <w:color w:val="FF0000"/>
          <w:szCs w:val="24"/>
        </w:rPr>
        <w:t>项目</w:t>
      </w:r>
      <w:r w:rsidR="00511129">
        <w:rPr>
          <w:color w:val="FF0000"/>
          <w:szCs w:val="24"/>
        </w:rPr>
        <w:t>所在地</w:t>
      </w:r>
      <w:r w:rsidRPr="00957A41">
        <w:rPr>
          <w:color w:val="FF0000"/>
          <w:szCs w:val="24"/>
        </w:rPr>
        <w:t>水体为</w:t>
      </w:r>
      <w:r w:rsidR="00575903" w:rsidRPr="00957A41">
        <w:rPr>
          <w:color w:val="FF0000"/>
          <w:szCs w:val="24"/>
        </w:rPr>
        <w:t>后河</w:t>
      </w:r>
      <w:r w:rsidR="00511129">
        <w:rPr>
          <w:color w:val="FF0000"/>
          <w:szCs w:val="24"/>
        </w:rPr>
        <w:t>和中河</w:t>
      </w:r>
      <w:r w:rsidR="00575903" w:rsidRPr="00957A41">
        <w:rPr>
          <w:rFonts w:hint="eastAsia"/>
          <w:color w:val="FF0000"/>
          <w:szCs w:val="24"/>
        </w:rPr>
        <w:t>，</w:t>
      </w:r>
      <w:r w:rsidR="00511129">
        <w:rPr>
          <w:rFonts w:hint="eastAsia"/>
          <w:color w:val="FF0000"/>
          <w:szCs w:val="24"/>
        </w:rPr>
        <w:t>其中后河</w:t>
      </w:r>
      <w:r w:rsidR="00575903" w:rsidRPr="00957A41">
        <w:rPr>
          <w:color w:val="FF0000"/>
          <w:szCs w:val="24"/>
        </w:rPr>
        <w:t>分别位于</w:t>
      </w:r>
      <w:r w:rsidRPr="00957A41">
        <w:rPr>
          <w:rFonts w:hint="eastAsia"/>
          <w:color w:val="FF0000"/>
          <w:szCs w:val="24"/>
        </w:rPr>
        <w:t>本项目</w:t>
      </w:r>
      <w:r w:rsidRPr="00957A41">
        <w:rPr>
          <w:rFonts w:hint="eastAsia"/>
          <w:bCs/>
          <w:color w:val="FF0000"/>
        </w:rPr>
        <w:t>普光气田</w:t>
      </w:r>
      <w:r w:rsidRPr="00957A41">
        <w:rPr>
          <w:bCs/>
          <w:color w:val="FF0000"/>
        </w:rPr>
        <w:t>1#</w:t>
      </w:r>
      <w:r w:rsidRPr="00957A41">
        <w:rPr>
          <w:rFonts w:hint="eastAsia"/>
          <w:bCs/>
          <w:color w:val="FF0000"/>
        </w:rPr>
        <w:t>增压站</w:t>
      </w:r>
      <w:r w:rsidRPr="00957A41">
        <w:rPr>
          <w:rFonts w:hint="eastAsia"/>
          <w:color w:val="FF0000"/>
          <w:szCs w:val="24"/>
        </w:rPr>
        <w:t>西南</w:t>
      </w:r>
      <w:r w:rsidRPr="00957A41">
        <w:rPr>
          <w:color w:val="FF0000"/>
          <w:szCs w:val="24"/>
        </w:rPr>
        <w:t>侧</w:t>
      </w:r>
      <w:r w:rsidRPr="00957A41">
        <w:rPr>
          <w:rFonts w:hint="eastAsia"/>
          <w:color w:val="FF0000"/>
          <w:szCs w:val="24"/>
        </w:rPr>
        <w:t>1700m</w:t>
      </w:r>
      <w:r w:rsidR="00957A41" w:rsidRPr="00957A41">
        <w:rPr>
          <w:rFonts w:hint="eastAsia"/>
          <w:color w:val="FF0000"/>
          <w:szCs w:val="24"/>
        </w:rPr>
        <w:t>和</w:t>
      </w:r>
      <w:r w:rsidRPr="00957A41">
        <w:rPr>
          <w:rFonts w:hint="eastAsia"/>
          <w:color w:val="FF0000"/>
          <w:szCs w:val="24"/>
        </w:rPr>
        <w:t>本项目</w:t>
      </w:r>
      <w:r w:rsidRPr="00957A41">
        <w:rPr>
          <w:rFonts w:hint="eastAsia"/>
          <w:bCs/>
          <w:color w:val="FF0000"/>
        </w:rPr>
        <w:t>普光气田</w:t>
      </w:r>
      <w:r w:rsidRPr="00957A41">
        <w:rPr>
          <w:rFonts w:hint="eastAsia"/>
          <w:bCs/>
          <w:color w:val="FF0000"/>
        </w:rPr>
        <w:t>2</w:t>
      </w:r>
      <w:r w:rsidRPr="00957A41">
        <w:rPr>
          <w:bCs/>
          <w:color w:val="FF0000"/>
        </w:rPr>
        <w:t>#</w:t>
      </w:r>
      <w:r w:rsidRPr="00957A41">
        <w:rPr>
          <w:rFonts w:hint="eastAsia"/>
          <w:bCs/>
          <w:color w:val="FF0000"/>
        </w:rPr>
        <w:t>增压站</w:t>
      </w:r>
      <w:r w:rsidRPr="00957A41">
        <w:rPr>
          <w:rFonts w:hint="eastAsia"/>
          <w:color w:val="FF0000"/>
          <w:szCs w:val="24"/>
        </w:rPr>
        <w:t>东</w:t>
      </w:r>
      <w:r w:rsidRPr="00957A41">
        <w:rPr>
          <w:color w:val="FF0000"/>
          <w:szCs w:val="24"/>
        </w:rPr>
        <w:t>北侧</w:t>
      </w:r>
      <w:r w:rsidRPr="00957A41">
        <w:rPr>
          <w:rFonts w:hint="eastAsia"/>
          <w:color w:val="FF0000"/>
          <w:szCs w:val="24"/>
        </w:rPr>
        <w:t>1000m</w:t>
      </w:r>
      <w:r w:rsidRPr="00957A41">
        <w:rPr>
          <w:rFonts w:hint="eastAsia"/>
          <w:color w:val="FF0000"/>
          <w:szCs w:val="24"/>
        </w:rPr>
        <w:t>处</w:t>
      </w:r>
      <w:r w:rsidR="00511129">
        <w:rPr>
          <w:rFonts w:hint="eastAsia"/>
          <w:color w:val="FF0000"/>
          <w:szCs w:val="24"/>
        </w:rPr>
        <w:t>，</w:t>
      </w:r>
      <w:r w:rsidR="00511129">
        <w:rPr>
          <w:color w:val="FF0000"/>
          <w:szCs w:val="24"/>
        </w:rPr>
        <w:t>中河分别位于</w:t>
      </w:r>
      <w:r w:rsidR="00511129" w:rsidRPr="00957A41">
        <w:rPr>
          <w:rFonts w:hint="eastAsia"/>
          <w:color w:val="FF0000"/>
          <w:szCs w:val="24"/>
        </w:rPr>
        <w:t>本项目</w:t>
      </w:r>
      <w:r w:rsidR="00511129" w:rsidRPr="00957A41">
        <w:rPr>
          <w:rFonts w:hint="eastAsia"/>
          <w:bCs/>
          <w:color w:val="FF0000"/>
        </w:rPr>
        <w:t>普光气田</w:t>
      </w:r>
      <w:r w:rsidR="00511129" w:rsidRPr="00957A41">
        <w:rPr>
          <w:bCs/>
          <w:color w:val="FF0000"/>
        </w:rPr>
        <w:t>1#</w:t>
      </w:r>
      <w:r w:rsidR="00511129" w:rsidRPr="00957A41">
        <w:rPr>
          <w:rFonts w:hint="eastAsia"/>
          <w:bCs/>
          <w:color w:val="FF0000"/>
        </w:rPr>
        <w:t>增压站</w:t>
      </w:r>
      <w:r w:rsidR="00511129" w:rsidRPr="00957A41">
        <w:rPr>
          <w:rFonts w:hint="eastAsia"/>
          <w:color w:val="FF0000"/>
          <w:szCs w:val="24"/>
        </w:rPr>
        <w:t>西</w:t>
      </w:r>
      <w:r w:rsidR="00511129">
        <w:rPr>
          <w:rFonts w:hint="eastAsia"/>
          <w:color w:val="FF0000"/>
          <w:szCs w:val="24"/>
        </w:rPr>
        <w:t>北</w:t>
      </w:r>
      <w:r w:rsidR="00511129" w:rsidRPr="00957A41">
        <w:rPr>
          <w:color w:val="FF0000"/>
          <w:szCs w:val="24"/>
        </w:rPr>
        <w:t>侧</w:t>
      </w:r>
      <w:r w:rsidR="00511129">
        <w:rPr>
          <w:rFonts w:hint="eastAsia"/>
          <w:color w:val="FF0000"/>
          <w:szCs w:val="24"/>
        </w:rPr>
        <w:t>215</w:t>
      </w:r>
      <w:r w:rsidR="00511129" w:rsidRPr="00957A41">
        <w:rPr>
          <w:rFonts w:hint="eastAsia"/>
          <w:color w:val="FF0000"/>
          <w:szCs w:val="24"/>
        </w:rPr>
        <w:t>0m</w:t>
      </w:r>
      <w:r w:rsidR="00511129">
        <w:rPr>
          <w:rFonts w:hint="eastAsia"/>
          <w:color w:val="FF0000"/>
          <w:szCs w:val="24"/>
        </w:rPr>
        <w:t>和</w:t>
      </w:r>
      <w:r w:rsidR="00511129" w:rsidRPr="00957A41">
        <w:rPr>
          <w:rFonts w:hint="eastAsia"/>
          <w:color w:val="FF0000"/>
          <w:szCs w:val="24"/>
        </w:rPr>
        <w:t>本项目</w:t>
      </w:r>
      <w:r w:rsidR="00511129" w:rsidRPr="00957A41">
        <w:rPr>
          <w:rFonts w:hint="eastAsia"/>
          <w:bCs/>
          <w:color w:val="FF0000"/>
        </w:rPr>
        <w:t>普光气田</w:t>
      </w:r>
      <w:r w:rsidR="00511129" w:rsidRPr="00957A41">
        <w:rPr>
          <w:rFonts w:hint="eastAsia"/>
          <w:bCs/>
          <w:color w:val="FF0000"/>
        </w:rPr>
        <w:t>2</w:t>
      </w:r>
      <w:r w:rsidR="00511129" w:rsidRPr="00957A41">
        <w:rPr>
          <w:bCs/>
          <w:color w:val="FF0000"/>
        </w:rPr>
        <w:t>#</w:t>
      </w:r>
      <w:r w:rsidR="00511129" w:rsidRPr="00957A41">
        <w:rPr>
          <w:rFonts w:hint="eastAsia"/>
          <w:bCs/>
          <w:color w:val="FF0000"/>
        </w:rPr>
        <w:t>增压站</w:t>
      </w:r>
      <w:r w:rsidR="00511129" w:rsidRPr="00957A41">
        <w:rPr>
          <w:rFonts w:hint="eastAsia"/>
          <w:color w:val="FF0000"/>
          <w:szCs w:val="24"/>
        </w:rPr>
        <w:t>东</w:t>
      </w:r>
      <w:r w:rsidR="00511129" w:rsidRPr="00957A41">
        <w:rPr>
          <w:color w:val="FF0000"/>
          <w:szCs w:val="24"/>
        </w:rPr>
        <w:t>北侧</w:t>
      </w:r>
      <w:r w:rsidR="00511129">
        <w:rPr>
          <w:rFonts w:hint="eastAsia"/>
          <w:color w:val="FF0000"/>
          <w:szCs w:val="24"/>
        </w:rPr>
        <w:t>4</w:t>
      </w:r>
      <w:r w:rsidR="00511129" w:rsidRPr="00957A41">
        <w:rPr>
          <w:rFonts w:hint="eastAsia"/>
          <w:color w:val="FF0000"/>
          <w:szCs w:val="24"/>
        </w:rPr>
        <w:t>000m</w:t>
      </w:r>
      <w:r w:rsidR="00511129" w:rsidRPr="00957A41">
        <w:rPr>
          <w:rFonts w:hint="eastAsia"/>
          <w:color w:val="FF0000"/>
          <w:szCs w:val="24"/>
        </w:rPr>
        <w:t>处</w:t>
      </w:r>
      <w:r>
        <w:rPr>
          <w:szCs w:val="24"/>
        </w:rPr>
        <w:t>，为本项目地表水敏感目标。</w:t>
      </w:r>
    </w:p>
    <w:p w:rsidR="00BD5820" w:rsidRDefault="00F64314">
      <w:pPr>
        <w:pStyle w:val="affa"/>
        <w:ind w:firstLine="482"/>
        <w:rPr>
          <w:b/>
          <w:bCs/>
          <w:szCs w:val="24"/>
        </w:rPr>
      </w:pPr>
      <w:r>
        <w:rPr>
          <w:b/>
          <w:bCs/>
          <w:szCs w:val="24"/>
        </w:rPr>
        <w:t>3</w:t>
      </w:r>
      <w:r>
        <w:rPr>
          <w:b/>
          <w:bCs/>
          <w:szCs w:val="24"/>
        </w:rPr>
        <w:t>、地下水环境敏感目标</w:t>
      </w:r>
    </w:p>
    <w:p w:rsidR="00BD5820" w:rsidRDefault="00F64314">
      <w:pPr>
        <w:pStyle w:val="affa"/>
        <w:ind w:firstLine="480"/>
        <w:rPr>
          <w:szCs w:val="24"/>
        </w:rPr>
      </w:pPr>
      <w:r>
        <w:rPr>
          <w:szCs w:val="24"/>
        </w:rPr>
        <w:t>本次评价对评价范围内村庄用水进行了详细调查：</w:t>
      </w:r>
      <w:r>
        <w:rPr>
          <w:rFonts w:hint="eastAsia"/>
          <w:szCs w:val="24"/>
        </w:rPr>
        <w:t>本项目所在地</w:t>
      </w:r>
      <w:r>
        <w:rPr>
          <w:szCs w:val="24"/>
        </w:rPr>
        <w:t>不涉及划定的地下水水源保护区、准保护区，</w:t>
      </w:r>
      <w:r>
        <w:rPr>
          <w:szCs w:val="24"/>
        </w:rPr>
        <w:t xml:space="preserve"> </w:t>
      </w:r>
      <w:r>
        <w:rPr>
          <w:rFonts w:hint="eastAsia"/>
          <w:szCs w:val="24"/>
        </w:rPr>
        <w:t>本项目</w:t>
      </w:r>
      <w:r>
        <w:rPr>
          <w:rFonts w:hint="eastAsia"/>
          <w:bCs/>
          <w:szCs w:val="24"/>
        </w:rPr>
        <w:t>普光气田</w:t>
      </w:r>
      <w:r>
        <w:rPr>
          <w:bCs/>
          <w:szCs w:val="24"/>
        </w:rPr>
        <w:t>1#</w:t>
      </w:r>
      <w:r>
        <w:rPr>
          <w:rFonts w:hint="eastAsia"/>
          <w:bCs/>
          <w:szCs w:val="24"/>
        </w:rPr>
        <w:t>增压站</w:t>
      </w:r>
      <w:r>
        <w:rPr>
          <w:rFonts w:hint="eastAsia"/>
          <w:szCs w:val="24"/>
        </w:rPr>
        <w:t>地下水评价范围内</w:t>
      </w:r>
      <w:r>
        <w:rPr>
          <w:szCs w:val="24"/>
        </w:rPr>
        <w:t>有部分农户水井作为分散式饮用水源</w:t>
      </w:r>
      <w:r>
        <w:rPr>
          <w:rFonts w:hint="eastAsia"/>
          <w:szCs w:val="24"/>
        </w:rPr>
        <w:t>（共计</w:t>
      </w:r>
      <w:r>
        <w:rPr>
          <w:rFonts w:hint="eastAsia"/>
          <w:szCs w:val="24"/>
        </w:rPr>
        <w:t>13</w:t>
      </w:r>
      <w:r>
        <w:rPr>
          <w:rFonts w:hint="eastAsia"/>
          <w:szCs w:val="24"/>
        </w:rPr>
        <w:t>口水井），本项目</w:t>
      </w:r>
      <w:r>
        <w:rPr>
          <w:rFonts w:hint="eastAsia"/>
          <w:bCs/>
          <w:szCs w:val="24"/>
        </w:rPr>
        <w:t>普光气田</w:t>
      </w:r>
      <w:r>
        <w:rPr>
          <w:rFonts w:hint="eastAsia"/>
          <w:bCs/>
          <w:szCs w:val="24"/>
        </w:rPr>
        <w:t>2</w:t>
      </w:r>
      <w:r>
        <w:rPr>
          <w:bCs/>
          <w:szCs w:val="24"/>
        </w:rPr>
        <w:t>#</w:t>
      </w:r>
      <w:r>
        <w:rPr>
          <w:rFonts w:hint="eastAsia"/>
          <w:bCs/>
          <w:szCs w:val="24"/>
        </w:rPr>
        <w:t>增压站</w:t>
      </w:r>
      <w:r>
        <w:rPr>
          <w:rFonts w:hint="eastAsia"/>
          <w:szCs w:val="24"/>
        </w:rPr>
        <w:t>地下水评价范围内</w:t>
      </w:r>
      <w:r>
        <w:rPr>
          <w:szCs w:val="24"/>
        </w:rPr>
        <w:t>有部分农户水井作为分散式饮用水源</w:t>
      </w:r>
      <w:r>
        <w:rPr>
          <w:rFonts w:hint="eastAsia"/>
          <w:szCs w:val="24"/>
        </w:rPr>
        <w:t>（共计</w:t>
      </w:r>
      <w:r>
        <w:rPr>
          <w:rFonts w:hint="eastAsia"/>
          <w:szCs w:val="24"/>
        </w:rPr>
        <w:t>10</w:t>
      </w:r>
      <w:r>
        <w:rPr>
          <w:rFonts w:hint="eastAsia"/>
          <w:szCs w:val="24"/>
        </w:rPr>
        <w:t>口水井）</w:t>
      </w:r>
      <w:r>
        <w:rPr>
          <w:szCs w:val="24"/>
        </w:rPr>
        <w:t>。</w:t>
      </w:r>
    </w:p>
    <w:p w:rsidR="00BD5820" w:rsidRDefault="00F64314">
      <w:pPr>
        <w:pStyle w:val="affa"/>
        <w:ind w:firstLine="482"/>
        <w:rPr>
          <w:b/>
          <w:bCs/>
          <w:szCs w:val="24"/>
        </w:rPr>
      </w:pPr>
      <w:r>
        <w:rPr>
          <w:b/>
          <w:bCs/>
          <w:szCs w:val="24"/>
        </w:rPr>
        <w:t>4</w:t>
      </w:r>
      <w:r>
        <w:rPr>
          <w:b/>
          <w:bCs/>
          <w:szCs w:val="24"/>
        </w:rPr>
        <w:t>、声环境敏感目标</w:t>
      </w:r>
    </w:p>
    <w:p w:rsidR="00BD5820" w:rsidRDefault="00F64314">
      <w:pPr>
        <w:pStyle w:val="affa"/>
        <w:ind w:firstLine="480"/>
        <w:rPr>
          <w:szCs w:val="24"/>
        </w:rPr>
      </w:pPr>
      <w:r>
        <w:rPr>
          <w:szCs w:val="24"/>
        </w:rPr>
        <w:t>经现场踏勘</w:t>
      </w:r>
      <w:r>
        <w:rPr>
          <w:rFonts w:hint="eastAsia"/>
          <w:szCs w:val="24"/>
        </w:rPr>
        <w:t>，本项目站场</w:t>
      </w:r>
      <w:r>
        <w:rPr>
          <w:szCs w:val="24"/>
        </w:rPr>
        <w:t>厂界外</w:t>
      </w:r>
      <w:r>
        <w:rPr>
          <w:szCs w:val="24"/>
        </w:rPr>
        <w:t>200m</w:t>
      </w:r>
      <w:r>
        <w:rPr>
          <w:szCs w:val="24"/>
        </w:rPr>
        <w:t>范围内</w:t>
      </w:r>
      <w:r>
        <w:rPr>
          <w:rFonts w:hint="eastAsia"/>
          <w:szCs w:val="24"/>
        </w:rPr>
        <w:t>不</w:t>
      </w:r>
      <w:r>
        <w:rPr>
          <w:szCs w:val="24"/>
        </w:rPr>
        <w:t>涉及散住居民等声环境敏感</w:t>
      </w:r>
      <w:r>
        <w:rPr>
          <w:szCs w:val="24"/>
        </w:rPr>
        <w:lastRenderedPageBreak/>
        <w:t>目标。</w:t>
      </w:r>
    </w:p>
    <w:p w:rsidR="00BD5820" w:rsidRDefault="00F64314">
      <w:pPr>
        <w:pStyle w:val="affa"/>
        <w:ind w:firstLine="482"/>
        <w:rPr>
          <w:b/>
          <w:bCs/>
          <w:szCs w:val="24"/>
        </w:rPr>
      </w:pPr>
      <w:r>
        <w:rPr>
          <w:b/>
          <w:bCs/>
          <w:szCs w:val="24"/>
        </w:rPr>
        <w:t>5</w:t>
      </w:r>
      <w:r>
        <w:rPr>
          <w:b/>
          <w:bCs/>
          <w:szCs w:val="24"/>
        </w:rPr>
        <w:t>、土壤环境敏感目标</w:t>
      </w:r>
    </w:p>
    <w:p w:rsidR="00BD5820" w:rsidRDefault="00F64314">
      <w:pPr>
        <w:pStyle w:val="affa"/>
        <w:ind w:firstLine="480"/>
        <w:rPr>
          <w:szCs w:val="24"/>
        </w:rPr>
      </w:pPr>
      <w:r>
        <w:rPr>
          <w:szCs w:val="24"/>
        </w:rPr>
        <w:t>项目土壤环境保护目标为项目占地范围内以及占地范围外</w:t>
      </w:r>
      <w:r>
        <w:rPr>
          <w:szCs w:val="24"/>
        </w:rPr>
        <w:t>0.2km</w:t>
      </w:r>
      <w:r>
        <w:rPr>
          <w:szCs w:val="24"/>
        </w:rPr>
        <w:t>内的耕地。</w:t>
      </w:r>
    </w:p>
    <w:p w:rsidR="00BD5820" w:rsidRDefault="00F64314">
      <w:pPr>
        <w:pStyle w:val="affa"/>
        <w:ind w:firstLine="482"/>
        <w:rPr>
          <w:b/>
          <w:bCs/>
          <w:szCs w:val="24"/>
        </w:rPr>
      </w:pPr>
      <w:r>
        <w:rPr>
          <w:b/>
          <w:bCs/>
          <w:szCs w:val="24"/>
        </w:rPr>
        <w:t>6</w:t>
      </w:r>
      <w:r>
        <w:rPr>
          <w:b/>
          <w:bCs/>
          <w:szCs w:val="24"/>
        </w:rPr>
        <w:t>、生态环境敏感目标</w:t>
      </w:r>
    </w:p>
    <w:p w:rsidR="00BD5820" w:rsidRDefault="00F64314">
      <w:pPr>
        <w:pStyle w:val="affa"/>
        <w:ind w:firstLine="480"/>
        <w:rPr>
          <w:szCs w:val="24"/>
        </w:rPr>
      </w:pPr>
      <w:r>
        <w:rPr>
          <w:szCs w:val="24"/>
        </w:rPr>
        <w:t>项目总体不在城镇总体规划城镇建设用地范围内，属于农村区域。</w:t>
      </w:r>
      <w:r>
        <w:rPr>
          <w:rFonts w:hint="eastAsia"/>
          <w:szCs w:val="24"/>
        </w:rPr>
        <w:t>站场</w:t>
      </w:r>
      <w:r>
        <w:rPr>
          <w:szCs w:val="24"/>
        </w:rPr>
        <w:t>周边无珍稀动植物、自然风景区。区域植被覆盖率高，土壤水土保持性能较好，水土流失量小。</w:t>
      </w:r>
    </w:p>
    <w:p w:rsidR="00BD5820" w:rsidRDefault="00F64314">
      <w:pPr>
        <w:pStyle w:val="affa"/>
        <w:ind w:firstLine="480"/>
        <w:rPr>
          <w:szCs w:val="24"/>
        </w:rPr>
      </w:pPr>
      <w:r>
        <w:rPr>
          <w:szCs w:val="24"/>
        </w:rPr>
        <w:t>经现场调查，</w:t>
      </w:r>
      <w:r>
        <w:rPr>
          <w:rFonts w:hint="eastAsia"/>
          <w:szCs w:val="24"/>
        </w:rPr>
        <w:t>站场</w:t>
      </w:r>
      <w:r>
        <w:rPr>
          <w:szCs w:val="24"/>
        </w:rPr>
        <w:t>周边</w:t>
      </w:r>
      <w:r>
        <w:rPr>
          <w:rFonts w:hint="eastAsia"/>
          <w:szCs w:val="24"/>
        </w:rPr>
        <w:t>20</w:t>
      </w:r>
      <w:r>
        <w:rPr>
          <w:szCs w:val="24"/>
        </w:rPr>
        <w:t>00m</w:t>
      </w:r>
      <w:r>
        <w:rPr>
          <w:szCs w:val="24"/>
        </w:rPr>
        <w:t>范围内未发现国家及省级重点保护野生动植物，也未发现有适合重点保护野生动物栖息地、繁殖地、觅食地分布，也不涉及各级自然保护区、森林公园和风景名胜区等生态敏感区</w:t>
      </w:r>
      <w:r>
        <w:rPr>
          <w:rFonts w:hint="eastAsia"/>
          <w:szCs w:val="24"/>
        </w:rPr>
        <w:t>，</w:t>
      </w:r>
      <w:r>
        <w:rPr>
          <w:szCs w:val="24"/>
        </w:rPr>
        <w:t>主要生态保护目标为评价范围内的</w:t>
      </w:r>
      <w:r>
        <w:rPr>
          <w:rFonts w:hint="eastAsia"/>
        </w:rPr>
        <w:t>公益林</w:t>
      </w:r>
      <w:r w:rsidR="000B3353" w:rsidRPr="00770312">
        <w:rPr>
          <w:rFonts w:hint="eastAsia"/>
          <w:color w:val="FF0000"/>
        </w:rPr>
        <w:t>（</w:t>
      </w:r>
      <w:r w:rsidR="00770312" w:rsidRPr="00770312">
        <w:rPr>
          <w:rFonts w:hint="eastAsia"/>
          <w:color w:val="FF0000"/>
        </w:rPr>
        <w:t>普光气田</w:t>
      </w:r>
      <w:r w:rsidR="00770312" w:rsidRPr="00770312">
        <w:rPr>
          <w:rFonts w:hint="eastAsia"/>
          <w:bCs/>
          <w:color w:val="FF0000"/>
        </w:rPr>
        <w:t>1#</w:t>
      </w:r>
      <w:r w:rsidR="00770312" w:rsidRPr="00770312">
        <w:rPr>
          <w:rFonts w:hint="eastAsia"/>
          <w:bCs/>
          <w:color w:val="FF0000"/>
        </w:rPr>
        <w:t>增压站</w:t>
      </w:r>
      <w:r w:rsidR="00770312" w:rsidRPr="00770312">
        <w:rPr>
          <w:rFonts w:hint="eastAsia"/>
          <w:bCs/>
          <w:color w:val="FF0000"/>
        </w:rPr>
        <w:t>200m</w:t>
      </w:r>
      <w:r w:rsidR="00770312" w:rsidRPr="00770312">
        <w:rPr>
          <w:rFonts w:hint="eastAsia"/>
          <w:bCs/>
          <w:color w:val="FF0000"/>
        </w:rPr>
        <w:t>范围分布有公益林，面积约</w:t>
      </w:r>
      <w:r w:rsidR="00770312" w:rsidRPr="00770312">
        <w:rPr>
          <w:rFonts w:hint="eastAsia"/>
          <w:bCs/>
          <w:color w:val="FF0000"/>
        </w:rPr>
        <w:t>12000m</w:t>
      </w:r>
      <w:r w:rsidR="00770312" w:rsidRPr="00770312">
        <w:rPr>
          <w:rFonts w:hint="eastAsia"/>
          <w:bCs/>
          <w:color w:val="FF0000"/>
          <w:vertAlign w:val="superscript"/>
        </w:rPr>
        <w:t>2</w:t>
      </w:r>
      <w:r w:rsidR="000B3353" w:rsidRPr="00770312">
        <w:rPr>
          <w:rFonts w:hint="eastAsia"/>
          <w:color w:val="FF0000"/>
        </w:rPr>
        <w:t>）</w:t>
      </w:r>
      <w:r>
        <w:rPr>
          <w:szCs w:val="24"/>
        </w:rPr>
        <w:t>。</w:t>
      </w:r>
    </w:p>
    <w:p w:rsidR="00BD5820" w:rsidRDefault="00F64314">
      <w:pPr>
        <w:pStyle w:val="affa"/>
        <w:ind w:firstLine="482"/>
        <w:rPr>
          <w:b/>
          <w:bCs/>
          <w:szCs w:val="24"/>
        </w:rPr>
      </w:pPr>
      <w:r>
        <w:rPr>
          <w:b/>
          <w:bCs/>
          <w:szCs w:val="24"/>
        </w:rPr>
        <w:t>7</w:t>
      </w:r>
      <w:r>
        <w:rPr>
          <w:b/>
          <w:bCs/>
          <w:szCs w:val="24"/>
        </w:rPr>
        <w:t>、环境风险敏感目标</w:t>
      </w:r>
    </w:p>
    <w:p w:rsidR="00BD5820" w:rsidRPr="000B3353" w:rsidRDefault="00F64314">
      <w:pPr>
        <w:pStyle w:val="affa"/>
        <w:ind w:firstLine="480"/>
        <w:rPr>
          <w:color w:val="FF0000"/>
        </w:rPr>
      </w:pPr>
      <w:r>
        <w:t>本项目大气环境风险保护目标为站场周边</w:t>
      </w:r>
      <w:r>
        <w:t>5</w:t>
      </w:r>
      <w:r>
        <w:rPr>
          <w:rFonts w:hint="eastAsia"/>
        </w:rPr>
        <w:t>k</w:t>
      </w:r>
      <w:r>
        <w:t>m</w:t>
      </w:r>
      <w:r>
        <w:t>范围内的</w:t>
      </w:r>
      <w:r w:rsidRPr="000B3353">
        <w:rPr>
          <w:color w:val="FF0000"/>
        </w:rPr>
        <w:t>人口集中区</w:t>
      </w:r>
      <w:r w:rsidR="00D82054">
        <w:rPr>
          <w:rFonts w:hint="eastAsia"/>
          <w:color w:val="FF0000"/>
        </w:rPr>
        <w:t>、</w:t>
      </w:r>
      <w:r w:rsidR="00D82054">
        <w:rPr>
          <w:color w:val="FF0000"/>
        </w:rPr>
        <w:t>学校</w:t>
      </w:r>
      <w:r w:rsidRPr="000B3353">
        <w:rPr>
          <w:color w:val="FF0000"/>
        </w:rPr>
        <w:t>等社会关注区。</w:t>
      </w:r>
    </w:p>
    <w:p w:rsidR="00BD5820" w:rsidRDefault="00BD5820">
      <w:pPr>
        <w:pStyle w:val="10"/>
        <w:rPr>
          <w:rFonts w:cs="Times New Roman"/>
        </w:rPr>
        <w:sectPr w:rsidR="00BD5820">
          <w:headerReference w:type="default" r:id="rId23"/>
          <w:footerReference w:type="default" r:id="rId24"/>
          <w:pgSz w:w="11906" w:h="16838"/>
          <w:pgMar w:top="1440" w:right="1800" w:bottom="1440" w:left="1800" w:header="851" w:footer="992" w:gutter="0"/>
          <w:cols w:space="425"/>
          <w:docGrid w:type="lines" w:linePitch="312"/>
        </w:sectPr>
      </w:pPr>
    </w:p>
    <w:p w:rsidR="00BD5820" w:rsidRDefault="00F64314">
      <w:pPr>
        <w:pStyle w:val="10"/>
        <w:ind w:firstLine="480"/>
        <w:rPr>
          <w:rFonts w:cs="Times New Roman"/>
        </w:rPr>
      </w:pPr>
      <w:r>
        <w:rPr>
          <w:rFonts w:cs="Times New Roman"/>
        </w:rPr>
        <w:lastRenderedPageBreak/>
        <w:t>表</w:t>
      </w:r>
      <w:r>
        <w:rPr>
          <w:rFonts w:cs="Times New Roman"/>
          <w:bCs/>
        </w:rPr>
        <w:t>1.9-</w:t>
      </w:r>
      <w:r>
        <w:rPr>
          <w:rFonts w:cs="Times New Roman" w:hint="eastAsia"/>
          <w:bCs/>
        </w:rPr>
        <w:t>1</w:t>
      </w:r>
      <w:r>
        <w:rPr>
          <w:rFonts w:cs="Times New Roman"/>
          <w:bCs/>
        </w:rPr>
        <w:t xml:space="preserve">  </w:t>
      </w:r>
      <w:r>
        <w:rPr>
          <w:rFonts w:cs="Times New Roman" w:hint="eastAsia"/>
          <w:bCs/>
        </w:rPr>
        <w:t>普光气田</w:t>
      </w:r>
      <w:r>
        <w:rPr>
          <w:rFonts w:cs="Times New Roman"/>
          <w:bCs/>
        </w:rPr>
        <w:t>1#</w:t>
      </w:r>
      <w:r>
        <w:rPr>
          <w:rFonts w:cs="Times New Roman" w:hint="eastAsia"/>
          <w:bCs/>
        </w:rPr>
        <w:t>增压站</w:t>
      </w:r>
      <w:r>
        <w:rPr>
          <w:rFonts w:cs="Times New Roman"/>
        </w:rPr>
        <w:t>主要环境敏感目标一览表</w:t>
      </w:r>
    </w:p>
    <w:tbl>
      <w:tblPr>
        <w:tblW w:w="5097" w:type="pct"/>
        <w:jc w:val="center"/>
        <w:tblBorders>
          <w:top w:val="single" w:sz="12" w:space="0" w:color="000000"/>
          <w:bottom w:val="single" w:sz="12" w:space="0" w:color="000000"/>
          <w:insideH w:val="single" w:sz="4" w:space="0" w:color="000000"/>
          <w:insideV w:val="single" w:sz="4" w:space="0" w:color="000000"/>
        </w:tblBorders>
        <w:tblLayout w:type="fixed"/>
        <w:tblLook w:val="04A0"/>
      </w:tblPr>
      <w:tblGrid>
        <w:gridCol w:w="572"/>
        <w:gridCol w:w="1437"/>
        <w:gridCol w:w="2593"/>
        <w:gridCol w:w="1294"/>
        <w:gridCol w:w="1157"/>
        <w:gridCol w:w="1151"/>
        <w:gridCol w:w="1719"/>
        <w:gridCol w:w="3167"/>
        <w:gridCol w:w="717"/>
        <w:gridCol w:w="1376"/>
      </w:tblGrid>
      <w:tr w:rsidR="00BD5820">
        <w:trPr>
          <w:trHeight w:val="34"/>
          <w:jc w:val="center"/>
        </w:trPr>
        <w:tc>
          <w:tcPr>
            <w:tcW w:w="188" w:type="pct"/>
            <w:vMerge w:val="restart"/>
            <w:tcBorders>
              <w:top w:val="single" w:sz="1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b/>
                <w:sz w:val="21"/>
                <w:szCs w:val="21"/>
              </w:rPr>
            </w:pPr>
            <w:r>
              <w:rPr>
                <w:rFonts w:ascii="Times New Roman" w:cs="Times New Roman"/>
                <w:b/>
                <w:sz w:val="21"/>
                <w:szCs w:val="21"/>
              </w:rPr>
              <w:t>序号</w:t>
            </w:r>
          </w:p>
        </w:tc>
        <w:tc>
          <w:tcPr>
            <w:tcW w:w="473" w:type="pct"/>
            <w:vMerge w:val="restart"/>
            <w:tcBorders>
              <w:top w:val="single" w:sz="1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b/>
                <w:sz w:val="21"/>
                <w:szCs w:val="21"/>
              </w:rPr>
            </w:pPr>
            <w:r>
              <w:rPr>
                <w:rFonts w:ascii="Times New Roman" w:cs="Times New Roman"/>
                <w:b/>
                <w:sz w:val="21"/>
                <w:szCs w:val="21"/>
              </w:rPr>
              <w:t>环境要素</w:t>
            </w:r>
          </w:p>
        </w:tc>
        <w:tc>
          <w:tcPr>
            <w:tcW w:w="854" w:type="pct"/>
            <w:vMerge w:val="restart"/>
            <w:tcBorders>
              <w:top w:val="single" w:sz="1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b/>
                <w:sz w:val="21"/>
                <w:szCs w:val="21"/>
              </w:rPr>
            </w:pPr>
            <w:r>
              <w:rPr>
                <w:rFonts w:ascii="Times New Roman" w:cs="Times New Roman"/>
                <w:b/>
                <w:sz w:val="21"/>
                <w:szCs w:val="21"/>
              </w:rPr>
              <w:t>保护目标</w:t>
            </w:r>
          </w:p>
        </w:tc>
        <w:tc>
          <w:tcPr>
            <w:tcW w:w="807" w:type="pct"/>
            <w:gridSpan w:val="2"/>
            <w:tcBorders>
              <w:top w:val="single" w:sz="1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b/>
                <w:sz w:val="21"/>
                <w:szCs w:val="21"/>
              </w:rPr>
            </w:pPr>
            <w:r>
              <w:rPr>
                <w:rFonts w:ascii="Times New Roman" w:cs="Times New Roman"/>
                <w:b/>
                <w:sz w:val="21"/>
                <w:szCs w:val="21"/>
              </w:rPr>
              <w:t>距离最近点坐标</w:t>
            </w:r>
          </w:p>
        </w:tc>
        <w:tc>
          <w:tcPr>
            <w:tcW w:w="379" w:type="pct"/>
            <w:vMerge w:val="restart"/>
            <w:tcBorders>
              <w:top w:val="single" w:sz="1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b/>
                <w:sz w:val="21"/>
                <w:szCs w:val="21"/>
              </w:rPr>
            </w:pPr>
            <w:r>
              <w:rPr>
                <w:rFonts w:ascii="Times New Roman" w:cs="Times New Roman"/>
                <w:b/>
                <w:sz w:val="21"/>
                <w:szCs w:val="21"/>
              </w:rPr>
              <w:t>保护对象</w:t>
            </w:r>
          </w:p>
        </w:tc>
        <w:tc>
          <w:tcPr>
            <w:tcW w:w="566" w:type="pct"/>
            <w:vMerge w:val="restart"/>
            <w:tcBorders>
              <w:top w:val="single" w:sz="1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b/>
                <w:sz w:val="21"/>
                <w:szCs w:val="21"/>
              </w:rPr>
            </w:pPr>
            <w:r>
              <w:rPr>
                <w:rFonts w:ascii="Times New Roman" w:cs="Times New Roman"/>
                <w:b/>
                <w:sz w:val="21"/>
                <w:szCs w:val="21"/>
              </w:rPr>
              <w:t>保护内容</w:t>
            </w:r>
          </w:p>
        </w:tc>
        <w:tc>
          <w:tcPr>
            <w:tcW w:w="1043" w:type="pct"/>
            <w:vMerge w:val="restart"/>
            <w:tcBorders>
              <w:top w:val="single" w:sz="1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b/>
                <w:sz w:val="21"/>
                <w:szCs w:val="21"/>
              </w:rPr>
            </w:pPr>
            <w:r>
              <w:rPr>
                <w:rFonts w:ascii="Times New Roman" w:cs="Times New Roman"/>
                <w:b/>
                <w:sz w:val="21"/>
                <w:szCs w:val="21"/>
              </w:rPr>
              <w:t>环境功能区</w:t>
            </w:r>
          </w:p>
        </w:tc>
        <w:tc>
          <w:tcPr>
            <w:tcW w:w="689" w:type="pct"/>
            <w:gridSpan w:val="2"/>
            <w:tcBorders>
              <w:top w:val="single" w:sz="1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b/>
                <w:sz w:val="21"/>
                <w:szCs w:val="21"/>
              </w:rPr>
            </w:pPr>
            <w:r>
              <w:rPr>
                <w:rFonts w:ascii="Times New Roman" w:cs="Times New Roman"/>
                <w:b/>
                <w:sz w:val="21"/>
                <w:szCs w:val="21"/>
              </w:rPr>
              <w:t>相对</w:t>
            </w:r>
            <w:r>
              <w:rPr>
                <w:rFonts w:ascii="Times New Roman" w:cs="Times New Roman" w:hint="eastAsia"/>
                <w:b/>
                <w:sz w:val="21"/>
                <w:szCs w:val="21"/>
              </w:rPr>
              <w:t>站场</w:t>
            </w:r>
          </w:p>
        </w:tc>
      </w:tr>
      <w:tr w:rsidR="00BD5820">
        <w:trPr>
          <w:trHeight w:val="25"/>
          <w:jc w:val="center"/>
        </w:trPr>
        <w:tc>
          <w:tcPr>
            <w:tcW w:w="188" w:type="pct"/>
            <w:vMerge/>
            <w:tcBorders>
              <w:top w:val="single" w:sz="2" w:space="0" w:color="000000"/>
              <w:left w:val="nil"/>
              <w:bottom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b/>
                <w:sz w:val="21"/>
                <w:szCs w:val="21"/>
              </w:rPr>
            </w:pPr>
          </w:p>
        </w:tc>
        <w:tc>
          <w:tcPr>
            <w:tcW w:w="473" w:type="pct"/>
            <w:vMerge/>
            <w:tcBorders>
              <w:top w:val="single" w:sz="2" w:space="0" w:color="000000"/>
              <w:left w:val="single" w:sz="2" w:space="0" w:color="000000"/>
              <w:bottom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b/>
                <w:sz w:val="21"/>
                <w:szCs w:val="21"/>
              </w:rPr>
            </w:pPr>
          </w:p>
        </w:tc>
        <w:tc>
          <w:tcPr>
            <w:tcW w:w="854" w:type="pct"/>
            <w:vMerge/>
            <w:tcBorders>
              <w:top w:val="single" w:sz="2" w:space="0" w:color="000000"/>
              <w:left w:val="single" w:sz="2" w:space="0" w:color="000000"/>
              <w:bottom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b/>
                <w:sz w:val="21"/>
                <w:szCs w:val="21"/>
              </w:rPr>
            </w:pP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b/>
                <w:sz w:val="21"/>
                <w:szCs w:val="21"/>
              </w:rPr>
            </w:pPr>
            <w:r>
              <w:rPr>
                <w:rFonts w:ascii="Times New Roman" w:cs="Times New Roman"/>
                <w:b/>
                <w:sz w:val="21"/>
                <w:szCs w:val="21"/>
              </w:rPr>
              <w:t>X</w:t>
            </w:r>
            <w:r>
              <w:rPr>
                <w:rFonts w:ascii="Times New Roman" w:cs="Times New Roman" w:hint="eastAsia"/>
                <w:b/>
                <w:sz w:val="21"/>
                <w:szCs w:val="21"/>
              </w:rPr>
              <w:t>（</w:t>
            </w:r>
            <w:r>
              <w:rPr>
                <w:rFonts w:ascii="Times New Roman" w:cs="Times New Roman"/>
                <w:b/>
                <w:sz w:val="21"/>
                <w:szCs w:val="21"/>
              </w:rPr>
              <w:t>m</w:t>
            </w:r>
            <w:r>
              <w:rPr>
                <w:rFonts w:ascii="Times New Roman" w:cs="Times New Roman" w:hint="eastAsia"/>
                <w:b/>
                <w:sz w:val="21"/>
                <w:szCs w:val="21"/>
              </w:rPr>
              <w:t>）</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b/>
                <w:sz w:val="21"/>
                <w:szCs w:val="21"/>
              </w:rPr>
            </w:pPr>
            <w:r>
              <w:rPr>
                <w:rFonts w:ascii="Times New Roman" w:cs="Times New Roman"/>
                <w:b/>
                <w:sz w:val="21"/>
                <w:szCs w:val="21"/>
              </w:rPr>
              <w:t>Y</w:t>
            </w:r>
            <w:r>
              <w:rPr>
                <w:rFonts w:ascii="Times New Roman" w:cs="Times New Roman" w:hint="eastAsia"/>
                <w:b/>
                <w:sz w:val="21"/>
                <w:szCs w:val="21"/>
              </w:rPr>
              <w:t>（</w:t>
            </w:r>
            <w:r>
              <w:rPr>
                <w:rFonts w:ascii="Times New Roman" w:cs="Times New Roman"/>
                <w:b/>
                <w:sz w:val="21"/>
                <w:szCs w:val="21"/>
              </w:rPr>
              <w:t>m</w:t>
            </w:r>
            <w:r>
              <w:rPr>
                <w:rFonts w:ascii="Times New Roman" w:cs="Times New Roman" w:hint="eastAsia"/>
                <w:b/>
                <w:sz w:val="21"/>
                <w:szCs w:val="21"/>
              </w:rPr>
              <w:t>）</w:t>
            </w:r>
          </w:p>
        </w:tc>
        <w:tc>
          <w:tcPr>
            <w:tcW w:w="379" w:type="pct"/>
            <w:vMerge/>
            <w:tcBorders>
              <w:top w:val="single" w:sz="2" w:space="0" w:color="000000"/>
              <w:left w:val="single" w:sz="2" w:space="0" w:color="000000"/>
              <w:bottom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b/>
                <w:sz w:val="21"/>
                <w:szCs w:val="21"/>
              </w:rPr>
            </w:pPr>
          </w:p>
        </w:tc>
        <w:tc>
          <w:tcPr>
            <w:tcW w:w="566" w:type="pct"/>
            <w:vMerge/>
            <w:tcBorders>
              <w:top w:val="single" w:sz="2" w:space="0" w:color="000000"/>
              <w:left w:val="single" w:sz="2" w:space="0" w:color="000000"/>
              <w:bottom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b/>
                <w:sz w:val="21"/>
                <w:szCs w:val="21"/>
              </w:rPr>
            </w:pPr>
          </w:p>
        </w:tc>
        <w:tc>
          <w:tcPr>
            <w:tcW w:w="1043" w:type="pct"/>
            <w:vMerge/>
            <w:tcBorders>
              <w:top w:val="single" w:sz="2" w:space="0" w:color="000000"/>
              <w:left w:val="single" w:sz="2" w:space="0" w:color="000000"/>
              <w:bottom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b/>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b/>
                <w:sz w:val="21"/>
                <w:szCs w:val="21"/>
              </w:rPr>
            </w:pPr>
            <w:r>
              <w:rPr>
                <w:rFonts w:ascii="Times New Roman" w:cs="Times New Roman"/>
                <w:b/>
                <w:sz w:val="21"/>
                <w:szCs w:val="21"/>
              </w:rPr>
              <w:t>方位</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b/>
                <w:sz w:val="21"/>
                <w:szCs w:val="21"/>
              </w:rPr>
            </w:pPr>
            <w:r>
              <w:rPr>
                <w:rFonts w:ascii="Times New Roman" w:cs="Times New Roman"/>
                <w:b/>
                <w:sz w:val="21"/>
                <w:szCs w:val="21"/>
              </w:rPr>
              <w:t>距离（</w:t>
            </w:r>
            <w:r>
              <w:rPr>
                <w:rFonts w:ascii="Times New Roman" w:cs="Times New Roman"/>
                <w:b/>
                <w:sz w:val="21"/>
                <w:szCs w:val="21"/>
              </w:rPr>
              <w:t>m</w:t>
            </w:r>
            <w:r>
              <w:rPr>
                <w:rFonts w:ascii="Times New Roman" w:cs="Times New Roman"/>
                <w:b/>
                <w:sz w:val="21"/>
                <w:szCs w:val="21"/>
              </w:rPr>
              <w:t>）</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1</w:t>
            </w:r>
          </w:p>
        </w:tc>
        <w:tc>
          <w:tcPr>
            <w:tcW w:w="473" w:type="pct"/>
            <w:vMerge w:val="restart"/>
            <w:tcBorders>
              <w:top w:val="single" w:sz="2" w:space="0" w:color="000000"/>
              <w:left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b/>
                <w:sz w:val="21"/>
                <w:szCs w:val="21"/>
              </w:rPr>
            </w:pPr>
            <w:r>
              <w:rPr>
                <w:rFonts w:ascii="Times New Roman" w:cs="Times New Roman"/>
                <w:sz w:val="21"/>
                <w:szCs w:val="21"/>
              </w:rPr>
              <w:t>环境空气</w:t>
            </w:r>
            <w:r>
              <w:rPr>
                <w:rFonts w:ascii="Times New Roman" w:cs="Times New Roman" w:hint="eastAsia"/>
                <w:sz w:val="21"/>
                <w:szCs w:val="21"/>
              </w:rPr>
              <w:t>、</w:t>
            </w:r>
            <w:r>
              <w:rPr>
                <w:rFonts w:ascii="Times New Roman" w:cs="Times New Roman"/>
                <w:sz w:val="21"/>
                <w:szCs w:val="21"/>
              </w:rPr>
              <w:t>环境风险</w:t>
            </w: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Pr="004841B2" w:rsidRDefault="00F64314">
            <w:pPr>
              <w:spacing w:line="240" w:lineRule="auto"/>
              <w:ind w:firstLineChars="0" w:firstLine="0"/>
              <w:jc w:val="center"/>
              <w:rPr>
                <w:rFonts w:ascii="Times New Roman" w:cs="Times New Roman"/>
                <w:color w:val="FF0000"/>
                <w:sz w:val="21"/>
                <w:szCs w:val="21"/>
              </w:rPr>
            </w:pPr>
            <w:r w:rsidRPr="004841B2">
              <w:rPr>
                <w:rFonts w:ascii="Times New Roman" w:cs="Times New Roman" w:hint="eastAsia"/>
                <w:color w:val="FF0000"/>
                <w:sz w:val="21"/>
                <w:szCs w:val="21"/>
              </w:rPr>
              <w:t>北斗村</w:t>
            </w:r>
            <w:r w:rsidRPr="004841B2">
              <w:rPr>
                <w:rFonts w:ascii="Times New Roman" w:cs="Times New Roman"/>
                <w:color w:val="FF0000"/>
                <w:sz w:val="21"/>
                <w:szCs w:val="21"/>
              </w:rPr>
              <w:t>农户</w:t>
            </w:r>
            <w:r w:rsidRPr="004841B2">
              <w:rPr>
                <w:rFonts w:ascii="Times New Roman" w:cs="Times New Roman" w:hint="eastAsia"/>
                <w:color w:val="FF0000"/>
                <w:sz w:val="21"/>
                <w:szCs w:val="21"/>
              </w:rPr>
              <w:t>1#</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255</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-210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4</w:t>
            </w:r>
            <w:r>
              <w:rPr>
                <w:rFonts w:ascii="Times New Roman" w:cs="Times New Roman"/>
                <w:sz w:val="21"/>
                <w:szCs w:val="21"/>
              </w:rPr>
              <w:t>户</w:t>
            </w:r>
            <w:r>
              <w:rPr>
                <w:rFonts w:ascii="Times New Roman" w:cs="Times New Roman" w:hint="eastAsia"/>
                <w:sz w:val="21"/>
                <w:szCs w:val="21"/>
              </w:rPr>
              <w:t>20</w:t>
            </w:r>
            <w:r>
              <w:rPr>
                <w:rFonts w:ascii="Times New Roman" w:cs="Times New Roman"/>
                <w:sz w:val="21"/>
                <w:szCs w:val="21"/>
              </w:rPr>
              <w:t>人</w:t>
            </w:r>
          </w:p>
        </w:tc>
        <w:tc>
          <w:tcPr>
            <w:tcW w:w="1043" w:type="pct"/>
            <w:vMerge w:val="restart"/>
            <w:tcBorders>
              <w:top w:val="single" w:sz="2" w:space="0" w:color="000000"/>
              <w:left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《环境空气质量标准》（</w:t>
            </w:r>
            <w:r>
              <w:rPr>
                <w:rFonts w:ascii="Times New Roman" w:cs="Times New Roman"/>
                <w:sz w:val="21"/>
                <w:szCs w:val="21"/>
              </w:rPr>
              <w:t>GB3095-2012</w:t>
            </w:r>
            <w:r>
              <w:rPr>
                <w:rFonts w:ascii="Times New Roman" w:cs="Times New Roman"/>
                <w:sz w:val="21"/>
                <w:szCs w:val="21"/>
              </w:rPr>
              <w:t>）二级标准</w:t>
            </w: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340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2</w:t>
            </w:r>
          </w:p>
        </w:tc>
        <w:tc>
          <w:tcPr>
            <w:tcW w:w="47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Pr="004841B2" w:rsidRDefault="00F64314">
            <w:pPr>
              <w:spacing w:line="240" w:lineRule="auto"/>
              <w:ind w:firstLineChars="0" w:firstLine="0"/>
              <w:jc w:val="center"/>
              <w:rPr>
                <w:rFonts w:ascii="Times New Roman" w:cs="Times New Roman"/>
                <w:color w:val="FF0000"/>
                <w:sz w:val="21"/>
                <w:szCs w:val="21"/>
              </w:rPr>
            </w:pPr>
            <w:r w:rsidRPr="004841B2">
              <w:rPr>
                <w:rFonts w:ascii="Times New Roman" w:cs="Times New Roman" w:hint="eastAsia"/>
                <w:color w:val="FF0000"/>
                <w:sz w:val="21"/>
                <w:szCs w:val="21"/>
              </w:rPr>
              <w:t>北斗村</w:t>
            </w:r>
            <w:r w:rsidRPr="004841B2">
              <w:rPr>
                <w:rFonts w:ascii="Times New Roman" w:cs="Times New Roman"/>
                <w:color w:val="FF0000"/>
                <w:sz w:val="21"/>
                <w:szCs w:val="21"/>
              </w:rPr>
              <w:t>农户</w:t>
            </w:r>
            <w:r w:rsidRPr="004841B2">
              <w:rPr>
                <w:rFonts w:ascii="Times New Roman" w:cs="Times New Roman" w:hint="eastAsia"/>
                <w:color w:val="FF0000"/>
                <w:sz w:val="21"/>
                <w:szCs w:val="21"/>
              </w:rPr>
              <w:t>2#</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510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-150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12</w:t>
            </w:r>
            <w:r>
              <w:rPr>
                <w:rFonts w:ascii="Times New Roman" w:cs="Times New Roman"/>
                <w:sz w:val="21"/>
                <w:szCs w:val="21"/>
              </w:rPr>
              <w:t>户</w:t>
            </w:r>
            <w:r>
              <w:rPr>
                <w:rFonts w:ascii="Times New Roman" w:cs="Times New Roman" w:hint="eastAsia"/>
                <w:sz w:val="21"/>
                <w:szCs w:val="21"/>
              </w:rPr>
              <w:t>49</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540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3</w:t>
            </w:r>
          </w:p>
        </w:tc>
        <w:tc>
          <w:tcPr>
            <w:tcW w:w="47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Pr="004841B2" w:rsidRDefault="00F64314">
            <w:pPr>
              <w:spacing w:line="240" w:lineRule="auto"/>
              <w:ind w:firstLineChars="0" w:firstLine="0"/>
              <w:jc w:val="center"/>
              <w:rPr>
                <w:rFonts w:ascii="Times New Roman" w:cs="Times New Roman"/>
                <w:color w:val="FF0000"/>
                <w:sz w:val="21"/>
                <w:szCs w:val="21"/>
              </w:rPr>
            </w:pPr>
            <w:r w:rsidRPr="004841B2">
              <w:rPr>
                <w:rFonts w:ascii="Times New Roman" w:cs="Times New Roman" w:hint="eastAsia"/>
                <w:color w:val="FF0000"/>
                <w:sz w:val="21"/>
                <w:szCs w:val="21"/>
              </w:rPr>
              <w:t>北斗村</w:t>
            </w:r>
            <w:r w:rsidRPr="004841B2">
              <w:rPr>
                <w:rFonts w:ascii="Times New Roman" w:cs="Times New Roman"/>
                <w:color w:val="FF0000"/>
                <w:sz w:val="21"/>
                <w:szCs w:val="21"/>
              </w:rPr>
              <w:t>农户</w:t>
            </w:r>
            <w:r w:rsidRPr="004841B2">
              <w:rPr>
                <w:rFonts w:ascii="Times New Roman" w:cs="Times New Roman" w:hint="eastAsia"/>
                <w:color w:val="FF0000"/>
                <w:sz w:val="21"/>
                <w:szCs w:val="21"/>
              </w:rPr>
              <w:t>3#</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700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-190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3</w:t>
            </w:r>
            <w:r>
              <w:rPr>
                <w:rFonts w:ascii="Times New Roman" w:cs="Times New Roman"/>
                <w:sz w:val="21"/>
                <w:szCs w:val="21"/>
              </w:rPr>
              <w:t>户</w:t>
            </w:r>
            <w:r>
              <w:rPr>
                <w:rFonts w:ascii="Times New Roman" w:cs="Times New Roman" w:hint="eastAsia"/>
                <w:sz w:val="21"/>
                <w:szCs w:val="21"/>
              </w:rPr>
              <w:t>15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730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4</w:t>
            </w:r>
          </w:p>
        </w:tc>
        <w:tc>
          <w:tcPr>
            <w:tcW w:w="47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Pr="004841B2" w:rsidRDefault="00F64314">
            <w:pPr>
              <w:spacing w:line="240" w:lineRule="auto"/>
              <w:ind w:firstLineChars="0" w:firstLine="0"/>
              <w:jc w:val="center"/>
              <w:rPr>
                <w:rFonts w:ascii="Times New Roman" w:cs="Times New Roman"/>
                <w:color w:val="FF0000"/>
                <w:sz w:val="21"/>
                <w:szCs w:val="21"/>
              </w:rPr>
            </w:pPr>
            <w:r w:rsidRPr="004841B2">
              <w:rPr>
                <w:rFonts w:ascii="Times New Roman" w:cs="Times New Roman" w:hint="eastAsia"/>
                <w:color w:val="FF0000"/>
                <w:sz w:val="21"/>
                <w:szCs w:val="21"/>
              </w:rPr>
              <w:t>北斗村农户</w:t>
            </w:r>
            <w:r w:rsidRPr="004841B2">
              <w:rPr>
                <w:rFonts w:ascii="Times New Roman" w:cs="Times New Roman" w:hint="eastAsia"/>
                <w:color w:val="FF0000"/>
                <w:sz w:val="21"/>
                <w:szCs w:val="21"/>
              </w:rPr>
              <w:t>4#</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810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-580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30</w:t>
            </w:r>
            <w:r>
              <w:rPr>
                <w:rFonts w:ascii="Times New Roman" w:cs="Times New Roman"/>
                <w:sz w:val="21"/>
                <w:szCs w:val="21"/>
              </w:rPr>
              <w:t>户</w:t>
            </w:r>
            <w:r>
              <w:rPr>
                <w:rFonts w:ascii="Times New Roman" w:cs="Times New Roman" w:hint="eastAsia"/>
                <w:sz w:val="21"/>
                <w:szCs w:val="21"/>
              </w:rPr>
              <w:t>105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970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5</w:t>
            </w:r>
          </w:p>
        </w:tc>
        <w:tc>
          <w:tcPr>
            <w:tcW w:w="47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大田湾</w:t>
            </w:r>
            <w:r>
              <w:rPr>
                <w:rFonts w:ascii="Times New Roman" w:cs="Times New Roman"/>
                <w:sz w:val="21"/>
                <w:szCs w:val="21"/>
              </w:rPr>
              <w:t>农户</w:t>
            </w:r>
            <w:r>
              <w:rPr>
                <w:rFonts w:ascii="Times New Roman" w:cs="Times New Roman" w:hint="eastAsia"/>
                <w:sz w:val="21"/>
                <w:szCs w:val="21"/>
              </w:rPr>
              <w:t>5#</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1500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-80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50</w:t>
            </w:r>
            <w:r>
              <w:rPr>
                <w:rFonts w:ascii="Times New Roman" w:cs="Times New Roman"/>
                <w:sz w:val="21"/>
                <w:szCs w:val="21"/>
              </w:rPr>
              <w:t>户</w:t>
            </w:r>
            <w:r>
              <w:rPr>
                <w:rFonts w:ascii="Times New Roman" w:cs="Times New Roman" w:hint="eastAsia"/>
                <w:sz w:val="21"/>
                <w:szCs w:val="21"/>
              </w:rPr>
              <w:t>160</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1510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6</w:t>
            </w:r>
          </w:p>
        </w:tc>
        <w:tc>
          <w:tcPr>
            <w:tcW w:w="47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塔垭豁</w:t>
            </w:r>
            <w:r>
              <w:rPr>
                <w:rFonts w:ascii="Times New Roman" w:cs="Times New Roman"/>
                <w:sz w:val="21"/>
                <w:szCs w:val="21"/>
              </w:rPr>
              <w:t>农户</w:t>
            </w:r>
            <w:r>
              <w:rPr>
                <w:rFonts w:ascii="Times New Roman" w:cs="Times New Roman" w:hint="eastAsia"/>
                <w:sz w:val="21"/>
                <w:szCs w:val="21"/>
              </w:rPr>
              <w:t>6#</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1850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-220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20</w:t>
            </w:r>
            <w:r>
              <w:rPr>
                <w:rFonts w:ascii="Times New Roman" w:cs="Times New Roman"/>
                <w:sz w:val="21"/>
                <w:szCs w:val="21"/>
              </w:rPr>
              <w:t>户</w:t>
            </w:r>
            <w:r>
              <w:rPr>
                <w:rFonts w:ascii="Times New Roman" w:cs="Times New Roman" w:hint="eastAsia"/>
                <w:sz w:val="21"/>
                <w:szCs w:val="21"/>
              </w:rPr>
              <w:t>65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1870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7</w:t>
            </w:r>
          </w:p>
        </w:tc>
        <w:tc>
          <w:tcPr>
            <w:tcW w:w="47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环山子</w:t>
            </w:r>
            <w:r>
              <w:rPr>
                <w:rFonts w:ascii="Times New Roman" w:cs="Times New Roman"/>
                <w:sz w:val="21"/>
                <w:szCs w:val="21"/>
              </w:rPr>
              <w:t>农户</w:t>
            </w:r>
            <w:r>
              <w:rPr>
                <w:rFonts w:ascii="Times New Roman" w:cs="Times New Roman" w:hint="eastAsia"/>
                <w:sz w:val="21"/>
                <w:szCs w:val="21"/>
              </w:rPr>
              <w:t>7#</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2470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-185</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25</w:t>
            </w:r>
            <w:r>
              <w:rPr>
                <w:rFonts w:ascii="Times New Roman" w:cs="Times New Roman"/>
                <w:sz w:val="21"/>
                <w:szCs w:val="21"/>
              </w:rPr>
              <w:t>户</w:t>
            </w:r>
            <w:r>
              <w:rPr>
                <w:rFonts w:ascii="Times New Roman" w:cs="Times New Roman" w:hint="eastAsia"/>
                <w:sz w:val="21"/>
                <w:szCs w:val="21"/>
              </w:rPr>
              <w:t>80</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2510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8</w:t>
            </w:r>
          </w:p>
        </w:tc>
        <w:tc>
          <w:tcPr>
            <w:tcW w:w="47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塔垭口</w:t>
            </w:r>
            <w:r>
              <w:rPr>
                <w:rFonts w:ascii="Times New Roman" w:cs="Times New Roman"/>
                <w:sz w:val="21"/>
                <w:szCs w:val="21"/>
              </w:rPr>
              <w:t>农户</w:t>
            </w:r>
            <w:r>
              <w:rPr>
                <w:rFonts w:ascii="Times New Roman" w:cs="Times New Roman" w:hint="eastAsia"/>
                <w:sz w:val="21"/>
                <w:szCs w:val="21"/>
              </w:rPr>
              <w:t>8#</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1950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-630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15</w:t>
            </w:r>
            <w:r>
              <w:rPr>
                <w:rFonts w:ascii="Times New Roman" w:cs="Times New Roman"/>
                <w:sz w:val="21"/>
                <w:szCs w:val="21"/>
              </w:rPr>
              <w:t>户</w:t>
            </w:r>
            <w:r>
              <w:rPr>
                <w:rFonts w:ascii="Times New Roman" w:cs="Times New Roman" w:hint="eastAsia"/>
                <w:sz w:val="21"/>
                <w:szCs w:val="21"/>
              </w:rPr>
              <w:t>50</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2050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9</w:t>
            </w:r>
          </w:p>
        </w:tc>
        <w:tc>
          <w:tcPr>
            <w:tcW w:w="47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鲜家坪</w:t>
            </w:r>
            <w:r>
              <w:rPr>
                <w:rFonts w:ascii="Times New Roman" w:cs="Times New Roman"/>
                <w:sz w:val="21"/>
                <w:szCs w:val="21"/>
              </w:rPr>
              <w:t>农户</w:t>
            </w:r>
            <w:r>
              <w:rPr>
                <w:rFonts w:ascii="Times New Roman" w:cs="Times New Roman" w:hint="eastAsia"/>
                <w:sz w:val="21"/>
                <w:szCs w:val="21"/>
              </w:rPr>
              <w:t>9#</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2790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560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50</w:t>
            </w:r>
            <w:r>
              <w:rPr>
                <w:rFonts w:ascii="Times New Roman" w:cs="Times New Roman"/>
                <w:sz w:val="21"/>
                <w:szCs w:val="21"/>
              </w:rPr>
              <w:t>户</w:t>
            </w:r>
            <w:r>
              <w:rPr>
                <w:rFonts w:ascii="Times New Roman" w:cs="Times New Roman" w:hint="eastAsia"/>
                <w:sz w:val="21"/>
                <w:szCs w:val="21"/>
              </w:rPr>
              <w:t>155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2870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10</w:t>
            </w:r>
          </w:p>
        </w:tc>
        <w:tc>
          <w:tcPr>
            <w:tcW w:w="47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塔垭村</w:t>
            </w:r>
            <w:r>
              <w:rPr>
                <w:rFonts w:ascii="Times New Roman" w:cs="Times New Roman"/>
                <w:sz w:val="21"/>
                <w:szCs w:val="21"/>
              </w:rPr>
              <w:t>农户</w:t>
            </w:r>
            <w:r>
              <w:rPr>
                <w:rFonts w:ascii="Times New Roman" w:cs="Times New Roman" w:hint="eastAsia"/>
                <w:sz w:val="21"/>
                <w:szCs w:val="21"/>
              </w:rPr>
              <w:t>10#</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3000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70</w:t>
            </w:r>
            <w:r>
              <w:rPr>
                <w:rFonts w:ascii="Times New Roman" w:cs="Times New Roman"/>
                <w:sz w:val="21"/>
                <w:szCs w:val="21"/>
              </w:rPr>
              <w:t>户</w:t>
            </w:r>
            <w:r>
              <w:rPr>
                <w:rFonts w:ascii="Times New Roman" w:cs="Times New Roman" w:hint="eastAsia"/>
                <w:sz w:val="21"/>
                <w:szCs w:val="21"/>
              </w:rPr>
              <w:t>250</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3000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11</w:t>
            </w:r>
          </w:p>
        </w:tc>
        <w:tc>
          <w:tcPr>
            <w:tcW w:w="47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罗家湾</w:t>
            </w:r>
            <w:r>
              <w:rPr>
                <w:rFonts w:ascii="Times New Roman" w:cs="Times New Roman"/>
                <w:sz w:val="21"/>
                <w:szCs w:val="21"/>
              </w:rPr>
              <w:t>农户</w:t>
            </w:r>
            <w:r>
              <w:rPr>
                <w:rFonts w:ascii="Times New Roman" w:cs="Times New Roman" w:hint="eastAsia"/>
                <w:sz w:val="21"/>
                <w:szCs w:val="21"/>
              </w:rPr>
              <w:t>11#</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3400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5</w:t>
            </w:r>
            <w:r>
              <w:rPr>
                <w:rFonts w:ascii="Times New Roman" w:cs="Times New Roman"/>
                <w:sz w:val="21"/>
                <w:szCs w:val="21"/>
              </w:rPr>
              <w:t>户</w:t>
            </w:r>
            <w:r>
              <w:rPr>
                <w:rFonts w:ascii="Times New Roman" w:cs="Times New Roman" w:hint="eastAsia"/>
                <w:sz w:val="21"/>
                <w:szCs w:val="21"/>
              </w:rPr>
              <w:t>20</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3400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12</w:t>
            </w:r>
          </w:p>
        </w:tc>
        <w:tc>
          <w:tcPr>
            <w:tcW w:w="47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张家湾</w:t>
            </w:r>
            <w:r>
              <w:rPr>
                <w:rFonts w:ascii="Times New Roman" w:cs="Times New Roman"/>
                <w:sz w:val="21"/>
                <w:szCs w:val="21"/>
              </w:rPr>
              <w:t>农户</w:t>
            </w:r>
            <w:r>
              <w:rPr>
                <w:rFonts w:ascii="Times New Roman" w:cs="Times New Roman" w:hint="eastAsia"/>
                <w:sz w:val="21"/>
                <w:szCs w:val="21"/>
              </w:rPr>
              <w:t>12#</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3440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-110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70</w:t>
            </w:r>
            <w:r>
              <w:rPr>
                <w:rFonts w:ascii="Times New Roman" w:cs="Times New Roman"/>
                <w:sz w:val="21"/>
                <w:szCs w:val="21"/>
              </w:rPr>
              <w:t>户</w:t>
            </w:r>
            <w:r>
              <w:rPr>
                <w:rFonts w:ascii="Times New Roman" w:cs="Times New Roman" w:hint="eastAsia"/>
                <w:sz w:val="21"/>
                <w:szCs w:val="21"/>
              </w:rPr>
              <w:t>240</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3460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13</w:t>
            </w:r>
          </w:p>
        </w:tc>
        <w:tc>
          <w:tcPr>
            <w:tcW w:w="47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陈子坪</w:t>
            </w:r>
            <w:r>
              <w:rPr>
                <w:rFonts w:ascii="Times New Roman" w:cs="Times New Roman"/>
                <w:sz w:val="21"/>
                <w:szCs w:val="21"/>
              </w:rPr>
              <w:t>农户</w:t>
            </w:r>
            <w:r>
              <w:rPr>
                <w:rFonts w:ascii="Times New Roman" w:cs="Times New Roman" w:hint="eastAsia"/>
                <w:sz w:val="21"/>
                <w:szCs w:val="21"/>
              </w:rPr>
              <w:t>13#</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4500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25</w:t>
            </w:r>
            <w:r>
              <w:rPr>
                <w:rFonts w:ascii="Times New Roman" w:cs="Times New Roman"/>
                <w:sz w:val="21"/>
                <w:szCs w:val="21"/>
              </w:rPr>
              <w:t>户</w:t>
            </w:r>
            <w:r>
              <w:rPr>
                <w:rFonts w:ascii="Times New Roman" w:cs="Times New Roman" w:hint="eastAsia"/>
                <w:sz w:val="21"/>
                <w:szCs w:val="21"/>
              </w:rPr>
              <w:t>85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4500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14</w:t>
            </w:r>
          </w:p>
        </w:tc>
        <w:tc>
          <w:tcPr>
            <w:tcW w:w="47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吴家坪</w:t>
            </w:r>
            <w:r>
              <w:rPr>
                <w:rFonts w:ascii="Times New Roman" w:cs="Times New Roman"/>
                <w:sz w:val="21"/>
                <w:szCs w:val="21"/>
              </w:rPr>
              <w:t>农户</w:t>
            </w:r>
            <w:r>
              <w:rPr>
                <w:rFonts w:ascii="Times New Roman" w:cs="Times New Roman" w:hint="eastAsia"/>
                <w:sz w:val="21"/>
                <w:szCs w:val="21"/>
              </w:rPr>
              <w:t>14#</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4380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640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30</w:t>
            </w:r>
            <w:r>
              <w:rPr>
                <w:rFonts w:ascii="Times New Roman" w:cs="Times New Roman"/>
                <w:sz w:val="21"/>
                <w:szCs w:val="21"/>
              </w:rPr>
              <w:t>户</w:t>
            </w:r>
            <w:r>
              <w:rPr>
                <w:rFonts w:ascii="Times New Roman" w:cs="Times New Roman" w:hint="eastAsia"/>
                <w:sz w:val="21"/>
                <w:szCs w:val="21"/>
              </w:rPr>
              <w:t>95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4470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15</w:t>
            </w:r>
          </w:p>
        </w:tc>
        <w:tc>
          <w:tcPr>
            <w:tcW w:w="47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胡家坪</w:t>
            </w:r>
            <w:r>
              <w:rPr>
                <w:rFonts w:ascii="Times New Roman" w:cs="Times New Roman"/>
                <w:sz w:val="21"/>
                <w:szCs w:val="21"/>
              </w:rPr>
              <w:t>农户</w:t>
            </w:r>
            <w:r>
              <w:rPr>
                <w:rFonts w:ascii="Times New Roman" w:cs="Times New Roman" w:hint="eastAsia"/>
                <w:sz w:val="21"/>
                <w:szCs w:val="21"/>
              </w:rPr>
              <w:t>15#</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2840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-1290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20</w:t>
            </w:r>
            <w:r>
              <w:rPr>
                <w:rFonts w:ascii="Times New Roman" w:cs="Times New Roman"/>
                <w:sz w:val="21"/>
                <w:szCs w:val="21"/>
              </w:rPr>
              <w:t>户</w:t>
            </w:r>
            <w:r>
              <w:rPr>
                <w:rFonts w:ascii="Times New Roman" w:cs="Times New Roman" w:hint="eastAsia"/>
                <w:sz w:val="21"/>
                <w:szCs w:val="21"/>
              </w:rPr>
              <w:t>65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3200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16</w:t>
            </w:r>
          </w:p>
        </w:tc>
        <w:tc>
          <w:tcPr>
            <w:tcW w:w="47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铁尖村</w:t>
            </w:r>
            <w:r>
              <w:rPr>
                <w:rFonts w:ascii="Times New Roman" w:cs="Times New Roman"/>
                <w:sz w:val="21"/>
                <w:szCs w:val="21"/>
              </w:rPr>
              <w:t>农户</w:t>
            </w:r>
            <w:r>
              <w:rPr>
                <w:rFonts w:ascii="Times New Roman" w:cs="Times New Roman" w:hint="eastAsia"/>
                <w:sz w:val="21"/>
                <w:szCs w:val="21"/>
              </w:rPr>
              <w:t>16#</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3100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-2090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15</w:t>
            </w:r>
            <w:r>
              <w:rPr>
                <w:rFonts w:ascii="Times New Roman" w:cs="Times New Roman"/>
                <w:sz w:val="21"/>
                <w:szCs w:val="21"/>
              </w:rPr>
              <w:t>户</w:t>
            </w:r>
            <w:r>
              <w:rPr>
                <w:rFonts w:ascii="Times New Roman" w:cs="Times New Roman" w:hint="eastAsia"/>
                <w:sz w:val="21"/>
                <w:szCs w:val="21"/>
              </w:rPr>
              <w:t>50</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3800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17</w:t>
            </w:r>
          </w:p>
        </w:tc>
        <w:tc>
          <w:tcPr>
            <w:tcW w:w="47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李家坪农户</w:t>
            </w:r>
            <w:r>
              <w:rPr>
                <w:rFonts w:ascii="Times New Roman" w:cs="Times New Roman" w:hint="eastAsia"/>
                <w:sz w:val="21"/>
                <w:szCs w:val="21"/>
              </w:rPr>
              <w:t>17#</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2790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-2930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75</w:t>
            </w:r>
            <w:r>
              <w:rPr>
                <w:rFonts w:ascii="Times New Roman" w:cs="Times New Roman"/>
                <w:sz w:val="21"/>
                <w:szCs w:val="21"/>
              </w:rPr>
              <w:t>户</w:t>
            </w:r>
            <w:r>
              <w:rPr>
                <w:rFonts w:ascii="Times New Roman" w:cs="Times New Roman" w:hint="eastAsia"/>
                <w:sz w:val="21"/>
                <w:szCs w:val="21"/>
              </w:rPr>
              <w:t>260</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4000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1</w:t>
            </w:r>
            <w:r>
              <w:rPr>
                <w:rFonts w:ascii="Times New Roman" w:cs="Times New Roman" w:hint="eastAsia"/>
                <w:sz w:val="21"/>
                <w:szCs w:val="21"/>
              </w:rPr>
              <w:t>8</w:t>
            </w:r>
          </w:p>
        </w:tc>
        <w:tc>
          <w:tcPr>
            <w:tcW w:w="47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干</w:t>
            </w:r>
            <w:r>
              <w:rPr>
                <w:rFonts w:ascii="Times New Roman" w:cs="Times New Roman"/>
                <w:sz w:val="21"/>
                <w:szCs w:val="21"/>
              </w:rPr>
              <w:t>河村农户</w:t>
            </w:r>
            <w:r>
              <w:rPr>
                <w:rFonts w:ascii="Times New Roman" w:cs="Times New Roman" w:hint="eastAsia"/>
                <w:sz w:val="21"/>
                <w:szCs w:val="21"/>
              </w:rPr>
              <w:t>18#</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2070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-2890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15</w:t>
            </w:r>
            <w:r>
              <w:rPr>
                <w:rFonts w:ascii="Times New Roman" w:cs="Times New Roman"/>
                <w:sz w:val="21"/>
                <w:szCs w:val="21"/>
              </w:rPr>
              <w:t>户</w:t>
            </w:r>
            <w:r>
              <w:rPr>
                <w:rFonts w:ascii="Times New Roman" w:cs="Times New Roman" w:hint="eastAsia"/>
                <w:sz w:val="21"/>
                <w:szCs w:val="21"/>
              </w:rPr>
              <w:t>50</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3500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19</w:t>
            </w:r>
          </w:p>
        </w:tc>
        <w:tc>
          <w:tcPr>
            <w:tcW w:w="47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王家湾</w:t>
            </w:r>
            <w:r>
              <w:rPr>
                <w:rFonts w:ascii="Times New Roman" w:cs="Times New Roman"/>
                <w:sz w:val="21"/>
                <w:szCs w:val="21"/>
              </w:rPr>
              <w:t>农户</w:t>
            </w:r>
            <w:r>
              <w:rPr>
                <w:rFonts w:ascii="Times New Roman" w:cs="Times New Roman" w:hint="eastAsia"/>
                <w:sz w:val="21"/>
                <w:szCs w:val="21"/>
              </w:rPr>
              <w:t>19#</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1220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-2950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20</w:t>
            </w:r>
            <w:r>
              <w:rPr>
                <w:rFonts w:ascii="Times New Roman" w:cs="Times New Roman"/>
                <w:sz w:val="21"/>
                <w:szCs w:val="21"/>
              </w:rPr>
              <w:t>户</w:t>
            </w:r>
            <w:r>
              <w:rPr>
                <w:rFonts w:ascii="Times New Roman" w:cs="Times New Roman" w:hint="eastAsia"/>
                <w:sz w:val="21"/>
                <w:szCs w:val="21"/>
              </w:rPr>
              <w:t>65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3210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20</w:t>
            </w:r>
          </w:p>
        </w:tc>
        <w:tc>
          <w:tcPr>
            <w:tcW w:w="47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向天湾</w:t>
            </w:r>
            <w:r>
              <w:rPr>
                <w:rFonts w:ascii="Times New Roman" w:cs="Times New Roman"/>
                <w:sz w:val="21"/>
                <w:szCs w:val="21"/>
              </w:rPr>
              <w:t>农户</w:t>
            </w:r>
            <w:r>
              <w:rPr>
                <w:rFonts w:ascii="Times New Roman" w:cs="Times New Roman" w:hint="eastAsia"/>
                <w:sz w:val="21"/>
                <w:szCs w:val="21"/>
              </w:rPr>
              <w:t>20#</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1320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-3750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20</w:t>
            </w:r>
            <w:r>
              <w:rPr>
                <w:rFonts w:ascii="Times New Roman" w:cs="Times New Roman"/>
                <w:sz w:val="21"/>
                <w:szCs w:val="21"/>
              </w:rPr>
              <w:t>户</w:t>
            </w:r>
            <w:r>
              <w:rPr>
                <w:rFonts w:ascii="Times New Roman" w:cs="Times New Roman" w:hint="eastAsia"/>
                <w:sz w:val="21"/>
                <w:szCs w:val="21"/>
              </w:rPr>
              <w:t>65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4100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lastRenderedPageBreak/>
              <w:t>21</w:t>
            </w:r>
          </w:p>
        </w:tc>
        <w:tc>
          <w:tcPr>
            <w:tcW w:w="47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白花坪</w:t>
            </w:r>
            <w:r>
              <w:rPr>
                <w:rFonts w:ascii="Times New Roman" w:cs="Times New Roman"/>
                <w:sz w:val="21"/>
                <w:szCs w:val="21"/>
              </w:rPr>
              <w:t>农户</w:t>
            </w:r>
            <w:r>
              <w:rPr>
                <w:rFonts w:ascii="Times New Roman" w:cs="Times New Roman" w:hint="eastAsia"/>
                <w:sz w:val="21"/>
                <w:szCs w:val="21"/>
              </w:rPr>
              <w:t>21#</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2890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-4320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15</w:t>
            </w:r>
            <w:r>
              <w:rPr>
                <w:rFonts w:ascii="Times New Roman" w:cs="Times New Roman"/>
                <w:sz w:val="21"/>
                <w:szCs w:val="21"/>
              </w:rPr>
              <w:t>户</w:t>
            </w:r>
            <w:r>
              <w:rPr>
                <w:rFonts w:ascii="Times New Roman" w:cs="Times New Roman" w:hint="eastAsia"/>
                <w:sz w:val="21"/>
                <w:szCs w:val="21"/>
              </w:rPr>
              <w:t>50</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5010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22</w:t>
            </w:r>
          </w:p>
        </w:tc>
        <w:tc>
          <w:tcPr>
            <w:tcW w:w="47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杨家湾</w:t>
            </w:r>
            <w:r>
              <w:rPr>
                <w:rFonts w:ascii="Times New Roman" w:cs="Times New Roman"/>
                <w:sz w:val="21"/>
                <w:szCs w:val="21"/>
              </w:rPr>
              <w:t>农户</w:t>
            </w:r>
            <w:r>
              <w:rPr>
                <w:rFonts w:ascii="Times New Roman" w:cs="Times New Roman" w:hint="eastAsia"/>
                <w:sz w:val="21"/>
                <w:szCs w:val="21"/>
              </w:rPr>
              <w:t>22#</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4070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-3920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20</w:t>
            </w:r>
            <w:r>
              <w:rPr>
                <w:rFonts w:ascii="Times New Roman" w:cs="Times New Roman"/>
                <w:sz w:val="21"/>
                <w:szCs w:val="21"/>
              </w:rPr>
              <w:t>户</w:t>
            </w:r>
            <w:r>
              <w:rPr>
                <w:rFonts w:ascii="Times New Roman" w:cs="Times New Roman" w:hint="eastAsia"/>
                <w:sz w:val="21"/>
                <w:szCs w:val="21"/>
              </w:rPr>
              <w:t>65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5480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23</w:t>
            </w:r>
          </w:p>
        </w:tc>
        <w:tc>
          <w:tcPr>
            <w:tcW w:w="47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土地岩农户</w:t>
            </w:r>
            <w:r>
              <w:rPr>
                <w:rFonts w:ascii="Times New Roman" w:cs="Times New Roman" w:hint="eastAsia"/>
                <w:sz w:val="21"/>
                <w:szCs w:val="21"/>
              </w:rPr>
              <w:t>23#</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-800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15</w:t>
            </w:r>
            <w:r>
              <w:rPr>
                <w:rFonts w:ascii="Times New Roman" w:cs="Times New Roman"/>
                <w:sz w:val="21"/>
                <w:szCs w:val="21"/>
              </w:rPr>
              <w:t>户</w:t>
            </w:r>
            <w:r>
              <w:rPr>
                <w:rFonts w:ascii="Times New Roman" w:cs="Times New Roman" w:hint="eastAsia"/>
                <w:sz w:val="21"/>
                <w:szCs w:val="21"/>
              </w:rPr>
              <w:t>50</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800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24</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刘家坡</w:t>
            </w:r>
            <w:r>
              <w:rPr>
                <w:rFonts w:ascii="Times New Roman" w:cs="Times New Roman"/>
                <w:sz w:val="21"/>
                <w:szCs w:val="21"/>
              </w:rPr>
              <w:t>农户</w:t>
            </w:r>
            <w:r>
              <w:rPr>
                <w:rFonts w:ascii="Times New Roman" w:cs="Times New Roman" w:hint="eastAsia"/>
                <w:sz w:val="21"/>
                <w:szCs w:val="21"/>
              </w:rPr>
              <w:t>24#</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-3100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5</w:t>
            </w:r>
            <w:r>
              <w:rPr>
                <w:rFonts w:ascii="Times New Roman" w:cs="Times New Roman"/>
                <w:sz w:val="21"/>
                <w:szCs w:val="21"/>
              </w:rPr>
              <w:t>户</w:t>
            </w:r>
            <w:r>
              <w:rPr>
                <w:rFonts w:ascii="Times New Roman" w:cs="Times New Roman" w:hint="eastAsia"/>
                <w:sz w:val="21"/>
                <w:szCs w:val="21"/>
              </w:rPr>
              <w:t>15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3100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25</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白岩坡</w:t>
            </w:r>
            <w:r>
              <w:rPr>
                <w:rFonts w:ascii="Times New Roman" w:cs="Times New Roman"/>
                <w:sz w:val="21"/>
                <w:szCs w:val="21"/>
              </w:rPr>
              <w:t>农户</w:t>
            </w:r>
            <w:r>
              <w:rPr>
                <w:rFonts w:ascii="Times New Roman" w:cs="Times New Roman" w:hint="eastAsia"/>
                <w:sz w:val="21"/>
                <w:szCs w:val="21"/>
              </w:rPr>
              <w:t>25#</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-4100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5</w:t>
            </w:r>
            <w:r>
              <w:rPr>
                <w:rFonts w:ascii="Times New Roman" w:cs="Times New Roman"/>
                <w:sz w:val="21"/>
                <w:szCs w:val="21"/>
              </w:rPr>
              <w:t>户</w:t>
            </w:r>
            <w:r>
              <w:rPr>
                <w:rFonts w:ascii="Times New Roman" w:cs="Times New Roman" w:hint="eastAsia"/>
                <w:sz w:val="21"/>
                <w:szCs w:val="21"/>
              </w:rPr>
              <w:t>15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4100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26</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Pr="004841B2" w:rsidRDefault="00F64314">
            <w:pPr>
              <w:spacing w:line="240" w:lineRule="auto"/>
              <w:ind w:firstLineChars="0" w:firstLine="0"/>
              <w:jc w:val="center"/>
              <w:rPr>
                <w:rFonts w:ascii="Times New Roman" w:cs="Times New Roman"/>
                <w:color w:val="FF0000"/>
                <w:sz w:val="21"/>
                <w:szCs w:val="21"/>
              </w:rPr>
            </w:pPr>
            <w:r w:rsidRPr="004841B2">
              <w:rPr>
                <w:rFonts w:ascii="Times New Roman" w:cs="Times New Roman" w:hint="eastAsia"/>
                <w:color w:val="FF0000"/>
                <w:sz w:val="21"/>
                <w:szCs w:val="21"/>
              </w:rPr>
              <w:t>北斗村</w:t>
            </w:r>
            <w:r w:rsidRPr="004841B2">
              <w:rPr>
                <w:rFonts w:ascii="Times New Roman" w:cs="Times New Roman"/>
                <w:color w:val="FF0000"/>
                <w:sz w:val="21"/>
                <w:szCs w:val="21"/>
              </w:rPr>
              <w:t>农户</w:t>
            </w:r>
            <w:r w:rsidRPr="004841B2">
              <w:rPr>
                <w:rFonts w:ascii="Times New Roman" w:cs="Times New Roman" w:hint="eastAsia"/>
                <w:color w:val="FF0000"/>
                <w:sz w:val="21"/>
                <w:szCs w:val="21"/>
              </w:rPr>
              <w:t>26#</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-390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-310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约</w:t>
            </w:r>
            <w:r>
              <w:rPr>
                <w:rFonts w:ascii="Times New Roman" w:cs="Times New Roman" w:hint="eastAsia"/>
                <w:sz w:val="21"/>
                <w:szCs w:val="21"/>
              </w:rPr>
              <w:t>20</w:t>
            </w:r>
            <w:r>
              <w:rPr>
                <w:rFonts w:ascii="Times New Roman" w:cs="Times New Roman" w:hint="eastAsia"/>
                <w:sz w:val="21"/>
                <w:szCs w:val="21"/>
              </w:rPr>
              <w:t>户</w:t>
            </w:r>
            <w:r>
              <w:rPr>
                <w:rFonts w:ascii="Times New Roman" w:cs="Times New Roman" w:hint="eastAsia"/>
                <w:sz w:val="21"/>
                <w:szCs w:val="21"/>
              </w:rPr>
              <w:t>65</w:t>
            </w:r>
            <w:r>
              <w:rPr>
                <w:rFonts w:ascii="Times New Roman" w:cs="Times New Roman" w:hint="eastAsia"/>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480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27</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彭家坡</w:t>
            </w:r>
            <w:r>
              <w:rPr>
                <w:rFonts w:ascii="Times New Roman" w:cs="Times New Roman"/>
                <w:sz w:val="21"/>
                <w:szCs w:val="21"/>
              </w:rPr>
              <w:t>农户</w:t>
            </w:r>
            <w:r>
              <w:rPr>
                <w:rFonts w:ascii="Times New Roman" w:cs="Times New Roman" w:hint="eastAsia"/>
                <w:sz w:val="21"/>
                <w:szCs w:val="21"/>
              </w:rPr>
              <w:t>27#</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-1390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-350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3</w:t>
            </w:r>
            <w:r>
              <w:rPr>
                <w:rFonts w:ascii="Times New Roman" w:cs="Times New Roman"/>
                <w:sz w:val="21"/>
                <w:szCs w:val="21"/>
              </w:rPr>
              <w:t>户</w:t>
            </w:r>
            <w:r>
              <w:rPr>
                <w:rFonts w:ascii="Times New Roman" w:cs="Times New Roman" w:hint="eastAsia"/>
                <w:sz w:val="21"/>
                <w:szCs w:val="21"/>
              </w:rPr>
              <w:t>10</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1450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28</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普光镇场镇</w:t>
            </w:r>
            <w:r>
              <w:rPr>
                <w:rFonts w:ascii="Times New Roman" w:cs="Times New Roman" w:hint="eastAsia"/>
                <w:sz w:val="21"/>
                <w:szCs w:val="21"/>
              </w:rPr>
              <w:t>28#</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-2080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-850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场镇居民</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1.5</w:t>
            </w:r>
            <w:r>
              <w:rPr>
                <w:rFonts w:ascii="Times New Roman" w:cs="Times New Roman" w:hint="eastAsia"/>
                <w:sz w:val="21"/>
                <w:szCs w:val="21"/>
              </w:rPr>
              <w:t>万</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2300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29</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陡梯村</w:t>
            </w:r>
            <w:r>
              <w:rPr>
                <w:rFonts w:ascii="Times New Roman" w:cs="Times New Roman"/>
                <w:sz w:val="21"/>
                <w:szCs w:val="21"/>
              </w:rPr>
              <w:t>农户</w:t>
            </w:r>
            <w:r>
              <w:rPr>
                <w:rFonts w:ascii="Times New Roman" w:cs="Times New Roman" w:hint="eastAsia"/>
                <w:sz w:val="21"/>
                <w:szCs w:val="21"/>
              </w:rPr>
              <w:t>29#</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-1510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-1390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15</w:t>
            </w:r>
            <w:r>
              <w:rPr>
                <w:rFonts w:ascii="Times New Roman" w:cs="Times New Roman"/>
                <w:sz w:val="21"/>
                <w:szCs w:val="21"/>
              </w:rPr>
              <w:t>户</w:t>
            </w:r>
            <w:r>
              <w:rPr>
                <w:rFonts w:ascii="Times New Roman" w:cs="Times New Roman" w:hint="eastAsia"/>
                <w:sz w:val="21"/>
                <w:szCs w:val="21"/>
              </w:rPr>
              <w:t>50</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2060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30</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李家岩</w:t>
            </w:r>
            <w:r>
              <w:rPr>
                <w:rFonts w:ascii="Times New Roman" w:cs="Times New Roman"/>
                <w:sz w:val="21"/>
                <w:szCs w:val="21"/>
              </w:rPr>
              <w:t>农户</w:t>
            </w:r>
            <w:r>
              <w:rPr>
                <w:rFonts w:ascii="Times New Roman" w:cs="Times New Roman" w:hint="eastAsia"/>
                <w:sz w:val="21"/>
                <w:szCs w:val="21"/>
              </w:rPr>
              <w:t>30#</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-1260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-2000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30</w:t>
            </w:r>
            <w:r>
              <w:rPr>
                <w:rFonts w:ascii="Times New Roman" w:cs="Times New Roman"/>
                <w:sz w:val="21"/>
                <w:szCs w:val="21"/>
              </w:rPr>
              <w:t>户</w:t>
            </w:r>
            <w:r>
              <w:rPr>
                <w:rFonts w:ascii="Times New Roman" w:cs="Times New Roman" w:hint="eastAsia"/>
                <w:sz w:val="21"/>
                <w:szCs w:val="21"/>
              </w:rPr>
              <w:t>95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2420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31</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李家坪</w:t>
            </w:r>
            <w:r>
              <w:rPr>
                <w:rFonts w:ascii="Times New Roman" w:cs="Times New Roman"/>
                <w:sz w:val="21"/>
                <w:szCs w:val="21"/>
              </w:rPr>
              <w:t>农户</w:t>
            </w:r>
            <w:r>
              <w:rPr>
                <w:rFonts w:ascii="Times New Roman" w:cs="Times New Roman" w:hint="eastAsia"/>
                <w:sz w:val="21"/>
                <w:szCs w:val="21"/>
              </w:rPr>
              <w:t>31#</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w:t>
            </w:r>
            <w:r>
              <w:rPr>
                <w:rFonts w:ascii="Times New Roman" w:cs="Times New Roman"/>
                <w:sz w:val="21"/>
                <w:szCs w:val="21"/>
              </w:rPr>
              <w:t>1</w:t>
            </w:r>
            <w:r>
              <w:rPr>
                <w:rFonts w:ascii="Times New Roman" w:cs="Times New Roman" w:hint="eastAsia"/>
                <w:sz w:val="21"/>
                <w:szCs w:val="21"/>
              </w:rPr>
              <w:t>500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-2710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20</w:t>
            </w:r>
            <w:r>
              <w:rPr>
                <w:rFonts w:ascii="Times New Roman" w:cs="Times New Roman"/>
                <w:sz w:val="21"/>
                <w:szCs w:val="21"/>
              </w:rPr>
              <w:t>户</w:t>
            </w:r>
            <w:r>
              <w:rPr>
                <w:rFonts w:ascii="Times New Roman" w:cs="Times New Roman" w:hint="eastAsia"/>
                <w:sz w:val="21"/>
                <w:szCs w:val="21"/>
              </w:rPr>
              <w:t>65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3050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32</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color w:val="FF0000"/>
                <w:sz w:val="21"/>
                <w:szCs w:val="21"/>
              </w:rPr>
            </w:pPr>
            <w:r>
              <w:rPr>
                <w:rFonts w:ascii="Times New Roman" w:cs="Times New Roman" w:hint="eastAsia"/>
                <w:sz w:val="21"/>
                <w:szCs w:val="21"/>
              </w:rPr>
              <w:t>刘家</w:t>
            </w:r>
            <w:r>
              <w:rPr>
                <w:rFonts w:ascii="Times New Roman" w:cs="Times New Roman"/>
                <w:sz w:val="21"/>
                <w:szCs w:val="21"/>
              </w:rPr>
              <w:t>湾农户</w:t>
            </w:r>
            <w:r>
              <w:rPr>
                <w:rFonts w:ascii="Times New Roman" w:cs="Times New Roman" w:hint="eastAsia"/>
                <w:sz w:val="21"/>
                <w:szCs w:val="21"/>
              </w:rPr>
              <w:t>32#</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color w:val="FF0000"/>
                <w:sz w:val="21"/>
                <w:szCs w:val="21"/>
              </w:rPr>
            </w:pPr>
            <w:r>
              <w:rPr>
                <w:rFonts w:ascii="Times New Roman" w:cs="Times New Roman" w:hint="eastAsia"/>
                <w:sz w:val="21"/>
                <w:szCs w:val="21"/>
              </w:rPr>
              <w:t>-2370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color w:val="FF0000"/>
                <w:sz w:val="21"/>
                <w:szCs w:val="21"/>
              </w:rPr>
            </w:pPr>
            <w:r>
              <w:rPr>
                <w:rFonts w:ascii="Times New Roman" w:cs="Times New Roman" w:hint="eastAsia"/>
                <w:sz w:val="21"/>
                <w:szCs w:val="21"/>
              </w:rPr>
              <w:t>-3120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color w:val="FF0000"/>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color w:val="FF0000"/>
                <w:sz w:val="21"/>
                <w:szCs w:val="21"/>
              </w:rPr>
            </w:pPr>
            <w:r>
              <w:rPr>
                <w:rFonts w:ascii="Times New Roman" w:cs="Times New Roman"/>
                <w:sz w:val="21"/>
                <w:szCs w:val="21"/>
              </w:rPr>
              <w:t>约</w:t>
            </w:r>
            <w:r>
              <w:rPr>
                <w:rFonts w:ascii="Times New Roman" w:cs="Times New Roman" w:hint="eastAsia"/>
                <w:sz w:val="21"/>
                <w:szCs w:val="21"/>
              </w:rPr>
              <w:t>15</w:t>
            </w:r>
            <w:r>
              <w:rPr>
                <w:rFonts w:ascii="Times New Roman" w:cs="Times New Roman"/>
                <w:sz w:val="21"/>
                <w:szCs w:val="21"/>
              </w:rPr>
              <w:t>户</w:t>
            </w:r>
            <w:r>
              <w:rPr>
                <w:rFonts w:ascii="Times New Roman" w:cs="Times New Roman" w:hint="eastAsia"/>
                <w:sz w:val="21"/>
                <w:szCs w:val="21"/>
              </w:rPr>
              <w:t>50</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color w:val="FF0000"/>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color w:val="FF0000"/>
                <w:sz w:val="21"/>
                <w:szCs w:val="21"/>
              </w:rPr>
            </w:pPr>
            <w:r>
              <w:rPr>
                <w:rFonts w:ascii="Times New Roman" w:cs="Times New Roman" w:hint="eastAsia"/>
                <w:sz w:val="21"/>
                <w:szCs w:val="21"/>
              </w:rPr>
              <w:t>SW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color w:val="FF0000"/>
                <w:sz w:val="21"/>
                <w:szCs w:val="21"/>
              </w:rPr>
            </w:pPr>
            <w:r>
              <w:rPr>
                <w:rFonts w:ascii="Times New Roman" w:cs="Times New Roman" w:hint="eastAsia"/>
                <w:sz w:val="21"/>
                <w:szCs w:val="21"/>
              </w:rPr>
              <w:t>3940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33</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黄家岩</w:t>
            </w:r>
            <w:r>
              <w:rPr>
                <w:rFonts w:ascii="Times New Roman" w:cs="Times New Roman"/>
                <w:sz w:val="21"/>
                <w:szCs w:val="21"/>
              </w:rPr>
              <w:t>农户</w:t>
            </w:r>
            <w:r>
              <w:rPr>
                <w:rFonts w:ascii="Times New Roman" w:cs="Times New Roman" w:hint="eastAsia"/>
                <w:sz w:val="21"/>
                <w:szCs w:val="21"/>
              </w:rPr>
              <w:t>33#</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-2080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-1580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50</w:t>
            </w:r>
            <w:r>
              <w:rPr>
                <w:rFonts w:ascii="Times New Roman" w:cs="Times New Roman"/>
                <w:sz w:val="21"/>
                <w:szCs w:val="21"/>
              </w:rPr>
              <w:t>户</w:t>
            </w:r>
            <w:r>
              <w:rPr>
                <w:rFonts w:ascii="Times New Roman" w:cs="Times New Roman" w:hint="eastAsia"/>
                <w:sz w:val="21"/>
                <w:szCs w:val="21"/>
              </w:rPr>
              <w:t>155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267</w:t>
            </w:r>
            <w:r>
              <w:rPr>
                <w:rFonts w:ascii="Times New Roman" w:cs="Times New Roman"/>
                <w:sz w:val="21"/>
                <w:szCs w:val="21"/>
              </w:rPr>
              <w:t>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34</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侯家湾</w:t>
            </w:r>
            <w:r>
              <w:rPr>
                <w:rFonts w:ascii="Times New Roman" w:cs="Times New Roman"/>
                <w:sz w:val="21"/>
                <w:szCs w:val="21"/>
              </w:rPr>
              <w:t>农户</w:t>
            </w:r>
            <w:r>
              <w:rPr>
                <w:rFonts w:ascii="Times New Roman" w:cs="Times New Roman" w:hint="eastAsia"/>
                <w:sz w:val="21"/>
                <w:szCs w:val="21"/>
              </w:rPr>
              <w:t>34#</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-3130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-1250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约</w:t>
            </w:r>
            <w:r>
              <w:rPr>
                <w:rFonts w:ascii="Times New Roman" w:cs="Times New Roman" w:hint="eastAsia"/>
                <w:sz w:val="21"/>
                <w:szCs w:val="21"/>
              </w:rPr>
              <w:t>20</w:t>
            </w:r>
            <w:r>
              <w:rPr>
                <w:rFonts w:ascii="Times New Roman" w:cs="Times New Roman" w:hint="eastAsia"/>
                <w:sz w:val="21"/>
                <w:szCs w:val="21"/>
              </w:rPr>
              <w:t>户</w:t>
            </w:r>
            <w:r>
              <w:rPr>
                <w:rFonts w:ascii="Times New Roman" w:cs="Times New Roman" w:hint="eastAsia"/>
                <w:sz w:val="21"/>
                <w:szCs w:val="21"/>
              </w:rPr>
              <w:t>65</w:t>
            </w:r>
            <w:r>
              <w:rPr>
                <w:rFonts w:ascii="Times New Roman" w:cs="Times New Roman" w:hint="eastAsia"/>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3370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35</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石船子</w:t>
            </w:r>
            <w:r>
              <w:rPr>
                <w:rFonts w:ascii="Times New Roman" w:cs="Times New Roman"/>
                <w:sz w:val="21"/>
                <w:szCs w:val="21"/>
              </w:rPr>
              <w:t>农户</w:t>
            </w:r>
            <w:r>
              <w:rPr>
                <w:rFonts w:ascii="Times New Roman" w:cs="Times New Roman" w:hint="eastAsia"/>
                <w:sz w:val="21"/>
                <w:szCs w:val="21"/>
              </w:rPr>
              <w:t>35#</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-1590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-2160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15</w:t>
            </w:r>
            <w:r>
              <w:rPr>
                <w:rFonts w:ascii="Times New Roman" w:cs="Times New Roman"/>
                <w:sz w:val="21"/>
                <w:szCs w:val="21"/>
              </w:rPr>
              <w:t>户</w:t>
            </w:r>
            <w:r>
              <w:rPr>
                <w:rFonts w:ascii="Times New Roman" w:cs="Times New Roman" w:hint="eastAsia"/>
                <w:sz w:val="21"/>
                <w:szCs w:val="21"/>
              </w:rPr>
              <w:t>50</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2690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36</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鲜家湾</w:t>
            </w:r>
            <w:r>
              <w:rPr>
                <w:rFonts w:ascii="Times New Roman" w:cs="Times New Roman"/>
                <w:sz w:val="21"/>
                <w:szCs w:val="21"/>
              </w:rPr>
              <w:t>农户</w:t>
            </w:r>
            <w:r>
              <w:rPr>
                <w:rFonts w:ascii="Times New Roman" w:cs="Times New Roman" w:hint="eastAsia"/>
                <w:sz w:val="21"/>
                <w:szCs w:val="21"/>
              </w:rPr>
              <w:t>36#</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-2910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-2570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30</w:t>
            </w:r>
            <w:r>
              <w:rPr>
                <w:rFonts w:ascii="Times New Roman" w:cs="Times New Roman"/>
                <w:sz w:val="21"/>
                <w:szCs w:val="21"/>
              </w:rPr>
              <w:t>户</w:t>
            </w:r>
            <w:r>
              <w:rPr>
                <w:rFonts w:ascii="Times New Roman" w:cs="Times New Roman" w:hint="eastAsia"/>
                <w:sz w:val="21"/>
                <w:szCs w:val="21"/>
              </w:rPr>
              <w:t>95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3860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37</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严家湾</w:t>
            </w:r>
            <w:r>
              <w:rPr>
                <w:rFonts w:ascii="Times New Roman" w:cs="Times New Roman"/>
                <w:sz w:val="21"/>
                <w:szCs w:val="21"/>
              </w:rPr>
              <w:t>农户</w:t>
            </w:r>
            <w:r>
              <w:rPr>
                <w:rFonts w:ascii="Times New Roman" w:cs="Times New Roman" w:hint="eastAsia"/>
                <w:sz w:val="21"/>
                <w:szCs w:val="21"/>
              </w:rPr>
              <w:t>37#</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-1900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-4120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15</w:t>
            </w:r>
            <w:r>
              <w:rPr>
                <w:rFonts w:ascii="Times New Roman" w:cs="Times New Roman"/>
                <w:sz w:val="21"/>
                <w:szCs w:val="21"/>
              </w:rPr>
              <w:t>户</w:t>
            </w:r>
            <w:r>
              <w:rPr>
                <w:rFonts w:ascii="Times New Roman" w:cs="Times New Roman" w:hint="eastAsia"/>
                <w:sz w:val="21"/>
                <w:szCs w:val="21"/>
              </w:rPr>
              <w:t>50</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4670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38</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子坝村</w:t>
            </w:r>
            <w:r>
              <w:rPr>
                <w:rFonts w:ascii="Times New Roman" w:cs="Times New Roman"/>
                <w:sz w:val="21"/>
                <w:szCs w:val="21"/>
              </w:rPr>
              <w:t>农户</w:t>
            </w:r>
            <w:r>
              <w:rPr>
                <w:rFonts w:ascii="Times New Roman" w:cs="Times New Roman" w:hint="eastAsia"/>
                <w:sz w:val="21"/>
                <w:szCs w:val="21"/>
              </w:rPr>
              <w:t>38#</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-3000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-3570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约</w:t>
            </w:r>
            <w:r>
              <w:rPr>
                <w:rFonts w:ascii="Times New Roman" w:cs="Times New Roman" w:hint="eastAsia"/>
                <w:sz w:val="21"/>
                <w:szCs w:val="21"/>
              </w:rPr>
              <w:t>20</w:t>
            </w:r>
            <w:r>
              <w:rPr>
                <w:rFonts w:ascii="Times New Roman" w:cs="Times New Roman" w:hint="eastAsia"/>
                <w:sz w:val="21"/>
                <w:szCs w:val="21"/>
              </w:rPr>
              <w:t>户</w:t>
            </w:r>
            <w:r>
              <w:rPr>
                <w:rFonts w:ascii="Times New Roman" w:cs="Times New Roman" w:hint="eastAsia"/>
                <w:sz w:val="21"/>
                <w:szCs w:val="21"/>
              </w:rPr>
              <w:t>65</w:t>
            </w:r>
            <w:r>
              <w:rPr>
                <w:rFonts w:ascii="Times New Roman" w:cs="Times New Roman" w:hint="eastAsia"/>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4740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39</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乔家坡</w:t>
            </w:r>
            <w:r>
              <w:rPr>
                <w:rFonts w:ascii="Times New Roman" w:cs="Times New Roman"/>
                <w:sz w:val="21"/>
                <w:szCs w:val="21"/>
              </w:rPr>
              <w:t>农户</w:t>
            </w:r>
            <w:r>
              <w:rPr>
                <w:rFonts w:ascii="Times New Roman" w:cs="Times New Roman" w:hint="eastAsia"/>
                <w:sz w:val="21"/>
                <w:szCs w:val="21"/>
              </w:rPr>
              <w:t>39#</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-3600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-2860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5</w:t>
            </w:r>
            <w:r>
              <w:rPr>
                <w:rFonts w:ascii="Times New Roman" w:cs="Times New Roman"/>
                <w:sz w:val="21"/>
                <w:szCs w:val="21"/>
              </w:rPr>
              <w:t>户</w:t>
            </w:r>
            <w:r>
              <w:rPr>
                <w:rFonts w:ascii="Times New Roman" w:cs="Times New Roman" w:hint="eastAsia"/>
                <w:sz w:val="21"/>
                <w:szCs w:val="21"/>
              </w:rPr>
              <w:t>15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4640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40</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铜坎村</w:t>
            </w:r>
            <w:r>
              <w:rPr>
                <w:rFonts w:ascii="Times New Roman" w:cs="Times New Roman"/>
                <w:sz w:val="21"/>
                <w:szCs w:val="21"/>
              </w:rPr>
              <w:t>农户</w:t>
            </w:r>
            <w:r>
              <w:rPr>
                <w:rFonts w:ascii="Times New Roman" w:cs="Times New Roman" w:hint="eastAsia"/>
                <w:sz w:val="21"/>
                <w:szCs w:val="21"/>
              </w:rPr>
              <w:t>40#</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-4230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-1090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rsidP="009E70FB">
            <w:pPr>
              <w:spacing w:line="240" w:lineRule="auto"/>
              <w:ind w:firstLineChars="0" w:firstLine="0"/>
              <w:jc w:val="center"/>
              <w:rPr>
                <w:rFonts w:ascii="Times New Roman" w:cs="Times New Roman"/>
                <w:sz w:val="21"/>
                <w:szCs w:val="21"/>
              </w:rPr>
            </w:pPr>
            <w:r>
              <w:rPr>
                <w:rFonts w:ascii="Times New Roman" w:cs="Times New Roman"/>
                <w:sz w:val="21"/>
                <w:szCs w:val="21"/>
              </w:rPr>
              <w:t>约</w:t>
            </w:r>
            <w:r w:rsidR="009E70FB">
              <w:rPr>
                <w:rFonts w:ascii="Times New Roman" w:cs="Times New Roman" w:hint="eastAsia"/>
                <w:sz w:val="21"/>
                <w:szCs w:val="21"/>
              </w:rPr>
              <w:t>15</w:t>
            </w:r>
            <w:r>
              <w:rPr>
                <w:rFonts w:ascii="Times New Roman" w:cs="Times New Roman"/>
                <w:sz w:val="21"/>
                <w:szCs w:val="21"/>
              </w:rPr>
              <w:t>户</w:t>
            </w:r>
            <w:r w:rsidR="009E70FB">
              <w:rPr>
                <w:rFonts w:ascii="Times New Roman" w:cs="Times New Roman" w:hint="eastAsia"/>
                <w:sz w:val="21"/>
                <w:szCs w:val="21"/>
              </w:rPr>
              <w:t>55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4400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41</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进化村</w:t>
            </w:r>
            <w:r>
              <w:rPr>
                <w:rFonts w:ascii="Times New Roman" w:cs="Times New Roman"/>
                <w:sz w:val="21"/>
                <w:szCs w:val="21"/>
              </w:rPr>
              <w:t>农户</w:t>
            </w:r>
            <w:r>
              <w:rPr>
                <w:rFonts w:ascii="Times New Roman" w:cs="Times New Roman" w:hint="eastAsia"/>
                <w:sz w:val="21"/>
                <w:szCs w:val="21"/>
              </w:rPr>
              <w:t>41#</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-2710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-530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70</w:t>
            </w:r>
            <w:r>
              <w:rPr>
                <w:rFonts w:ascii="Times New Roman" w:cs="Times New Roman"/>
                <w:sz w:val="21"/>
                <w:szCs w:val="21"/>
              </w:rPr>
              <w:t>户</w:t>
            </w:r>
            <w:r>
              <w:rPr>
                <w:rFonts w:ascii="Times New Roman" w:cs="Times New Roman" w:hint="eastAsia"/>
                <w:sz w:val="21"/>
                <w:szCs w:val="21"/>
              </w:rPr>
              <w:t>240</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2820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42</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楼幅湾</w:t>
            </w:r>
            <w:r>
              <w:rPr>
                <w:rFonts w:ascii="Times New Roman" w:cs="Times New Roman"/>
                <w:sz w:val="21"/>
                <w:szCs w:val="21"/>
              </w:rPr>
              <w:t>农户</w:t>
            </w:r>
            <w:r>
              <w:rPr>
                <w:rFonts w:ascii="Times New Roman" w:cs="Times New Roman" w:hint="eastAsia"/>
                <w:sz w:val="21"/>
                <w:szCs w:val="21"/>
              </w:rPr>
              <w:t>42#</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-3600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-290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90</w:t>
            </w:r>
            <w:r>
              <w:rPr>
                <w:rFonts w:ascii="Times New Roman" w:cs="Times New Roman"/>
                <w:sz w:val="21"/>
                <w:szCs w:val="21"/>
              </w:rPr>
              <w:t>户</w:t>
            </w:r>
            <w:r>
              <w:rPr>
                <w:rFonts w:ascii="Times New Roman" w:cs="Times New Roman" w:hint="eastAsia"/>
                <w:sz w:val="21"/>
                <w:szCs w:val="21"/>
              </w:rPr>
              <w:t>350</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3700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43</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张家坝</w:t>
            </w:r>
            <w:r>
              <w:rPr>
                <w:rFonts w:ascii="Times New Roman" w:cs="Times New Roman"/>
                <w:sz w:val="21"/>
                <w:szCs w:val="21"/>
              </w:rPr>
              <w:t>农户</w:t>
            </w:r>
            <w:r>
              <w:rPr>
                <w:rFonts w:ascii="Times New Roman" w:cs="Times New Roman" w:hint="eastAsia"/>
                <w:sz w:val="21"/>
                <w:szCs w:val="21"/>
              </w:rPr>
              <w:t>43#</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-2340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50</w:t>
            </w:r>
            <w:r>
              <w:rPr>
                <w:rFonts w:ascii="Times New Roman" w:cs="Times New Roman"/>
                <w:sz w:val="21"/>
                <w:szCs w:val="21"/>
              </w:rPr>
              <w:t>户</w:t>
            </w:r>
            <w:r>
              <w:rPr>
                <w:rFonts w:ascii="Times New Roman" w:cs="Times New Roman" w:hint="eastAsia"/>
                <w:sz w:val="21"/>
                <w:szCs w:val="21"/>
              </w:rPr>
              <w:t>155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2340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lastRenderedPageBreak/>
              <w:t>44</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诸家湾</w:t>
            </w:r>
            <w:r>
              <w:rPr>
                <w:rFonts w:ascii="Times New Roman" w:cs="Times New Roman"/>
                <w:sz w:val="21"/>
                <w:szCs w:val="21"/>
              </w:rPr>
              <w:t>农户</w:t>
            </w:r>
            <w:r>
              <w:rPr>
                <w:rFonts w:ascii="Times New Roman" w:cs="Times New Roman" w:hint="eastAsia"/>
                <w:sz w:val="21"/>
                <w:szCs w:val="21"/>
              </w:rPr>
              <w:t>44#</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-3210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55</w:t>
            </w:r>
            <w:r>
              <w:rPr>
                <w:rFonts w:ascii="Times New Roman" w:cs="Times New Roman"/>
                <w:sz w:val="21"/>
                <w:szCs w:val="21"/>
              </w:rPr>
              <w:t>户</w:t>
            </w:r>
            <w:r>
              <w:rPr>
                <w:rFonts w:ascii="Times New Roman" w:cs="Times New Roman" w:hint="eastAsia"/>
                <w:sz w:val="21"/>
                <w:szCs w:val="21"/>
              </w:rPr>
              <w:t>165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3210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45</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邱家坝</w:t>
            </w:r>
            <w:r>
              <w:rPr>
                <w:rFonts w:ascii="Times New Roman" w:cs="Times New Roman"/>
                <w:sz w:val="21"/>
                <w:szCs w:val="21"/>
              </w:rPr>
              <w:t>农户</w:t>
            </w:r>
            <w:r>
              <w:rPr>
                <w:rFonts w:ascii="Times New Roman" w:cs="Times New Roman" w:hint="eastAsia"/>
                <w:sz w:val="21"/>
                <w:szCs w:val="21"/>
              </w:rPr>
              <w:t>45#</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-4290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460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5</w:t>
            </w:r>
            <w:r>
              <w:rPr>
                <w:rFonts w:ascii="Times New Roman" w:cs="Times New Roman"/>
                <w:sz w:val="21"/>
                <w:szCs w:val="21"/>
              </w:rPr>
              <w:t>户</w:t>
            </w:r>
            <w:r>
              <w:rPr>
                <w:rFonts w:ascii="Times New Roman" w:cs="Times New Roman" w:hint="eastAsia"/>
                <w:sz w:val="21"/>
                <w:szCs w:val="21"/>
              </w:rPr>
              <w:t>15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NW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4350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46</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小树林</w:t>
            </w:r>
            <w:r>
              <w:rPr>
                <w:rFonts w:ascii="Times New Roman" w:cs="Times New Roman"/>
                <w:sz w:val="21"/>
                <w:szCs w:val="21"/>
              </w:rPr>
              <w:t>农户</w:t>
            </w:r>
            <w:r>
              <w:rPr>
                <w:rFonts w:ascii="Times New Roman" w:cs="Times New Roman" w:hint="eastAsia"/>
                <w:sz w:val="21"/>
                <w:szCs w:val="21"/>
              </w:rPr>
              <w:t>46#</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-2760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860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15</w:t>
            </w:r>
            <w:r>
              <w:rPr>
                <w:rFonts w:ascii="Times New Roman" w:cs="Times New Roman"/>
                <w:sz w:val="21"/>
                <w:szCs w:val="21"/>
              </w:rPr>
              <w:t>户</w:t>
            </w:r>
            <w:r>
              <w:rPr>
                <w:rFonts w:ascii="Times New Roman" w:cs="Times New Roman" w:hint="eastAsia"/>
                <w:sz w:val="21"/>
                <w:szCs w:val="21"/>
              </w:rPr>
              <w:t>50</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NW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2890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47</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大树林</w:t>
            </w:r>
            <w:r>
              <w:rPr>
                <w:rFonts w:ascii="Times New Roman" w:cs="Times New Roman"/>
                <w:sz w:val="21"/>
                <w:szCs w:val="21"/>
              </w:rPr>
              <w:t>农户</w:t>
            </w:r>
            <w:r>
              <w:rPr>
                <w:rFonts w:ascii="Times New Roman" w:cs="Times New Roman" w:hint="eastAsia"/>
                <w:sz w:val="21"/>
                <w:szCs w:val="21"/>
              </w:rPr>
              <w:t>47#</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-2190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1250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20</w:t>
            </w:r>
            <w:r>
              <w:rPr>
                <w:rFonts w:ascii="Times New Roman" w:cs="Times New Roman"/>
                <w:sz w:val="21"/>
                <w:szCs w:val="21"/>
              </w:rPr>
              <w:t>户</w:t>
            </w:r>
            <w:r>
              <w:rPr>
                <w:rFonts w:ascii="Times New Roman" w:cs="Times New Roman" w:hint="eastAsia"/>
                <w:sz w:val="21"/>
                <w:szCs w:val="21"/>
              </w:rPr>
              <w:t>65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NW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2500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48</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流杯湾</w:t>
            </w:r>
            <w:r>
              <w:rPr>
                <w:rFonts w:ascii="Times New Roman" w:cs="Times New Roman"/>
                <w:sz w:val="21"/>
                <w:szCs w:val="21"/>
              </w:rPr>
              <w:t>农户</w:t>
            </w:r>
            <w:r>
              <w:rPr>
                <w:rFonts w:ascii="Times New Roman" w:cs="Times New Roman" w:hint="eastAsia"/>
                <w:sz w:val="21"/>
                <w:szCs w:val="21"/>
              </w:rPr>
              <w:t>48#</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-1590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600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30</w:t>
            </w:r>
            <w:r>
              <w:rPr>
                <w:rFonts w:ascii="Times New Roman" w:cs="Times New Roman"/>
                <w:sz w:val="21"/>
                <w:szCs w:val="21"/>
              </w:rPr>
              <w:t>户</w:t>
            </w:r>
            <w:r>
              <w:rPr>
                <w:rFonts w:ascii="Times New Roman" w:cs="Times New Roman" w:hint="eastAsia"/>
                <w:sz w:val="21"/>
                <w:szCs w:val="21"/>
              </w:rPr>
              <w:t>95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NW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1690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49</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桥沟</w:t>
            </w:r>
            <w:r>
              <w:rPr>
                <w:rFonts w:ascii="Times New Roman" w:cs="Times New Roman"/>
                <w:sz w:val="21"/>
                <w:szCs w:val="21"/>
              </w:rPr>
              <w:t>农户</w:t>
            </w:r>
            <w:r>
              <w:rPr>
                <w:rFonts w:ascii="Times New Roman" w:cs="Times New Roman" w:hint="eastAsia"/>
                <w:sz w:val="21"/>
                <w:szCs w:val="21"/>
              </w:rPr>
              <w:t>49#</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-2710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1860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约</w:t>
            </w:r>
            <w:r>
              <w:rPr>
                <w:rFonts w:ascii="Times New Roman" w:cs="Times New Roman" w:hint="eastAsia"/>
                <w:sz w:val="21"/>
                <w:szCs w:val="21"/>
              </w:rPr>
              <w:t>2</w:t>
            </w:r>
            <w:r>
              <w:rPr>
                <w:rFonts w:ascii="Times New Roman" w:cs="Times New Roman" w:hint="eastAsia"/>
                <w:sz w:val="21"/>
                <w:szCs w:val="21"/>
              </w:rPr>
              <w:t>户</w:t>
            </w:r>
            <w:r>
              <w:rPr>
                <w:rFonts w:ascii="Times New Roman" w:cs="Times New Roman" w:hint="eastAsia"/>
                <w:sz w:val="21"/>
                <w:szCs w:val="21"/>
              </w:rPr>
              <w:t>7</w:t>
            </w:r>
            <w:r>
              <w:rPr>
                <w:rFonts w:ascii="Times New Roman" w:cs="Times New Roman" w:hint="eastAsia"/>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NW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3300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50</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孙家坝</w:t>
            </w:r>
            <w:r>
              <w:rPr>
                <w:rFonts w:ascii="Times New Roman" w:cs="Times New Roman"/>
                <w:sz w:val="21"/>
                <w:szCs w:val="21"/>
              </w:rPr>
              <w:t>农户</w:t>
            </w:r>
            <w:r>
              <w:rPr>
                <w:rFonts w:ascii="Times New Roman" w:cs="Times New Roman" w:hint="eastAsia"/>
                <w:sz w:val="21"/>
                <w:szCs w:val="21"/>
              </w:rPr>
              <w:t>50#</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-1280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1850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15</w:t>
            </w:r>
            <w:r>
              <w:rPr>
                <w:rFonts w:ascii="Times New Roman" w:cs="Times New Roman"/>
                <w:sz w:val="21"/>
                <w:szCs w:val="21"/>
              </w:rPr>
              <w:t>户</w:t>
            </w:r>
            <w:r>
              <w:rPr>
                <w:rFonts w:ascii="Times New Roman" w:cs="Times New Roman" w:hint="eastAsia"/>
                <w:sz w:val="21"/>
                <w:szCs w:val="21"/>
              </w:rPr>
              <w:t>50</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NW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2240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51</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灯笼村</w:t>
            </w:r>
            <w:r>
              <w:rPr>
                <w:rFonts w:ascii="Times New Roman" w:cs="Times New Roman"/>
                <w:sz w:val="21"/>
                <w:szCs w:val="21"/>
              </w:rPr>
              <w:t>农户</w:t>
            </w:r>
            <w:r>
              <w:rPr>
                <w:rFonts w:ascii="Times New Roman" w:cs="Times New Roman" w:hint="eastAsia"/>
                <w:sz w:val="21"/>
                <w:szCs w:val="21"/>
              </w:rPr>
              <w:t>51#</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-1900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3050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5</w:t>
            </w:r>
            <w:r>
              <w:rPr>
                <w:rFonts w:ascii="Times New Roman" w:cs="Times New Roman"/>
                <w:sz w:val="21"/>
                <w:szCs w:val="21"/>
              </w:rPr>
              <w:t>户</w:t>
            </w:r>
            <w:r>
              <w:rPr>
                <w:rFonts w:ascii="Times New Roman" w:cs="Times New Roman" w:hint="eastAsia"/>
                <w:sz w:val="21"/>
                <w:szCs w:val="21"/>
              </w:rPr>
              <w:t>15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bCs/>
                <w:sz w:val="21"/>
                <w:szCs w:val="21"/>
              </w:rPr>
              <w:t>NW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3530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52</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黄家山</w:t>
            </w:r>
            <w:r>
              <w:rPr>
                <w:rFonts w:ascii="Times New Roman" w:cs="Times New Roman"/>
                <w:sz w:val="21"/>
                <w:szCs w:val="21"/>
              </w:rPr>
              <w:t>农户</w:t>
            </w:r>
            <w:r>
              <w:rPr>
                <w:rFonts w:ascii="Times New Roman" w:cs="Times New Roman" w:hint="eastAsia"/>
                <w:sz w:val="21"/>
                <w:szCs w:val="21"/>
              </w:rPr>
              <w:t>52#</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-3650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2960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22</w:t>
            </w:r>
            <w:r>
              <w:rPr>
                <w:rFonts w:ascii="Times New Roman" w:cs="Times New Roman"/>
                <w:sz w:val="21"/>
                <w:szCs w:val="21"/>
              </w:rPr>
              <w:t>户</w:t>
            </w:r>
            <w:r>
              <w:rPr>
                <w:rFonts w:ascii="Times New Roman" w:cs="Times New Roman" w:hint="eastAsia"/>
                <w:sz w:val="21"/>
                <w:szCs w:val="21"/>
              </w:rPr>
              <w:t>78</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bCs/>
                <w:sz w:val="21"/>
                <w:szCs w:val="21"/>
              </w:rPr>
              <w:t>NW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4740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53</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尖包粱</w:t>
            </w:r>
            <w:r>
              <w:rPr>
                <w:rFonts w:ascii="Times New Roman" w:cs="Times New Roman"/>
                <w:sz w:val="21"/>
                <w:szCs w:val="21"/>
              </w:rPr>
              <w:t>农户</w:t>
            </w:r>
            <w:r>
              <w:rPr>
                <w:rFonts w:ascii="Times New Roman" w:cs="Times New Roman" w:hint="eastAsia"/>
                <w:sz w:val="21"/>
                <w:szCs w:val="21"/>
              </w:rPr>
              <w:t>53#</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-3890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3490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5</w:t>
            </w:r>
            <w:r>
              <w:rPr>
                <w:rFonts w:ascii="Times New Roman" w:cs="Times New Roman"/>
                <w:sz w:val="21"/>
                <w:szCs w:val="21"/>
              </w:rPr>
              <w:t>户</w:t>
            </w:r>
            <w:r>
              <w:rPr>
                <w:rFonts w:ascii="Times New Roman" w:cs="Times New Roman" w:hint="eastAsia"/>
                <w:sz w:val="21"/>
                <w:szCs w:val="21"/>
              </w:rPr>
              <w:t>15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bCs/>
                <w:sz w:val="21"/>
                <w:szCs w:val="21"/>
              </w:rPr>
              <w:t>NW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5140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54</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灯笼坪</w:t>
            </w:r>
            <w:r>
              <w:rPr>
                <w:rFonts w:ascii="Times New Roman" w:cs="Times New Roman"/>
                <w:sz w:val="21"/>
                <w:szCs w:val="21"/>
              </w:rPr>
              <w:t>农户</w:t>
            </w:r>
            <w:r>
              <w:rPr>
                <w:rFonts w:ascii="Times New Roman" w:cs="Times New Roman" w:hint="eastAsia"/>
                <w:sz w:val="21"/>
                <w:szCs w:val="21"/>
              </w:rPr>
              <w:t>54#</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-2700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3550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约</w:t>
            </w:r>
            <w:r>
              <w:rPr>
                <w:rFonts w:ascii="Times New Roman" w:cs="Times New Roman" w:hint="eastAsia"/>
                <w:sz w:val="21"/>
                <w:szCs w:val="21"/>
              </w:rPr>
              <w:t>25</w:t>
            </w:r>
            <w:r>
              <w:rPr>
                <w:rFonts w:ascii="Times New Roman" w:cs="Times New Roman" w:hint="eastAsia"/>
                <w:sz w:val="21"/>
                <w:szCs w:val="21"/>
              </w:rPr>
              <w:t>户</w:t>
            </w:r>
            <w:r>
              <w:rPr>
                <w:rFonts w:ascii="Times New Roman" w:cs="Times New Roman" w:hint="eastAsia"/>
                <w:sz w:val="21"/>
                <w:szCs w:val="21"/>
              </w:rPr>
              <w:t>75</w:t>
            </w:r>
            <w:r>
              <w:rPr>
                <w:rFonts w:ascii="Times New Roman" w:cs="Times New Roman" w:hint="eastAsia"/>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bCs/>
                <w:sz w:val="21"/>
                <w:szCs w:val="21"/>
              </w:rPr>
              <w:t>NW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4450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55</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芭蕉村</w:t>
            </w:r>
            <w:r>
              <w:rPr>
                <w:rFonts w:ascii="Times New Roman" w:cs="Times New Roman"/>
                <w:sz w:val="21"/>
                <w:szCs w:val="21"/>
              </w:rPr>
              <w:t>农户</w:t>
            </w:r>
            <w:r>
              <w:rPr>
                <w:rFonts w:ascii="Times New Roman" w:cs="Times New Roman" w:hint="eastAsia"/>
                <w:sz w:val="21"/>
                <w:szCs w:val="21"/>
              </w:rPr>
              <w:t>55#</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-1000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1640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220</w:t>
            </w:r>
            <w:r>
              <w:rPr>
                <w:rFonts w:ascii="Times New Roman" w:cs="Times New Roman"/>
                <w:sz w:val="21"/>
                <w:szCs w:val="21"/>
              </w:rPr>
              <w:t>户</w:t>
            </w:r>
            <w:r>
              <w:rPr>
                <w:rFonts w:ascii="Times New Roman" w:cs="Times New Roman" w:hint="eastAsia"/>
                <w:sz w:val="21"/>
                <w:szCs w:val="21"/>
              </w:rPr>
              <w:t>850</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NW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1830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56</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盛家沟</w:t>
            </w:r>
            <w:r>
              <w:rPr>
                <w:rFonts w:ascii="Times New Roman" w:cs="Times New Roman"/>
                <w:sz w:val="21"/>
                <w:szCs w:val="21"/>
              </w:rPr>
              <w:t>农户</w:t>
            </w:r>
            <w:r>
              <w:rPr>
                <w:rFonts w:ascii="Times New Roman" w:cs="Times New Roman" w:hint="eastAsia"/>
                <w:sz w:val="21"/>
                <w:szCs w:val="21"/>
              </w:rPr>
              <w:t>56#</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-740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2450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约</w:t>
            </w:r>
            <w:r>
              <w:rPr>
                <w:rFonts w:ascii="Times New Roman" w:cs="Times New Roman" w:hint="eastAsia"/>
                <w:sz w:val="21"/>
                <w:szCs w:val="21"/>
              </w:rPr>
              <w:t>20</w:t>
            </w:r>
            <w:r>
              <w:rPr>
                <w:rFonts w:ascii="Times New Roman" w:cs="Times New Roman" w:hint="eastAsia"/>
                <w:sz w:val="21"/>
                <w:szCs w:val="21"/>
              </w:rPr>
              <w:t>户</w:t>
            </w:r>
            <w:r>
              <w:rPr>
                <w:rFonts w:ascii="Times New Roman" w:cs="Times New Roman" w:hint="eastAsia"/>
                <w:sz w:val="21"/>
                <w:szCs w:val="21"/>
              </w:rPr>
              <w:t>65</w:t>
            </w:r>
            <w:r>
              <w:rPr>
                <w:rFonts w:ascii="Times New Roman" w:cs="Times New Roman" w:hint="eastAsia"/>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bCs/>
                <w:sz w:val="21"/>
                <w:szCs w:val="21"/>
              </w:rPr>
              <w:t>NW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2550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57</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马马上</w:t>
            </w:r>
            <w:r>
              <w:rPr>
                <w:rFonts w:ascii="Times New Roman" w:cs="Times New Roman"/>
                <w:sz w:val="21"/>
                <w:szCs w:val="21"/>
              </w:rPr>
              <w:t>农户</w:t>
            </w:r>
            <w:r>
              <w:rPr>
                <w:rFonts w:ascii="Times New Roman" w:cs="Times New Roman" w:hint="eastAsia"/>
                <w:sz w:val="21"/>
                <w:szCs w:val="21"/>
              </w:rPr>
              <w:t>57#</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-730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3970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10</w:t>
            </w:r>
            <w:r>
              <w:rPr>
                <w:rFonts w:ascii="Times New Roman" w:cs="Times New Roman"/>
                <w:sz w:val="21"/>
                <w:szCs w:val="21"/>
              </w:rPr>
              <w:t>户</w:t>
            </w:r>
            <w:r>
              <w:rPr>
                <w:rFonts w:ascii="Times New Roman" w:cs="Times New Roman" w:hint="eastAsia"/>
                <w:sz w:val="21"/>
                <w:szCs w:val="21"/>
              </w:rPr>
              <w:t>35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bCs/>
                <w:sz w:val="21"/>
                <w:szCs w:val="21"/>
              </w:rPr>
              <w:t>NW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4000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58</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毛坪</w:t>
            </w:r>
            <w:r>
              <w:rPr>
                <w:rFonts w:ascii="Times New Roman" w:cs="Times New Roman"/>
                <w:sz w:val="21"/>
                <w:szCs w:val="21"/>
              </w:rPr>
              <w:t>农户</w:t>
            </w:r>
            <w:r>
              <w:rPr>
                <w:rFonts w:ascii="Times New Roman" w:cs="Times New Roman" w:hint="eastAsia"/>
                <w:sz w:val="21"/>
                <w:szCs w:val="21"/>
              </w:rPr>
              <w:t>58#</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-780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4580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8</w:t>
            </w:r>
            <w:r>
              <w:rPr>
                <w:rFonts w:ascii="Times New Roman" w:cs="Times New Roman"/>
                <w:sz w:val="21"/>
                <w:szCs w:val="21"/>
              </w:rPr>
              <w:t>户</w:t>
            </w:r>
            <w:r>
              <w:rPr>
                <w:rFonts w:ascii="Times New Roman" w:cs="Times New Roman" w:hint="eastAsia"/>
                <w:sz w:val="21"/>
                <w:szCs w:val="21"/>
              </w:rPr>
              <w:t>30</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NW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4650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59</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王家湾</w:t>
            </w:r>
            <w:r>
              <w:rPr>
                <w:rFonts w:ascii="Times New Roman" w:cs="Times New Roman"/>
                <w:sz w:val="21"/>
                <w:szCs w:val="21"/>
              </w:rPr>
              <w:t>农户</w:t>
            </w:r>
            <w:r>
              <w:rPr>
                <w:rFonts w:ascii="Times New Roman" w:cs="Times New Roman" w:hint="eastAsia"/>
                <w:sz w:val="21"/>
                <w:szCs w:val="21"/>
              </w:rPr>
              <w:t>59#</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2300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10</w:t>
            </w:r>
            <w:r>
              <w:rPr>
                <w:rFonts w:ascii="Times New Roman" w:cs="Times New Roman"/>
                <w:sz w:val="21"/>
                <w:szCs w:val="21"/>
              </w:rPr>
              <w:t>户</w:t>
            </w:r>
            <w:r>
              <w:rPr>
                <w:rFonts w:ascii="Times New Roman" w:cs="Times New Roman" w:hint="eastAsia"/>
                <w:sz w:val="21"/>
                <w:szCs w:val="21"/>
              </w:rPr>
              <w:t>35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NW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2300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60</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8A6122">
            <w:pPr>
              <w:spacing w:line="240" w:lineRule="auto"/>
              <w:ind w:firstLineChars="0" w:firstLine="0"/>
              <w:jc w:val="center"/>
              <w:rPr>
                <w:rFonts w:ascii="Times New Roman" w:cs="Times New Roman"/>
                <w:sz w:val="21"/>
                <w:szCs w:val="21"/>
              </w:rPr>
            </w:pPr>
            <w:r>
              <w:rPr>
                <w:rFonts w:ascii="Times New Roman" w:cs="Times New Roman" w:hint="eastAsia"/>
                <w:sz w:val="21"/>
                <w:szCs w:val="21"/>
              </w:rPr>
              <w:t>干</w:t>
            </w:r>
            <w:r w:rsidR="00F64314">
              <w:rPr>
                <w:rFonts w:ascii="Times New Roman" w:cs="Times New Roman" w:hint="eastAsia"/>
                <w:sz w:val="21"/>
                <w:szCs w:val="21"/>
              </w:rPr>
              <w:t>河沟</w:t>
            </w:r>
            <w:r w:rsidR="00F64314">
              <w:rPr>
                <w:rFonts w:ascii="Times New Roman" w:cs="Times New Roman"/>
                <w:sz w:val="21"/>
                <w:szCs w:val="21"/>
              </w:rPr>
              <w:t>农户</w:t>
            </w:r>
            <w:r w:rsidR="00F64314">
              <w:rPr>
                <w:rFonts w:ascii="Times New Roman" w:cs="Times New Roman" w:hint="eastAsia"/>
                <w:sz w:val="21"/>
                <w:szCs w:val="21"/>
              </w:rPr>
              <w:t>60#</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370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190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约</w:t>
            </w:r>
            <w:r>
              <w:rPr>
                <w:rFonts w:ascii="Times New Roman" w:cs="Times New Roman" w:hint="eastAsia"/>
                <w:sz w:val="21"/>
                <w:szCs w:val="21"/>
              </w:rPr>
              <w:t>25</w:t>
            </w:r>
            <w:r>
              <w:rPr>
                <w:rFonts w:ascii="Times New Roman" w:cs="Times New Roman" w:hint="eastAsia"/>
                <w:sz w:val="21"/>
                <w:szCs w:val="21"/>
              </w:rPr>
              <w:t>户</w:t>
            </w:r>
            <w:r>
              <w:rPr>
                <w:rFonts w:ascii="Times New Roman" w:cs="Times New Roman" w:hint="eastAsia"/>
                <w:sz w:val="21"/>
                <w:szCs w:val="21"/>
              </w:rPr>
              <w:t>75</w:t>
            </w:r>
            <w:r>
              <w:rPr>
                <w:rFonts w:ascii="Times New Roman" w:cs="Times New Roman" w:hint="eastAsia"/>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bCs/>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420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61</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Pr="004841B2" w:rsidRDefault="00F64314">
            <w:pPr>
              <w:spacing w:line="240" w:lineRule="auto"/>
              <w:ind w:firstLineChars="0" w:firstLine="0"/>
              <w:jc w:val="center"/>
              <w:rPr>
                <w:rFonts w:ascii="Times New Roman" w:cs="Times New Roman"/>
                <w:color w:val="FF0000"/>
                <w:sz w:val="21"/>
                <w:szCs w:val="21"/>
              </w:rPr>
            </w:pPr>
            <w:r w:rsidRPr="004841B2">
              <w:rPr>
                <w:rFonts w:ascii="Times New Roman" w:cs="Times New Roman" w:hint="eastAsia"/>
                <w:color w:val="FF0000"/>
                <w:sz w:val="21"/>
                <w:szCs w:val="21"/>
              </w:rPr>
              <w:t>北斗村</w:t>
            </w:r>
            <w:r w:rsidRPr="004841B2">
              <w:rPr>
                <w:rFonts w:ascii="Times New Roman" w:cs="Times New Roman"/>
                <w:color w:val="FF0000"/>
                <w:sz w:val="21"/>
                <w:szCs w:val="21"/>
              </w:rPr>
              <w:t>农户</w:t>
            </w:r>
            <w:r w:rsidRPr="004841B2">
              <w:rPr>
                <w:rFonts w:ascii="Times New Roman" w:cs="Times New Roman" w:hint="eastAsia"/>
                <w:color w:val="FF0000"/>
                <w:sz w:val="21"/>
                <w:szCs w:val="21"/>
              </w:rPr>
              <w:t>61#</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840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620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15</w:t>
            </w:r>
            <w:r>
              <w:rPr>
                <w:rFonts w:ascii="Times New Roman" w:cs="Times New Roman"/>
                <w:sz w:val="21"/>
                <w:szCs w:val="21"/>
              </w:rPr>
              <w:t>户</w:t>
            </w:r>
            <w:r>
              <w:rPr>
                <w:rFonts w:ascii="Times New Roman" w:cs="Times New Roman" w:hint="eastAsia"/>
                <w:sz w:val="21"/>
                <w:szCs w:val="21"/>
              </w:rPr>
              <w:t>50</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1030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62</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hAnsi="宋体" w:cs="Times New Roman"/>
                <w:sz w:val="21"/>
                <w:szCs w:val="21"/>
              </w:rPr>
            </w:pPr>
            <w:r>
              <w:rPr>
                <w:rFonts w:ascii="Times New Roman" w:cs="Times New Roman" w:hint="eastAsia"/>
                <w:sz w:val="21"/>
                <w:szCs w:val="21"/>
              </w:rPr>
              <w:t>慈云寺</w:t>
            </w:r>
            <w:r>
              <w:rPr>
                <w:rFonts w:ascii="Times New Roman" w:cs="Times New Roman"/>
                <w:sz w:val="21"/>
                <w:szCs w:val="21"/>
              </w:rPr>
              <w:t>农户</w:t>
            </w:r>
            <w:r>
              <w:rPr>
                <w:rFonts w:ascii="Times New Roman" w:cs="Times New Roman" w:hint="eastAsia"/>
                <w:sz w:val="21"/>
                <w:szCs w:val="21"/>
              </w:rPr>
              <w:t>62#</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1210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1070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20</w:t>
            </w:r>
            <w:r>
              <w:rPr>
                <w:rFonts w:ascii="Times New Roman" w:cs="Times New Roman"/>
                <w:sz w:val="21"/>
                <w:szCs w:val="21"/>
              </w:rPr>
              <w:t>户</w:t>
            </w:r>
            <w:r>
              <w:rPr>
                <w:rFonts w:ascii="Times New Roman" w:cs="Times New Roman" w:hint="eastAsia"/>
                <w:sz w:val="21"/>
                <w:szCs w:val="21"/>
              </w:rPr>
              <w:t>65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1650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63</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Pr="004841B2" w:rsidRDefault="004841B2" w:rsidP="004841B2">
            <w:pPr>
              <w:spacing w:line="240" w:lineRule="auto"/>
              <w:ind w:firstLineChars="0" w:firstLine="0"/>
              <w:jc w:val="center"/>
              <w:rPr>
                <w:rFonts w:ascii="Times New Roman" w:cs="Times New Roman"/>
                <w:color w:val="FF0000"/>
                <w:sz w:val="21"/>
                <w:szCs w:val="21"/>
              </w:rPr>
            </w:pPr>
            <w:r w:rsidRPr="004841B2">
              <w:rPr>
                <w:rFonts w:ascii="Times New Roman" w:cs="Times New Roman" w:hint="eastAsia"/>
                <w:color w:val="FF0000"/>
                <w:sz w:val="21"/>
                <w:szCs w:val="21"/>
              </w:rPr>
              <w:t>北斗村</w:t>
            </w:r>
            <w:r w:rsidRPr="004841B2">
              <w:rPr>
                <w:rFonts w:ascii="Times New Roman" w:cs="Times New Roman"/>
                <w:color w:val="FF0000"/>
                <w:sz w:val="21"/>
                <w:szCs w:val="21"/>
              </w:rPr>
              <w:t>农户</w:t>
            </w:r>
            <w:r w:rsidRPr="004841B2">
              <w:rPr>
                <w:rFonts w:ascii="Times New Roman" w:cs="Times New Roman" w:hint="eastAsia"/>
                <w:color w:val="FF0000"/>
                <w:sz w:val="21"/>
                <w:szCs w:val="21"/>
              </w:rPr>
              <w:t>63#</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1790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780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10</w:t>
            </w:r>
            <w:r>
              <w:rPr>
                <w:rFonts w:ascii="Times New Roman" w:cs="Times New Roman"/>
                <w:sz w:val="21"/>
                <w:szCs w:val="21"/>
              </w:rPr>
              <w:t>户</w:t>
            </w:r>
            <w:r>
              <w:rPr>
                <w:rFonts w:ascii="Times New Roman" w:cs="Times New Roman" w:hint="eastAsia"/>
                <w:sz w:val="21"/>
                <w:szCs w:val="21"/>
              </w:rPr>
              <w:t>35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bCs/>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1940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64</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hAnsi="宋体" w:cs="Times New Roman"/>
                <w:sz w:val="21"/>
                <w:szCs w:val="21"/>
              </w:rPr>
            </w:pPr>
            <w:r>
              <w:rPr>
                <w:rFonts w:ascii="Times New Roman" w:cs="Times New Roman"/>
                <w:sz w:val="21"/>
                <w:szCs w:val="21"/>
              </w:rPr>
              <w:t>罗家塝农户</w:t>
            </w:r>
            <w:r>
              <w:rPr>
                <w:rFonts w:ascii="Times New Roman" w:cs="Times New Roman" w:hint="eastAsia"/>
                <w:sz w:val="21"/>
                <w:szCs w:val="21"/>
              </w:rPr>
              <w:t>64#</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1650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1280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50</w:t>
            </w:r>
            <w:r>
              <w:rPr>
                <w:rFonts w:ascii="Times New Roman" w:cs="Times New Roman"/>
                <w:sz w:val="21"/>
                <w:szCs w:val="21"/>
              </w:rPr>
              <w:t>户</w:t>
            </w:r>
            <w:r>
              <w:rPr>
                <w:rFonts w:ascii="Times New Roman" w:cs="Times New Roman" w:hint="eastAsia"/>
                <w:sz w:val="21"/>
                <w:szCs w:val="21"/>
              </w:rPr>
              <w:t>155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2100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65</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hAnsi="宋体" w:cs="Times New Roman"/>
                <w:sz w:val="21"/>
                <w:szCs w:val="21"/>
              </w:rPr>
            </w:pPr>
            <w:r>
              <w:rPr>
                <w:rFonts w:hAnsi="宋体" w:cs="Times New Roman"/>
                <w:sz w:val="21"/>
                <w:szCs w:val="21"/>
              </w:rPr>
              <w:t>下塝</w:t>
            </w:r>
            <w:r>
              <w:rPr>
                <w:rFonts w:ascii="Times New Roman" w:cs="Times New Roman"/>
                <w:sz w:val="21"/>
                <w:szCs w:val="21"/>
              </w:rPr>
              <w:t>农户</w:t>
            </w:r>
            <w:r>
              <w:rPr>
                <w:rFonts w:ascii="Times New Roman" w:cs="Times New Roman" w:hint="eastAsia"/>
                <w:sz w:val="21"/>
                <w:szCs w:val="21"/>
              </w:rPr>
              <w:t>65#</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2240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1440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13</w:t>
            </w:r>
            <w:r>
              <w:rPr>
                <w:rFonts w:ascii="Times New Roman" w:cs="Times New Roman"/>
                <w:sz w:val="21"/>
                <w:szCs w:val="21"/>
              </w:rPr>
              <w:t>户</w:t>
            </w:r>
            <w:r>
              <w:rPr>
                <w:rFonts w:ascii="Times New Roman" w:cs="Times New Roman" w:hint="eastAsia"/>
                <w:sz w:val="21"/>
                <w:szCs w:val="21"/>
              </w:rPr>
              <w:t>55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2690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66</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上帽顶梁农户</w:t>
            </w:r>
            <w:r>
              <w:rPr>
                <w:rFonts w:ascii="Times New Roman" w:cs="Times New Roman" w:hint="eastAsia"/>
                <w:sz w:val="21"/>
                <w:szCs w:val="21"/>
              </w:rPr>
              <w:t>66#</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2920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1800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15</w:t>
            </w:r>
            <w:r>
              <w:rPr>
                <w:rFonts w:ascii="Times New Roman" w:cs="Times New Roman"/>
                <w:sz w:val="21"/>
                <w:szCs w:val="21"/>
              </w:rPr>
              <w:t>户</w:t>
            </w:r>
            <w:r>
              <w:rPr>
                <w:rFonts w:ascii="Times New Roman" w:cs="Times New Roman" w:hint="eastAsia"/>
                <w:sz w:val="21"/>
                <w:szCs w:val="21"/>
              </w:rPr>
              <w:t>50</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3510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lastRenderedPageBreak/>
              <w:t>67</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垭豁丘农户</w:t>
            </w:r>
            <w:r>
              <w:rPr>
                <w:rFonts w:ascii="Times New Roman" w:cs="Times New Roman" w:hint="eastAsia"/>
                <w:sz w:val="21"/>
                <w:szCs w:val="21"/>
              </w:rPr>
              <w:t>67#</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3880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1100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10</w:t>
            </w:r>
            <w:r>
              <w:rPr>
                <w:rFonts w:ascii="Times New Roman" w:cs="Times New Roman"/>
                <w:sz w:val="21"/>
                <w:szCs w:val="21"/>
              </w:rPr>
              <w:t>户</w:t>
            </w:r>
            <w:r>
              <w:rPr>
                <w:rFonts w:ascii="Times New Roman" w:cs="Times New Roman" w:hint="eastAsia"/>
                <w:sz w:val="21"/>
                <w:szCs w:val="21"/>
              </w:rPr>
              <w:t>35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4110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68</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沙坝村农户</w:t>
            </w:r>
            <w:r>
              <w:rPr>
                <w:rFonts w:ascii="Times New Roman" w:cs="Times New Roman" w:hint="eastAsia"/>
                <w:sz w:val="21"/>
                <w:szCs w:val="21"/>
              </w:rPr>
              <w:t>68#</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3780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1350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150</w:t>
            </w:r>
            <w:r>
              <w:rPr>
                <w:rFonts w:ascii="Times New Roman" w:cs="Times New Roman"/>
                <w:sz w:val="21"/>
                <w:szCs w:val="21"/>
              </w:rPr>
              <w:t>户</w:t>
            </w:r>
            <w:r>
              <w:rPr>
                <w:rFonts w:ascii="Times New Roman" w:cs="Times New Roman" w:hint="eastAsia"/>
                <w:sz w:val="21"/>
                <w:szCs w:val="21"/>
              </w:rPr>
              <w:t>550</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4530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69</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沙</w:t>
            </w:r>
            <w:r>
              <w:rPr>
                <w:rFonts w:ascii="Times New Roman" w:cs="Times New Roman" w:hint="eastAsia"/>
                <w:sz w:val="21"/>
                <w:szCs w:val="21"/>
              </w:rPr>
              <w:t>场</w:t>
            </w:r>
            <w:r>
              <w:rPr>
                <w:rFonts w:ascii="Times New Roman" w:cs="Times New Roman"/>
                <w:sz w:val="21"/>
                <w:szCs w:val="21"/>
              </w:rPr>
              <w:t>村农户</w:t>
            </w:r>
            <w:r>
              <w:rPr>
                <w:rFonts w:ascii="Times New Roman" w:cs="Times New Roman" w:hint="eastAsia"/>
                <w:sz w:val="21"/>
                <w:szCs w:val="21"/>
              </w:rPr>
              <w:t>69#</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3960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2150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约</w:t>
            </w:r>
            <w:r>
              <w:rPr>
                <w:rFonts w:ascii="Times New Roman" w:cs="Times New Roman" w:hint="eastAsia"/>
                <w:sz w:val="21"/>
                <w:szCs w:val="21"/>
              </w:rPr>
              <w:t>25</w:t>
            </w:r>
            <w:r>
              <w:rPr>
                <w:rFonts w:ascii="Times New Roman" w:cs="Times New Roman" w:hint="eastAsia"/>
                <w:sz w:val="21"/>
                <w:szCs w:val="21"/>
              </w:rPr>
              <w:t>户</w:t>
            </w:r>
            <w:r>
              <w:rPr>
                <w:rFonts w:ascii="Times New Roman" w:cs="Times New Roman" w:hint="eastAsia"/>
                <w:sz w:val="21"/>
                <w:szCs w:val="21"/>
              </w:rPr>
              <w:t>75</w:t>
            </w:r>
            <w:r>
              <w:rPr>
                <w:rFonts w:ascii="Times New Roman" w:cs="Times New Roman" w:hint="eastAsia"/>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4550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70</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窝凼农户</w:t>
            </w:r>
            <w:r>
              <w:rPr>
                <w:rFonts w:ascii="Times New Roman" w:cs="Times New Roman" w:hint="eastAsia"/>
                <w:sz w:val="21"/>
                <w:szCs w:val="21"/>
              </w:rPr>
              <w:t>70#</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3520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2880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30</w:t>
            </w:r>
            <w:r>
              <w:rPr>
                <w:rFonts w:ascii="Times New Roman" w:cs="Times New Roman"/>
                <w:sz w:val="21"/>
                <w:szCs w:val="21"/>
              </w:rPr>
              <w:t>户</w:t>
            </w:r>
            <w:r>
              <w:rPr>
                <w:rFonts w:ascii="Times New Roman" w:cs="Times New Roman" w:hint="eastAsia"/>
                <w:sz w:val="21"/>
                <w:szCs w:val="21"/>
              </w:rPr>
              <w:t>95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4590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71</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干子坪农户</w:t>
            </w:r>
            <w:r>
              <w:rPr>
                <w:rFonts w:ascii="Times New Roman" w:cs="Times New Roman" w:hint="eastAsia"/>
                <w:sz w:val="21"/>
                <w:szCs w:val="21"/>
              </w:rPr>
              <w:t>71#</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4000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2990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约</w:t>
            </w:r>
            <w:r>
              <w:rPr>
                <w:rFonts w:ascii="Times New Roman" w:cs="Times New Roman" w:hint="eastAsia"/>
                <w:sz w:val="21"/>
                <w:szCs w:val="21"/>
              </w:rPr>
              <w:t>20</w:t>
            </w:r>
            <w:r>
              <w:rPr>
                <w:rFonts w:ascii="Times New Roman" w:cs="Times New Roman" w:hint="eastAsia"/>
                <w:sz w:val="21"/>
                <w:szCs w:val="21"/>
              </w:rPr>
              <w:t>户</w:t>
            </w:r>
            <w:r>
              <w:rPr>
                <w:rFonts w:ascii="Times New Roman" w:cs="Times New Roman" w:hint="eastAsia"/>
                <w:sz w:val="21"/>
                <w:szCs w:val="21"/>
              </w:rPr>
              <w:t>65</w:t>
            </w:r>
            <w:r>
              <w:rPr>
                <w:rFonts w:ascii="Times New Roman" w:cs="Times New Roman" w:hint="eastAsia"/>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5140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72</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青龙</w:t>
            </w:r>
            <w:r>
              <w:rPr>
                <w:rFonts w:ascii="Times New Roman" w:cs="Times New Roman"/>
                <w:sz w:val="21"/>
                <w:szCs w:val="21"/>
              </w:rPr>
              <w:t>寨农户</w:t>
            </w:r>
            <w:r>
              <w:rPr>
                <w:rFonts w:ascii="Times New Roman" w:cs="Times New Roman" w:hint="eastAsia"/>
                <w:sz w:val="21"/>
                <w:szCs w:val="21"/>
              </w:rPr>
              <w:t>72#</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980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2940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50</w:t>
            </w:r>
            <w:r>
              <w:rPr>
                <w:rFonts w:ascii="Times New Roman" w:cs="Times New Roman"/>
                <w:sz w:val="21"/>
                <w:szCs w:val="21"/>
              </w:rPr>
              <w:t>户</w:t>
            </w:r>
            <w:r>
              <w:rPr>
                <w:rFonts w:ascii="Times New Roman" w:cs="Times New Roman" w:hint="eastAsia"/>
                <w:sz w:val="21"/>
                <w:szCs w:val="21"/>
              </w:rPr>
              <w:t>155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3070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73</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沙田湾农户</w:t>
            </w:r>
            <w:r>
              <w:rPr>
                <w:rFonts w:ascii="Times New Roman" w:cs="Times New Roman" w:hint="eastAsia"/>
                <w:sz w:val="21"/>
                <w:szCs w:val="21"/>
              </w:rPr>
              <w:t>73#</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1790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3270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5</w:t>
            </w:r>
            <w:r>
              <w:rPr>
                <w:rFonts w:ascii="Times New Roman" w:cs="Times New Roman"/>
                <w:sz w:val="21"/>
                <w:szCs w:val="21"/>
              </w:rPr>
              <w:t>户</w:t>
            </w:r>
            <w:r>
              <w:rPr>
                <w:rFonts w:ascii="Times New Roman" w:cs="Times New Roman" w:hint="eastAsia"/>
                <w:sz w:val="21"/>
                <w:szCs w:val="21"/>
              </w:rPr>
              <w:t>15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3770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74</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斑竹林</w:t>
            </w:r>
            <w:r>
              <w:rPr>
                <w:rFonts w:ascii="Times New Roman" w:cs="Times New Roman"/>
                <w:sz w:val="21"/>
                <w:szCs w:val="21"/>
              </w:rPr>
              <w:t>农户</w:t>
            </w:r>
            <w:r>
              <w:rPr>
                <w:rFonts w:ascii="Times New Roman" w:cs="Times New Roman" w:hint="eastAsia"/>
                <w:sz w:val="21"/>
                <w:szCs w:val="21"/>
              </w:rPr>
              <w:t>74#</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2240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3820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约</w:t>
            </w:r>
            <w:r>
              <w:rPr>
                <w:rFonts w:ascii="Times New Roman" w:cs="Times New Roman" w:hint="eastAsia"/>
                <w:sz w:val="21"/>
                <w:szCs w:val="21"/>
              </w:rPr>
              <w:t>20</w:t>
            </w:r>
            <w:r>
              <w:rPr>
                <w:rFonts w:ascii="Times New Roman" w:cs="Times New Roman" w:hint="eastAsia"/>
                <w:sz w:val="21"/>
                <w:szCs w:val="21"/>
              </w:rPr>
              <w:t>户</w:t>
            </w:r>
            <w:r>
              <w:rPr>
                <w:rFonts w:ascii="Times New Roman" w:cs="Times New Roman" w:hint="eastAsia"/>
                <w:sz w:val="21"/>
                <w:szCs w:val="21"/>
              </w:rPr>
              <w:t>65</w:t>
            </w:r>
            <w:r>
              <w:rPr>
                <w:rFonts w:ascii="Times New Roman" w:cs="Times New Roman" w:hint="eastAsia"/>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4340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75</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赵家沟</w:t>
            </w:r>
            <w:r>
              <w:rPr>
                <w:rFonts w:ascii="Times New Roman" w:cs="Times New Roman"/>
                <w:sz w:val="21"/>
                <w:szCs w:val="21"/>
              </w:rPr>
              <w:t>农户</w:t>
            </w:r>
            <w:r>
              <w:rPr>
                <w:rFonts w:ascii="Times New Roman" w:cs="Times New Roman" w:hint="eastAsia"/>
                <w:sz w:val="21"/>
                <w:szCs w:val="21"/>
              </w:rPr>
              <w:t>75#</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450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2840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约</w:t>
            </w:r>
            <w:r>
              <w:rPr>
                <w:rFonts w:ascii="Times New Roman" w:cs="Times New Roman" w:hint="eastAsia"/>
                <w:sz w:val="21"/>
                <w:szCs w:val="21"/>
              </w:rPr>
              <w:t>18</w:t>
            </w:r>
            <w:r>
              <w:rPr>
                <w:rFonts w:ascii="Times New Roman" w:cs="Times New Roman" w:hint="eastAsia"/>
                <w:sz w:val="21"/>
                <w:szCs w:val="21"/>
              </w:rPr>
              <w:t>户</w:t>
            </w:r>
            <w:r>
              <w:rPr>
                <w:rFonts w:ascii="Times New Roman" w:cs="Times New Roman" w:hint="eastAsia"/>
                <w:sz w:val="21"/>
                <w:szCs w:val="21"/>
              </w:rPr>
              <w:t>55</w:t>
            </w:r>
            <w:r>
              <w:rPr>
                <w:rFonts w:ascii="Times New Roman" w:cs="Times New Roman" w:hint="eastAsia"/>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2930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76</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支溪村</w:t>
            </w:r>
            <w:r>
              <w:rPr>
                <w:rFonts w:ascii="Times New Roman" w:cs="Times New Roman"/>
                <w:sz w:val="21"/>
                <w:szCs w:val="21"/>
              </w:rPr>
              <w:t>农户</w:t>
            </w:r>
            <w:r>
              <w:rPr>
                <w:rFonts w:ascii="Times New Roman" w:cs="Times New Roman" w:hint="eastAsia"/>
                <w:sz w:val="21"/>
                <w:szCs w:val="21"/>
              </w:rPr>
              <w:t>76#</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1140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3670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30</w:t>
            </w:r>
            <w:r>
              <w:rPr>
                <w:rFonts w:ascii="Times New Roman" w:cs="Times New Roman"/>
                <w:sz w:val="21"/>
                <w:szCs w:val="21"/>
              </w:rPr>
              <w:t>户</w:t>
            </w:r>
            <w:r>
              <w:rPr>
                <w:rFonts w:ascii="Times New Roman" w:cs="Times New Roman" w:hint="eastAsia"/>
                <w:sz w:val="21"/>
                <w:szCs w:val="21"/>
              </w:rPr>
              <w:t>95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4000</w:t>
            </w:r>
          </w:p>
        </w:tc>
      </w:tr>
      <w:tr w:rsidR="00D82054">
        <w:trPr>
          <w:trHeight w:val="381"/>
          <w:jc w:val="center"/>
        </w:trPr>
        <w:tc>
          <w:tcPr>
            <w:tcW w:w="188" w:type="pct"/>
            <w:tcBorders>
              <w:top w:val="single" w:sz="2" w:space="0" w:color="000000"/>
              <w:left w:val="nil"/>
              <w:bottom w:val="single" w:sz="2" w:space="0" w:color="000000"/>
              <w:right w:val="single" w:sz="2" w:space="0" w:color="000000"/>
            </w:tcBorders>
            <w:vAlign w:val="center"/>
          </w:tcPr>
          <w:p w:rsidR="00D82054" w:rsidRDefault="00D82054">
            <w:pPr>
              <w:spacing w:line="240" w:lineRule="auto"/>
              <w:ind w:firstLineChars="0" w:firstLine="0"/>
              <w:jc w:val="center"/>
              <w:rPr>
                <w:rFonts w:ascii="Times New Roman" w:cs="Times New Roman" w:hint="eastAsia"/>
                <w:sz w:val="21"/>
                <w:szCs w:val="21"/>
              </w:rPr>
            </w:pPr>
            <w:r>
              <w:rPr>
                <w:rFonts w:ascii="Times New Roman" w:cs="Times New Roman" w:hint="eastAsia"/>
                <w:sz w:val="21"/>
                <w:szCs w:val="21"/>
              </w:rPr>
              <w:t>77</w:t>
            </w:r>
          </w:p>
        </w:tc>
        <w:tc>
          <w:tcPr>
            <w:tcW w:w="473" w:type="pct"/>
            <w:vMerge/>
            <w:tcBorders>
              <w:top w:val="single" w:sz="2" w:space="0" w:color="000000"/>
              <w:left w:val="single" w:sz="2" w:space="0" w:color="000000"/>
              <w:right w:val="single" w:sz="2" w:space="0" w:color="000000"/>
            </w:tcBorders>
            <w:vAlign w:val="center"/>
          </w:tcPr>
          <w:p w:rsidR="00D82054" w:rsidRDefault="00D82054">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D82054" w:rsidRDefault="00D82054">
            <w:pPr>
              <w:spacing w:line="240" w:lineRule="auto"/>
              <w:ind w:firstLineChars="0" w:firstLine="0"/>
              <w:jc w:val="center"/>
              <w:rPr>
                <w:rFonts w:ascii="Times New Roman" w:cs="Times New Roman" w:hint="eastAsia"/>
                <w:sz w:val="21"/>
                <w:szCs w:val="21"/>
              </w:rPr>
            </w:pPr>
            <w:r>
              <w:rPr>
                <w:rFonts w:ascii="Times New Roman" w:cs="Times New Roman" w:hint="eastAsia"/>
                <w:sz w:val="21"/>
                <w:szCs w:val="21"/>
              </w:rPr>
              <w:t>支溪沟</w:t>
            </w:r>
            <w:r>
              <w:rPr>
                <w:rFonts w:ascii="Times New Roman" w:cs="Times New Roman"/>
                <w:sz w:val="21"/>
                <w:szCs w:val="21"/>
              </w:rPr>
              <w:t>农户</w:t>
            </w:r>
            <w:r>
              <w:rPr>
                <w:rFonts w:ascii="Times New Roman" w:cs="Times New Roman" w:hint="eastAsia"/>
                <w:sz w:val="21"/>
                <w:szCs w:val="21"/>
              </w:rPr>
              <w:t>77#</w:t>
            </w:r>
          </w:p>
        </w:tc>
        <w:tc>
          <w:tcPr>
            <w:tcW w:w="426" w:type="pct"/>
            <w:tcBorders>
              <w:top w:val="single" w:sz="2" w:space="0" w:color="000000"/>
              <w:left w:val="single" w:sz="2" w:space="0" w:color="000000"/>
              <w:bottom w:val="single" w:sz="2" w:space="0" w:color="000000"/>
              <w:right w:val="single" w:sz="2" w:space="0" w:color="000000"/>
            </w:tcBorders>
            <w:vAlign w:val="center"/>
          </w:tcPr>
          <w:p w:rsidR="00D82054" w:rsidRDefault="00D82054">
            <w:pPr>
              <w:spacing w:line="240" w:lineRule="auto"/>
              <w:ind w:firstLineChars="0" w:firstLine="0"/>
              <w:jc w:val="center"/>
              <w:rPr>
                <w:rFonts w:ascii="Times New Roman" w:cs="Times New Roman" w:hint="eastAsia"/>
                <w:sz w:val="21"/>
                <w:szCs w:val="21"/>
              </w:rPr>
            </w:pPr>
            <w:r>
              <w:rPr>
                <w:rFonts w:ascii="Times New Roman" w:cs="Times New Roman" w:hint="eastAsia"/>
                <w:sz w:val="21"/>
                <w:szCs w:val="21"/>
              </w:rPr>
              <w:t>470</w:t>
            </w:r>
          </w:p>
        </w:tc>
        <w:tc>
          <w:tcPr>
            <w:tcW w:w="381" w:type="pct"/>
            <w:tcBorders>
              <w:top w:val="single" w:sz="2" w:space="0" w:color="000000"/>
              <w:left w:val="single" w:sz="2" w:space="0" w:color="000000"/>
              <w:bottom w:val="single" w:sz="2" w:space="0" w:color="000000"/>
              <w:right w:val="single" w:sz="2" w:space="0" w:color="000000"/>
            </w:tcBorders>
            <w:vAlign w:val="center"/>
          </w:tcPr>
          <w:p w:rsidR="00D82054" w:rsidRDefault="00D82054">
            <w:pPr>
              <w:spacing w:line="240" w:lineRule="auto"/>
              <w:ind w:firstLineChars="0" w:firstLine="0"/>
              <w:jc w:val="center"/>
              <w:rPr>
                <w:rFonts w:ascii="Times New Roman" w:cs="Times New Roman" w:hint="eastAsia"/>
                <w:sz w:val="21"/>
                <w:szCs w:val="21"/>
              </w:rPr>
            </w:pPr>
            <w:r>
              <w:rPr>
                <w:rFonts w:ascii="Times New Roman" w:cs="Times New Roman" w:hint="eastAsia"/>
                <w:sz w:val="21"/>
                <w:szCs w:val="21"/>
              </w:rPr>
              <w:t>4490</w:t>
            </w:r>
          </w:p>
        </w:tc>
        <w:tc>
          <w:tcPr>
            <w:tcW w:w="379" w:type="pct"/>
            <w:tcBorders>
              <w:top w:val="single" w:sz="2" w:space="0" w:color="000000"/>
              <w:left w:val="single" w:sz="2" w:space="0" w:color="000000"/>
              <w:bottom w:val="single" w:sz="2" w:space="0" w:color="000000"/>
              <w:right w:val="single" w:sz="2" w:space="0" w:color="000000"/>
            </w:tcBorders>
            <w:vAlign w:val="center"/>
          </w:tcPr>
          <w:p w:rsidR="00D82054" w:rsidRDefault="00D8205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D82054" w:rsidRDefault="00D82054">
            <w:pPr>
              <w:spacing w:line="240" w:lineRule="auto"/>
              <w:ind w:firstLineChars="0" w:firstLine="0"/>
              <w:jc w:val="center"/>
              <w:rPr>
                <w:rFonts w:ascii="Times New Roman" w:cs="Times New Roman"/>
                <w:sz w:val="21"/>
                <w:szCs w:val="21"/>
              </w:rPr>
            </w:pPr>
            <w:r>
              <w:rPr>
                <w:rFonts w:ascii="Times New Roman" w:cs="Times New Roman" w:hint="eastAsia"/>
                <w:sz w:val="21"/>
                <w:szCs w:val="21"/>
              </w:rPr>
              <w:t>约</w:t>
            </w:r>
            <w:r>
              <w:rPr>
                <w:rFonts w:ascii="Times New Roman" w:cs="Times New Roman" w:hint="eastAsia"/>
                <w:sz w:val="21"/>
                <w:szCs w:val="21"/>
              </w:rPr>
              <w:t>18</w:t>
            </w:r>
            <w:r>
              <w:rPr>
                <w:rFonts w:ascii="Times New Roman" w:cs="Times New Roman" w:hint="eastAsia"/>
                <w:sz w:val="21"/>
                <w:szCs w:val="21"/>
              </w:rPr>
              <w:t>户</w:t>
            </w:r>
            <w:r>
              <w:rPr>
                <w:rFonts w:ascii="Times New Roman" w:cs="Times New Roman" w:hint="eastAsia"/>
                <w:sz w:val="21"/>
                <w:szCs w:val="21"/>
              </w:rPr>
              <w:t>55</w:t>
            </w:r>
            <w:r>
              <w:rPr>
                <w:rFonts w:ascii="Times New Roman" w:cs="Times New Roman" w:hint="eastAsia"/>
                <w:sz w:val="21"/>
                <w:szCs w:val="21"/>
              </w:rPr>
              <w:t>人</w:t>
            </w:r>
          </w:p>
        </w:tc>
        <w:tc>
          <w:tcPr>
            <w:tcW w:w="1043" w:type="pct"/>
            <w:vMerge/>
            <w:tcBorders>
              <w:top w:val="single" w:sz="2" w:space="0" w:color="000000"/>
              <w:left w:val="single" w:sz="2" w:space="0" w:color="000000"/>
              <w:right w:val="single" w:sz="2" w:space="0" w:color="000000"/>
            </w:tcBorders>
            <w:vAlign w:val="center"/>
          </w:tcPr>
          <w:p w:rsidR="00D82054" w:rsidRDefault="00D82054">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D82054" w:rsidRDefault="00D82054">
            <w:pPr>
              <w:spacing w:line="240" w:lineRule="auto"/>
              <w:ind w:firstLineChars="0" w:firstLine="0"/>
              <w:jc w:val="center"/>
              <w:rPr>
                <w:rFonts w:ascii="Times New Roman" w:cs="Times New Roman" w:hint="eastAsia"/>
                <w:bCs/>
                <w:sz w:val="21"/>
                <w:szCs w:val="21"/>
              </w:rPr>
            </w:pPr>
            <w:r>
              <w:rPr>
                <w:rFonts w:ascii="Times New Roman" w:cs="Times New Roman" w:hint="eastAsia"/>
                <w:bCs/>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D82054" w:rsidRDefault="00D82054">
            <w:pPr>
              <w:spacing w:line="240" w:lineRule="auto"/>
              <w:ind w:firstLineChars="0" w:firstLine="0"/>
              <w:jc w:val="center"/>
              <w:rPr>
                <w:rFonts w:ascii="Times New Roman" w:cs="Times New Roman" w:hint="eastAsia"/>
                <w:sz w:val="21"/>
                <w:szCs w:val="21"/>
              </w:rPr>
            </w:pPr>
            <w:r>
              <w:rPr>
                <w:rFonts w:ascii="Times New Roman" w:cs="Times New Roman" w:hint="eastAsia"/>
                <w:sz w:val="21"/>
                <w:szCs w:val="21"/>
              </w:rPr>
              <w:t>4570</w:t>
            </w:r>
          </w:p>
        </w:tc>
      </w:tr>
      <w:tr w:rsidR="00D82054">
        <w:trPr>
          <w:trHeight w:val="381"/>
          <w:jc w:val="center"/>
        </w:trPr>
        <w:tc>
          <w:tcPr>
            <w:tcW w:w="188" w:type="pct"/>
            <w:tcBorders>
              <w:top w:val="single" w:sz="2" w:space="0" w:color="000000"/>
              <w:left w:val="nil"/>
              <w:bottom w:val="single" w:sz="2" w:space="0" w:color="000000"/>
              <w:right w:val="single" w:sz="2" w:space="0" w:color="000000"/>
            </w:tcBorders>
            <w:vAlign w:val="center"/>
          </w:tcPr>
          <w:p w:rsidR="00D82054" w:rsidRDefault="00D82054">
            <w:pPr>
              <w:spacing w:line="240" w:lineRule="auto"/>
              <w:ind w:firstLineChars="0" w:firstLine="0"/>
              <w:jc w:val="center"/>
              <w:rPr>
                <w:rFonts w:ascii="Times New Roman" w:cs="Times New Roman" w:hint="eastAsia"/>
                <w:sz w:val="21"/>
                <w:szCs w:val="21"/>
              </w:rPr>
            </w:pPr>
            <w:r>
              <w:rPr>
                <w:rFonts w:ascii="Times New Roman" w:cs="Times New Roman" w:hint="eastAsia"/>
                <w:sz w:val="21"/>
                <w:szCs w:val="21"/>
              </w:rPr>
              <w:t>78</w:t>
            </w:r>
          </w:p>
        </w:tc>
        <w:tc>
          <w:tcPr>
            <w:tcW w:w="473" w:type="pct"/>
            <w:vMerge/>
            <w:tcBorders>
              <w:top w:val="single" w:sz="2" w:space="0" w:color="000000"/>
              <w:left w:val="single" w:sz="2" w:space="0" w:color="000000"/>
              <w:right w:val="single" w:sz="2" w:space="0" w:color="000000"/>
            </w:tcBorders>
            <w:vAlign w:val="center"/>
          </w:tcPr>
          <w:p w:rsidR="00D82054" w:rsidRDefault="00D82054">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D82054" w:rsidRPr="00D82054" w:rsidRDefault="00D82054">
            <w:pPr>
              <w:spacing w:line="240" w:lineRule="auto"/>
              <w:ind w:firstLineChars="0" w:firstLine="0"/>
              <w:jc w:val="center"/>
              <w:rPr>
                <w:rFonts w:ascii="Times New Roman" w:cs="Times New Roman" w:hint="eastAsia"/>
                <w:color w:val="FF0000"/>
                <w:sz w:val="21"/>
                <w:szCs w:val="21"/>
              </w:rPr>
            </w:pPr>
            <w:r w:rsidRPr="00D82054">
              <w:rPr>
                <w:rFonts w:ascii="Times New Roman" w:cs="Times New Roman"/>
                <w:color w:val="FF0000"/>
                <w:sz w:val="21"/>
                <w:szCs w:val="21"/>
              </w:rPr>
              <w:t>普光镇岳家小学</w:t>
            </w:r>
          </w:p>
        </w:tc>
        <w:tc>
          <w:tcPr>
            <w:tcW w:w="426" w:type="pct"/>
            <w:tcBorders>
              <w:top w:val="single" w:sz="2" w:space="0" w:color="000000"/>
              <w:left w:val="single" w:sz="2" w:space="0" w:color="000000"/>
              <w:bottom w:val="single" w:sz="2" w:space="0" w:color="000000"/>
              <w:right w:val="single" w:sz="2" w:space="0" w:color="000000"/>
            </w:tcBorders>
            <w:vAlign w:val="center"/>
          </w:tcPr>
          <w:p w:rsidR="00D82054" w:rsidRPr="00D82054" w:rsidRDefault="00D82054">
            <w:pPr>
              <w:spacing w:line="240" w:lineRule="auto"/>
              <w:ind w:firstLineChars="0" w:firstLine="0"/>
              <w:jc w:val="center"/>
              <w:rPr>
                <w:rFonts w:ascii="Times New Roman" w:cs="Times New Roman" w:hint="eastAsia"/>
                <w:color w:val="FF0000"/>
                <w:sz w:val="21"/>
                <w:szCs w:val="21"/>
              </w:rPr>
            </w:pPr>
            <w:r w:rsidRPr="00D82054">
              <w:rPr>
                <w:rFonts w:ascii="Times New Roman" w:cs="Times New Roman" w:hint="eastAsia"/>
                <w:color w:val="FF0000"/>
                <w:sz w:val="21"/>
                <w:szCs w:val="21"/>
              </w:rPr>
              <w:t>290</w:t>
            </w:r>
          </w:p>
        </w:tc>
        <w:tc>
          <w:tcPr>
            <w:tcW w:w="381" w:type="pct"/>
            <w:tcBorders>
              <w:top w:val="single" w:sz="2" w:space="0" w:color="000000"/>
              <w:left w:val="single" w:sz="2" w:space="0" w:color="000000"/>
              <w:bottom w:val="single" w:sz="2" w:space="0" w:color="000000"/>
              <w:right w:val="single" w:sz="2" w:space="0" w:color="000000"/>
            </w:tcBorders>
            <w:vAlign w:val="center"/>
          </w:tcPr>
          <w:p w:rsidR="00D82054" w:rsidRPr="00D82054" w:rsidRDefault="00D82054" w:rsidP="00D82054">
            <w:pPr>
              <w:spacing w:line="240" w:lineRule="auto"/>
              <w:ind w:firstLineChars="0" w:firstLine="0"/>
              <w:jc w:val="center"/>
              <w:rPr>
                <w:rFonts w:ascii="Times New Roman" w:cs="Times New Roman" w:hint="eastAsia"/>
                <w:color w:val="FF0000"/>
                <w:sz w:val="21"/>
                <w:szCs w:val="21"/>
              </w:rPr>
            </w:pPr>
            <w:r w:rsidRPr="00D82054">
              <w:rPr>
                <w:rFonts w:ascii="Times New Roman" w:cs="Times New Roman" w:hint="eastAsia"/>
                <w:color w:val="FF0000"/>
                <w:sz w:val="21"/>
                <w:szCs w:val="21"/>
              </w:rPr>
              <w:t>-265</w:t>
            </w:r>
          </w:p>
        </w:tc>
        <w:tc>
          <w:tcPr>
            <w:tcW w:w="379" w:type="pct"/>
            <w:tcBorders>
              <w:top w:val="single" w:sz="2" w:space="0" w:color="000000"/>
              <w:left w:val="single" w:sz="2" w:space="0" w:color="000000"/>
              <w:bottom w:val="single" w:sz="2" w:space="0" w:color="000000"/>
              <w:right w:val="single" w:sz="2" w:space="0" w:color="000000"/>
            </w:tcBorders>
            <w:vAlign w:val="center"/>
          </w:tcPr>
          <w:p w:rsidR="00D82054" w:rsidRPr="00D82054" w:rsidRDefault="00D82054">
            <w:pPr>
              <w:spacing w:line="240" w:lineRule="auto"/>
              <w:ind w:firstLineChars="0" w:firstLine="0"/>
              <w:jc w:val="center"/>
              <w:rPr>
                <w:rFonts w:ascii="Times New Roman" w:cs="Times New Roman"/>
                <w:color w:val="FF0000"/>
                <w:sz w:val="21"/>
                <w:szCs w:val="21"/>
              </w:rPr>
            </w:pPr>
            <w:r w:rsidRPr="00D82054">
              <w:rPr>
                <w:rFonts w:ascii="Times New Roman" w:cs="Times New Roman"/>
                <w:color w:val="FF0000"/>
                <w:sz w:val="21"/>
                <w:szCs w:val="21"/>
              </w:rPr>
              <w:t>学校</w:t>
            </w:r>
          </w:p>
        </w:tc>
        <w:tc>
          <w:tcPr>
            <w:tcW w:w="566" w:type="pct"/>
            <w:tcBorders>
              <w:top w:val="single" w:sz="2" w:space="0" w:color="000000"/>
              <w:left w:val="single" w:sz="2" w:space="0" w:color="000000"/>
              <w:bottom w:val="single" w:sz="2" w:space="0" w:color="000000"/>
              <w:right w:val="single" w:sz="2" w:space="0" w:color="000000"/>
            </w:tcBorders>
            <w:vAlign w:val="center"/>
          </w:tcPr>
          <w:p w:rsidR="00D82054" w:rsidRPr="00D82054" w:rsidRDefault="00D82054">
            <w:pPr>
              <w:spacing w:line="240" w:lineRule="auto"/>
              <w:ind w:firstLineChars="0" w:firstLine="0"/>
              <w:jc w:val="center"/>
              <w:rPr>
                <w:rFonts w:ascii="Times New Roman" w:cs="Times New Roman" w:hint="eastAsia"/>
                <w:color w:val="FF0000"/>
                <w:sz w:val="21"/>
                <w:szCs w:val="21"/>
              </w:rPr>
            </w:pPr>
            <w:r w:rsidRPr="00D82054">
              <w:rPr>
                <w:rFonts w:ascii="Times New Roman" w:cs="Times New Roman"/>
                <w:color w:val="FF0000"/>
                <w:sz w:val="21"/>
                <w:szCs w:val="21"/>
              </w:rPr>
              <w:t>师生约</w:t>
            </w:r>
            <w:r w:rsidRPr="00D82054">
              <w:rPr>
                <w:rFonts w:ascii="Times New Roman" w:cs="Times New Roman" w:hint="eastAsia"/>
                <w:color w:val="FF0000"/>
                <w:sz w:val="21"/>
                <w:szCs w:val="21"/>
              </w:rPr>
              <w:t>150</w:t>
            </w:r>
            <w:r w:rsidRPr="00D82054">
              <w:rPr>
                <w:rFonts w:ascii="Times New Roman" w:cs="Times New Roman" w:hint="eastAsia"/>
                <w:color w:val="FF0000"/>
                <w:sz w:val="21"/>
                <w:szCs w:val="21"/>
              </w:rPr>
              <w:t>人</w:t>
            </w:r>
          </w:p>
        </w:tc>
        <w:tc>
          <w:tcPr>
            <w:tcW w:w="1043" w:type="pct"/>
            <w:vMerge/>
            <w:tcBorders>
              <w:top w:val="single" w:sz="2" w:space="0" w:color="000000"/>
              <w:left w:val="single" w:sz="2" w:space="0" w:color="000000"/>
              <w:right w:val="single" w:sz="2" w:space="0" w:color="000000"/>
            </w:tcBorders>
            <w:vAlign w:val="center"/>
          </w:tcPr>
          <w:p w:rsidR="00D82054" w:rsidRPr="00D82054" w:rsidRDefault="00D82054">
            <w:pPr>
              <w:spacing w:line="240" w:lineRule="auto"/>
              <w:ind w:firstLineChars="0" w:firstLine="0"/>
              <w:jc w:val="center"/>
              <w:rPr>
                <w:rFonts w:ascii="Times New Roman" w:cs="Times New Roman"/>
                <w:color w:val="FF0000"/>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D82054" w:rsidRPr="00D82054" w:rsidRDefault="00D82054">
            <w:pPr>
              <w:spacing w:line="240" w:lineRule="auto"/>
              <w:ind w:firstLineChars="0" w:firstLine="0"/>
              <w:jc w:val="center"/>
              <w:rPr>
                <w:rFonts w:ascii="Times New Roman" w:cs="Times New Roman" w:hint="eastAsia"/>
                <w:bCs/>
                <w:color w:val="FF0000"/>
                <w:sz w:val="21"/>
                <w:szCs w:val="21"/>
              </w:rPr>
            </w:pPr>
            <w:r w:rsidRPr="00D82054">
              <w:rPr>
                <w:rFonts w:ascii="Times New Roman" w:cs="Times New Roman" w:hint="eastAsia"/>
                <w:bCs/>
                <w:color w:val="FF0000"/>
                <w:sz w:val="21"/>
                <w:szCs w:val="21"/>
              </w:rPr>
              <w:t>SE</w:t>
            </w:r>
          </w:p>
        </w:tc>
        <w:tc>
          <w:tcPr>
            <w:tcW w:w="453" w:type="pct"/>
            <w:tcBorders>
              <w:top w:val="single" w:sz="2" w:space="0" w:color="000000"/>
              <w:left w:val="single" w:sz="2" w:space="0" w:color="000000"/>
              <w:bottom w:val="single" w:sz="2" w:space="0" w:color="000000"/>
              <w:right w:val="nil"/>
            </w:tcBorders>
            <w:vAlign w:val="center"/>
          </w:tcPr>
          <w:p w:rsidR="00D82054" w:rsidRPr="00D82054" w:rsidRDefault="00D82054">
            <w:pPr>
              <w:spacing w:line="240" w:lineRule="auto"/>
              <w:ind w:firstLineChars="0" w:firstLine="0"/>
              <w:jc w:val="center"/>
              <w:rPr>
                <w:rFonts w:ascii="Times New Roman" w:cs="Times New Roman" w:hint="eastAsia"/>
                <w:color w:val="FF0000"/>
                <w:sz w:val="21"/>
                <w:szCs w:val="21"/>
              </w:rPr>
            </w:pPr>
            <w:r w:rsidRPr="00D82054">
              <w:rPr>
                <w:rFonts w:ascii="Times New Roman" w:cs="Times New Roman" w:hint="eastAsia"/>
                <w:color w:val="FF0000"/>
                <w:sz w:val="21"/>
                <w:szCs w:val="21"/>
              </w:rPr>
              <w:t>420</w:t>
            </w:r>
          </w:p>
        </w:tc>
      </w:tr>
      <w:tr w:rsidR="003422F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3422F0" w:rsidRDefault="003422F0" w:rsidP="00AF43CE">
            <w:pPr>
              <w:spacing w:line="240" w:lineRule="auto"/>
              <w:ind w:firstLineChars="0" w:firstLine="0"/>
              <w:jc w:val="center"/>
              <w:rPr>
                <w:rFonts w:ascii="Times New Roman" w:cs="Times New Roman"/>
                <w:sz w:val="21"/>
                <w:szCs w:val="21"/>
              </w:rPr>
            </w:pPr>
            <w:r>
              <w:rPr>
                <w:rFonts w:ascii="Times New Roman" w:cs="Times New Roman" w:hint="eastAsia"/>
                <w:sz w:val="21"/>
                <w:szCs w:val="21"/>
              </w:rPr>
              <w:t>79</w:t>
            </w:r>
          </w:p>
        </w:tc>
        <w:tc>
          <w:tcPr>
            <w:tcW w:w="473" w:type="pct"/>
            <w:vMerge/>
            <w:tcBorders>
              <w:top w:val="single" w:sz="2" w:space="0" w:color="000000"/>
              <w:left w:val="single" w:sz="2" w:space="0" w:color="000000"/>
              <w:right w:val="single" w:sz="2" w:space="0" w:color="000000"/>
            </w:tcBorders>
            <w:vAlign w:val="center"/>
          </w:tcPr>
          <w:p w:rsidR="003422F0" w:rsidRDefault="003422F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3422F0" w:rsidRPr="00D82054" w:rsidRDefault="000B3575" w:rsidP="000B3575">
            <w:pPr>
              <w:spacing w:line="240" w:lineRule="auto"/>
              <w:ind w:firstLineChars="0" w:firstLine="0"/>
              <w:jc w:val="center"/>
              <w:rPr>
                <w:rFonts w:ascii="Times New Roman" w:cs="Times New Roman"/>
                <w:color w:val="FF0000"/>
                <w:sz w:val="21"/>
                <w:szCs w:val="21"/>
              </w:rPr>
            </w:pPr>
            <w:r w:rsidRPr="00D82054">
              <w:rPr>
                <w:rFonts w:ascii="Times New Roman" w:cs="Times New Roman"/>
                <w:color w:val="FF0000"/>
                <w:sz w:val="21"/>
                <w:szCs w:val="21"/>
              </w:rPr>
              <w:t>普光镇</w:t>
            </w:r>
            <w:r w:rsidRPr="00D82054">
              <w:rPr>
                <w:rFonts w:ascii="Times New Roman" w:cs="Times New Roman" w:hint="eastAsia"/>
                <w:color w:val="FF0000"/>
                <w:sz w:val="21"/>
                <w:szCs w:val="21"/>
              </w:rPr>
              <w:t>徐</w:t>
            </w:r>
            <w:r w:rsidRPr="00D82054">
              <w:rPr>
                <w:rFonts w:ascii="Times New Roman" w:cs="Times New Roman"/>
                <w:color w:val="FF0000"/>
                <w:sz w:val="21"/>
                <w:szCs w:val="21"/>
              </w:rPr>
              <w:t>家小学</w:t>
            </w:r>
          </w:p>
        </w:tc>
        <w:tc>
          <w:tcPr>
            <w:tcW w:w="426" w:type="pct"/>
            <w:tcBorders>
              <w:top w:val="single" w:sz="2" w:space="0" w:color="000000"/>
              <w:left w:val="single" w:sz="2" w:space="0" w:color="000000"/>
              <w:bottom w:val="single" w:sz="2" w:space="0" w:color="000000"/>
              <w:right w:val="single" w:sz="2" w:space="0" w:color="000000"/>
            </w:tcBorders>
            <w:vAlign w:val="center"/>
          </w:tcPr>
          <w:p w:rsidR="003422F0" w:rsidRPr="00D82054" w:rsidRDefault="008431C9">
            <w:pPr>
              <w:spacing w:line="240" w:lineRule="auto"/>
              <w:ind w:firstLineChars="0" w:firstLine="0"/>
              <w:jc w:val="center"/>
              <w:rPr>
                <w:rFonts w:ascii="Times New Roman" w:cs="Times New Roman" w:hint="eastAsia"/>
                <w:color w:val="FF0000"/>
                <w:sz w:val="21"/>
                <w:szCs w:val="21"/>
              </w:rPr>
            </w:pPr>
            <w:r w:rsidRPr="00D82054">
              <w:rPr>
                <w:rFonts w:ascii="Times New Roman" w:cs="Times New Roman" w:hint="eastAsia"/>
                <w:color w:val="FF0000"/>
                <w:sz w:val="21"/>
                <w:szCs w:val="21"/>
              </w:rPr>
              <w:t>790</w:t>
            </w:r>
          </w:p>
        </w:tc>
        <w:tc>
          <w:tcPr>
            <w:tcW w:w="381" w:type="pct"/>
            <w:tcBorders>
              <w:top w:val="single" w:sz="2" w:space="0" w:color="000000"/>
              <w:left w:val="single" w:sz="2" w:space="0" w:color="000000"/>
              <w:bottom w:val="single" w:sz="2" w:space="0" w:color="000000"/>
              <w:right w:val="single" w:sz="2" w:space="0" w:color="000000"/>
            </w:tcBorders>
            <w:vAlign w:val="center"/>
          </w:tcPr>
          <w:p w:rsidR="003422F0" w:rsidRPr="00D82054" w:rsidRDefault="008431C9" w:rsidP="00D82054">
            <w:pPr>
              <w:spacing w:line="240" w:lineRule="auto"/>
              <w:ind w:firstLineChars="0" w:firstLine="0"/>
              <w:jc w:val="center"/>
              <w:rPr>
                <w:rFonts w:ascii="Times New Roman" w:cs="Times New Roman" w:hint="eastAsia"/>
                <w:color w:val="FF0000"/>
                <w:sz w:val="21"/>
                <w:szCs w:val="21"/>
              </w:rPr>
            </w:pPr>
            <w:r w:rsidRPr="00D82054">
              <w:rPr>
                <w:rFonts w:ascii="Times New Roman" w:cs="Times New Roman" w:hint="eastAsia"/>
                <w:color w:val="FF0000"/>
                <w:sz w:val="21"/>
                <w:szCs w:val="21"/>
              </w:rPr>
              <w:t>-2780</w:t>
            </w:r>
          </w:p>
        </w:tc>
        <w:tc>
          <w:tcPr>
            <w:tcW w:w="379" w:type="pct"/>
            <w:tcBorders>
              <w:top w:val="single" w:sz="2" w:space="0" w:color="000000"/>
              <w:left w:val="single" w:sz="2" w:space="0" w:color="000000"/>
              <w:bottom w:val="single" w:sz="2" w:space="0" w:color="000000"/>
              <w:right w:val="single" w:sz="2" w:space="0" w:color="000000"/>
            </w:tcBorders>
            <w:vAlign w:val="center"/>
          </w:tcPr>
          <w:p w:rsidR="003422F0" w:rsidRPr="00D82054" w:rsidRDefault="003422F0" w:rsidP="00AF43CE">
            <w:pPr>
              <w:spacing w:line="240" w:lineRule="auto"/>
              <w:ind w:firstLineChars="0" w:firstLine="0"/>
              <w:jc w:val="center"/>
              <w:rPr>
                <w:rFonts w:ascii="Times New Roman" w:cs="Times New Roman"/>
                <w:color w:val="FF0000"/>
                <w:sz w:val="21"/>
                <w:szCs w:val="21"/>
              </w:rPr>
            </w:pPr>
            <w:r w:rsidRPr="00D82054">
              <w:rPr>
                <w:rFonts w:ascii="Times New Roman" w:cs="Times New Roman"/>
                <w:color w:val="FF0000"/>
                <w:sz w:val="21"/>
                <w:szCs w:val="21"/>
              </w:rPr>
              <w:t>学校</w:t>
            </w:r>
          </w:p>
        </w:tc>
        <w:tc>
          <w:tcPr>
            <w:tcW w:w="566" w:type="pct"/>
            <w:tcBorders>
              <w:top w:val="single" w:sz="2" w:space="0" w:color="000000"/>
              <w:left w:val="single" w:sz="2" w:space="0" w:color="000000"/>
              <w:bottom w:val="single" w:sz="2" w:space="0" w:color="000000"/>
              <w:right w:val="single" w:sz="2" w:space="0" w:color="000000"/>
            </w:tcBorders>
            <w:vAlign w:val="center"/>
          </w:tcPr>
          <w:p w:rsidR="003422F0" w:rsidRPr="00D82054" w:rsidRDefault="003422F0" w:rsidP="00D82054">
            <w:pPr>
              <w:spacing w:line="240" w:lineRule="auto"/>
              <w:ind w:firstLineChars="0" w:firstLine="0"/>
              <w:jc w:val="center"/>
              <w:rPr>
                <w:rFonts w:ascii="Times New Roman" w:cs="Times New Roman" w:hint="eastAsia"/>
                <w:color w:val="FF0000"/>
                <w:sz w:val="21"/>
                <w:szCs w:val="21"/>
              </w:rPr>
            </w:pPr>
            <w:r w:rsidRPr="00D82054">
              <w:rPr>
                <w:rFonts w:ascii="Times New Roman" w:cs="Times New Roman"/>
                <w:color w:val="FF0000"/>
                <w:sz w:val="21"/>
                <w:szCs w:val="21"/>
              </w:rPr>
              <w:t>师生约</w:t>
            </w:r>
            <w:r w:rsidRPr="00D82054">
              <w:rPr>
                <w:rFonts w:ascii="Times New Roman" w:cs="Times New Roman" w:hint="eastAsia"/>
                <w:color w:val="FF0000"/>
                <w:sz w:val="21"/>
                <w:szCs w:val="21"/>
              </w:rPr>
              <w:t>12</w:t>
            </w:r>
            <w:r w:rsidRPr="00D82054">
              <w:rPr>
                <w:rFonts w:ascii="Times New Roman" w:cs="Times New Roman" w:hint="eastAsia"/>
                <w:color w:val="FF0000"/>
                <w:sz w:val="21"/>
                <w:szCs w:val="21"/>
              </w:rPr>
              <w:t>0</w:t>
            </w:r>
            <w:r w:rsidRPr="00D82054">
              <w:rPr>
                <w:rFonts w:ascii="Times New Roman" w:cs="Times New Roman" w:hint="eastAsia"/>
                <w:color w:val="FF0000"/>
                <w:sz w:val="21"/>
                <w:szCs w:val="21"/>
              </w:rPr>
              <w:t>人</w:t>
            </w:r>
          </w:p>
        </w:tc>
        <w:tc>
          <w:tcPr>
            <w:tcW w:w="1043" w:type="pct"/>
            <w:vMerge/>
            <w:tcBorders>
              <w:top w:val="single" w:sz="2" w:space="0" w:color="000000"/>
              <w:left w:val="single" w:sz="2" w:space="0" w:color="000000"/>
              <w:right w:val="single" w:sz="2" w:space="0" w:color="000000"/>
            </w:tcBorders>
            <w:vAlign w:val="center"/>
          </w:tcPr>
          <w:p w:rsidR="003422F0" w:rsidRPr="00D82054" w:rsidRDefault="003422F0">
            <w:pPr>
              <w:spacing w:line="240" w:lineRule="auto"/>
              <w:ind w:firstLineChars="0" w:firstLine="0"/>
              <w:jc w:val="center"/>
              <w:rPr>
                <w:rFonts w:ascii="Times New Roman" w:cs="Times New Roman"/>
                <w:color w:val="FF0000"/>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3422F0" w:rsidRPr="00D82054" w:rsidRDefault="008431C9">
            <w:pPr>
              <w:spacing w:line="240" w:lineRule="auto"/>
              <w:ind w:firstLineChars="0" w:firstLine="0"/>
              <w:jc w:val="center"/>
              <w:rPr>
                <w:rFonts w:ascii="Times New Roman" w:cs="Times New Roman" w:hint="eastAsia"/>
                <w:bCs/>
                <w:color w:val="FF0000"/>
                <w:sz w:val="21"/>
                <w:szCs w:val="21"/>
              </w:rPr>
            </w:pPr>
            <w:r w:rsidRPr="00D82054">
              <w:rPr>
                <w:rFonts w:ascii="Times New Roman" w:cs="Times New Roman" w:hint="eastAsia"/>
                <w:bCs/>
                <w:color w:val="FF0000"/>
                <w:sz w:val="21"/>
                <w:szCs w:val="21"/>
              </w:rPr>
              <w:t>SE</w:t>
            </w:r>
          </w:p>
        </w:tc>
        <w:tc>
          <w:tcPr>
            <w:tcW w:w="453" w:type="pct"/>
            <w:tcBorders>
              <w:top w:val="single" w:sz="2" w:space="0" w:color="000000"/>
              <w:left w:val="single" w:sz="2" w:space="0" w:color="000000"/>
              <w:bottom w:val="single" w:sz="2" w:space="0" w:color="000000"/>
              <w:right w:val="nil"/>
            </w:tcBorders>
            <w:vAlign w:val="center"/>
          </w:tcPr>
          <w:p w:rsidR="003422F0" w:rsidRPr="00D82054" w:rsidRDefault="008431C9">
            <w:pPr>
              <w:spacing w:line="240" w:lineRule="auto"/>
              <w:ind w:firstLineChars="0" w:firstLine="0"/>
              <w:jc w:val="center"/>
              <w:rPr>
                <w:rFonts w:ascii="Times New Roman" w:cs="Times New Roman" w:hint="eastAsia"/>
                <w:color w:val="FF0000"/>
                <w:sz w:val="21"/>
                <w:szCs w:val="21"/>
              </w:rPr>
            </w:pPr>
            <w:r w:rsidRPr="00D82054">
              <w:rPr>
                <w:rFonts w:ascii="Times New Roman" w:cs="Times New Roman" w:hint="eastAsia"/>
                <w:color w:val="FF0000"/>
                <w:sz w:val="21"/>
                <w:szCs w:val="21"/>
              </w:rPr>
              <w:t>2960</w:t>
            </w:r>
          </w:p>
        </w:tc>
      </w:tr>
      <w:tr w:rsidR="003422F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3422F0" w:rsidRDefault="003422F0" w:rsidP="00AF43CE">
            <w:pPr>
              <w:spacing w:line="240" w:lineRule="auto"/>
              <w:ind w:firstLineChars="0" w:firstLine="0"/>
              <w:jc w:val="center"/>
              <w:rPr>
                <w:rFonts w:ascii="Times New Roman" w:cs="Times New Roman"/>
                <w:sz w:val="21"/>
                <w:szCs w:val="21"/>
              </w:rPr>
            </w:pPr>
            <w:r>
              <w:rPr>
                <w:rFonts w:ascii="Times New Roman" w:cs="Times New Roman" w:hint="eastAsia"/>
                <w:sz w:val="21"/>
                <w:szCs w:val="21"/>
              </w:rPr>
              <w:t>80</w:t>
            </w:r>
          </w:p>
        </w:tc>
        <w:tc>
          <w:tcPr>
            <w:tcW w:w="473" w:type="pct"/>
            <w:vMerge/>
            <w:tcBorders>
              <w:top w:val="single" w:sz="2" w:space="0" w:color="000000"/>
              <w:left w:val="single" w:sz="2" w:space="0" w:color="000000"/>
              <w:right w:val="single" w:sz="2" w:space="0" w:color="000000"/>
            </w:tcBorders>
            <w:vAlign w:val="center"/>
          </w:tcPr>
          <w:p w:rsidR="003422F0" w:rsidRDefault="003422F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3422F0" w:rsidRPr="00D82054" w:rsidRDefault="000B3575">
            <w:pPr>
              <w:spacing w:line="240" w:lineRule="auto"/>
              <w:ind w:firstLineChars="0" w:firstLine="0"/>
              <w:jc w:val="center"/>
              <w:rPr>
                <w:rFonts w:ascii="Times New Roman" w:cs="Times New Roman"/>
                <w:color w:val="FF0000"/>
                <w:sz w:val="21"/>
                <w:szCs w:val="21"/>
              </w:rPr>
            </w:pPr>
            <w:r w:rsidRPr="00D82054">
              <w:rPr>
                <w:rFonts w:ascii="Times New Roman" w:cs="Times New Roman"/>
                <w:color w:val="FF0000"/>
                <w:sz w:val="21"/>
                <w:szCs w:val="21"/>
              </w:rPr>
              <w:t>普光镇</w:t>
            </w:r>
            <w:r w:rsidRPr="00D82054">
              <w:rPr>
                <w:rFonts w:ascii="Times New Roman" w:cs="Times New Roman"/>
                <w:color w:val="FF0000"/>
                <w:sz w:val="21"/>
                <w:szCs w:val="21"/>
              </w:rPr>
              <w:t>慈云小学</w:t>
            </w:r>
          </w:p>
        </w:tc>
        <w:tc>
          <w:tcPr>
            <w:tcW w:w="426" w:type="pct"/>
            <w:tcBorders>
              <w:top w:val="single" w:sz="2" w:space="0" w:color="000000"/>
              <w:left w:val="single" w:sz="2" w:space="0" w:color="000000"/>
              <w:bottom w:val="single" w:sz="2" w:space="0" w:color="000000"/>
              <w:right w:val="single" w:sz="2" w:space="0" w:color="000000"/>
            </w:tcBorders>
            <w:vAlign w:val="center"/>
          </w:tcPr>
          <w:p w:rsidR="003422F0" w:rsidRPr="00D82054" w:rsidRDefault="008431C9">
            <w:pPr>
              <w:spacing w:line="240" w:lineRule="auto"/>
              <w:ind w:firstLineChars="0" w:firstLine="0"/>
              <w:jc w:val="center"/>
              <w:rPr>
                <w:rFonts w:ascii="Times New Roman" w:cs="Times New Roman" w:hint="eastAsia"/>
                <w:color w:val="FF0000"/>
                <w:sz w:val="21"/>
                <w:szCs w:val="21"/>
              </w:rPr>
            </w:pPr>
            <w:r w:rsidRPr="00D82054">
              <w:rPr>
                <w:rFonts w:ascii="Times New Roman" w:cs="Times New Roman" w:hint="eastAsia"/>
                <w:color w:val="FF0000"/>
                <w:sz w:val="21"/>
                <w:szCs w:val="21"/>
              </w:rPr>
              <w:t>1750</w:t>
            </w:r>
          </w:p>
        </w:tc>
        <w:tc>
          <w:tcPr>
            <w:tcW w:w="381" w:type="pct"/>
            <w:tcBorders>
              <w:top w:val="single" w:sz="2" w:space="0" w:color="000000"/>
              <w:left w:val="single" w:sz="2" w:space="0" w:color="000000"/>
              <w:bottom w:val="single" w:sz="2" w:space="0" w:color="000000"/>
              <w:right w:val="single" w:sz="2" w:space="0" w:color="000000"/>
            </w:tcBorders>
            <w:vAlign w:val="center"/>
          </w:tcPr>
          <w:p w:rsidR="003422F0" w:rsidRPr="00D82054" w:rsidRDefault="008431C9" w:rsidP="00D82054">
            <w:pPr>
              <w:spacing w:line="240" w:lineRule="auto"/>
              <w:ind w:firstLineChars="0" w:firstLine="0"/>
              <w:jc w:val="center"/>
              <w:rPr>
                <w:rFonts w:ascii="Times New Roman" w:cs="Times New Roman" w:hint="eastAsia"/>
                <w:color w:val="FF0000"/>
                <w:sz w:val="21"/>
                <w:szCs w:val="21"/>
              </w:rPr>
            </w:pPr>
            <w:r w:rsidRPr="00D82054">
              <w:rPr>
                <w:rFonts w:ascii="Times New Roman" w:cs="Times New Roman" w:hint="eastAsia"/>
                <w:color w:val="FF0000"/>
                <w:sz w:val="21"/>
                <w:szCs w:val="21"/>
              </w:rPr>
              <w:t>720</w:t>
            </w:r>
          </w:p>
        </w:tc>
        <w:tc>
          <w:tcPr>
            <w:tcW w:w="379" w:type="pct"/>
            <w:tcBorders>
              <w:top w:val="single" w:sz="2" w:space="0" w:color="000000"/>
              <w:left w:val="single" w:sz="2" w:space="0" w:color="000000"/>
              <w:bottom w:val="single" w:sz="2" w:space="0" w:color="000000"/>
              <w:right w:val="single" w:sz="2" w:space="0" w:color="000000"/>
            </w:tcBorders>
            <w:vAlign w:val="center"/>
          </w:tcPr>
          <w:p w:rsidR="003422F0" w:rsidRPr="00D82054" w:rsidRDefault="003422F0" w:rsidP="00AF43CE">
            <w:pPr>
              <w:spacing w:line="240" w:lineRule="auto"/>
              <w:ind w:firstLineChars="0" w:firstLine="0"/>
              <w:jc w:val="center"/>
              <w:rPr>
                <w:rFonts w:ascii="Times New Roman" w:cs="Times New Roman"/>
                <w:color w:val="FF0000"/>
                <w:sz w:val="21"/>
                <w:szCs w:val="21"/>
              </w:rPr>
            </w:pPr>
            <w:r w:rsidRPr="00D82054">
              <w:rPr>
                <w:rFonts w:ascii="Times New Roman" w:cs="Times New Roman"/>
                <w:color w:val="FF0000"/>
                <w:sz w:val="21"/>
                <w:szCs w:val="21"/>
              </w:rPr>
              <w:t>学校</w:t>
            </w:r>
          </w:p>
        </w:tc>
        <w:tc>
          <w:tcPr>
            <w:tcW w:w="566" w:type="pct"/>
            <w:tcBorders>
              <w:top w:val="single" w:sz="2" w:space="0" w:color="000000"/>
              <w:left w:val="single" w:sz="2" w:space="0" w:color="000000"/>
              <w:bottom w:val="single" w:sz="2" w:space="0" w:color="000000"/>
              <w:right w:val="single" w:sz="2" w:space="0" w:color="000000"/>
            </w:tcBorders>
            <w:vAlign w:val="center"/>
          </w:tcPr>
          <w:p w:rsidR="003422F0" w:rsidRPr="00D82054" w:rsidRDefault="003422F0" w:rsidP="00AF43CE">
            <w:pPr>
              <w:spacing w:line="240" w:lineRule="auto"/>
              <w:ind w:firstLineChars="0" w:firstLine="0"/>
              <w:jc w:val="center"/>
              <w:rPr>
                <w:rFonts w:ascii="Times New Roman" w:cs="Times New Roman" w:hint="eastAsia"/>
                <w:color w:val="FF0000"/>
                <w:sz w:val="21"/>
                <w:szCs w:val="21"/>
              </w:rPr>
            </w:pPr>
            <w:r w:rsidRPr="00D82054">
              <w:rPr>
                <w:rFonts w:ascii="Times New Roman" w:cs="Times New Roman"/>
                <w:color w:val="FF0000"/>
                <w:sz w:val="21"/>
                <w:szCs w:val="21"/>
              </w:rPr>
              <w:t>师生约</w:t>
            </w:r>
            <w:r w:rsidRPr="00D82054">
              <w:rPr>
                <w:rFonts w:ascii="Times New Roman" w:cs="Times New Roman" w:hint="eastAsia"/>
                <w:color w:val="FF0000"/>
                <w:sz w:val="21"/>
                <w:szCs w:val="21"/>
              </w:rPr>
              <w:t>200</w:t>
            </w:r>
            <w:r w:rsidRPr="00D82054">
              <w:rPr>
                <w:rFonts w:ascii="Times New Roman" w:cs="Times New Roman" w:hint="eastAsia"/>
                <w:color w:val="FF0000"/>
                <w:sz w:val="21"/>
                <w:szCs w:val="21"/>
              </w:rPr>
              <w:t>人</w:t>
            </w:r>
          </w:p>
        </w:tc>
        <w:tc>
          <w:tcPr>
            <w:tcW w:w="1043" w:type="pct"/>
            <w:vMerge/>
            <w:tcBorders>
              <w:top w:val="single" w:sz="2" w:space="0" w:color="000000"/>
              <w:left w:val="single" w:sz="2" w:space="0" w:color="000000"/>
              <w:right w:val="single" w:sz="2" w:space="0" w:color="000000"/>
            </w:tcBorders>
            <w:vAlign w:val="center"/>
          </w:tcPr>
          <w:p w:rsidR="003422F0" w:rsidRPr="00D82054" w:rsidRDefault="003422F0">
            <w:pPr>
              <w:spacing w:line="240" w:lineRule="auto"/>
              <w:ind w:firstLineChars="0" w:firstLine="0"/>
              <w:jc w:val="center"/>
              <w:rPr>
                <w:rFonts w:ascii="Times New Roman" w:cs="Times New Roman"/>
                <w:color w:val="FF0000"/>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3422F0" w:rsidRPr="00D82054" w:rsidRDefault="008431C9" w:rsidP="00AF43CE">
            <w:pPr>
              <w:spacing w:line="240" w:lineRule="auto"/>
              <w:ind w:firstLineChars="0" w:firstLine="0"/>
              <w:jc w:val="center"/>
              <w:rPr>
                <w:rFonts w:ascii="Times New Roman" w:cs="Times New Roman" w:hint="eastAsia"/>
                <w:bCs/>
                <w:color w:val="FF0000"/>
                <w:sz w:val="21"/>
                <w:szCs w:val="21"/>
              </w:rPr>
            </w:pPr>
            <w:r w:rsidRPr="00D82054">
              <w:rPr>
                <w:rFonts w:ascii="Times New Roman" w:cs="Times New Roman" w:hint="eastAsia"/>
                <w:bCs/>
                <w:color w:val="FF0000"/>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3422F0" w:rsidRPr="00D82054" w:rsidRDefault="008431C9" w:rsidP="00AF43CE">
            <w:pPr>
              <w:spacing w:line="240" w:lineRule="auto"/>
              <w:ind w:firstLineChars="0" w:firstLine="0"/>
              <w:jc w:val="center"/>
              <w:rPr>
                <w:rFonts w:ascii="Times New Roman" w:cs="Times New Roman" w:hint="eastAsia"/>
                <w:color w:val="FF0000"/>
                <w:sz w:val="21"/>
                <w:szCs w:val="21"/>
              </w:rPr>
            </w:pPr>
            <w:r w:rsidRPr="00D82054">
              <w:rPr>
                <w:rFonts w:ascii="Times New Roman" w:cs="Times New Roman" w:hint="eastAsia"/>
                <w:color w:val="FF0000"/>
                <w:sz w:val="21"/>
                <w:szCs w:val="21"/>
              </w:rPr>
              <w:t>1920</w:t>
            </w:r>
          </w:p>
        </w:tc>
      </w:tr>
      <w:tr w:rsidR="003422F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3422F0" w:rsidRDefault="003422F0" w:rsidP="00AF43CE">
            <w:pPr>
              <w:spacing w:line="240" w:lineRule="auto"/>
              <w:ind w:firstLineChars="0" w:firstLine="0"/>
              <w:jc w:val="center"/>
              <w:rPr>
                <w:rFonts w:ascii="Times New Roman" w:cs="Times New Roman"/>
                <w:sz w:val="21"/>
                <w:szCs w:val="21"/>
              </w:rPr>
            </w:pPr>
            <w:r>
              <w:rPr>
                <w:rFonts w:ascii="Times New Roman" w:cs="Times New Roman" w:hint="eastAsia"/>
                <w:sz w:val="21"/>
                <w:szCs w:val="21"/>
              </w:rPr>
              <w:t>81</w:t>
            </w:r>
          </w:p>
        </w:tc>
        <w:tc>
          <w:tcPr>
            <w:tcW w:w="473" w:type="pct"/>
            <w:vMerge/>
            <w:tcBorders>
              <w:top w:val="single" w:sz="2" w:space="0" w:color="000000"/>
              <w:left w:val="single" w:sz="2" w:space="0" w:color="000000"/>
              <w:right w:val="single" w:sz="2" w:space="0" w:color="000000"/>
            </w:tcBorders>
            <w:vAlign w:val="center"/>
          </w:tcPr>
          <w:p w:rsidR="003422F0" w:rsidRDefault="003422F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3422F0" w:rsidRPr="00D82054" w:rsidRDefault="003422F0">
            <w:pPr>
              <w:spacing w:line="240" w:lineRule="auto"/>
              <w:ind w:firstLineChars="0" w:firstLine="0"/>
              <w:jc w:val="center"/>
              <w:rPr>
                <w:rFonts w:ascii="Times New Roman" w:cs="Times New Roman"/>
                <w:color w:val="FF0000"/>
                <w:sz w:val="21"/>
                <w:szCs w:val="21"/>
              </w:rPr>
            </w:pPr>
            <w:r w:rsidRPr="00D82054">
              <w:rPr>
                <w:rFonts w:ascii="Times New Roman" w:cs="Times New Roman"/>
                <w:color w:val="FF0000"/>
                <w:sz w:val="21"/>
                <w:szCs w:val="21"/>
              </w:rPr>
              <w:t>普光</w:t>
            </w:r>
            <w:r>
              <w:rPr>
                <w:rFonts w:ascii="Times New Roman" w:cs="Times New Roman"/>
                <w:color w:val="FF0000"/>
                <w:sz w:val="21"/>
                <w:szCs w:val="21"/>
              </w:rPr>
              <w:t>中学</w:t>
            </w:r>
          </w:p>
        </w:tc>
        <w:tc>
          <w:tcPr>
            <w:tcW w:w="426" w:type="pct"/>
            <w:tcBorders>
              <w:top w:val="single" w:sz="2" w:space="0" w:color="000000"/>
              <w:left w:val="single" w:sz="2" w:space="0" w:color="000000"/>
              <w:bottom w:val="single" w:sz="2" w:space="0" w:color="000000"/>
              <w:right w:val="single" w:sz="2" w:space="0" w:color="000000"/>
            </w:tcBorders>
            <w:vAlign w:val="center"/>
          </w:tcPr>
          <w:p w:rsidR="003422F0" w:rsidRPr="00D82054" w:rsidRDefault="003422F0">
            <w:pPr>
              <w:spacing w:line="240" w:lineRule="auto"/>
              <w:ind w:firstLineChars="0" w:firstLine="0"/>
              <w:jc w:val="center"/>
              <w:rPr>
                <w:rFonts w:ascii="Times New Roman" w:cs="Times New Roman" w:hint="eastAsia"/>
                <w:color w:val="FF0000"/>
                <w:sz w:val="21"/>
                <w:szCs w:val="21"/>
              </w:rPr>
            </w:pPr>
            <w:r>
              <w:rPr>
                <w:rFonts w:ascii="Times New Roman" w:cs="Times New Roman" w:hint="eastAsia"/>
                <w:color w:val="FF0000"/>
                <w:sz w:val="21"/>
                <w:szCs w:val="21"/>
              </w:rPr>
              <w:t>-2170</w:t>
            </w:r>
          </w:p>
        </w:tc>
        <w:tc>
          <w:tcPr>
            <w:tcW w:w="381" w:type="pct"/>
            <w:tcBorders>
              <w:top w:val="single" w:sz="2" w:space="0" w:color="000000"/>
              <w:left w:val="single" w:sz="2" w:space="0" w:color="000000"/>
              <w:bottom w:val="single" w:sz="2" w:space="0" w:color="000000"/>
              <w:right w:val="single" w:sz="2" w:space="0" w:color="000000"/>
            </w:tcBorders>
            <w:vAlign w:val="center"/>
          </w:tcPr>
          <w:p w:rsidR="003422F0" w:rsidRPr="00D82054" w:rsidRDefault="003422F0" w:rsidP="00D82054">
            <w:pPr>
              <w:spacing w:line="240" w:lineRule="auto"/>
              <w:ind w:firstLineChars="0" w:firstLine="0"/>
              <w:jc w:val="center"/>
              <w:rPr>
                <w:rFonts w:ascii="Times New Roman" w:cs="Times New Roman" w:hint="eastAsia"/>
                <w:color w:val="FF0000"/>
                <w:sz w:val="21"/>
                <w:szCs w:val="21"/>
              </w:rPr>
            </w:pPr>
            <w:r>
              <w:rPr>
                <w:rFonts w:ascii="Times New Roman" w:cs="Times New Roman" w:hint="eastAsia"/>
                <w:color w:val="FF0000"/>
                <w:sz w:val="21"/>
                <w:szCs w:val="21"/>
              </w:rPr>
              <w:t>-455</w:t>
            </w:r>
          </w:p>
        </w:tc>
        <w:tc>
          <w:tcPr>
            <w:tcW w:w="379" w:type="pct"/>
            <w:tcBorders>
              <w:top w:val="single" w:sz="2" w:space="0" w:color="000000"/>
              <w:left w:val="single" w:sz="2" w:space="0" w:color="000000"/>
              <w:bottom w:val="single" w:sz="2" w:space="0" w:color="000000"/>
              <w:right w:val="single" w:sz="2" w:space="0" w:color="000000"/>
            </w:tcBorders>
            <w:vAlign w:val="center"/>
          </w:tcPr>
          <w:p w:rsidR="003422F0" w:rsidRPr="00D82054" w:rsidRDefault="003422F0" w:rsidP="00AF43CE">
            <w:pPr>
              <w:spacing w:line="240" w:lineRule="auto"/>
              <w:ind w:firstLineChars="0" w:firstLine="0"/>
              <w:jc w:val="center"/>
              <w:rPr>
                <w:rFonts w:ascii="Times New Roman" w:cs="Times New Roman"/>
                <w:color w:val="FF0000"/>
                <w:sz w:val="21"/>
                <w:szCs w:val="21"/>
              </w:rPr>
            </w:pPr>
            <w:r w:rsidRPr="00D82054">
              <w:rPr>
                <w:rFonts w:ascii="Times New Roman" w:cs="Times New Roman"/>
                <w:color w:val="FF0000"/>
                <w:sz w:val="21"/>
                <w:szCs w:val="21"/>
              </w:rPr>
              <w:t>学校</w:t>
            </w:r>
          </w:p>
        </w:tc>
        <w:tc>
          <w:tcPr>
            <w:tcW w:w="566" w:type="pct"/>
            <w:tcBorders>
              <w:top w:val="single" w:sz="2" w:space="0" w:color="000000"/>
              <w:left w:val="single" w:sz="2" w:space="0" w:color="000000"/>
              <w:bottom w:val="single" w:sz="2" w:space="0" w:color="000000"/>
              <w:right w:val="single" w:sz="2" w:space="0" w:color="000000"/>
            </w:tcBorders>
            <w:vAlign w:val="center"/>
          </w:tcPr>
          <w:p w:rsidR="003422F0" w:rsidRPr="00D82054" w:rsidRDefault="003422F0" w:rsidP="003422F0">
            <w:pPr>
              <w:spacing w:line="240" w:lineRule="auto"/>
              <w:ind w:firstLineChars="0" w:firstLine="0"/>
              <w:jc w:val="center"/>
              <w:rPr>
                <w:rFonts w:ascii="Times New Roman" w:cs="Times New Roman" w:hint="eastAsia"/>
                <w:color w:val="FF0000"/>
                <w:sz w:val="21"/>
                <w:szCs w:val="21"/>
              </w:rPr>
            </w:pPr>
            <w:r w:rsidRPr="00D82054">
              <w:rPr>
                <w:rFonts w:ascii="Times New Roman" w:cs="Times New Roman"/>
                <w:color w:val="FF0000"/>
                <w:sz w:val="21"/>
                <w:szCs w:val="21"/>
              </w:rPr>
              <w:t>师生约</w:t>
            </w:r>
            <w:r>
              <w:rPr>
                <w:rFonts w:ascii="Times New Roman" w:cs="Times New Roman" w:hint="eastAsia"/>
                <w:color w:val="FF0000"/>
                <w:sz w:val="21"/>
                <w:szCs w:val="21"/>
              </w:rPr>
              <w:t>10</w:t>
            </w:r>
            <w:r w:rsidRPr="00D82054">
              <w:rPr>
                <w:rFonts w:ascii="Times New Roman" w:cs="Times New Roman" w:hint="eastAsia"/>
                <w:color w:val="FF0000"/>
                <w:sz w:val="21"/>
                <w:szCs w:val="21"/>
              </w:rPr>
              <w:t>00</w:t>
            </w:r>
            <w:r w:rsidRPr="00D82054">
              <w:rPr>
                <w:rFonts w:ascii="Times New Roman" w:cs="Times New Roman" w:hint="eastAsia"/>
                <w:color w:val="FF0000"/>
                <w:sz w:val="21"/>
                <w:szCs w:val="21"/>
              </w:rPr>
              <w:t>人</w:t>
            </w:r>
          </w:p>
        </w:tc>
        <w:tc>
          <w:tcPr>
            <w:tcW w:w="1043" w:type="pct"/>
            <w:vMerge/>
            <w:tcBorders>
              <w:top w:val="single" w:sz="2" w:space="0" w:color="000000"/>
              <w:left w:val="single" w:sz="2" w:space="0" w:color="000000"/>
              <w:right w:val="single" w:sz="2" w:space="0" w:color="000000"/>
            </w:tcBorders>
            <w:vAlign w:val="center"/>
          </w:tcPr>
          <w:p w:rsidR="003422F0" w:rsidRPr="00D82054" w:rsidRDefault="003422F0">
            <w:pPr>
              <w:spacing w:line="240" w:lineRule="auto"/>
              <w:ind w:firstLineChars="0" w:firstLine="0"/>
              <w:jc w:val="center"/>
              <w:rPr>
                <w:rFonts w:ascii="Times New Roman" w:cs="Times New Roman"/>
                <w:color w:val="FF0000"/>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3422F0" w:rsidRPr="00D82054" w:rsidRDefault="003422F0" w:rsidP="00AF43CE">
            <w:pPr>
              <w:spacing w:line="240" w:lineRule="auto"/>
              <w:ind w:firstLineChars="0" w:firstLine="0"/>
              <w:jc w:val="center"/>
              <w:rPr>
                <w:rFonts w:ascii="Times New Roman" w:cs="Times New Roman" w:hint="eastAsia"/>
                <w:bCs/>
                <w:color w:val="FF0000"/>
                <w:sz w:val="21"/>
                <w:szCs w:val="21"/>
              </w:rPr>
            </w:pPr>
            <w:r>
              <w:rPr>
                <w:rFonts w:ascii="Times New Roman" w:cs="Times New Roman" w:hint="eastAsia"/>
                <w:bCs/>
                <w:color w:val="FF0000"/>
                <w:sz w:val="21"/>
                <w:szCs w:val="21"/>
              </w:rPr>
              <w:t>SW</w:t>
            </w:r>
          </w:p>
        </w:tc>
        <w:tc>
          <w:tcPr>
            <w:tcW w:w="453" w:type="pct"/>
            <w:tcBorders>
              <w:top w:val="single" w:sz="2" w:space="0" w:color="000000"/>
              <w:left w:val="single" w:sz="2" w:space="0" w:color="000000"/>
              <w:bottom w:val="single" w:sz="2" w:space="0" w:color="000000"/>
              <w:right w:val="nil"/>
            </w:tcBorders>
            <w:vAlign w:val="center"/>
          </w:tcPr>
          <w:p w:rsidR="003422F0" w:rsidRPr="00D82054" w:rsidRDefault="003422F0" w:rsidP="00AF43CE">
            <w:pPr>
              <w:spacing w:line="240" w:lineRule="auto"/>
              <w:ind w:firstLineChars="0" w:firstLine="0"/>
              <w:jc w:val="center"/>
              <w:rPr>
                <w:rFonts w:ascii="Times New Roman" w:cs="Times New Roman" w:hint="eastAsia"/>
                <w:color w:val="FF0000"/>
                <w:sz w:val="21"/>
                <w:szCs w:val="21"/>
              </w:rPr>
            </w:pPr>
            <w:r>
              <w:rPr>
                <w:rFonts w:ascii="Times New Roman" w:cs="Times New Roman" w:hint="eastAsia"/>
                <w:color w:val="FF0000"/>
                <w:sz w:val="21"/>
                <w:szCs w:val="21"/>
              </w:rPr>
              <w:t>2260</w:t>
            </w:r>
          </w:p>
        </w:tc>
      </w:tr>
      <w:tr w:rsidR="003422F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3422F0" w:rsidRDefault="003422F0" w:rsidP="00AF43CE">
            <w:pPr>
              <w:spacing w:line="240" w:lineRule="auto"/>
              <w:ind w:firstLineChars="0" w:firstLine="0"/>
              <w:jc w:val="center"/>
              <w:rPr>
                <w:rFonts w:ascii="Times New Roman" w:cs="Times New Roman"/>
                <w:sz w:val="21"/>
                <w:szCs w:val="21"/>
              </w:rPr>
            </w:pPr>
            <w:r>
              <w:rPr>
                <w:rFonts w:ascii="Times New Roman" w:cs="Times New Roman" w:hint="eastAsia"/>
                <w:sz w:val="21"/>
                <w:szCs w:val="21"/>
              </w:rPr>
              <w:t>82</w:t>
            </w:r>
          </w:p>
        </w:tc>
        <w:tc>
          <w:tcPr>
            <w:tcW w:w="473" w:type="pct"/>
            <w:vMerge/>
            <w:tcBorders>
              <w:top w:val="single" w:sz="2" w:space="0" w:color="000000"/>
              <w:left w:val="single" w:sz="2" w:space="0" w:color="000000"/>
              <w:right w:val="single" w:sz="2" w:space="0" w:color="000000"/>
            </w:tcBorders>
            <w:vAlign w:val="center"/>
          </w:tcPr>
          <w:p w:rsidR="003422F0" w:rsidRDefault="003422F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3422F0" w:rsidRPr="003422F0" w:rsidRDefault="003422F0">
            <w:pPr>
              <w:spacing w:line="240" w:lineRule="auto"/>
              <w:ind w:firstLineChars="0" w:firstLine="0"/>
              <w:jc w:val="center"/>
              <w:rPr>
                <w:rFonts w:ascii="Times New Roman" w:cs="Times New Roman"/>
                <w:color w:val="FF0000"/>
                <w:sz w:val="21"/>
                <w:szCs w:val="21"/>
              </w:rPr>
            </w:pPr>
            <w:r w:rsidRPr="003422F0">
              <w:rPr>
                <w:rFonts w:ascii="Times New Roman" w:cs="Times New Roman"/>
                <w:color w:val="FF0000"/>
                <w:sz w:val="21"/>
                <w:szCs w:val="21"/>
              </w:rPr>
              <w:t>普光镇进化小学</w:t>
            </w:r>
          </w:p>
        </w:tc>
        <w:tc>
          <w:tcPr>
            <w:tcW w:w="426" w:type="pct"/>
            <w:tcBorders>
              <w:top w:val="single" w:sz="2" w:space="0" w:color="000000"/>
              <w:left w:val="single" w:sz="2" w:space="0" w:color="000000"/>
              <w:bottom w:val="single" w:sz="2" w:space="0" w:color="000000"/>
              <w:right w:val="single" w:sz="2" w:space="0" w:color="000000"/>
            </w:tcBorders>
            <w:vAlign w:val="center"/>
          </w:tcPr>
          <w:p w:rsidR="003422F0" w:rsidRPr="003422F0" w:rsidRDefault="003422F0" w:rsidP="003422F0">
            <w:pPr>
              <w:spacing w:line="240" w:lineRule="auto"/>
              <w:ind w:firstLineChars="0" w:firstLine="0"/>
              <w:jc w:val="center"/>
              <w:rPr>
                <w:rFonts w:ascii="Times New Roman" w:cs="Times New Roman" w:hint="eastAsia"/>
                <w:color w:val="FF0000"/>
                <w:sz w:val="21"/>
                <w:szCs w:val="21"/>
              </w:rPr>
            </w:pPr>
            <w:r w:rsidRPr="003422F0">
              <w:rPr>
                <w:rFonts w:ascii="Times New Roman" w:cs="Times New Roman" w:hint="eastAsia"/>
                <w:color w:val="FF0000"/>
                <w:sz w:val="21"/>
                <w:szCs w:val="21"/>
              </w:rPr>
              <w:t>-</w:t>
            </w:r>
            <w:r w:rsidRPr="003422F0">
              <w:rPr>
                <w:rFonts w:ascii="Times New Roman" w:cs="Times New Roman" w:hint="eastAsia"/>
                <w:color w:val="FF0000"/>
                <w:sz w:val="21"/>
                <w:szCs w:val="21"/>
              </w:rPr>
              <w:t>340</w:t>
            </w:r>
            <w:r w:rsidRPr="003422F0">
              <w:rPr>
                <w:rFonts w:ascii="Times New Roman" w:cs="Times New Roman" w:hint="eastAsia"/>
                <w:color w:val="FF0000"/>
                <w:sz w:val="21"/>
                <w:szCs w:val="21"/>
              </w:rPr>
              <w:t>0</w:t>
            </w:r>
          </w:p>
        </w:tc>
        <w:tc>
          <w:tcPr>
            <w:tcW w:w="381" w:type="pct"/>
            <w:tcBorders>
              <w:top w:val="single" w:sz="2" w:space="0" w:color="000000"/>
              <w:left w:val="single" w:sz="2" w:space="0" w:color="000000"/>
              <w:bottom w:val="single" w:sz="2" w:space="0" w:color="000000"/>
              <w:right w:val="single" w:sz="2" w:space="0" w:color="000000"/>
            </w:tcBorders>
            <w:vAlign w:val="center"/>
          </w:tcPr>
          <w:p w:rsidR="003422F0" w:rsidRPr="00D82054" w:rsidRDefault="003422F0" w:rsidP="003422F0">
            <w:pPr>
              <w:spacing w:line="240" w:lineRule="auto"/>
              <w:ind w:firstLineChars="0" w:firstLine="0"/>
              <w:jc w:val="center"/>
              <w:rPr>
                <w:rFonts w:ascii="Times New Roman" w:cs="Times New Roman" w:hint="eastAsia"/>
                <w:color w:val="FF0000"/>
                <w:sz w:val="21"/>
                <w:szCs w:val="21"/>
              </w:rPr>
            </w:pPr>
            <w:r>
              <w:rPr>
                <w:rFonts w:ascii="Times New Roman" w:cs="Times New Roman" w:hint="eastAsia"/>
                <w:color w:val="FF0000"/>
                <w:sz w:val="21"/>
                <w:szCs w:val="21"/>
              </w:rPr>
              <w:t>-</w:t>
            </w:r>
            <w:r>
              <w:rPr>
                <w:rFonts w:ascii="Times New Roman" w:cs="Times New Roman" w:hint="eastAsia"/>
                <w:color w:val="FF0000"/>
                <w:sz w:val="21"/>
                <w:szCs w:val="21"/>
              </w:rPr>
              <w:t>570</w:t>
            </w:r>
          </w:p>
        </w:tc>
        <w:tc>
          <w:tcPr>
            <w:tcW w:w="379" w:type="pct"/>
            <w:tcBorders>
              <w:top w:val="single" w:sz="2" w:space="0" w:color="000000"/>
              <w:left w:val="single" w:sz="2" w:space="0" w:color="000000"/>
              <w:bottom w:val="single" w:sz="2" w:space="0" w:color="000000"/>
              <w:right w:val="single" w:sz="2" w:space="0" w:color="000000"/>
            </w:tcBorders>
            <w:vAlign w:val="center"/>
          </w:tcPr>
          <w:p w:rsidR="003422F0" w:rsidRPr="00D82054" w:rsidRDefault="003422F0" w:rsidP="00AF43CE">
            <w:pPr>
              <w:spacing w:line="240" w:lineRule="auto"/>
              <w:ind w:firstLineChars="0" w:firstLine="0"/>
              <w:jc w:val="center"/>
              <w:rPr>
                <w:rFonts w:ascii="Times New Roman" w:cs="Times New Roman"/>
                <w:color w:val="FF0000"/>
                <w:sz w:val="21"/>
                <w:szCs w:val="21"/>
              </w:rPr>
            </w:pPr>
            <w:r w:rsidRPr="00D82054">
              <w:rPr>
                <w:rFonts w:ascii="Times New Roman" w:cs="Times New Roman"/>
                <w:color w:val="FF0000"/>
                <w:sz w:val="21"/>
                <w:szCs w:val="21"/>
              </w:rPr>
              <w:t>学校</w:t>
            </w:r>
          </w:p>
        </w:tc>
        <w:tc>
          <w:tcPr>
            <w:tcW w:w="566" w:type="pct"/>
            <w:tcBorders>
              <w:top w:val="single" w:sz="2" w:space="0" w:color="000000"/>
              <w:left w:val="single" w:sz="2" w:space="0" w:color="000000"/>
              <w:bottom w:val="single" w:sz="2" w:space="0" w:color="000000"/>
              <w:right w:val="single" w:sz="2" w:space="0" w:color="000000"/>
            </w:tcBorders>
            <w:vAlign w:val="center"/>
          </w:tcPr>
          <w:p w:rsidR="003422F0" w:rsidRPr="00D82054" w:rsidRDefault="003422F0" w:rsidP="003422F0">
            <w:pPr>
              <w:spacing w:line="240" w:lineRule="auto"/>
              <w:ind w:firstLineChars="0" w:firstLine="0"/>
              <w:jc w:val="center"/>
              <w:rPr>
                <w:rFonts w:ascii="Times New Roman" w:cs="Times New Roman" w:hint="eastAsia"/>
                <w:color w:val="FF0000"/>
                <w:sz w:val="21"/>
                <w:szCs w:val="21"/>
              </w:rPr>
            </w:pPr>
            <w:r w:rsidRPr="00D82054">
              <w:rPr>
                <w:rFonts w:ascii="Times New Roman" w:cs="Times New Roman"/>
                <w:color w:val="FF0000"/>
                <w:sz w:val="21"/>
                <w:szCs w:val="21"/>
              </w:rPr>
              <w:t>师生约</w:t>
            </w:r>
            <w:r>
              <w:rPr>
                <w:rFonts w:ascii="Times New Roman" w:cs="Times New Roman" w:hint="eastAsia"/>
                <w:color w:val="FF0000"/>
                <w:sz w:val="21"/>
                <w:szCs w:val="21"/>
              </w:rPr>
              <w:t>1</w:t>
            </w:r>
            <w:r>
              <w:rPr>
                <w:rFonts w:ascii="Times New Roman" w:cs="Times New Roman" w:hint="eastAsia"/>
                <w:color w:val="FF0000"/>
                <w:sz w:val="21"/>
                <w:szCs w:val="21"/>
              </w:rPr>
              <w:t>5</w:t>
            </w:r>
            <w:r w:rsidRPr="00D82054">
              <w:rPr>
                <w:rFonts w:ascii="Times New Roman" w:cs="Times New Roman" w:hint="eastAsia"/>
                <w:color w:val="FF0000"/>
                <w:sz w:val="21"/>
                <w:szCs w:val="21"/>
              </w:rPr>
              <w:t>0</w:t>
            </w:r>
            <w:r w:rsidRPr="00D82054">
              <w:rPr>
                <w:rFonts w:ascii="Times New Roman" w:cs="Times New Roman" w:hint="eastAsia"/>
                <w:color w:val="FF0000"/>
                <w:sz w:val="21"/>
                <w:szCs w:val="21"/>
              </w:rPr>
              <w:t>人</w:t>
            </w:r>
          </w:p>
        </w:tc>
        <w:tc>
          <w:tcPr>
            <w:tcW w:w="1043" w:type="pct"/>
            <w:vMerge/>
            <w:tcBorders>
              <w:top w:val="single" w:sz="2" w:space="0" w:color="000000"/>
              <w:left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bCs/>
                <w:sz w:val="21"/>
                <w:szCs w:val="21"/>
              </w:rPr>
            </w:pPr>
            <w:r>
              <w:rPr>
                <w:rFonts w:ascii="Times New Roman" w:cs="Times New Roman" w:hint="eastAsia"/>
                <w:bCs/>
                <w:color w:val="FF0000"/>
                <w:sz w:val="21"/>
                <w:szCs w:val="21"/>
              </w:rPr>
              <w:t>SW</w:t>
            </w:r>
          </w:p>
        </w:tc>
        <w:tc>
          <w:tcPr>
            <w:tcW w:w="453" w:type="pct"/>
            <w:tcBorders>
              <w:top w:val="single" w:sz="2" w:space="0" w:color="000000"/>
              <w:left w:val="single" w:sz="2" w:space="0" w:color="000000"/>
              <w:bottom w:val="single" w:sz="2" w:space="0" w:color="000000"/>
              <w:right w:val="nil"/>
            </w:tcBorders>
            <w:vAlign w:val="center"/>
          </w:tcPr>
          <w:p w:rsidR="003422F0" w:rsidRPr="003422F0" w:rsidRDefault="003422F0">
            <w:pPr>
              <w:spacing w:line="240" w:lineRule="auto"/>
              <w:ind w:firstLineChars="0" w:firstLine="0"/>
              <w:jc w:val="center"/>
              <w:rPr>
                <w:rFonts w:ascii="Times New Roman" w:cs="Times New Roman"/>
                <w:color w:val="FF0000"/>
                <w:sz w:val="21"/>
                <w:szCs w:val="21"/>
              </w:rPr>
            </w:pPr>
            <w:r w:rsidRPr="003422F0">
              <w:rPr>
                <w:rFonts w:ascii="Times New Roman" w:cs="Times New Roman" w:hint="eastAsia"/>
                <w:color w:val="FF0000"/>
                <w:sz w:val="21"/>
                <w:szCs w:val="21"/>
              </w:rPr>
              <w:t>3540</w:t>
            </w:r>
          </w:p>
        </w:tc>
      </w:tr>
      <w:tr w:rsidR="003422F0">
        <w:trPr>
          <w:trHeight w:val="342"/>
          <w:jc w:val="center"/>
        </w:trPr>
        <w:tc>
          <w:tcPr>
            <w:tcW w:w="188" w:type="pct"/>
            <w:tcBorders>
              <w:top w:val="single" w:sz="2" w:space="0" w:color="000000"/>
              <w:left w:val="nil"/>
              <w:bottom w:val="single" w:sz="2" w:space="0" w:color="000000"/>
              <w:right w:val="single" w:sz="2" w:space="0" w:color="000000"/>
            </w:tcBorders>
            <w:vAlign w:val="center"/>
          </w:tcPr>
          <w:p w:rsidR="003422F0" w:rsidRDefault="003422F0" w:rsidP="00AF43CE">
            <w:pPr>
              <w:spacing w:line="240" w:lineRule="auto"/>
              <w:ind w:firstLineChars="0" w:firstLine="0"/>
              <w:jc w:val="center"/>
              <w:rPr>
                <w:rFonts w:ascii="Times New Roman" w:cs="Times New Roman"/>
                <w:sz w:val="21"/>
                <w:szCs w:val="21"/>
              </w:rPr>
            </w:pPr>
            <w:r>
              <w:rPr>
                <w:rFonts w:ascii="Times New Roman" w:cs="Times New Roman" w:hint="eastAsia"/>
                <w:sz w:val="21"/>
                <w:szCs w:val="21"/>
              </w:rPr>
              <w:t>83</w:t>
            </w:r>
          </w:p>
        </w:tc>
        <w:tc>
          <w:tcPr>
            <w:tcW w:w="473" w:type="pct"/>
            <w:vMerge w:val="restart"/>
            <w:tcBorders>
              <w:left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sz w:val="21"/>
                <w:szCs w:val="21"/>
              </w:rPr>
              <w:t>地表水</w:t>
            </w:r>
            <w:r>
              <w:rPr>
                <w:rFonts w:ascii="Times New Roman" w:cs="Times New Roman" w:hint="eastAsia"/>
                <w:sz w:val="21"/>
                <w:szCs w:val="21"/>
              </w:rPr>
              <w:t>、</w:t>
            </w:r>
            <w:r>
              <w:rPr>
                <w:rFonts w:ascii="Times New Roman" w:cs="Times New Roman"/>
                <w:sz w:val="21"/>
                <w:szCs w:val="21"/>
              </w:rPr>
              <w:t>环境风险</w:t>
            </w:r>
          </w:p>
        </w:tc>
        <w:tc>
          <w:tcPr>
            <w:tcW w:w="854"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sz w:val="21"/>
                <w:szCs w:val="21"/>
              </w:rPr>
              <w:t>后河</w:t>
            </w:r>
          </w:p>
        </w:tc>
        <w:tc>
          <w:tcPr>
            <w:tcW w:w="426"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sz w:val="21"/>
                <w:szCs w:val="21"/>
              </w:rPr>
              <w:t>—</w:t>
            </w:r>
          </w:p>
        </w:tc>
        <w:tc>
          <w:tcPr>
            <w:tcW w:w="381"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sz w:val="21"/>
                <w:szCs w:val="21"/>
              </w:rPr>
              <w:t>—</w:t>
            </w:r>
          </w:p>
        </w:tc>
        <w:tc>
          <w:tcPr>
            <w:tcW w:w="379"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sz w:val="21"/>
                <w:szCs w:val="21"/>
              </w:rPr>
              <w:t>地表水</w:t>
            </w:r>
          </w:p>
        </w:tc>
        <w:tc>
          <w:tcPr>
            <w:tcW w:w="566"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sz w:val="21"/>
                <w:szCs w:val="21"/>
              </w:rPr>
              <w:t>地表水水质</w:t>
            </w:r>
          </w:p>
        </w:tc>
        <w:tc>
          <w:tcPr>
            <w:tcW w:w="1043" w:type="pct"/>
            <w:tcBorders>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sz w:val="21"/>
                <w:szCs w:val="21"/>
              </w:rPr>
              <w:t>《地表水环境质量标准》（</w:t>
            </w:r>
            <w:r>
              <w:rPr>
                <w:rFonts w:ascii="Times New Roman" w:cs="Times New Roman"/>
                <w:sz w:val="21"/>
                <w:szCs w:val="21"/>
              </w:rPr>
              <w:t>GB3838-2002</w:t>
            </w:r>
            <w:r>
              <w:rPr>
                <w:rFonts w:ascii="Times New Roman" w:cs="Times New Roman"/>
                <w:sz w:val="21"/>
                <w:szCs w:val="21"/>
              </w:rPr>
              <w:t>）</w:t>
            </w:r>
            <w:r>
              <w:rPr>
                <w:rFonts w:hAnsi="宋体" w:hint="eastAsia"/>
                <w:sz w:val="21"/>
                <w:szCs w:val="21"/>
              </w:rPr>
              <w:t>Ⅲ</w:t>
            </w:r>
            <w:r>
              <w:rPr>
                <w:rFonts w:ascii="Times New Roman" w:cs="Times New Roman"/>
                <w:sz w:val="21"/>
                <w:szCs w:val="21"/>
              </w:rPr>
              <w:t>类</w:t>
            </w:r>
          </w:p>
        </w:tc>
        <w:tc>
          <w:tcPr>
            <w:tcW w:w="236"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sz w:val="21"/>
                <w:szCs w:val="21"/>
              </w:rPr>
              <w:t>SW</w:t>
            </w:r>
          </w:p>
        </w:tc>
        <w:tc>
          <w:tcPr>
            <w:tcW w:w="453" w:type="pct"/>
            <w:tcBorders>
              <w:top w:val="single" w:sz="2" w:space="0" w:color="000000"/>
              <w:left w:val="single" w:sz="2" w:space="0" w:color="000000"/>
              <w:bottom w:val="single" w:sz="2" w:space="0" w:color="000000"/>
              <w:right w:val="nil"/>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sz w:val="21"/>
                <w:szCs w:val="21"/>
              </w:rPr>
              <w:t>1700</w:t>
            </w:r>
          </w:p>
        </w:tc>
      </w:tr>
      <w:tr w:rsidR="003422F0" w:rsidRPr="00511129">
        <w:trPr>
          <w:trHeight w:val="342"/>
          <w:jc w:val="center"/>
        </w:trPr>
        <w:tc>
          <w:tcPr>
            <w:tcW w:w="188" w:type="pct"/>
            <w:tcBorders>
              <w:top w:val="single" w:sz="2" w:space="0" w:color="000000"/>
              <w:left w:val="nil"/>
              <w:bottom w:val="single" w:sz="2" w:space="0" w:color="000000"/>
              <w:right w:val="single" w:sz="2" w:space="0" w:color="000000"/>
            </w:tcBorders>
            <w:vAlign w:val="center"/>
          </w:tcPr>
          <w:p w:rsidR="003422F0" w:rsidRDefault="003422F0" w:rsidP="00AF43CE">
            <w:pPr>
              <w:spacing w:line="240" w:lineRule="auto"/>
              <w:ind w:firstLineChars="0" w:firstLine="0"/>
              <w:jc w:val="center"/>
              <w:rPr>
                <w:rFonts w:ascii="Times New Roman" w:cs="Times New Roman"/>
                <w:sz w:val="21"/>
                <w:szCs w:val="21"/>
              </w:rPr>
            </w:pPr>
            <w:r>
              <w:rPr>
                <w:rFonts w:ascii="Times New Roman" w:cs="Times New Roman" w:hint="eastAsia"/>
                <w:sz w:val="21"/>
                <w:szCs w:val="21"/>
              </w:rPr>
              <w:t>84</w:t>
            </w:r>
          </w:p>
        </w:tc>
        <w:tc>
          <w:tcPr>
            <w:tcW w:w="473" w:type="pct"/>
            <w:vMerge/>
            <w:tcBorders>
              <w:left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3422F0" w:rsidRPr="00511129" w:rsidRDefault="003422F0" w:rsidP="004841B2">
            <w:pPr>
              <w:spacing w:line="240" w:lineRule="auto"/>
              <w:ind w:firstLineChars="0" w:firstLine="0"/>
              <w:jc w:val="center"/>
              <w:rPr>
                <w:rFonts w:ascii="Times New Roman" w:cs="Times New Roman"/>
                <w:color w:val="FF0000"/>
                <w:sz w:val="21"/>
                <w:szCs w:val="21"/>
              </w:rPr>
            </w:pPr>
            <w:r w:rsidRPr="00511129">
              <w:rPr>
                <w:rFonts w:ascii="Times New Roman" w:cs="Times New Roman" w:hint="eastAsia"/>
                <w:color w:val="FF0000"/>
                <w:sz w:val="21"/>
                <w:szCs w:val="21"/>
              </w:rPr>
              <w:t>中河</w:t>
            </w:r>
          </w:p>
        </w:tc>
        <w:tc>
          <w:tcPr>
            <w:tcW w:w="426" w:type="pct"/>
            <w:tcBorders>
              <w:top w:val="single" w:sz="2" w:space="0" w:color="000000"/>
              <w:left w:val="single" w:sz="2" w:space="0" w:color="000000"/>
              <w:bottom w:val="single" w:sz="2" w:space="0" w:color="000000"/>
              <w:right w:val="single" w:sz="2" w:space="0" w:color="000000"/>
            </w:tcBorders>
            <w:vAlign w:val="center"/>
          </w:tcPr>
          <w:p w:rsidR="003422F0" w:rsidRPr="00511129" w:rsidRDefault="003422F0" w:rsidP="004841B2">
            <w:pPr>
              <w:spacing w:line="240" w:lineRule="auto"/>
              <w:ind w:firstLineChars="0" w:firstLine="0"/>
              <w:jc w:val="center"/>
              <w:rPr>
                <w:rFonts w:ascii="Times New Roman" w:cs="Times New Roman"/>
                <w:color w:val="FF0000"/>
                <w:sz w:val="21"/>
                <w:szCs w:val="21"/>
              </w:rPr>
            </w:pPr>
            <w:r w:rsidRPr="00511129">
              <w:rPr>
                <w:rFonts w:ascii="Times New Roman" w:cs="Times New Roman"/>
                <w:color w:val="FF0000"/>
                <w:sz w:val="21"/>
                <w:szCs w:val="21"/>
              </w:rPr>
              <w:t>—</w:t>
            </w:r>
          </w:p>
        </w:tc>
        <w:tc>
          <w:tcPr>
            <w:tcW w:w="381" w:type="pct"/>
            <w:tcBorders>
              <w:top w:val="single" w:sz="2" w:space="0" w:color="000000"/>
              <w:left w:val="single" w:sz="2" w:space="0" w:color="000000"/>
              <w:bottom w:val="single" w:sz="2" w:space="0" w:color="000000"/>
              <w:right w:val="single" w:sz="2" w:space="0" w:color="000000"/>
            </w:tcBorders>
            <w:vAlign w:val="center"/>
          </w:tcPr>
          <w:p w:rsidR="003422F0" w:rsidRPr="00511129" w:rsidRDefault="003422F0" w:rsidP="004841B2">
            <w:pPr>
              <w:spacing w:line="240" w:lineRule="auto"/>
              <w:ind w:firstLineChars="0" w:firstLine="0"/>
              <w:jc w:val="center"/>
              <w:rPr>
                <w:rFonts w:ascii="Times New Roman" w:cs="Times New Roman"/>
                <w:color w:val="FF0000"/>
                <w:sz w:val="21"/>
                <w:szCs w:val="21"/>
              </w:rPr>
            </w:pPr>
            <w:r w:rsidRPr="00511129">
              <w:rPr>
                <w:rFonts w:ascii="Times New Roman" w:cs="Times New Roman"/>
                <w:color w:val="FF0000"/>
                <w:sz w:val="21"/>
                <w:szCs w:val="21"/>
              </w:rPr>
              <w:t>—</w:t>
            </w:r>
          </w:p>
        </w:tc>
        <w:tc>
          <w:tcPr>
            <w:tcW w:w="379" w:type="pct"/>
            <w:tcBorders>
              <w:top w:val="single" w:sz="2" w:space="0" w:color="000000"/>
              <w:left w:val="single" w:sz="2" w:space="0" w:color="000000"/>
              <w:bottom w:val="single" w:sz="2" w:space="0" w:color="000000"/>
              <w:right w:val="single" w:sz="2" w:space="0" w:color="000000"/>
            </w:tcBorders>
            <w:vAlign w:val="center"/>
          </w:tcPr>
          <w:p w:rsidR="003422F0" w:rsidRPr="00511129" w:rsidRDefault="003422F0" w:rsidP="004841B2">
            <w:pPr>
              <w:spacing w:line="240" w:lineRule="auto"/>
              <w:ind w:firstLineChars="0" w:firstLine="0"/>
              <w:jc w:val="center"/>
              <w:rPr>
                <w:rFonts w:ascii="Times New Roman" w:cs="Times New Roman"/>
                <w:color w:val="FF0000"/>
                <w:sz w:val="21"/>
                <w:szCs w:val="21"/>
              </w:rPr>
            </w:pPr>
            <w:r w:rsidRPr="00511129">
              <w:rPr>
                <w:rFonts w:ascii="Times New Roman" w:cs="Times New Roman"/>
                <w:color w:val="FF0000"/>
                <w:sz w:val="21"/>
                <w:szCs w:val="21"/>
              </w:rPr>
              <w:t>地表水</w:t>
            </w:r>
          </w:p>
        </w:tc>
        <w:tc>
          <w:tcPr>
            <w:tcW w:w="566" w:type="pct"/>
            <w:tcBorders>
              <w:top w:val="single" w:sz="2" w:space="0" w:color="000000"/>
              <w:left w:val="single" w:sz="2" w:space="0" w:color="000000"/>
              <w:bottom w:val="single" w:sz="2" w:space="0" w:color="000000"/>
              <w:right w:val="single" w:sz="2" w:space="0" w:color="000000"/>
            </w:tcBorders>
            <w:vAlign w:val="center"/>
          </w:tcPr>
          <w:p w:rsidR="003422F0" w:rsidRPr="00511129" w:rsidRDefault="003422F0" w:rsidP="004841B2">
            <w:pPr>
              <w:spacing w:line="240" w:lineRule="auto"/>
              <w:ind w:firstLineChars="0" w:firstLine="0"/>
              <w:jc w:val="center"/>
              <w:rPr>
                <w:rFonts w:ascii="Times New Roman" w:cs="Times New Roman"/>
                <w:color w:val="FF0000"/>
                <w:sz w:val="21"/>
                <w:szCs w:val="21"/>
              </w:rPr>
            </w:pPr>
            <w:r w:rsidRPr="00511129">
              <w:rPr>
                <w:rFonts w:ascii="Times New Roman" w:cs="Times New Roman"/>
                <w:color w:val="FF0000"/>
                <w:sz w:val="21"/>
                <w:szCs w:val="21"/>
              </w:rPr>
              <w:t>地表水水质</w:t>
            </w:r>
          </w:p>
        </w:tc>
        <w:tc>
          <w:tcPr>
            <w:tcW w:w="1043" w:type="pct"/>
            <w:tcBorders>
              <w:left w:val="single" w:sz="2" w:space="0" w:color="000000"/>
              <w:bottom w:val="single" w:sz="2" w:space="0" w:color="000000"/>
              <w:right w:val="single" w:sz="2" w:space="0" w:color="000000"/>
            </w:tcBorders>
            <w:vAlign w:val="center"/>
          </w:tcPr>
          <w:p w:rsidR="003422F0" w:rsidRPr="00511129" w:rsidRDefault="003422F0" w:rsidP="004841B2">
            <w:pPr>
              <w:spacing w:line="240" w:lineRule="auto"/>
              <w:ind w:firstLineChars="0" w:firstLine="0"/>
              <w:jc w:val="center"/>
              <w:rPr>
                <w:rFonts w:ascii="Times New Roman" w:cs="Times New Roman"/>
                <w:color w:val="FF0000"/>
                <w:sz w:val="21"/>
                <w:szCs w:val="21"/>
              </w:rPr>
            </w:pPr>
            <w:r w:rsidRPr="00511129">
              <w:rPr>
                <w:rFonts w:ascii="Times New Roman" w:cs="Times New Roman"/>
                <w:color w:val="FF0000"/>
                <w:sz w:val="21"/>
                <w:szCs w:val="21"/>
              </w:rPr>
              <w:t>《地表水环境质量标准》（</w:t>
            </w:r>
            <w:r w:rsidRPr="00511129">
              <w:rPr>
                <w:rFonts w:ascii="Times New Roman" w:cs="Times New Roman"/>
                <w:color w:val="FF0000"/>
                <w:sz w:val="21"/>
                <w:szCs w:val="21"/>
              </w:rPr>
              <w:t>GB3838-2002</w:t>
            </w:r>
            <w:r w:rsidRPr="00511129">
              <w:rPr>
                <w:rFonts w:ascii="Times New Roman" w:cs="Times New Roman"/>
                <w:color w:val="FF0000"/>
                <w:sz w:val="21"/>
                <w:szCs w:val="21"/>
              </w:rPr>
              <w:t>）</w:t>
            </w:r>
            <w:r w:rsidRPr="00511129">
              <w:rPr>
                <w:rFonts w:hAnsi="宋体" w:hint="eastAsia"/>
                <w:color w:val="FF0000"/>
                <w:sz w:val="21"/>
                <w:szCs w:val="21"/>
              </w:rPr>
              <w:t>Ⅲ</w:t>
            </w:r>
            <w:r w:rsidRPr="00511129">
              <w:rPr>
                <w:rFonts w:ascii="Times New Roman" w:cs="Times New Roman"/>
                <w:color w:val="FF0000"/>
                <w:sz w:val="21"/>
                <w:szCs w:val="21"/>
              </w:rPr>
              <w:t>类</w:t>
            </w:r>
          </w:p>
        </w:tc>
        <w:tc>
          <w:tcPr>
            <w:tcW w:w="236" w:type="pct"/>
            <w:tcBorders>
              <w:top w:val="single" w:sz="2" w:space="0" w:color="000000"/>
              <w:left w:val="single" w:sz="2" w:space="0" w:color="000000"/>
              <w:bottom w:val="single" w:sz="2" w:space="0" w:color="000000"/>
              <w:right w:val="single" w:sz="2" w:space="0" w:color="000000"/>
            </w:tcBorders>
            <w:vAlign w:val="center"/>
          </w:tcPr>
          <w:p w:rsidR="003422F0" w:rsidRPr="00511129" w:rsidRDefault="003422F0" w:rsidP="004841B2">
            <w:pPr>
              <w:spacing w:line="240" w:lineRule="auto"/>
              <w:ind w:firstLineChars="0" w:firstLine="0"/>
              <w:jc w:val="center"/>
              <w:rPr>
                <w:rFonts w:ascii="Times New Roman" w:cs="Times New Roman"/>
                <w:color w:val="FF0000"/>
                <w:sz w:val="21"/>
                <w:szCs w:val="21"/>
              </w:rPr>
            </w:pPr>
            <w:r w:rsidRPr="00511129">
              <w:rPr>
                <w:rFonts w:ascii="Times New Roman" w:cs="Times New Roman" w:hint="eastAsia"/>
                <w:color w:val="FF0000"/>
                <w:sz w:val="21"/>
                <w:szCs w:val="21"/>
              </w:rPr>
              <w:t>NW</w:t>
            </w:r>
          </w:p>
        </w:tc>
        <w:tc>
          <w:tcPr>
            <w:tcW w:w="453" w:type="pct"/>
            <w:tcBorders>
              <w:top w:val="single" w:sz="2" w:space="0" w:color="000000"/>
              <w:left w:val="single" w:sz="2" w:space="0" w:color="000000"/>
              <w:bottom w:val="single" w:sz="2" w:space="0" w:color="000000"/>
              <w:right w:val="nil"/>
            </w:tcBorders>
            <w:vAlign w:val="center"/>
          </w:tcPr>
          <w:p w:rsidR="003422F0" w:rsidRPr="00511129" w:rsidRDefault="003422F0" w:rsidP="004841B2">
            <w:pPr>
              <w:spacing w:line="240" w:lineRule="auto"/>
              <w:ind w:firstLineChars="0" w:firstLine="0"/>
              <w:jc w:val="center"/>
              <w:rPr>
                <w:rFonts w:ascii="Times New Roman" w:cs="Times New Roman"/>
                <w:color w:val="FF0000"/>
                <w:sz w:val="21"/>
                <w:szCs w:val="21"/>
              </w:rPr>
            </w:pPr>
            <w:r w:rsidRPr="00511129">
              <w:rPr>
                <w:rFonts w:ascii="Times New Roman" w:cs="Times New Roman" w:hint="eastAsia"/>
                <w:color w:val="FF0000"/>
                <w:sz w:val="21"/>
                <w:szCs w:val="21"/>
              </w:rPr>
              <w:t>2150</w:t>
            </w:r>
          </w:p>
        </w:tc>
      </w:tr>
      <w:tr w:rsidR="003422F0">
        <w:trPr>
          <w:trHeight w:val="342"/>
          <w:jc w:val="center"/>
        </w:trPr>
        <w:tc>
          <w:tcPr>
            <w:tcW w:w="188" w:type="pct"/>
            <w:tcBorders>
              <w:top w:val="single" w:sz="2" w:space="0" w:color="000000"/>
              <w:left w:val="nil"/>
              <w:bottom w:val="single" w:sz="2" w:space="0" w:color="000000"/>
              <w:right w:val="single" w:sz="2" w:space="0" w:color="000000"/>
            </w:tcBorders>
            <w:vAlign w:val="center"/>
          </w:tcPr>
          <w:p w:rsidR="003422F0" w:rsidRDefault="003422F0" w:rsidP="00AF43CE">
            <w:pPr>
              <w:spacing w:line="240" w:lineRule="auto"/>
              <w:ind w:firstLineChars="0" w:firstLine="0"/>
              <w:jc w:val="center"/>
              <w:rPr>
                <w:rFonts w:ascii="Times New Roman" w:cs="Times New Roman"/>
                <w:sz w:val="21"/>
                <w:szCs w:val="21"/>
              </w:rPr>
            </w:pPr>
            <w:r>
              <w:rPr>
                <w:rFonts w:ascii="Times New Roman" w:cs="Times New Roman" w:hint="eastAsia"/>
                <w:sz w:val="21"/>
                <w:szCs w:val="21"/>
              </w:rPr>
              <w:t>85</w:t>
            </w:r>
          </w:p>
        </w:tc>
        <w:tc>
          <w:tcPr>
            <w:tcW w:w="473" w:type="pct"/>
            <w:vMerge w:val="restart"/>
            <w:tcBorders>
              <w:top w:val="single" w:sz="2" w:space="0" w:color="000000"/>
              <w:left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sz w:val="21"/>
                <w:szCs w:val="21"/>
              </w:rPr>
              <w:t>地下水环境</w:t>
            </w:r>
            <w:r>
              <w:rPr>
                <w:rFonts w:ascii="Times New Roman" w:cs="Times New Roman" w:hint="eastAsia"/>
                <w:sz w:val="21"/>
                <w:szCs w:val="21"/>
              </w:rPr>
              <w:t>、</w:t>
            </w:r>
            <w:r>
              <w:rPr>
                <w:rFonts w:ascii="Times New Roman" w:cs="Times New Roman"/>
                <w:sz w:val="21"/>
                <w:szCs w:val="21"/>
              </w:rPr>
              <w:t>环境风险</w:t>
            </w:r>
          </w:p>
        </w:tc>
        <w:tc>
          <w:tcPr>
            <w:tcW w:w="854"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bCs/>
                <w:sz w:val="21"/>
                <w:szCs w:val="21"/>
              </w:rPr>
              <w:t>水井</w:t>
            </w:r>
            <w:r>
              <w:rPr>
                <w:rFonts w:ascii="Times New Roman" w:cs="Times New Roman" w:hint="eastAsia"/>
                <w:sz w:val="21"/>
                <w:szCs w:val="21"/>
              </w:rPr>
              <w:t>JC1</w:t>
            </w:r>
          </w:p>
        </w:tc>
        <w:tc>
          <w:tcPr>
            <w:tcW w:w="426"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sz w:val="21"/>
                <w:szCs w:val="21"/>
              </w:rPr>
              <w:t>2540</w:t>
            </w:r>
          </w:p>
        </w:tc>
        <w:tc>
          <w:tcPr>
            <w:tcW w:w="381"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sz w:val="21"/>
                <w:szCs w:val="21"/>
              </w:rPr>
              <w:t>0</w:t>
            </w:r>
          </w:p>
        </w:tc>
        <w:tc>
          <w:tcPr>
            <w:tcW w:w="379"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sz w:val="21"/>
                <w:szCs w:val="21"/>
              </w:rPr>
              <w:t>地下水水质</w:t>
            </w:r>
            <w:r>
              <w:rPr>
                <w:rFonts w:ascii="Times New Roman" w:cs="Times New Roman" w:hint="eastAsia"/>
                <w:sz w:val="21"/>
                <w:szCs w:val="21"/>
              </w:rPr>
              <w:t>，</w:t>
            </w:r>
            <w:r>
              <w:rPr>
                <w:rFonts w:ascii="Times New Roman" w:cs="Times New Roman"/>
                <w:sz w:val="21"/>
                <w:szCs w:val="21"/>
              </w:rPr>
              <w:t>高程</w:t>
            </w:r>
            <w:r>
              <w:rPr>
                <w:rFonts w:ascii="Times New Roman" w:cs="Times New Roman" w:hint="eastAsia"/>
                <w:sz w:val="21"/>
                <w:szCs w:val="21"/>
              </w:rPr>
              <w:t>818m</w:t>
            </w:r>
          </w:p>
        </w:tc>
        <w:tc>
          <w:tcPr>
            <w:tcW w:w="1043" w:type="pct"/>
            <w:vMerge w:val="restart"/>
            <w:tcBorders>
              <w:top w:val="single" w:sz="2" w:space="0" w:color="000000"/>
              <w:left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sz w:val="21"/>
                <w:szCs w:val="21"/>
              </w:rPr>
              <w:t>《地下水质量标准》（</w:t>
            </w:r>
            <w:r>
              <w:rPr>
                <w:rFonts w:ascii="Times New Roman" w:cs="Times New Roman"/>
                <w:sz w:val="21"/>
                <w:szCs w:val="21"/>
              </w:rPr>
              <w:t>GB/T14848</w:t>
            </w:r>
            <w:r>
              <w:rPr>
                <w:rFonts w:ascii="Times New Roman" w:cs="Times New Roman"/>
                <w:sz w:val="21"/>
                <w:szCs w:val="21"/>
              </w:rPr>
              <w:t>－</w:t>
            </w:r>
            <w:r>
              <w:rPr>
                <w:rFonts w:ascii="Times New Roman" w:cs="Times New Roman"/>
                <w:sz w:val="21"/>
                <w:szCs w:val="21"/>
              </w:rPr>
              <w:t>2017</w:t>
            </w:r>
            <w:r>
              <w:rPr>
                <w:rFonts w:ascii="Times New Roman" w:cs="Times New Roman"/>
                <w:sz w:val="21"/>
                <w:szCs w:val="21"/>
              </w:rPr>
              <w:t>）</w:t>
            </w:r>
            <w:r>
              <w:rPr>
                <w:rFonts w:hAnsi="宋体" w:hint="eastAsia"/>
                <w:sz w:val="21"/>
                <w:szCs w:val="21"/>
              </w:rPr>
              <w:t>Ⅲ</w:t>
            </w:r>
            <w:r>
              <w:rPr>
                <w:rFonts w:ascii="Times New Roman" w:cs="Times New Roman"/>
                <w:sz w:val="21"/>
                <w:szCs w:val="21"/>
              </w:rPr>
              <w:t>类标准</w:t>
            </w:r>
          </w:p>
        </w:tc>
        <w:tc>
          <w:tcPr>
            <w:tcW w:w="236"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sz w:val="21"/>
                <w:szCs w:val="21"/>
              </w:rPr>
              <w:t>E</w:t>
            </w:r>
          </w:p>
        </w:tc>
        <w:tc>
          <w:tcPr>
            <w:tcW w:w="453" w:type="pct"/>
            <w:tcBorders>
              <w:top w:val="single" w:sz="2" w:space="0" w:color="000000"/>
              <w:left w:val="single" w:sz="2" w:space="0" w:color="000000"/>
              <w:bottom w:val="single" w:sz="2" w:space="0" w:color="000000"/>
              <w:right w:val="nil"/>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sz w:val="21"/>
                <w:szCs w:val="21"/>
              </w:rPr>
              <w:t>2540</w:t>
            </w:r>
          </w:p>
        </w:tc>
      </w:tr>
      <w:tr w:rsidR="003422F0">
        <w:trPr>
          <w:trHeight w:val="342"/>
          <w:jc w:val="center"/>
        </w:trPr>
        <w:tc>
          <w:tcPr>
            <w:tcW w:w="188" w:type="pct"/>
            <w:tcBorders>
              <w:top w:val="single" w:sz="2" w:space="0" w:color="000000"/>
              <w:left w:val="nil"/>
              <w:bottom w:val="single" w:sz="2" w:space="0" w:color="000000"/>
              <w:right w:val="single" w:sz="2" w:space="0" w:color="000000"/>
            </w:tcBorders>
            <w:vAlign w:val="center"/>
          </w:tcPr>
          <w:p w:rsidR="003422F0" w:rsidRDefault="003422F0" w:rsidP="00AF43CE">
            <w:pPr>
              <w:spacing w:line="240" w:lineRule="auto"/>
              <w:ind w:firstLineChars="0" w:firstLine="0"/>
              <w:jc w:val="center"/>
              <w:rPr>
                <w:rFonts w:ascii="Times New Roman" w:cs="Times New Roman"/>
                <w:sz w:val="21"/>
                <w:szCs w:val="21"/>
              </w:rPr>
            </w:pPr>
            <w:r>
              <w:rPr>
                <w:rFonts w:ascii="Times New Roman" w:cs="Times New Roman" w:hint="eastAsia"/>
                <w:sz w:val="21"/>
                <w:szCs w:val="21"/>
              </w:rPr>
              <w:t>86</w:t>
            </w:r>
          </w:p>
        </w:tc>
        <w:tc>
          <w:tcPr>
            <w:tcW w:w="473" w:type="pct"/>
            <w:vMerge/>
            <w:tcBorders>
              <w:left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bCs/>
                <w:sz w:val="21"/>
                <w:szCs w:val="21"/>
              </w:rPr>
              <w:t>水井</w:t>
            </w:r>
            <w:r>
              <w:rPr>
                <w:rFonts w:ascii="Times New Roman" w:cs="Times New Roman" w:hint="eastAsia"/>
                <w:sz w:val="21"/>
                <w:szCs w:val="21"/>
              </w:rPr>
              <w:t>JC2</w:t>
            </w:r>
          </w:p>
        </w:tc>
        <w:tc>
          <w:tcPr>
            <w:tcW w:w="426"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sz w:val="21"/>
                <w:szCs w:val="21"/>
              </w:rPr>
              <w:t>2110</w:t>
            </w:r>
          </w:p>
        </w:tc>
        <w:tc>
          <w:tcPr>
            <w:tcW w:w="381"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sz w:val="21"/>
                <w:szCs w:val="21"/>
              </w:rPr>
              <w:t>-330</w:t>
            </w:r>
          </w:p>
        </w:tc>
        <w:tc>
          <w:tcPr>
            <w:tcW w:w="379"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sz w:val="21"/>
                <w:szCs w:val="21"/>
              </w:rPr>
              <w:t>地下水水质</w:t>
            </w:r>
            <w:r>
              <w:rPr>
                <w:rFonts w:ascii="Times New Roman" w:cs="Times New Roman" w:hint="eastAsia"/>
                <w:sz w:val="21"/>
                <w:szCs w:val="21"/>
              </w:rPr>
              <w:t>，</w:t>
            </w:r>
            <w:r>
              <w:rPr>
                <w:rFonts w:ascii="Times New Roman" w:cs="Times New Roman"/>
                <w:sz w:val="21"/>
                <w:szCs w:val="21"/>
              </w:rPr>
              <w:t>高程</w:t>
            </w:r>
            <w:r>
              <w:rPr>
                <w:rFonts w:ascii="Times New Roman" w:cs="Times New Roman" w:hint="eastAsia"/>
                <w:sz w:val="21"/>
                <w:szCs w:val="21"/>
              </w:rPr>
              <w:t>820m</w:t>
            </w:r>
          </w:p>
        </w:tc>
        <w:tc>
          <w:tcPr>
            <w:tcW w:w="1043" w:type="pct"/>
            <w:vMerge/>
            <w:tcBorders>
              <w:left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sz w:val="21"/>
                <w:szCs w:val="21"/>
              </w:rPr>
              <w:t>SE</w:t>
            </w:r>
          </w:p>
        </w:tc>
        <w:tc>
          <w:tcPr>
            <w:tcW w:w="453" w:type="pct"/>
            <w:tcBorders>
              <w:top w:val="single" w:sz="2" w:space="0" w:color="000000"/>
              <w:left w:val="single" w:sz="2" w:space="0" w:color="000000"/>
              <w:bottom w:val="single" w:sz="2" w:space="0" w:color="000000"/>
              <w:right w:val="nil"/>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sz w:val="21"/>
                <w:szCs w:val="21"/>
              </w:rPr>
              <w:t>2180</w:t>
            </w:r>
          </w:p>
        </w:tc>
      </w:tr>
      <w:tr w:rsidR="003422F0">
        <w:trPr>
          <w:trHeight w:val="342"/>
          <w:jc w:val="center"/>
        </w:trPr>
        <w:tc>
          <w:tcPr>
            <w:tcW w:w="188" w:type="pct"/>
            <w:tcBorders>
              <w:top w:val="single" w:sz="2" w:space="0" w:color="000000"/>
              <w:left w:val="nil"/>
              <w:bottom w:val="single" w:sz="2" w:space="0" w:color="000000"/>
              <w:right w:val="single" w:sz="2" w:space="0" w:color="000000"/>
            </w:tcBorders>
            <w:vAlign w:val="center"/>
          </w:tcPr>
          <w:p w:rsidR="003422F0" w:rsidRDefault="003422F0" w:rsidP="00AF43CE">
            <w:pPr>
              <w:spacing w:line="240" w:lineRule="auto"/>
              <w:ind w:firstLineChars="0" w:firstLine="0"/>
              <w:jc w:val="center"/>
              <w:rPr>
                <w:rFonts w:ascii="Times New Roman" w:cs="Times New Roman"/>
                <w:sz w:val="21"/>
                <w:szCs w:val="21"/>
              </w:rPr>
            </w:pPr>
            <w:r>
              <w:rPr>
                <w:rFonts w:ascii="Times New Roman" w:cs="Times New Roman" w:hint="eastAsia"/>
                <w:sz w:val="21"/>
                <w:szCs w:val="21"/>
              </w:rPr>
              <w:lastRenderedPageBreak/>
              <w:t>87</w:t>
            </w:r>
          </w:p>
        </w:tc>
        <w:tc>
          <w:tcPr>
            <w:tcW w:w="473" w:type="pct"/>
            <w:vMerge/>
            <w:tcBorders>
              <w:left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bCs/>
                <w:sz w:val="21"/>
                <w:szCs w:val="21"/>
              </w:rPr>
              <w:t>水井</w:t>
            </w:r>
            <w:r>
              <w:rPr>
                <w:rFonts w:ascii="Times New Roman" w:cs="Times New Roman" w:hint="eastAsia"/>
                <w:sz w:val="21"/>
                <w:szCs w:val="21"/>
              </w:rPr>
              <w:t>JC3</w:t>
            </w:r>
          </w:p>
        </w:tc>
        <w:tc>
          <w:tcPr>
            <w:tcW w:w="426"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sz w:val="21"/>
                <w:szCs w:val="21"/>
              </w:rPr>
              <w:t>1260</w:t>
            </w:r>
          </w:p>
        </w:tc>
        <w:tc>
          <w:tcPr>
            <w:tcW w:w="381" w:type="pct"/>
            <w:tcBorders>
              <w:top w:val="single" w:sz="2" w:space="0" w:color="000000"/>
              <w:left w:val="single" w:sz="2" w:space="0" w:color="000000"/>
              <w:bottom w:val="single" w:sz="2" w:space="0" w:color="000000"/>
              <w:right w:val="single" w:sz="2" w:space="0" w:color="000000"/>
            </w:tcBorders>
            <w:vAlign w:val="center"/>
          </w:tcPr>
          <w:p w:rsidR="003422F0" w:rsidRDefault="003422F0" w:rsidP="00EA5537">
            <w:pPr>
              <w:spacing w:line="240" w:lineRule="auto"/>
              <w:ind w:firstLineChars="0" w:firstLine="0"/>
              <w:jc w:val="center"/>
              <w:rPr>
                <w:rFonts w:ascii="Times New Roman" w:cs="Times New Roman"/>
                <w:sz w:val="21"/>
                <w:szCs w:val="21"/>
              </w:rPr>
            </w:pPr>
            <w:r>
              <w:rPr>
                <w:rFonts w:ascii="Times New Roman" w:cs="Times New Roman" w:hint="eastAsia"/>
                <w:sz w:val="21"/>
                <w:szCs w:val="21"/>
              </w:rPr>
              <w:t>1020</w:t>
            </w:r>
          </w:p>
        </w:tc>
        <w:tc>
          <w:tcPr>
            <w:tcW w:w="379"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sz w:val="21"/>
                <w:szCs w:val="21"/>
              </w:rPr>
              <w:t>地下水水质</w:t>
            </w:r>
            <w:r>
              <w:rPr>
                <w:rFonts w:ascii="Times New Roman" w:cs="Times New Roman" w:hint="eastAsia"/>
                <w:sz w:val="21"/>
                <w:szCs w:val="21"/>
              </w:rPr>
              <w:t>，</w:t>
            </w:r>
            <w:r>
              <w:rPr>
                <w:rFonts w:ascii="Times New Roman" w:cs="Times New Roman"/>
                <w:sz w:val="21"/>
                <w:szCs w:val="21"/>
              </w:rPr>
              <w:t>高程</w:t>
            </w:r>
            <w:r>
              <w:rPr>
                <w:rFonts w:ascii="Times New Roman" w:cs="Times New Roman" w:hint="eastAsia"/>
                <w:sz w:val="21"/>
                <w:szCs w:val="21"/>
              </w:rPr>
              <w:t>804m</w:t>
            </w:r>
          </w:p>
        </w:tc>
        <w:tc>
          <w:tcPr>
            <w:tcW w:w="1043" w:type="pct"/>
            <w:vMerge/>
            <w:tcBorders>
              <w:left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sz w:val="21"/>
                <w:szCs w:val="21"/>
              </w:rPr>
              <w:t>1580</w:t>
            </w:r>
          </w:p>
        </w:tc>
      </w:tr>
      <w:tr w:rsidR="003422F0">
        <w:trPr>
          <w:trHeight w:val="342"/>
          <w:jc w:val="center"/>
        </w:trPr>
        <w:tc>
          <w:tcPr>
            <w:tcW w:w="188" w:type="pct"/>
            <w:tcBorders>
              <w:top w:val="single" w:sz="2" w:space="0" w:color="000000"/>
              <w:left w:val="nil"/>
              <w:bottom w:val="single" w:sz="2" w:space="0" w:color="000000"/>
              <w:right w:val="single" w:sz="2" w:space="0" w:color="000000"/>
            </w:tcBorders>
            <w:vAlign w:val="center"/>
          </w:tcPr>
          <w:p w:rsidR="003422F0" w:rsidRDefault="003422F0" w:rsidP="00AF43CE">
            <w:pPr>
              <w:spacing w:line="240" w:lineRule="auto"/>
              <w:ind w:firstLineChars="0" w:firstLine="0"/>
              <w:jc w:val="center"/>
              <w:rPr>
                <w:rFonts w:ascii="Times New Roman" w:cs="Times New Roman"/>
                <w:sz w:val="21"/>
                <w:szCs w:val="21"/>
              </w:rPr>
            </w:pPr>
            <w:r>
              <w:rPr>
                <w:rFonts w:ascii="Times New Roman" w:cs="Times New Roman" w:hint="eastAsia"/>
                <w:sz w:val="21"/>
                <w:szCs w:val="21"/>
              </w:rPr>
              <w:t>88</w:t>
            </w:r>
          </w:p>
        </w:tc>
        <w:tc>
          <w:tcPr>
            <w:tcW w:w="473" w:type="pct"/>
            <w:vMerge/>
            <w:tcBorders>
              <w:left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bCs/>
                <w:sz w:val="21"/>
                <w:szCs w:val="21"/>
              </w:rPr>
              <w:t>水井</w:t>
            </w:r>
            <w:r>
              <w:rPr>
                <w:rFonts w:ascii="Times New Roman" w:cs="Times New Roman" w:hint="eastAsia"/>
                <w:sz w:val="21"/>
                <w:szCs w:val="21"/>
              </w:rPr>
              <w:t>JC4</w:t>
            </w:r>
          </w:p>
        </w:tc>
        <w:tc>
          <w:tcPr>
            <w:tcW w:w="426"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sz w:val="21"/>
                <w:szCs w:val="21"/>
              </w:rPr>
              <w:t>3760</w:t>
            </w:r>
          </w:p>
        </w:tc>
        <w:tc>
          <w:tcPr>
            <w:tcW w:w="381"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sz w:val="21"/>
                <w:szCs w:val="21"/>
              </w:rPr>
              <w:t>1400</w:t>
            </w:r>
          </w:p>
        </w:tc>
        <w:tc>
          <w:tcPr>
            <w:tcW w:w="379"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sz w:val="21"/>
                <w:szCs w:val="21"/>
              </w:rPr>
              <w:t>地下水水质</w:t>
            </w:r>
            <w:r>
              <w:rPr>
                <w:rFonts w:ascii="Times New Roman" w:cs="Times New Roman" w:hint="eastAsia"/>
                <w:sz w:val="21"/>
                <w:szCs w:val="21"/>
              </w:rPr>
              <w:t>，</w:t>
            </w:r>
            <w:r>
              <w:rPr>
                <w:rFonts w:ascii="Times New Roman" w:cs="Times New Roman"/>
                <w:sz w:val="21"/>
                <w:szCs w:val="21"/>
              </w:rPr>
              <w:t>高程</w:t>
            </w:r>
            <w:r>
              <w:rPr>
                <w:rFonts w:ascii="Times New Roman" w:cs="Times New Roman" w:hint="eastAsia"/>
                <w:sz w:val="21"/>
                <w:szCs w:val="21"/>
              </w:rPr>
              <w:t>790m</w:t>
            </w:r>
          </w:p>
        </w:tc>
        <w:tc>
          <w:tcPr>
            <w:tcW w:w="1043" w:type="pct"/>
            <w:vMerge/>
            <w:tcBorders>
              <w:left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sz w:val="21"/>
                <w:szCs w:val="21"/>
              </w:rPr>
              <w:t>3990</w:t>
            </w:r>
          </w:p>
        </w:tc>
      </w:tr>
      <w:tr w:rsidR="003422F0">
        <w:trPr>
          <w:trHeight w:val="342"/>
          <w:jc w:val="center"/>
        </w:trPr>
        <w:tc>
          <w:tcPr>
            <w:tcW w:w="188" w:type="pct"/>
            <w:tcBorders>
              <w:top w:val="single" w:sz="2" w:space="0" w:color="000000"/>
              <w:left w:val="nil"/>
              <w:bottom w:val="single" w:sz="2" w:space="0" w:color="000000"/>
              <w:right w:val="single" w:sz="2" w:space="0" w:color="000000"/>
            </w:tcBorders>
            <w:vAlign w:val="center"/>
          </w:tcPr>
          <w:p w:rsidR="003422F0" w:rsidRDefault="003422F0" w:rsidP="00AF43CE">
            <w:pPr>
              <w:spacing w:line="240" w:lineRule="auto"/>
              <w:ind w:firstLineChars="0" w:firstLine="0"/>
              <w:jc w:val="center"/>
              <w:rPr>
                <w:rFonts w:ascii="Times New Roman" w:cs="Times New Roman"/>
                <w:sz w:val="21"/>
                <w:szCs w:val="21"/>
              </w:rPr>
            </w:pPr>
            <w:r>
              <w:rPr>
                <w:rFonts w:ascii="Times New Roman" w:cs="Times New Roman" w:hint="eastAsia"/>
                <w:sz w:val="21"/>
                <w:szCs w:val="21"/>
              </w:rPr>
              <w:t>89</w:t>
            </w:r>
          </w:p>
        </w:tc>
        <w:tc>
          <w:tcPr>
            <w:tcW w:w="473" w:type="pct"/>
            <w:vMerge/>
            <w:tcBorders>
              <w:left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bCs/>
                <w:sz w:val="21"/>
                <w:szCs w:val="21"/>
              </w:rPr>
              <w:t>水井</w:t>
            </w:r>
            <w:r>
              <w:rPr>
                <w:rFonts w:ascii="Times New Roman" w:cs="Times New Roman" w:hint="eastAsia"/>
                <w:sz w:val="21"/>
                <w:szCs w:val="21"/>
              </w:rPr>
              <w:t>JC5</w:t>
            </w:r>
          </w:p>
        </w:tc>
        <w:tc>
          <w:tcPr>
            <w:tcW w:w="426"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sz w:val="21"/>
                <w:szCs w:val="21"/>
              </w:rPr>
              <w:t>3080</w:t>
            </w:r>
          </w:p>
        </w:tc>
        <w:tc>
          <w:tcPr>
            <w:tcW w:w="381"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sz w:val="21"/>
                <w:szCs w:val="21"/>
              </w:rPr>
              <w:t>2450</w:t>
            </w:r>
          </w:p>
        </w:tc>
        <w:tc>
          <w:tcPr>
            <w:tcW w:w="379"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sz w:val="21"/>
                <w:szCs w:val="21"/>
              </w:rPr>
              <w:t>地下水水质</w:t>
            </w:r>
            <w:r>
              <w:rPr>
                <w:rFonts w:ascii="Times New Roman" w:cs="Times New Roman" w:hint="eastAsia"/>
                <w:sz w:val="21"/>
                <w:szCs w:val="21"/>
              </w:rPr>
              <w:t>，</w:t>
            </w:r>
            <w:r>
              <w:rPr>
                <w:rFonts w:ascii="Times New Roman" w:cs="Times New Roman"/>
                <w:sz w:val="21"/>
                <w:szCs w:val="21"/>
              </w:rPr>
              <w:t>高程</w:t>
            </w:r>
            <w:r>
              <w:rPr>
                <w:rFonts w:ascii="Times New Roman" w:cs="Times New Roman" w:hint="eastAsia"/>
                <w:sz w:val="21"/>
                <w:szCs w:val="21"/>
              </w:rPr>
              <w:t>776m</w:t>
            </w:r>
          </w:p>
        </w:tc>
        <w:tc>
          <w:tcPr>
            <w:tcW w:w="1043" w:type="pct"/>
            <w:vMerge/>
            <w:tcBorders>
              <w:left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3422F0" w:rsidRDefault="003422F0" w:rsidP="003808B5">
            <w:pPr>
              <w:spacing w:line="240" w:lineRule="auto"/>
              <w:ind w:firstLineChars="0" w:firstLine="0"/>
              <w:jc w:val="center"/>
              <w:rPr>
                <w:rFonts w:ascii="Times New Roman" w:cs="Times New Roman"/>
                <w:sz w:val="21"/>
                <w:szCs w:val="21"/>
              </w:rPr>
            </w:pPr>
            <w:r>
              <w:rPr>
                <w:rFonts w:ascii="Times New Roman" w:cs="Times New Roman" w:hint="eastAsia"/>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3422F0" w:rsidRDefault="003422F0" w:rsidP="00EA5537">
            <w:pPr>
              <w:spacing w:line="240" w:lineRule="auto"/>
              <w:ind w:firstLineChars="0" w:firstLine="0"/>
              <w:jc w:val="center"/>
              <w:rPr>
                <w:rFonts w:ascii="Times New Roman" w:cs="Times New Roman"/>
                <w:sz w:val="21"/>
                <w:szCs w:val="21"/>
              </w:rPr>
            </w:pPr>
            <w:r>
              <w:rPr>
                <w:rFonts w:ascii="Times New Roman" w:cs="Times New Roman" w:hint="eastAsia"/>
                <w:sz w:val="21"/>
                <w:szCs w:val="21"/>
              </w:rPr>
              <w:t>3940</w:t>
            </w:r>
          </w:p>
        </w:tc>
      </w:tr>
      <w:tr w:rsidR="003422F0">
        <w:trPr>
          <w:trHeight w:val="342"/>
          <w:jc w:val="center"/>
        </w:trPr>
        <w:tc>
          <w:tcPr>
            <w:tcW w:w="188" w:type="pct"/>
            <w:tcBorders>
              <w:top w:val="single" w:sz="2" w:space="0" w:color="000000"/>
              <w:left w:val="nil"/>
              <w:bottom w:val="single" w:sz="2" w:space="0" w:color="000000"/>
              <w:right w:val="single" w:sz="2" w:space="0" w:color="000000"/>
            </w:tcBorders>
            <w:vAlign w:val="center"/>
          </w:tcPr>
          <w:p w:rsidR="003422F0" w:rsidRDefault="003422F0" w:rsidP="00AF43CE">
            <w:pPr>
              <w:spacing w:line="240" w:lineRule="auto"/>
              <w:ind w:firstLineChars="0" w:firstLine="0"/>
              <w:jc w:val="center"/>
              <w:rPr>
                <w:rFonts w:ascii="Times New Roman" w:cs="Times New Roman"/>
                <w:sz w:val="21"/>
                <w:szCs w:val="21"/>
              </w:rPr>
            </w:pPr>
            <w:r>
              <w:rPr>
                <w:rFonts w:ascii="Times New Roman" w:cs="Times New Roman" w:hint="eastAsia"/>
                <w:sz w:val="21"/>
                <w:szCs w:val="21"/>
              </w:rPr>
              <w:t>90</w:t>
            </w:r>
          </w:p>
        </w:tc>
        <w:tc>
          <w:tcPr>
            <w:tcW w:w="473" w:type="pct"/>
            <w:vMerge/>
            <w:tcBorders>
              <w:left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bCs/>
                <w:sz w:val="21"/>
                <w:szCs w:val="21"/>
              </w:rPr>
              <w:t>水井</w:t>
            </w:r>
            <w:r>
              <w:rPr>
                <w:rFonts w:ascii="Times New Roman" w:cs="Times New Roman" w:hint="eastAsia"/>
                <w:sz w:val="21"/>
                <w:szCs w:val="21"/>
              </w:rPr>
              <w:t>JC6</w:t>
            </w:r>
          </w:p>
        </w:tc>
        <w:tc>
          <w:tcPr>
            <w:tcW w:w="426"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sz w:val="21"/>
                <w:szCs w:val="21"/>
              </w:rPr>
              <w:t>3740</w:t>
            </w:r>
          </w:p>
        </w:tc>
        <w:tc>
          <w:tcPr>
            <w:tcW w:w="381"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sz w:val="21"/>
                <w:szCs w:val="21"/>
              </w:rPr>
              <w:t>0</w:t>
            </w:r>
          </w:p>
        </w:tc>
        <w:tc>
          <w:tcPr>
            <w:tcW w:w="379"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sz w:val="21"/>
                <w:szCs w:val="21"/>
              </w:rPr>
              <w:t>地下水水质</w:t>
            </w:r>
            <w:r>
              <w:rPr>
                <w:rFonts w:ascii="Times New Roman" w:cs="Times New Roman" w:hint="eastAsia"/>
                <w:sz w:val="21"/>
                <w:szCs w:val="21"/>
              </w:rPr>
              <w:t>，</w:t>
            </w:r>
            <w:r>
              <w:rPr>
                <w:rFonts w:ascii="Times New Roman" w:cs="Times New Roman"/>
                <w:sz w:val="21"/>
                <w:szCs w:val="21"/>
              </w:rPr>
              <w:t>高程</w:t>
            </w:r>
            <w:r>
              <w:rPr>
                <w:rFonts w:ascii="Times New Roman" w:cs="Times New Roman" w:hint="eastAsia"/>
                <w:sz w:val="21"/>
                <w:szCs w:val="21"/>
              </w:rPr>
              <w:t>774m</w:t>
            </w:r>
          </w:p>
        </w:tc>
        <w:tc>
          <w:tcPr>
            <w:tcW w:w="1043" w:type="pct"/>
            <w:vMerge/>
            <w:tcBorders>
              <w:left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sz w:val="21"/>
                <w:szCs w:val="21"/>
              </w:rPr>
              <w:t>E</w:t>
            </w:r>
          </w:p>
        </w:tc>
        <w:tc>
          <w:tcPr>
            <w:tcW w:w="453" w:type="pct"/>
            <w:tcBorders>
              <w:top w:val="single" w:sz="2" w:space="0" w:color="000000"/>
              <w:left w:val="single" w:sz="2" w:space="0" w:color="000000"/>
              <w:bottom w:val="single" w:sz="2" w:space="0" w:color="000000"/>
              <w:right w:val="nil"/>
            </w:tcBorders>
            <w:vAlign w:val="center"/>
          </w:tcPr>
          <w:p w:rsidR="003422F0" w:rsidRDefault="003422F0" w:rsidP="00B53DA7">
            <w:pPr>
              <w:spacing w:line="240" w:lineRule="auto"/>
              <w:ind w:firstLineChars="0" w:firstLine="0"/>
              <w:jc w:val="center"/>
              <w:rPr>
                <w:rFonts w:ascii="Times New Roman" w:cs="Times New Roman"/>
                <w:sz w:val="21"/>
                <w:szCs w:val="21"/>
              </w:rPr>
            </w:pPr>
            <w:r>
              <w:rPr>
                <w:rFonts w:ascii="Times New Roman" w:cs="Times New Roman" w:hint="eastAsia"/>
                <w:sz w:val="21"/>
                <w:szCs w:val="21"/>
              </w:rPr>
              <w:t>3740</w:t>
            </w:r>
          </w:p>
        </w:tc>
      </w:tr>
      <w:tr w:rsidR="003422F0">
        <w:trPr>
          <w:trHeight w:val="342"/>
          <w:jc w:val="center"/>
        </w:trPr>
        <w:tc>
          <w:tcPr>
            <w:tcW w:w="188" w:type="pct"/>
            <w:tcBorders>
              <w:top w:val="single" w:sz="2" w:space="0" w:color="000000"/>
              <w:left w:val="nil"/>
              <w:bottom w:val="single" w:sz="2" w:space="0" w:color="000000"/>
              <w:right w:val="single" w:sz="2" w:space="0" w:color="000000"/>
            </w:tcBorders>
            <w:vAlign w:val="center"/>
          </w:tcPr>
          <w:p w:rsidR="003422F0" w:rsidRDefault="003422F0" w:rsidP="00AF43CE">
            <w:pPr>
              <w:spacing w:line="240" w:lineRule="auto"/>
              <w:ind w:firstLineChars="0" w:firstLine="0"/>
              <w:jc w:val="center"/>
              <w:rPr>
                <w:rFonts w:ascii="Times New Roman" w:cs="Times New Roman"/>
                <w:sz w:val="21"/>
                <w:szCs w:val="21"/>
              </w:rPr>
            </w:pPr>
            <w:r>
              <w:rPr>
                <w:rFonts w:ascii="Times New Roman" w:cs="Times New Roman" w:hint="eastAsia"/>
                <w:sz w:val="21"/>
                <w:szCs w:val="21"/>
              </w:rPr>
              <w:t>91</w:t>
            </w:r>
          </w:p>
        </w:tc>
        <w:tc>
          <w:tcPr>
            <w:tcW w:w="473" w:type="pct"/>
            <w:vMerge/>
            <w:tcBorders>
              <w:left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bCs/>
                <w:sz w:val="21"/>
                <w:szCs w:val="21"/>
              </w:rPr>
              <w:t>水井</w:t>
            </w:r>
            <w:r>
              <w:rPr>
                <w:rFonts w:ascii="Times New Roman" w:cs="Times New Roman" w:hint="eastAsia"/>
                <w:sz w:val="21"/>
                <w:szCs w:val="21"/>
              </w:rPr>
              <w:t>JC7</w:t>
            </w:r>
          </w:p>
        </w:tc>
        <w:tc>
          <w:tcPr>
            <w:tcW w:w="426"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sz w:val="21"/>
                <w:szCs w:val="21"/>
              </w:rPr>
              <w:t>1540</w:t>
            </w:r>
          </w:p>
        </w:tc>
        <w:tc>
          <w:tcPr>
            <w:tcW w:w="381"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sz w:val="21"/>
                <w:szCs w:val="21"/>
              </w:rPr>
              <w:t>0</w:t>
            </w:r>
          </w:p>
        </w:tc>
        <w:tc>
          <w:tcPr>
            <w:tcW w:w="379"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sz w:val="21"/>
                <w:szCs w:val="21"/>
              </w:rPr>
              <w:t>地下水水质</w:t>
            </w:r>
            <w:r>
              <w:rPr>
                <w:rFonts w:ascii="Times New Roman" w:cs="Times New Roman" w:hint="eastAsia"/>
                <w:sz w:val="21"/>
                <w:szCs w:val="21"/>
              </w:rPr>
              <w:t>，</w:t>
            </w:r>
            <w:r>
              <w:rPr>
                <w:rFonts w:ascii="Times New Roman" w:cs="Times New Roman"/>
                <w:sz w:val="21"/>
                <w:szCs w:val="21"/>
              </w:rPr>
              <w:t>高程</w:t>
            </w:r>
            <w:r>
              <w:rPr>
                <w:rFonts w:ascii="Times New Roman" w:cs="Times New Roman" w:hint="eastAsia"/>
                <w:sz w:val="21"/>
                <w:szCs w:val="21"/>
              </w:rPr>
              <w:t>786m</w:t>
            </w:r>
          </w:p>
        </w:tc>
        <w:tc>
          <w:tcPr>
            <w:tcW w:w="1043" w:type="pct"/>
            <w:vMerge/>
            <w:tcBorders>
              <w:left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sz w:val="21"/>
                <w:szCs w:val="21"/>
              </w:rPr>
              <w:t>E</w:t>
            </w:r>
          </w:p>
        </w:tc>
        <w:tc>
          <w:tcPr>
            <w:tcW w:w="453" w:type="pct"/>
            <w:tcBorders>
              <w:top w:val="single" w:sz="2" w:space="0" w:color="000000"/>
              <w:left w:val="single" w:sz="2" w:space="0" w:color="000000"/>
              <w:bottom w:val="single" w:sz="2" w:space="0" w:color="000000"/>
              <w:right w:val="nil"/>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sz w:val="21"/>
                <w:szCs w:val="21"/>
              </w:rPr>
              <w:t>15540</w:t>
            </w:r>
          </w:p>
        </w:tc>
      </w:tr>
      <w:tr w:rsidR="003422F0">
        <w:trPr>
          <w:trHeight w:val="342"/>
          <w:jc w:val="center"/>
        </w:trPr>
        <w:tc>
          <w:tcPr>
            <w:tcW w:w="188" w:type="pct"/>
            <w:tcBorders>
              <w:top w:val="single" w:sz="2" w:space="0" w:color="000000"/>
              <w:left w:val="nil"/>
              <w:bottom w:val="single" w:sz="2" w:space="0" w:color="000000"/>
              <w:right w:val="single" w:sz="2" w:space="0" w:color="000000"/>
            </w:tcBorders>
            <w:vAlign w:val="center"/>
          </w:tcPr>
          <w:p w:rsidR="003422F0" w:rsidRDefault="003422F0" w:rsidP="00AF43CE">
            <w:pPr>
              <w:spacing w:line="240" w:lineRule="auto"/>
              <w:ind w:firstLineChars="0" w:firstLine="0"/>
              <w:jc w:val="center"/>
              <w:rPr>
                <w:rFonts w:ascii="Times New Roman" w:cs="Times New Roman"/>
                <w:sz w:val="21"/>
                <w:szCs w:val="21"/>
              </w:rPr>
            </w:pPr>
            <w:r>
              <w:rPr>
                <w:rFonts w:ascii="Times New Roman" w:cs="Times New Roman" w:hint="eastAsia"/>
                <w:sz w:val="21"/>
                <w:szCs w:val="21"/>
              </w:rPr>
              <w:t>92</w:t>
            </w:r>
          </w:p>
        </w:tc>
        <w:tc>
          <w:tcPr>
            <w:tcW w:w="473" w:type="pct"/>
            <w:vMerge/>
            <w:tcBorders>
              <w:left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bCs/>
                <w:sz w:val="21"/>
                <w:szCs w:val="21"/>
              </w:rPr>
              <w:t>水井</w:t>
            </w:r>
            <w:r>
              <w:rPr>
                <w:rFonts w:ascii="Times New Roman" w:cs="Times New Roman" w:hint="eastAsia"/>
                <w:sz w:val="21"/>
                <w:szCs w:val="21"/>
              </w:rPr>
              <w:t>JC8</w:t>
            </w:r>
          </w:p>
        </w:tc>
        <w:tc>
          <w:tcPr>
            <w:tcW w:w="426" w:type="pct"/>
            <w:tcBorders>
              <w:top w:val="single" w:sz="2" w:space="0" w:color="000000"/>
              <w:left w:val="single" w:sz="2" w:space="0" w:color="000000"/>
              <w:bottom w:val="single" w:sz="2" w:space="0" w:color="000000"/>
              <w:right w:val="single" w:sz="2" w:space="0" w:color="000000"/>
            </w:tcBorders>
            <w:vAlign w:val="center"/>
          </w:tcPr>
          <w:p w:rsidR="003422F0" w:rsidRDefault="003422F0" w:rsidP="00B53DA7">
            <w:pPr>
              <w:spacing w:line="240" w:lineRule="auto"/>
              <w:ind w:firstLineChars="0" w:firstLine="0"/>
              <w:jc w:val="center"/>
              <w:rPr>
                <w:rFonts w:ascii="Times New Roman" w:cs="Times New Roman"/>
                <w:sz w:val="21"/>
                <w:szCs w:val="21"/>
              </w:rPr>
            </w:pPr>
            <w:r>
              <w:rPr>
                <w:rFonts w:ascii="Times New Roman" w:cs="Times New Roman"/>
                <w:sz w:val="21"/>
                <w:szCs w:val="21"/>
              </w:rPr>
              <w:t>1</w:t>
            </w:r>
            <w:r>
              <w:rPr>
                <w:rFonts w:ascii="Times New Roman" w:cs="Times New Roman" w:hint="eastAsia"/>
                <w:sz w:val="21"/>
                <w:szCs w:val="21"/>
              </w:rPr>
              <w:t>920</w:t>
            </w:r>
          </w:p>
        </w:tc>
        <w:tc>
          <w:tcPr>
            <w:tcW w:w="381"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sz w:val="21"/>
                <w:szCs w:val="21"/>
              </w:rPr>
              <w:t>1440</w:t>
            </w:r>
          </w:p>
        </w:tc>
        <w:tc>
          <w:tcPr>
            <w:tcW w:w="379"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sz w:val="21"/>
                <w:szCs w:val="21"/>
              </w:rPr>
              <w:t>地下水水质</w:t>
            </w:r>
            <w:r>
              <w:rPr>
                <w:rFonts w:ascii="Times New Roman" w:cs="Times New Roman" w:hint="eastAsia"/>
                <w:sz w:val="21"/>
                <w:szCs w:val="21"/>
              </w:rPr>
              <w:t>，</w:t>
            </w:r>
            <w:r>
              <w:rPr>
                <w:rFonts w:ascii="Times New Roman" w:cs="Times New Roman"/>
                <w:sz w:val="21"/>
                <w:szCs w:val="21"/>
              </w:rPr>
              <w:t>高程</w:t>
            </w:r>
            <w:r>
              <w:rPr>
                <w:rFonts w:ascii="Times New Roman" w:cs="Times New Roman" w:hint="eastAsia"/>
                <w:sz w:val="21"/>
                <w:szCs w:val="21"/>
              </w:rPr>
              <w:t>789m</w:t>
            </w:r>
          </w:p>
        </w:tc>
        <w:tc>
          <w:tcPr>
            <w:tcW w:w="1043" w:type="pct"/>
            <w:vMerge/>
            <w:tcBorders>
              <w:left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3422F0" w:rsidRDefault="003422F0" w:rsidP="00B53DA7">
            <w:pPr>
              <w:spacing w:line="240" w:lineRule="auto"/>
              <w:ind w:firstLineChars="0" w:firstLine="0"/>
              <w:jc w:val="center"/>
              <w:rPr>
                <w:rFonts w:ascii="Times New Roman" w:cs="Times New Roman"/>
                <w:sz w:val="21"/>
                <w:szCs w:val="21"/>
              </w:rPr>
            </w:pPr>
            <w:r>
              <w:rPr>
                <w:rFonts w:ascii="Times New Roman" w:cs="Times New Roman" w:hint="eastAsia"/>
                <w:sz w:val="21"/>
                <w:szCs w:val="21"/>
              </w:rPr>
              <w:t>2370</w:t>
            </w:r>
          </w:p>
        </w:tc>
      </w:tr>
      <w:tr w:rsidR="003422F0">
        <w:trPr>
          <w:trHeight w:val="342"/>
          <w:jc w:val="center"/>
        </w:trPr>
        <w:tc>
          <w:tcPr>
            <w:tcW w:w="188" w:type="pct"/>
            <w:tcBorders>
              <w:top w:val="single" w:sz="2" w:space="0" w:color="000000"/>
              <w:left w:val="nil"/>
              <w:bottom w:val="single" w:sz="2" w:space="0" w:color="000000"/>
              <w:right w:val="single" w:sz="2" w:space="0" w:color="000000"/>
            </w:tcBorders>
            <w:vAlign w:val="center"/>
          </w:tcPr>
          <w:p w:rsidR="003422F0" w:rsidRDefault="003422F0" w:rsidP="00AF43CE">
            <w:pPr>
              <w:spacing w:line="240" w:lineRule="auto"/>
              <w:ind w:firstLineChars="0" w:firstLine="0"/>
              <w:jc w:val="center"/>
              <w:rPr>
                <w:rFonts w:ascii="Times New Roman" w:cs="Times New Roman"/>
                <w:sz w:val="21"/>
                <w:szCs w:val="21"/>
              </w:rPr>
            </w:pPr>
            <w:r>
              <w:rPr>
                <w:rFonts w:ascii="Times New Roman" w:cs="Times New Roman" w:hint="eastAsia"/>
                <w:sz w:val="21"/>
                <w:szCs w:val="21"/>
              </w:rPr>
              <w:t>93</w:t>
            </w:r>
          </w:p>
        </w:tc>
        <w:tc>
          <w:tcPr>
            <w:tcW w:w="473" w:type="pct"/>
            <w:vMerge/>
            <w:tcBorders>
              <w:left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bCs/>
                <w:sz w:val="21"/>
                <w:szCs w:val="21"/>
              </w:rPr>
              <w:t>水井</w:t>
            </w:r>
            <w:r>
              <w:rPr>
                <w:rFonts w:ascii="Times New Roman" w:cs="Times New Roman" w:hint="eastAsia"/>
                <w:sz w:val="21"/>
                <w:szCs w:val="21"/>
              </w:rPr>
              <w:t>JC9</w:t>
            </w:r>
          </w:p>
        </w:tc>
        <w:tc>
          <w:tcPr>
            <w:tcW w:w="426"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sz w:val="21"/>
                <w:szCs w:val="21"/>
              </w:rPr>
              <w:t>3940</w:t>
            </w:r>
          </w:p>
        </w:tc>
        <w:tc>
          <w:tcPr>
            <w:tcW w:w="381" w:type="pct"/>
            <w:tcBorders>
              <w:top w:val="single" w:sz="2" w:space="0" w:color="000000"/>
              <w:left w:val="single" w:sz="2" w:space="0" w:color="000000"/>
              <w:bottom w:val="single" w:sz="2" w:space="0" w:color="000000"/>
              <w:right w:val="single" w:sz="2" w:space="0" w:color="000000"/>
            </w:tcBorders>
            <w:vAlign w:val="center"/>
          </w:tcPr>
          <w:p w:rsidR="003422F0" w:rsidRDefault="003422F0" w:rsidP="00B53DA7">
            <w:pPr>
              <w:spacing w:line="240" w:lineRule="auto"/>
              <w:ind w:firstLineChars="0" w:firstLine="0"/>
              <w:jc w:val="center"/>
              <w:rPr>
                <w:rFonts w:ascii="Times New Roman" w:cs="Times New Roman"/>
                <w:sz w:val="21"/>
                <w:szCs w:val="21"/>
              </w:rPr>
            </w:pPr>
            <w:r>
              <w:rPr>
                <w:rFonts w:ascii="Times New Roman" w:cs="Times New Roman"/>
                <w:sz w:val="21"/>
                <w:szCs w:val="21"/>
              </w:rPr>
              <w:t>3</w:t>
            </w:r>
            <w:r>
              <w:rPr>
                <w:rFonts w:ascii="Times New Roman" w:cs="Times New Roman" w:hint="eastAsia"/>
                <w:sz w:val="21"/>
                <w:szCs w:val="21"/>
              </w:rPr>
              <w:t>200</w:t>
            </w:r>
          </w:p>
        </w:tc>
        <w:tc>
          <w:tcPr>
            <w:tcW w:w="379"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sz w:val="21"/>
                <w:szCs w:val="21"/>
              </w:rPr>
              <w:t>地下水水质</w:t>
            </w:r>
            <w:r>
              <w:rPr>
                <w:rFonts w:ascii="Times New Roman" w:cs="Times New Roman" w:hint="eastAsia"/>
                <w:sz w:val="21"/>
                <w:szCs w:val="21"/>
              </w:rPr>
              <w:t>，</w:t>
            </w:r>
            <w:r>
              <w:rPr>
                <w:rFonts w:ascii="Times New Roman" w:cs="Times New Roman"/>
                <w:sz w:val="21"/>
                <w:szCs w:val="21"/>
              </w:rPr>
              <w:t>高程</w:t>
            </w:r>
            <w:r>
              <w:rPr>
                <w:rFonts w:ascii="Times New Roman" w:cs="Times New Roman" w:hint="eastAsia"/>
                <w:sz w:val="21"/>
                <w:szCs w:val="21"/>
              </w:rPr>
              <w:t>849m</w:t>
            </w:r>
          </w:p>
        </w:tc>
        <w:tc>
          <w:tcPr>
            <w:tcW w:w="1043" w:type="pct"/>
            <w:vMerge/>
            <w:tcBorders>
              <w:left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sz w:val="21"/>
                <w:szCs w:val="21"/>
              </w:rPr>
              <w:t>5060</w:t>
            </w:r>
          </w:p>
        </w:tc>
      </w:tr>
      <w:tr w:rsidR="003422F0">
        <w:trPr>
          <w:trHeight w:val="342"/>
          <w:jc w:val="center"/>
        </w:trPr>
        <w:tc>
          <w:tcPr>
            <w:tcW w:w="188" w:type="pct"/>
            <w:tcBorders>
              <w:top w:val="single" w:sz="2" w:space="0" w:color="000000"/>
              <w:left w:val="nil"/>
              <w:bottom w:val="single" w:sz="2" w:space="0" w:color="000000"/>
              <w:right w:val="single" w:sz="2" w:space="0" w:color="000000"/>
            </w:tcBorders>
            <w:vAlign w:val="center"/>
          </w:tcPr>
          <w:p w:rsidR="003422F0" w:rsidRDefault="003422F0" w:rsidP="00AF43CE">
            <w:pPr>
              <w:spacing w:line="240" w:lineRule="auto"/>
              <w:ind w:firstLineChars="0" w:firstLine="0"/>
              <w:jc w:val="center"/>
              <w:rPr>
                <w:rFonts w:ascii="Times New Roman" w:cs="Times New Roman"/>
                <w:sz w:val="21"/>
                <w:szCs w:val="21"/>
              </w:rPr>
            </w:pPr>
            <w:r>
              <w:rPr>
                <w:rFonts w:ascii="Times New Roman" w:cs="Times New Roman" w:hint="eastAsia"/>
                <w:sz w:val="21"/>
                <w:szCs w:val="21"/>
              </w:rPr>
              <w:t>94</w:t>
            </w:r>
          </w:p>
        </w:tc>
        <w:tc>
          <w:tcPr>
            <w:tcW w:w="473" w:type="pct"/>
            <w:vMerge/>
            <w:tcBorders>
              <w:left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水井</w:t>
            </w:r>
            <w:r>
              <w:rPr>
                <w:rFonts w:ascii="Times New Roman" w:cs="Times New Roman" w:hint="eastAsia"/>
                <w:sz w:val="21"/>
                <w:szCs w:val="21"/>
              </w:rPr>
              <w:t>JC10</w:t>
            </w:r>
          </w:p>
        </w:tc>
        <w:tc>
          <w:tcPr>
            <w:tcW w:w="426"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sz w:val="21"/>
                <w:szCs w:val="21"/>
              </w:rPr>
              <w:t>4590</w:t>
            </w:r>
          </w:p>
        </w:tc>
        <w:tc>
          <w:tcPr>
            <w:tcW w:w="381"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sz w:val="21"/>
                <w:szCs w:val="21"/>
              </w:rPr>
              <w:t>0</w:t>
            </w:r>
          </w:p>
        </w:tc>
        <w:tc>
          <w:tcPr>
            <w:tcW w:w="379"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sz w:val="21"/>
                <w:szCs w:val="21"/>
              </w:rPr>
              <w:t>地下水水质</w:t>
            </w:r>
            <w:r>
              <w:rPr>
                <w:rFonts w:ascii="Times New Roman" w:cs="Times New Roman" w:hint="eastAsia"/>
                <w:sz w:val="21"/>
                <w:szCs w:val="21"/>
              </w:rPr>
              <w:t>，</w:t>
            </w:r>
            <w:r>
              <w:rPr>
                <w:rFonts w:ascii="Times New Roman" w:cs="Times New Roman"/>
                <w:sz w:val="21"/>
                <w:szCs w:val="21"/>
              </w:rPr>
              <w:t>高程</w:t>
            </w:r>
            <w:r>
              <w:rPr>
                <w:rFonts w:ascii="Times New Roman" w:cs="Times New Roman" w:hint="eastAsia"/>
                <w:sz w:val="21"/>
                <w:szCs w:val="21"/>
              </w:rPr>
              <w:t>801m</w:t>
            </w:r>
          </w:p>
        </w:tc>
        <w:tc>
          <w:tcPr>
            <w:tcW w:w="1043" w:type="pct"/>
            <w:vMerge/>
            <w:tcBorders>
              <w:left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sz w:val="21"/>
                <w:szCs w:val="21"/>
              </w:rPr>
              <w:t>E</w:t>
            </w:r>
          </w:p>
        </w:tc>
        <w:tc>
          <w:tcPr>
            <w:tcW w:w="453" w:type="pct"/>
            <w:tcBorders>
              <w:top w:val="single" w:sz="2" w:space="0" w:color="000000"/>
              <w:left w:val="single" w:sz="2" w:space="0" w:color="000000"/>
              <w:bottom w:val="single" w:sz="2" w:space="0" w:color="000000"/>
              <w:right w:val="nil"/>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sz w:val="21"/>
                <w:szCs w:val="21"/>
              </w:rPr>
              <w:t>4590</w:t>
            </w:r>
          </w:p>
        </w:tc>
      </w:tr>
      <w:tr w:rsidR="003422F0">
        <w:trPr>
          <w:trHeight w:val="342"/>
          <w:jc w:val="center"/>
        </w:trPr>
        <w:tc>
          <w:tcPr>
            <w:tcW w:w="188" w:type="pct"/>
            <w:tcBorders>
              <w:top w:val="single" w:sz="2" w:space="0" w:color="000000"/>
              <w:left w:val="nil"/>
              <w:bottom w:val="single" w:sz="2" w:space="0" w:color="000000"/>
              <w:right w:val="single" w:sz="2" w:space="0" w:color="000000"/>
            </w:tcBorders>
            <w:vAlign w:val="center"/>
          </w:tcPr>
          <w:p w:rsidR="003422F0" w:rsidRDefault="003422F0" w:rsidP="004841B2">
            <w:pPr>
              <w:spacing w:line="240" w:lineRule="auto"/>
              <w:ind w:firstLineChars="0" w:firstLine="0"/>
              <w:jc w:val="center"/>
              <w:rPr>
                <w:rFonts w:ascii="Times New Roman" w:cs="Times New Roman"/>
                <w:sz w:val="21"/>
                <w:szCs w:val="21"/>
              </w:rPr>
            </w:pPr>
            <w:r>
              <w:rPr>
                <w:rFonts w:ascii="Times New Roman" w:cs="Times New Roman" w:hint="eastAsia"/>
                <w:sz w:val="21"/>
                <w:szCs w:val="21"/>
              </w:rPr>
              <w:t>95</w:t>
            </w:r>
          </w:p>
        </w:tc>
        <w:tc>
          <w:tcPr>
            <w:tcW w:w="473" w:type="pct"/>
            <w:vMerge/>
            <w:tcBorders>
              <w:left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水井</w:t>
            </w:r>
            <w:r>
              <w:rPr>
                <w:rFonts w:ascii="Times New Roman" w:cs="Times New Roman" w:hint="eastAsia"/>
                <w:sz w:val="21"/>
                <w:szCs w:val="21"/>
              </w:rPr>
              <w:t>JC11</w:t>
            </w:r>
          </w:p>
        </w:tc>
        <w:tc>
          <w:tcPr>
            <w:tcW w:w="426" w:type="pct"/>
            <w:tcBorders>
              <w:top w:val="single" w:sz="2" w:space="0" w:color="000000"/>
              <w:left w:val="single" w:sz="2" w:space="0" w:color="000000"/>
              <w:bottom w:val="single" w:sz="2" w:space="0" w:color="000000"/>
              <w:right w:val="single" w:sz="2" w:space="0" w:color="000000"/>
            </w:tcBorders>
            <w:vAlign w:val="center"/>
          </w:tcPr>
          <w:p w:rsidR="003422F0" w:rsidRDefault="003422F0" w:rsidP="00F321D8">
            <w:pPr>
              <w:spacing w:line="240" w:lineRule="auto"/>
              <w:ind w:firstLineChars="0" w:firstLine="0"/>
              <w:jc w:val="center"/>
              <w:rPr>
                <w:rFonts w:ascii="Times New Roman" w:cs="Times New Roman"/>
                <w:sz w:val="21"/>
                <w:szCs w:val="21"/>
              </w:rPr>
            </w:pPr>
            <w:r>
              <w:rPr>
                <w:rFonts w:ascii="Times New Roman" w:cs="Times New Roman" w:hint="eastAsia"/>
                <w:sz w:val="21"/>
                <w:szCs w:val="21"/>
              </w:rPr>
              <w:t>-200</w:t>
            </w:r>
          </w:p>
        </w:tc>
        <w:tc>
          <w:tcPr>
            <w:tcW w:w="381"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sz w:val="21"/>
                <w:szCs w:val="21"/>
              </w:rPr>
              <w:t>-790</w:t>
            </w:r>
          </w:p>
        </w:tc>
        <w:tc>
          <w:tcPr>
            <w:tcW w:w="379"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3422F0" w:rsidRDefault="003422F0" w:rsidP="00F321D8">
            <w:pPr>
              <w:spacing w:line="240" w:lineRule="auto"/>
              <w:ind w:firstLineChars="0" w:firstLine="0"/>
              <w:jc w:val="center"/>
              <w:rPr>
                <w:rFonts w:ascii="Times New Roman" w:cs="Times New Roman"/>
                <w:sz w:val="21"/>
                <w:szCs w:val="21"/>
              </w:rPr>
            </w:pPr>
            <w:r>
              <w:rPr>
                <w:rFonts w:ascii="Times New Roman" w:cs="Times New Roman"/>
                <w:sz w:val="21"/>
                <w:szCs w:val="21"/>
              </w:rPr>
              <w:t>地下水水质</w:t>
            </w:r>
            <w:r>
              <w:rPr>
                <w:rFonts w:ascii="Times New Roman" w:cs="Times New Roman" w:hint="eastAsia"/>
                <w:sz w:val="21"/>
                <w:szCs w:val="21"/>
              </w:rPr>
              <w:t>，</w:t>
            </w:r>
            <w:r>
              <w:rPr>
                <w:rFonts w:ascii="Times New Roman" w:cs="Times New Roman"/>
                <w:sz w:val="21"/>
                <w:szCs w:val="21"/>
              </w:rPr>
              <w:t>高程</w:t>
            </w:r>
            <w:r>
              <w:rPr>
                <w:rFonts w:ascii="Times New Roman" w:cs="Times New Roman" w:hint="eastAsia"/>
                <w:sz w:val="21"/>
                <w:szCs w:val="21"/>
              </w:rPr>
              <w:t>707m</w:t>
            </w:r>
          </w:p>
        </w:tc>
        <w:tc>
          <w:tcPr>
            <w:tcW w:w="1043" w:type="pct"/>
            <w:vMerge/>
            <w:tcBorders>
              <w:left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sz w:val="21"/>
                <w:szCs w:val="21"/>
              </w:rPr>
              <w:t>SW</w:t>
            </w:r>
          </w:p>
        </w:tc>
        <w:tc>
          <w:tcPr>
            <w:tcW w:w="453" w:type="pct"/>
            <w:tcBorders>
              <w:top w:val="single" w:sz="2" w:space="0" w:color="000000"/>
              <w:left w:val="single" w:sz="2" w:space="0" w:color="000000"/>
              <w:bottom w:val="single" w:sz="2" w:space="0" w:color="000000"/>
              <w:right w:val="nil"/>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sz w:val="21"/>
                <w:szCs w:val="21"/>
              </w:rPr>
              <w:t>880</w:t>
            </w:r>
          </w:p>
        </w:tc>
      </w:tr>
      <w:tr w:rsidR="003422F0">
        <w:trPr>
          <w:trHeight w:val="342"/>
          <w:jc w:val="center"/>
        </w:trPr>
        <w:tc>
          <w:tcPr>
            <w:tcW w:w="188" w:type="pct"/>
            <w:tcBorders>
              <w:top w:val="single" w:sz="2" w:space="0" w:color="000000"/>
              <w:left w:val="nil"/>
              <w:bottom w:val="single" w:sz="2" w:space="0" w:color="000000"/>
              <w:right w:val="single" w:sz="2" w:space="0" w:color="000000"/>
            </w:tcBorders>
            <w:vAlign w:val="center"/>
          </w:tcPr>
          <w:p w:rsidR="003422F0" w:rsidRDefault="003422F0" w:rsidP="004841B2">
            <w:pPr>
              <w:spacing w:line="240" w:lineRule="auto"/>
              <w:ind w:firstLineChars="0" w:firstLine="0"/>
              <w:jc w:val="center"/>
              <w:rPr>
                <w:rFonts w:ascii="Times New Roman" w:cs="Times New Roman"/>
                <w:sz w:val="21"/>
                <w:szCs w:val="21"/>
              </w:rPr>
            </w:pPr>
            <w:r>
              <w:rPr>
                <w:rFonts w:ascii="Times New Roman" w:cs="Times New Roman" w:hint="eastAsia"/>
                <w:sz w:val="21"/>
                <w:szCs w:val="21"/>
              </w:rPr>
              <w:t>96</w:t>
            </w:r>
          </w:p>
        </w:tc>
        <w:tc>
          <w:tcPr>
            <w:tcW w:w="473" w:type="pct"/>
            <w:vMerge/>
            <w:tcBorders>
              <w:left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水井</w:t>
            </w:r>
            <w:r>
              <w:rPr>
                <w:rFonts w:ascii="Times New Roman" w:cs="Times New Roman" w:hint="eastAsia"/>
                <w:sz w:val="21"/>
                <w:szCs w:val="21"/>
              </w:rPr>
              <w:t>JC12</w:t>
            </w:r>
          </w:p>
        </w:tc>
        <w:tc>
          <w:tcPr>
            <w:tcW w:w="426"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sz w:val="21"/>
                <w:szCs w:val="21"/>
              </w:rPr>
              <w:t>-1360</w:t>
            </w:r>
          </w:p>
        </w:tc>
        <w:tc>
          <w:tcPr>
            <w:tcW w:w="381"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sz w:val="21"/>
                <w:szCs w:val="21"/>
              </w:rPr>
              <w:t>-350</w:t>
            </w:r>
          </w:p>
        </w:tc>
        <w:tc>
          <w:tcPr>
            <w:tcW w:w="379"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3422F0" w:rsidRDefault="003422F0" w:rsidP="00F321D8">
            <w:pPr>
              <w:spacing w:line="240" w:lineRule="auto"/>
              <w:ind w:firstLineChars="0" w:firstLine="0"/>
              <w:jc w:val="center"/>
              <w:rPr>
                <w:rFonts w:ascii="Times New Roman" w:cs="Times New Roman"/>
                <w:sz w:val="21"/>
                <w:szCs w:val="21"/>
              </w:rPr>
            </w:pPr>
            <w:r>
              <w:rPr>
                <w:rFonts w:ascii="Times New Roman" w:cs="Times New Roman"/>
                <w:sz w:val="21"/>
                <w:szCs w:val="21"/>
              </w:rPr>
              <w:t>地下水水质</w:t>
            </w:r>
            <w:r>
              <w:rPr>
                <w:rFonts w:ascii="Times New Roman" w:cs="Times New Roman" w:hint="eastAsia"/>
                <w:sz w:val="21"/>
                <w:szCs w:val="21"/>
              </w:rPr>
              <w:t>，</w:t>
            </w:r>
            <w:r>
              <w:rPr>
                <w:rFonts w:ascii="Times New Roman" w:cs="Times New Roman"/>
                <w:sz w:val="21"/>
                <w:szCs w:val="21"/>
              </w:rPr>
              <w:t>高程</w:t>
            </w:r>
            <w:r>
              <w:rPr>
                <w:rFonts w:ascii="Times New Roman" w:cs="Times New Roman" w:hint="eastAsia"/>
                <w:sz w:val="21"/>
                <w:szCs w:val="21"/>
              </w:rPr>
              <w:t>571m</w:t>
            </w:r>
          </w:p>
        </w:tc>
        <w:tc>
          <w:tcPr>
            <w:tcW w:w="1043" w:type="pct"/>
            <w:vMerge/>
            <w:tcBorders>
              <w:left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sz w:val="21"/>
                <w:szCs w:val="21"/>
              </w:rPr>
              <w:t>SW</w:t>
            </w:r>
          </w:p>
        </w:tc>
        <w:tc>
          <w:tcPr>
            <w:tcW w:w="453" w:type="pct"/>
            <w:tcBorders>
              <w:top w:val="single" w:sz="2" w:space="0" w:color="000000"/>
              <w:left w:val="single" w:sz="2" w:space="0" w:color="000000"/>
              <w:bottom w:val="single" w:sz="2" w:space="0" w:color="000000"/>
              <w:right w:val="nil"/>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sz w:val="21"/>
                <w:szCs w:val="21"/>
              </w:rPr>
              <w:t>1440</w:t>
            </w:r>
          </w:p>
        </w:tc>
      </w:tr>
      <w:tr w:rsidR="003422F0">
        <w:trPr>
          <w:trHeight w:val="342"/>
          <w:jc w:val="center"/>
        </w:trPr>
        <w:tc>
          <w:tcPr>
            <w:tcW w:w="188" w:type="pct"/>
            <w:tcBorders>
              <w:top w:val="single" w:sz="2" w:space="0" w:color="000000"/>
              <w:left w:val="nil"/>
              <w:bottom w:val="single" w:sz="2" w:space="0" w:color="000000"/>
              <w:right w:val="single" w:sz="2" w:space="0" w:color="000000"/>
            </w:tcBorders>
            <w:vAlign w:val="center"/>
          </w:tcPr>
          <w:p w:rsidR="003422F0" w:rsidRDefault="003422F0" w:rsidP="004841B2">
            <w:pPr>
              <w:spacing w:line="240" w:lineRule="auto"/>
              <w:ind w:firstLineChars="0" w:firstLine="0"/>
              <w:jc w:val="center"/>
              <w:rPr>
                <w:rFonts w:ascii="Times New Roman" w:cs="Times New Roman"/>
                <w:sz w:val="21"/>
                <w:szCs w:val="21"/>
              </w:rPr>
            </w:pPr>
            <w:r>
              <w:rPr>
                <w:rFonts w:ascii="Times New Roman" w:cs="Times New Roman" w:hint="eastAsia"/>
                <w:sz w:val="21"/>
                <w:szCs w:val="21"/>
              </w:rPr>
              <w:t>97</w:t>
            </w:r>
          </w:p>
        </w:tc>
        <w:tc>
          <w:tcPr>
            <w:tcW w:w="473" w:type="pct"/>
            <w:vMerge/>
            <w:tcBorders>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bCs/>
                <w:sz w:val="21"/>
                <w:szCs w:val="21"/>
              </w:rPr>
              <w:t>水井</w:t>
            </w:r>
            <w:r>
              <w:rPr>
                <w:rFonts w:ascii="Times New Roman" w:cs="Times New Roman" w:hint="eastAsia"/>
                <w:sz w:val="21"/>
                <w:szCs w:val="21"/>
              </w:rPr>
              <w:t>JC13</w:t>
            </w:r>
          </w:p>
        </w:tc>
        <w:tc>
          <w:tcPr>
            <w:tcW w:w="426"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sz w:val="21"/>
                <w:szCs w:val="21"/>
              </w:rPr>
              <w:t>-720</w:t>
            </w:r>
          </w:p>
        </w:tc>
        <w:tc>
          <w:tcPr>
            <w:tcW w:w="381"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sz w:val="21"/>
                <w:szCs w:val="21"/>
              </w:rPr>
              <w:t>-610</w:t>
            </w:r>
          </w:p>
        </w:tc>
        <w:tc>
          <w:tcPr>
            <w:tcW w:w="379"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3422F0" w:rsidRDefault="003422F0" w:rsidP="00B53DA7">
            <w:pPr>
              <w:spacing w:line="240" w:lineRule="auto"/>
              <w:ind w:firstLineChars="0" w:firstLine="0"/>
              <w:jc w:val="center"/>
              <w:rPr>
                <w:rFonts w:ascii="Times New Roman" w:cs="Times New Roman"/>
                <w:sz w:val="21"/>
                <w:szCs w:val="21"/>
              </w:rPr>
            </w:pPr>
            <w:r>
              <w:rPr>
                <w:rFonts w:ascii="Times New Roman" w:cs="Times New Roman"/>
                <w:sz w:val="21"/>
                <w:szCs w:val="21"/>
              </w:rPr>
              <w:t>地下水水质</w:t>
            </w:r>
            <w:r>
              <w:rPr>
                <w:rFonts w:ascii="Times New Roman" w:cs="Times New Roman" w:hint="eastAsia"/>
                <w:sz w:val="21"/>
                <w:szCs w:val="21"/>
              </w:rPr>
              <w:t>，</w:t>
            </w:r>
            <w:r>
              <w:rPr>
                <w:rFonts w:ascii="Times New Roman" w:cs="Times New Roman"/>
                <w:sz w:val="21"/>
                <w:szCs w:val="21"/>
              </w:rPr>
              <w:t>高程</w:t>
            </w:r>
            <w:r>
              <w:rPr>
                <w:rFonts w:ascii="Times New Roman" w:cs="Times New Roman" w:hint="eastAsia"/>
                <w:sz w:val="21"/>
                <w:szCs w:val="21"/>
              </w:rPr>
              <w:t>885m</w:t>
            </w:r>
          </w:p>
        </w:tc>
        <w:tc>
          <w:tcPr>
            <w:tcW w:w="1043" w:type="pct"/>
            <w:vMerge/>
            <w:tcBorders>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sz w:val="21"/>
                <w:szCs w:val="21"/>
              </w:rPr>
              <w:t>1000</w:t>
            </w:r>
          </w:p>
        </w:tc>
      </w:tr>
      <w:tr w:rsidR="003422F0">
        <w:trPr>
          <w:trHeight w:val="342"/>
          <w:jc w:val="center"/>
        </w:trPr>
        <w:tc>
          <w:tcPr>
            <w:tcW w:w="188" w:type="pct"/>
            <w:tcBorders>
              <w:top w:val="single" w:sz="2" w:space="0" w:color="000000"/>
              <w:left w:val="nil"/>
              <w:bottom w:val="single" w:sz="2" w:space="0" w:color="000000"/>
              <w:right w:val="single" w:sz="2" w:space="0" w:color="000000"/>
            </w:tcBorders>
            <w:vAlign w:val="center"/>
          </w:tcPr>
          <w:p w:rsidR="003422F0" w:rsidRDefault="003422F0" w:rsidP="004841B2">
            <w:pPr>
              <w:spacing w:line="240" w:lineRule="auto"/>
              <w:ind w:firstLineChars="0" w:firstLine="0"/>
              <w:jc w:val="center"/>
              <w:rPr>
                <w:rFonts w:ascii="Times New Roman" w:cs="Times New Roman"/>
                <w:sz w:val="21"/>
                <w:szCs w:val="21"/>
              </w:rPr>
            </w:pPr>
            <w:r>
              <w:rPr>
                <w:rFonts w:ascii="Times New Roman" w:cs="Times New Roman" w:hint="eastAsia"/>
                <w:sz w:val="21"/>
                <w:szCs w:val="21"/>
              </w:rPr>
              <w:t>98</w:t>
            </w:r>
          </w:p>
        </w:tc>
        <w:tc>
          <w:tcPr>
            <w:tcW w:w="473"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sz w:val="21"/>
                <w:szCs w:val="21"/>
              </w:rPr>
              <w:t>土壤环境</w:t>
            </w:r>
          </w:p>
        </w:tc>
        <w:tc>
          <w:tcPr>
            <w:tcW w:w="854"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sz w:val="21"/>
                <w:szCs w:val="21"/>
              </w:rPr>
              <w:t>周边耕地</w:t>
            </w:r>
          </w:p>
        </w:tc>
        <w:tc>
          <w:tcPr>
            <w:tcW w:w="426"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sz w:val="21"/>
                <w:szCs w:val="21"/>
              </w:rPr>
              <w:t>—</w:t>
            </w:r>
          </w:p>
        </w:tc>
        <w:tc>
          <w:tcPr>
            <w:tcW w:w="381"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sz w:val="21"/>
                <w:szCs w:val="21"/>
              </w:rPr>
              <w:t>—</w:t>
            </w:r>
          </w:p>
        </w:tc>
        <w:tc>
          <w:tcPr>
            <w:tcW w:w="379"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sz w:val="21"/>
                <w:szCs w:val="21"/>
              </w:rPr>
              <w:t>耕地</w:t>
            </w:r>
          </w:p>
        </w:tc>
        <w:tc>
          <w:tcPr>
            <w:tcW w:w="566"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sz w:val="21"/>
                <w:szCs w:val="21"/>
              </w:rPr>
              <w:t>—</w:t>
            </w:r>
          </w:p>
        </w:tc>
        <w:tc>
          <w:tcPr>
            <w:tcW w:w="1043"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sz w:val="21"/>
                <w:szCs w:val="21"/>
              </w:rPr>
              <w:t>《土壤环境质量</w:t>
            </w:r>
            <w:r>
              <w:rPr>
                <w:rFonts w:ascii="Times New Roman" w:cs="Times New Roman"/>
                <w:sz w:val="21"/>
                <w:szCs w:val="21"/>
              </w:rPr>
              <w:t xml:space="preserve"> </w:t>
            </w:r>
            <w:r>
              <w:rPr>
                <w:rFonts w:ascii="Times New Roman" w:cs="Times New Roman"/>
                <w:sz w:val="21"/>
                <w:szCs w:val="21"/>
              </w:rPr>
              <w:t>农用地土壤污染风险管控标准（试行）》（</w:t>
            </w:r>
            <w:r>
              <w:rPr>
                <w:rFonts w:ascii="Times New Roman" w:cs="Times New Roman"/>
                <w:sz w:val="21"/>
                <w:szCs w:val="21"/>
              </w:rPr>
              <w:t>GB15618-2018</w:t>
            </w:r>
            <w:r>
              <w:rPr>
                <w:rFonts w:ascii="Times New Roman" w:cs="Times New Roman"/>
                <w:sz w:val="21"/>
                <w:szCs w:val="21"/>
              </w:rPr>
              <w:t>）</w:t>
            </w:r>
          </w:p>
        </w:tc>
        <w:tc>
          <w:tcPr>
            <w:tcW w:w="236"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sz w:val="21"/>
                <w:szCs w:val="21"/>
              </w:rPr>
              <w:t>—</w:t>
            </w:r>
          </w:p>
        </w:tc>
        <w:tc>
          <w:tcPr>
            <w:tcW w:w="453" w:type="pct"/>
            <w:tcBorders>
              <w:top w:val="single" w:sz="2" w:space="0" w:color="000000"/>
              <w:left w:val="single" w:sz="2" w:space="0" w:color="000000"/>
              <w:bottom w:val="single" w:sz="2" w:space="0" w:color="000000"/>
              <w:right w:val="nil"/>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sz w:val="21"/>
                <w:szCs w:val="21"/>
              </w:rPr>
              <w:t>—</w:t>
            </w:r>
          </w:p>
        </w:tc>
      </w:tr>
      <w:tr w:rsidR="003422F0">
        <w:trPr>
          <w:trHeight w:val="342"/>
          <w:jc w:val="center"/>
        </w:trPr>
        <w:tc>
          <w:tcPr>
            <w:tcW w:w="188" w:type="pct"/>
            <w:tcBorders>
              <w:top w:val="single" w:sz="2" w:space="0" w:color="000000"/>
              <w:left w:val="nil"/>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sz w:val="21"/>
                <w:szCs w:val="21"/>
              </w:rPr>
              <w:t>99</w:t>
            </w:r>
          </w:p>
        </w:tc>
        <w:tc>
          <w:tcPr>
            <w:tcW w:w="473"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sz w:val="21"/>
                <w:szCs w:val="21"/>
              </w:rPr>
              <w:t>生态环境</w:t>
            </w:r>
          </w:p>
        </w:tc>
        <w:tc>
          <w:tcPr>
            <w:tcW w:w="854"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sz w:val="21"/>
                <w:szCs w:val="21"/>
              </w:rPr>
              <w:t>周边</w:t>
            </w:r>
            <w:r>
              <w:rPr>
                <w:rFonts w:ascii="Times New Roman" w:cs="Times New Roman" w:hint="eastAsia"/>
                <w:sz w:val="21"/>
                <w:szCs w:val="21"/>
              </w:rPr>
              <w:t>公益林</w:t>
            </w:r>
          </w:p>
        </w:tc>
        <w:tc>
          <w:tcPr>
            <w:tcW w:w="426"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sz w:val="21"/>
                <w:szCs w:val="21"/>
              </w:rPr>
              <w:t>—</w:t>
            </w:r>
          </w:p>
        </w:tc>
        <w:tc>
          <w:tcPr>
            <w:tcW w:w="381"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sz w:val="21"/>
                <w:szCs w:val="21"/>
              </w:rPr>
              <w:t>—</w:t>
            </w:r>
          </w:p>
        </w:tc>
        <w:tc>
          <w:tcPr>
            <w:tcW w:w="379"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hint="eastAsia"/>
                <w:sz w:val="21"/>
                <w:szCs w:val="21"/>
              </w:rPr>
              <w:t>公益林</w:t>
            </w:r>
          </w:p>
        </w:tc>
        <w:tc>
          <w:tcPr>
            <w:tcW w:w="566" w:type="pct"/>
            <w:tcBorders>
              <w:top w:val="single" w:sz="2" w:space="0" w:color="000000"/>
              <w:left w:val="single" w:sz="2" w:space="0" w:color="000000"/>
              <w:bottom w:val="single" w:sz="2" w:space="0" w:color="000000"/>
              <w:right w:val="single" w:sz="2" w:space="0" w:color="000000"/>
            </w:tcBorders>
            <w:vAlign w:val="center"/>
          </w:tcPr>
          <w:p w:rsidR="003422F0" w:rsidRPr="00770312" w:rsidRDefault="003422F0">
            <w:pPr>
              <w:spacing w:line="240" w:lineRule="auto"/>
              <w:ind w:firstLineChars="0" w:firstLine="0"/>
              <w:jc w:val="center"/>
              <w:rPr>
                <w:rFonts w:ascii="Times New Roman" w:cs="Times New Roman"/>
                <w:color w:val="FF0000"/>
                <w:sz w:val="21"/>
                <w:szCs w:val="21"/>
              </w:rPr>
            </w:pPr>
            <w:r w:rsidRPr="00770312">
              <w:rPr>
                <w:rFonts w:ascii="Times New Roman" w:cs="Times New Roman" w:hint="eastAsia"/>
                <w:bCs/>
                <w:color w:val="FF0000"/>
                <w:sz w:val="21"/>
                <w:szCs w:val="21"/>
              </w:rPr>
              <w:t>200m</w:t>
            </w:r>
            <w:r w:rsidRPr="00770312">
              <w:rPr>
                <w:rFonts w:ascii="Times New Roman" w:cs="Times New Roman" w:hint="eastAsia"/>
                <w:bCs/>
                <w:color w:val="FF0000"/>
                <w:sz w:val="21"/>
                <w:szCs w:val="21"/>
              </w:rPr>
              <w:t>范围内面积约</w:t>
            </w:r>
            <w:r w:rsidRPr="00770312">
              <w:rPr>
                <w:rFonts w:ascii="Times New Roman" w:cs="Times New Roman" w:hint="eastAsia"/>
                <w:bCs/>
                <w:color w:val="FF0000"/>
                <w:sz w:val="21"/>
                <w:szCs w:val="21"/>
              </w:rPr>
              <w:t>12000m</w:t>
            </w:r>
            <w:r w:rsidRPr="00770312">
              <w:rPr>
                <w:rFonts w:ascii="Times New Roman" w:cs="Times New Roman" w:hint="eastAsia"/>
                <w:bCs/>
                <w:color w:val="FF0000"/>
                <w:sz w:val="21"/>
                <w:szCs w:val="21"/>
                <w:vertAlign w:val="superscript"/>
              </w:rPr>
              <w:t>2</w:t>
            </w:r>
          </w:p>
        </w:tc>
        <w:tc>
          <w:tcPr>
            <w:tcW w:w="1043"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sz w:val="21"/>
                <w:szCs w:val="21"/>
              </w:rPr>
              <w:t>—</w:t>
            </w:r>
          </w:p>
        </w:tc>
        <w:tc>
          <w:tcPr>
            <w:tcW w:w="236" w:type="pct"/>
            <w:tcBorders>
              <w:top w:val="single" w:sz="2" w:space="0" w:color="000000"/>
              <w:left w:val="single" w:sz="2" w:space="0" w:color="000000"/>
              <w:bottom w:val="single" w:sz="2" w:space="0" w:color="000000"/>
              <w:right w:val="single" w:sz="2" w:space="0" w:color="000000"/>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sz w:val="21"/>
                <w:szCs w:val="21"/>
              </w:rPr>
              <w:t>—</w:t>
            </w:r>
          </w:p>
        </w:tc>
        <w:tc>
          <w:tcPr>
            <w:tcW w:w="453" w:type="pct"/>
            <w:tcBorders>
              <w:top w:val="single" w:sz="2" w:space="0" w:color="000000"/>
              <w:left w:val="single" w:sz="2" w:space="0" w:color="000000"/>
              <w:bottom w:val="single" w:sz="2" w:space="0" w:color="000000"/>
              <w:right w:val="nil"/>
            </w:tcBorders>
            <w:vAlign w:val="center"/>
          </w:tcPr>
          <w:p w:rsidR="003422F0" w:rsidRDefault="003422F0">
            <w:pPr>
              <w:spacing w:line="240" w:lineRule="auto"/>
              <w:ind w:firstLineChars="0" w:firstLine="0"/>
              <w:jc w:val="center"/>
              <w:rPr>
                <w:rFonts w:ascii="Times New Roman" w:cs="Times New Roman"/>
                <w:sz w:val="21"/>
                <w:szCs w:val="21"/>
              </w:rPr>
            </w:pPr>
            <w:r>
              <w:rPr>
                <w:rFonts w:ascii="Times New Roman" w:cs="Times New Roman"/>
                <w:sz w:val="21"/>
                <w:szCs w:val="21"/>
              </w:rPr>
              <w:t>—</w:t>
            </w:r>
          </w:p>
        </w:tc>
      </w:tr>
    </w:tbl>
    <w:p w:rsidR="00BD5820" w:rsidRDefault="00F64314">
      <w:pPr>
        <w:pStyle w:val="10"/>
        <w:rPr>
          <w:rFonts w:cs="Times New Roman"/>
        </w:rPr>
      </w:pPr>
      <w:r>
        <w:rPr>
          <w:rFonts w:cs="Times New Roman"/>
        </w:rPr>
        <w:lastRenderedPageBreak/>
        <w:t>表</w:t>
      </w:r>
      <w:r>
        <w:rPr>
          <w:rFonts w:cs="Times New Roman"/>
        </w:rPr>
        <w:t>1.9-</w:t>
      </w:r>
      <w:r>
        <w:rPr>
          <w:rFonts w:cs="Times New Roman" w:hint="eastAsia"/>
        </w:rPr>
        <w:t>2</w:t>
      </w:r>
      <w:r>
        <w:rPr>
          <w:rFonts w:cs="Times New Roman"/>
        </w:rPr>
        <w:t xml:space="preserve">  </w:t>
      </w:r>
      <w:r>
        <w:rPr>
          <w:rFonts w:cs="Times New Roman"/>
        </w:rPr>
        <w:t>管线两侧环境保护目标一览表（大气、噪声、风险）</w:t>
      </w:r>
    </w:p>
    <w:tbl>
      <w:tblPr>
        <w:tblW w:w="5129" w:type="pct"/>
        <w:jc w:val="center"/>
        <w:tblBorders>
          <w:top w:val="single" w:sz="12" w:space="0" w:color="000000"/>
          <w:bottom w:val="single" w:sz="12" w:space="0" w:color="000000"/>
          <w:insideH w:val="single" w:sz="4" w:space="0" w:color="000000"/>
          <w:insideV w:val="single" w:sz="4" w:space="0" w:color="000000"/>
        </w:tblBorders>
        <w:tblLayout w:type="fixed"/>
        <w:tblLook w:val="04A0"/>
      </w:tblPr>
      <w:tblGrid>
        <w:gridCol w:w="571"/>
        <w:gridCol w:w="837"/>
        <w:gridCol w:w="825"/>
        <w:gridCol w:w="993"/>
        <w:gridCol w:w="849"/>
        <w:gridCol w:w="816"/>
        <w:gridCol w:w="746"/>
        <w:gridCol w:w="691"/>
        <w:gridCol w:w="1280"/>
        <w:gridCol w:w="3679"/>
        <w:gridCol w:w="3991"/>
      </w:tblGrid>
      <w:tr w:rsidR="00BD5820">
        <w:trPr>
          <w:trHeight w:val="145"/>
          <w:jc w:val="center"/>
        </w:trPr>
        <w:tc>
          <w:tcPr>
            <w:tcW w:w="187" w:type="pct"/>
            <w:vMerge w:val="restart"/>
            <w:tcBorders>
              <w:top w:val="single" w:sz="12" w:space="0" w:color="000000"/>
              <w:left w:val="nil"/>
              <w:right w:val="single" w:sz="4" w:space="0" w:color="000000"/>
            </w:tcBorders>
            <w:vAlign w:val="center"/>
          </w:tcPr>
          <w:p w:rsidR="00BD5820" w:rsidRDefault="00F64314">
            <w:pPr>
              <w:spacing w:line="240" w:lineRule="auto"/>
              <w:ind w:firstLineChars="0" w:firstLine="0"/>
              <w:jc w:val="center"/>
              <w:rPr>
                <w:rFonts w:ascii="Times New Roman" w:cs="Times New Roman"/>
                <w:b/>
                <w:sz w:val="21"/>
                <w:szCs w:val="21"/>
              </w:rPr>
            </w:pPr>
            <w:r>
              <w:rPr>
                <w:rFonts w:ascii="Times New Roman" w:cs="Times New Roman"/>
                <w:b/>
                <w:sz w:val="21"/>
                <w:szCs w:val="21"/>
              </w:rPr>
              <w:t>序号</w:t>
            </w:r>
          </w:p>
        </w:tc>
        <w:tc>
          <w:tcPr>
            <w:tcW w:w="274" w:type="pct"/>
            <w:vMerge w:val="restart"/>
            <w:tcBorders>
              <w:top w:val="single" w:sz="12" w:space="0" w:color="000000"/>
              <w:left w:val="single" w:sz="4" w:space="0" w:color="000000"/>
              <w:right w:val="single" w:sz="4" w:space="0" w:color="000000"/>
            </w:tcBorders>
            <w:vAlign w:val="center"/>
          </w:tcPr>
          <w:p w:rsidR="00BD5820" w:rsidRDefault="00F64314">
            <w:pPr>
              <w:spacing w:line="240" w:lineRule="auto"/>
              <w:ind w:firstLineChars="0" w:firstLine="0"/>
              <w:jc w:val="center"/>
              <w:rPr>
                <w:rFonts w:ascii="Times New Roman" w:cs="Times New Roman"/>
                <w:b/>
                <w:sz w:val="21"/>
                <w:szCs w:val="21"/>
              </w:rPr>
            </w:pPr>
            <w:r>
              <w:rPr>
                <w:rFonts w:ascii="Times New Roman" w:cs="Times New Roman"/>
                <w:b/>
                <w:sz w:val="21"/>
                <w:szCs w:val="21"/>
              </w:rPr>
              <w:t>保护目标</w:t>
            </w:r>
          </w:p>
        </w:tc>
        <w:tc>
          <w:tcPr>
            <w:tcW w:w="595" w:type="pct"/>
            <w:gridSpan w:val="2"/>
            <w:tcBorders>
              <w:top w:val="single" w:sz="12" w:space="0" w:color="000000"/>
              <w:left w:val="single" w:sz="4" w:space="0" w:color="000000"/>
              <w:bottom w:val="single" w:sz="2" w:space="0" w:color="auto"/>
              <w:right w:val="single" w:sz="4" w:space="0" w:color="000000"/>
            </w:tcBorders>
            <w:vAlign w:val="center"/>
          </w:tcPr>
          <w:p w:rsidR="00BD5820" w:rsidRDefault="00F64314">
            <w:pPr>
              <w:spacing w:line="240" w:lineRule="auto"/>
              <w:ind w:firstLineChars="0" w:firstLine="0"/>
              <w:jc w:val="center"/>
              <w:rPr>
                <w:rFonts w:ascii="Times New Roman" w:cs="Times New Roman"/>
                <w:b/>
                <w:sz w:val="21"/>
                <w:szCs w:val="21"/>
              </w:rPr>
            </w:pPr>
            <w:r>
              <w:rPr>
                <w:rFonts w:ascii="Times New Roman" w:cs="Times New Roman"/>
                <w:b/>
                <w:sz w:val="21"/>
                <w:szCs w:val="21"/>
              </w:rPr>
              <w:t>距离最近点坐标</w:t>
            </w:r>
          </w:p>
        </w:tc>
        <w:tc>
          <w:tcPr>
            <w:tcW w:w="278" w:type="pct"/>
            <w:vMerge w:val="restart"/>
            <w:tcBorders>
              <w:top w:val="single" w:sz="12" w:space="0" w:color="000000"/>
              <w:left w:val="single" w:sz="4" w:space="0" w:color="000000"/>
              <w:right w:val="single" w:sz="2" w:space="0" w:color="auto"/>
            </w:tcBorders>
            <w:vAlign w:val="center"/>
          </w:tcPr>
          <w:p w:rsidR="00BD5820" w:rsidRDefault="00F64314">
            <w:pPr>
              <w:spacing w:line="240" w:lineRule="auto"/>
              <w:ind w:firstLineChars="0" w:firstLine="0"/>
              <w:jc w:val="center"/>
              <w:rPr>
                <w:rFonts w:ascii="Times New Roman" w:cs="Times New Roman"/>
                <w:b/>
                <w:sz w:val="21"/>
                <w:szCs w:val="21"/>
              </w:rPr>
            </w:pPr>
            <w:r>
              <w:rPr>
                <w:rFonts w:ascii="Times New Roman" w:cs="Times New Roman"/>
                <w:b/>
                <w:sz w:val="21"/>
                <w:szCs w:val="21"/>
              </w:rPr>
              <w:t>保护对象</w:t>
            </w:r>
          </w:p>
        </w:tc>
        <w:tc>
          <w:tcPr>
            <w:tcW w:w="267" w:type="pct"/>
            <w:vMerge w:val="restart"/>
            <w:tcBorders>
              <w:top w:val="single" w:sz="12" w:space="0" w:color="000000"/>
              <w:left w:val="single" w:sz="2" w:space="0" w:color="auto"/>
              <w:right w:val="single" w:sz="2" w:space="0" w:color="auto"/>
            </w:tcBorders>
            <w:vAlign w:val="center"/>
          </w:tcPr>
          <w:p w:rsidR="00BD5820" w:rsidRDefault="00F64314">
            <w:pPr>
              <w:spacing w:line="240" w:lineRule="auto"/>
              <w:ind w:firstLineChars="0" w:firstLine="0"/>
              <w:jc w:val="center"/>
              <w:rPr>
                <w:rFonts w:ascii="Times New Roman" w:cs="Times New Roman"/>
                <w:b/>
                <w:sz w:val="21"/>
                <w:szCs w:val="21"/>
              </w:rPr>
            </w:pPr>
            <w:r>
              <w:rPr>
                <w:rFonts w:ascii="Times New Roman" w:cs="Times New Roman"/>
                <w:b/>
                <w:sz w:val="21"/>
                <w:szCs w:val="21"/>
              </w:rPr>
              <w:t>保护内容</w:t>
            </w:r>
          </w:p>
        </w:tc>
        <w:tc>
          <w:tcPr>
            <w:tcW w:w="244" w:type="pct"/>
            <w:vMerge w:val="restart"/>
            <w:tcBorders>
              <w:top w:val="single" w:sz="12" w:space="0" w:color="000000"/>
              <w:left w:val="single" w:sz="2" w:space="0" w:color="auto"/>
              <w:right w:val="single" w:sz="4" w:space="0" w:color="000000"/>
            </w:tcBorders>
            <w:vAlign w:val="center"/>
          </w:tcPr>
          <w:p w:rsidR="00BD5820" w:rsidRDefault="00F64314">
            <w:pPr>
              <w:spacing w:line="240" w:lineRule="auto"/>
              <w:ind w:firstLineChars="0" w:firstLine="0"/>
              <w:jc w:val="center"/>
              <w:rPr>
                <w:rFonts w:ascii="Times New Roman" w:cs="Times New Roman"/>
                <w:b/>
                <w:sz w:val="21"/>
                <w:szCs w:val="21"/>
              </w:rPr>
            </w:pPr>
            <w:r>
              <w:rPr>
                <w:rFonts w:ascii="Times New Roman" w:cs="Times New Roman"/>
                <w:b/>
                <w:sz w:val="21"/>
                <w:szCs w:val="21"/>
              </w:rPr>
              <w:t>环境功能区</w:t>
            </w:r>
          </w:p>
        </w:tc>
        <w:tc>
          <w:tcPr>
            <w:tcW w:w="645" w:type="pct"/>
            <w:gridSpan w:val="2"/>
            <w:tcBorders>
              <w:top w:val="single" w:sz="12" w:space="0" w:color="000000"/>
              <w:left w:val="single" w:sz="4" w:space="0" w:color="000000"/>
              <w:bottom w:val="single" w:sz="2" w:space="0" w:color="auto"/>
              <w:right w:val="single" w:sz="4" w:space="0" w:color="000000"/>
            </w:tcBorders>
            <w:vAlign w:val="center"/>
          </w:tcPr>
          <w:p w:rsidR="00BD5820" w:rsidRDefault="00F64314">
            <w:pPr>
              <w:spacing w:line="240" w:lineRule="auto"/>
              <w:ind w:firstLineChars="0" w:firstLine="0"/>
              <w:jc w:val="center"/>
              <w:rPr>
                <w:rFonts w:ascii="Times New Roman" w:cs="Times New Roman"/>
                <w:b/>
                <w:sz w:val="21"/>
                <w:szCs w:val="21"/>
              </w:rPr>
            </w:pPr>
            <w:r>
              <w:rPr>
                <w:rFonts w:ascii="Times New Roman" w:cs="Times New Roman"/>
                <w:b/>
                <w:sz w:val="21"/>
                <w:szCs w:val="21"/>
              </w:rPr>
              <w:t>相对管线</w:t>
            </w:r>
          </w:p>
        </w:tc>
        <w:tc>
          <w:tcPr>
            <w:tcW w:w="1204" w:type="pct"/>
            <w:vMerge w:val="restart"/>
            <w:tcBorders>
              <w:top w:val="single" w:sz="12" w:space="0" w:color="000000"/>
              <w:left w:val="single" w:sz="2" w:space="0" w:color="auto"/>
              <w:right w:val="nil"/>
            </w:tcBorders>
            <w:vAlign w:val="center"/>
          </w:tcPr>
          <w:p w:rsidR="00BD5820" w:rsidRDefault="00F64314">
            <w:pPr>
              <w:spacing w:line="240" w:lineRule="auto"/>
              <w:ind w:firstLineChars="0" w:firstLine="0"/>
              <w:jc w:val="center"/>
              <w:rPr>
                <w:rFonts w:ascii="Times New Roman" w:cs="Times New Roman"/>
                <w:b/>
                <w:sz w:val="21"/>
                <w:szCs w:val="21"/>
              </w:rPr>
            </w:pPr>
            <w:r>
              <w:rPr>
                <w:rFonts w:ascii="Times New Roman" w:cs="Times New Roman"/>
                <w:b/>
                <w:sz w:val="21"/>
                <w:szCs w:val="21"/>
              </w:rPr>
              <w:t>卫星地图</w:t>
            </w:r>
          </w:p>
        </w:tc>
        <w:tc>
          <w:tcPr>
            <w:tcW w:w="1306" w:type="pct"/>
            <w:vMerge w:val="restart"/>
            <w:tcBorders>
              <w:top w:val="single" w:sz="12" w:space="0" w:color="000000"/>
              <w:left w:val="single" w:sz="2" w:space="0" w:color="auto"/>
              <w:right w:val="nil"/>
            </w:tcBorders>
            <w:vAlign w:val="center"/>
          </w:tcPr>
          <w:p w:rsidR="00BD5820" w:rsidRDefault="00F64314">
            <w:pPr>
              <w:spacing w:line="240" w:lineRule="auto"/>
              <w:ind w:firstLineChars="0" w:firstLine="0"/>
              <w:jc w:val="center"/>
              <w:rPr>
                <w:rFonts w:ascii="Times New Roman" w:cs="Times New Roman"/>
                <w:b/>
                <w:sz w:val="21"/>
                <w:szCs w:val="21"/>
              </w:rPr>
            </w:pPr>
            <w:r>
              <w:rPr>
                <w:rFonts w:ascii="Times New Roman" w:cs="Times New Roman"/>
                <w:b/>
                <w:sz w:val="21"/>
                <w:szCs w:val="21"/>
              </w:rPr>
              <w:t>现场照片</w:t>
            </w:r>
          </w:p>
        </w:tc>
      </w:tr>
      <w:tr w:rsidR="00BD5820">
        <w:trPr>
          <w:trHeight w:val="108"/>
          <w:jc w:val="center"/>
        </w:trPr>
        <w:tc>
          <w:tcPr>
            <w:tcW w:w="187" w:type="pct"/>
            <w:vMerge/>
            <w:tcBorders>
              <w:left w:val="nil"/>
              <w:bottom w:val="single" w:sz="4" w:space="0" w:color="000000"/>
              <w:right w:val="single" w:sz="4" w:space="0" w:color="000000"/>
            </w:tcBorders>
            <w:vAlign w:val="center"/>
          </w:tcPr>
          <w:p w:rsidR="00BD5820" w:rsidRDefault="00BD5820">
            <w:pPr>
              <w:spacing w:line="240" w:lineRule="auto"/>
              <w:ind w:firstLineChars="0" w:firstLine="0"/>
              <w:jc w:val="center"/>
              <w:rPr>
                <w:rFonts w:ascii="Times New Roman" w:cs="Times New Roman"/>
                <w:b/>
                <w:sz w:val="21"/>
                <w:szCs w:val="21"/>
              </w:rPr>
            </w:pPr>
          </w:p>
        </w:tc>
        <w:tc>
          <w:tcPr>
            <w:tcW w:w="274" w:type="pct"/>
            <w:vMerge/>
            <w:tcBorders>
              <w:left w:val="single" w:sz="4" w:space="0" w:color="000000"/>
              <w:bottom w:val="single" w:sz="4" w:space="0" w:color="000000"/>
              <w:right w:val="single" w:sz="4" w:space="0" w:color="000000"/>
            </w:tcBorders>
            <w:vAlign w:val="center"/>
          </w:tcPr>
          <w:p w:rsidR="00BD5820" w:rsidRDefault="00BD5820">
            <w:pPr>
              <w:spacing w:line="240" w:lineRule="auto"/>
              <w:ind w:firstLineChars="0" w:firstLine="0"/>
              <w:jc w:val="center"/>
              <w:rPr>
                <w:rFonts w:ascii="Times New Roman" w:cs="Times New Roman"/>
                <w:b/>
                <w:sz w:val="21"/>
                <w:szCs w:val="21"/>
              </w:rPr>
            </w:pPr>
          </w:p>
        </w:tc>
        <w:tc>
          <w:tcPr>
            <w:tcW w:w="270" w:type="pct"/>
            <w:tcBorders>
              <w:top w:val="single" w:sz="2" w:space="0" w:color="auto"/>
              <w:left w:val="single" w:sz="4" w:space="0" w:color="000000"/>
              <w:bottom w:val="single" w:sz="4" w:space="0" w:color="000000"/>
              <w:right w:val="single" w:sz="2" w:space="0" w:color="auto"/>
            </w:tcBorders>
            <w:vAlign w:val="center"/>
          </w:tcPr>
          <w:p w:rsidR="00BD5820" w:rsidRDefault="00F64314">
            <w:pPr>
              <w:spacing w:line="240" w:lineRule="auto"/>
              <w:ind w:firstLineChars="0" w:firstLine="0"/>
              <w:jc w:val="center"/>
              <w:rPr>
                <w:rFonts w:ascii="Times New Roman" w:cs="Times New Roman"/>
                <w:b/>
                <w:sz w:val="21"/>
                <w:szCs w:val="21"/>
              </w:rPr>
            </w:pPr>
            <w:r>
              <w:rPr>
                <w:rFonts w:ascii="Times New Roman" w:cs="Times New Roman"/>
                <w:b/>
                <w:sz w:val="21"/>
                <w:szCs w:val="21"/>
              </w:rPr>
              <w:t>X</w:t>
            </w:r>
          </w:p>
        </w:tc>
        <w:tc>
          <w:tcPr>
            <w:tcW w:w="325" w:type="pct"/>
            <w:tcBorders>
              <w:top w:val="single" w:sz="2" w:space="0" w:color="auto"/>
              <w:left w:val="single" w:sz="2" w:space="0" w:color="auto"/>
              <w:bottom w:val="single" w:sz="4" w:space="0" w:color="000000"/>
              <w:right w:val="single" w:sz="4" w:space="0" w:color="000000"/>
            </w:tcBorders>
            <w:vAlign w:val="center"/>
          </w:tcPr>
          <w:p w:rsidR="00BD5820" w:rsidRDefault="00F64314">
            <w:pPr>
              <w:spacing w:line="240" w:lineRule="auto"/>
              <w:ind w:firstLineChars="0" w:firstLine="0"/>
              <w:jc w:val="center"/>
              <w:rPr>
                <w:rFonts w:ascii="Times New Roman" w:cs="Times New Roman"/>
                <w:b/>
                <w:sz w:val="21"/>
                <w:szCs w:val="21"/>
              </w:rPr>
            </w:pPr>
            <w:r>
              <w:rPr>
                <w:rFonts w:ascii="Times New Roman" w:cs="Times New Roman"/>
                <w:b/>
                <w:sz w:val="21"/>
                <w:szCs w:val="21"/>
              </w:rPr>
              <w:t>Y</w:t>
            </w:r>
          </w:p>
        </w:tc>
        <w:tc>
          <w:tcPr>
            <w:tcW w:w="278" w:type="pct"/>
            <w:vMerge/>
            <w:tcBorders>
              <w:left w:val="single" w:sz="4" w:space="0" w:color="000000"/>
              <w:bottom w:val="single" w:sz="4" w:space="0" w:color="000000"/>
              <w:right w:val="single" w:sz="2" w:space="0" w:color="auto"/>
            </w:tcBorders>
            <w:vAlign w:val="center"/>
          </w:tcPr>
          <w:p w:rsidR="00BD5820" w:rsidRDefault="00BD5820">
            <w:pPr>
              <w:spacing w:line="240" w:lineRule="auto"/>
              <w:ind w:firstLineChars="0" w:firstLine="0"/>
              <w:jc w:val="center"/>
              <w:rPr>
                <w:rFonts w:ascii="Times New Roman" w:cs="Times New Roman"/>
                <w:b/>
                <w:sz w:val="21"/>
                <w:szCs w:val="21"/>
              </w:rPr>
            </w:pPr>
          </w:p>
        </w:tc>
        <w:tc>
          <w:tcPr>
            <w:tcW w:w="267" w:type="pct"/>
            <w:vMerge/>
            <w:tcBorders>
              <w:left w:val="single" w:sz="2" w:space="0" w:color="auto"/>
              <w:bottom w:val="single" w:sz="4" w:space="0" w:color="000000"/>
              <w:right w:val="single" w:sz="2" w:space="0" w:color="auto"/>
            </w:tcBorders>
            <w:vAlign w:val="center"/>
          </w:tcPr>
          <w:p w:rsidR="00BD5820" w:rsidRDefault="00BD5820">
            <w:pPr>
              <w:spacing w:line="240" w:lineRule="auto"/>
              <w:ind w:firstLineChars="0" w:firstLine="0"/>
              <w:jc w:val="center"/>
              <w:rPr>
                <w:rFonts w:ascii="Times New Roman" w:cs="Times New Roman"/>
                <w:b/>
                <w:sz w:val="21"/>
                <w:szCs w:val="21"/>
              </w:rPr>
            </w:pPr>
          </w:p>
        </w:tc>
        <w:tc>
          <w:tcPr>
            <w:tcW w:w="244" w:type="pct"/>
            <w:vMerge/>
            <w:tcBorders>
              <w:left w:val="single" w:sz="2" w:space="0" w:color="auto"/>
              <w:bottom w:val="single" w:sz="4" w:space="0" w:color="000000"/>
              <w:right w:val="single" w:sz="4" w:space="0" w:color="000000"/>
            </w:tcBorders>
            <w:vAlign w:val="center"/>
          </w:tcPr>
          <w:p w:rsidR="00BD5820" w:rsidRDefault="00BD5820">
            <w:pPr>
              <w:spacing w:line="240" w:lineRule="auto"/>
              <w:ind w:firstLineChars="0" w:firstLine="0"/>
              <w:jc w:val="center"/>
              <w:rPr>
                <w:rFonts w:ascii="Times New Roman" w:cs="Times New Roman"/>
                <w:b/>
                <w:sz w:val="21"/>
                <w:szCs w:val="21"/>
              </w:rPr>
            </w:pPr>
          </w:p>
        </w:tc>
        <w:tc>
          <w:tcPr>
            <w:tcW w:w="226" w:type="pct"/>
            <w:tcBorders>
              <w:top w:val="single" w:sz="2" w:space="0" w:color="auto"/>
              <w:left w:val="single" w:sz="4" w:space="0" w:color="000000"/>
              <w:bottom w:val="single" w:sz="4" w:space="0" w:color="000000"/>
              <w:right w:val="single" w:sz="2" w:space="0" w:color="auto"/>
            </w:tcBorders>
            <w:vAlign w:val="center"/>
          </w:tcPr>
          <w:p w:rsidR="00BD5820" w:rsidRDefault="00F64314">
            <w:pPr>
              <w:spacing w:line="240" w:lineRule="auto"/>
              <w:ind w:firstLineChars="0" w:firstLine="0"/>
              <w:jc w:val="center"/>
              <w:rPr>
                <w:rFonts w:ascii="Times New Roman" w:cs="Times New Roman"/>
                <w:b/>
                <w:sz w:val="21"/>
                <w:szCs w:val="21"/>
              </w:rPr>
            </w:pPr>
            <w:r>
              <w:rPr>
                <w:rFonts w:ascii="Times New Roman" w:cs="Times New Roman"/>
                <w:b/>
                <w:sz w:val="21"/>
                <w:szCs w:val="21"/>
              </w:rPr>
              <w:t>方位</w:t>
            </w:r>
          </w:p>
        </w:tc>
        <w:tc>
          <w:tcPr>
            <w:tcW w:w="419" w:type="pct"/>
            <w:tcBorders>
              <w:top w:val="single" w:sz="2" w:space="0" w:color="auto"/>
              <w:left w:val="single" w:sz="2" w:space="0" w:color="auto"/>
              <w:bottom w:val="single" w:sz="4" w:space="0" w:color="000000"/>
              <w:right w:val="single" w:sz="4" w:space="0" w:color="000000"/>
            </w:tcBorders>
            <w:vAlign w:val="center"/>
          </w:tcPr>
          <w:p w:rsidR="00BD5820" w:rsidRDefault="00F64314">
            <w:pPr>
              <w:spacing w:line="240" w:lineRule="auto"/>
              <w:ind w:firstLineChars="0" w:firstLine="0"/>
              <w:jc w:val="center"/>
              <w:rPr>
                <w:rFonts w:ascii="Times New Roman" w:cs="Times New Roman"/>
                <w:b/>
                <w:sz w:val="21"/>
                <w:szCs w:val="21"/>
              </w:rPr>
            </w:pPr>
            <w:r>
              <w:rPr>
                <w:rFonts w:ascii="Times New Roman" w:cs="Times New Roman"/>
                <w:b/>
                <w:sz w:val="21"/>
                <w:szCs w:val="21"/>
              </w:rPr>
              <w:t>距离（</w:t>
            </w:r>
            <w:r>
              <w:rPr>
                <w:rFonts w:ascii="Times New Roman" w:cs="Times New Roman"/>
                <w:b/>
                <w:sz w:val="21"/>
                <w:szCs w:val="21"/>
              </w:rPr>
              <w:t>m</w:t>
            </w:r>
            <w:r>
              <w:rPr>
                <w:rFonts w:ascii="Times New Roman" w:cs="Times New Roman"/>
                <w:b/>
                <w:sz w:val="21"/>
                <w:szCs w:val="21"/>
              </w:rPr>
              <w:t>）</w:t>
            </w:r>
          </w:p>
        </w:tc>
        <w:tc>
          <w:tcPr>
            <w:tcW w:w="1204" w:type="pct"/>
            <w:vMerge/>
            <w:tcBorders>
              <w:left w:val="single" w:sz="2" w:space="0" w:color="auto"/>
              <w:bottom w:val="single" w:sz="4" w:space="0" w:color="000000"/>
              <w:right w:val="nil"/>
            </w:tcBorders>
            <w:vAlign w:val="center"/>
          </w:tcPr>
          <w:p w:rsidR="00BD5820" w:rsidRDefault="00BD5820">
            <w:pPr>
              <w:spacing w:line="240" w:lineRule="auto"/>
              <w:ind w:firstLineChars="0" w:firstLine="0"/>
              <w:jc w:val="center"/>
              <w:rPr>
                <w:rFonts w:ascii="Times New Roman" w:cs="Times New Roman"/>
                <w:b/>
                <w:sz w:val="21"/>
                <w:szCs w:val="21"/>
              </w:rPr>
            </w:pPr>
          </w:p>
        </w:tc>
        <w:tc>
          <w:tcPr>
            <w:tcW w:w="1306" w:type="pct"/>
            <w:vMerge/>
            <w:tcBorders>
              <w:left w:val="single" w:sz="2" w:space="0" w:color="auto"/>
              <w:bottom w:val="single" w:sz="4" w:space="0" w:color="000000"/>
              <w:right w:val="nil"/>
            </w:tcBorders>
            <w:vAlign w:val="center"/>
          </w:tcPr>
          <w:p w:rsidR="00BD5820" w:rsidRDefault="00BD5820">
            <w:pPr>
              <w:spacing w:line="240" w:lineRule="auto"/>
              <w:ind w:firstLineChars="0" w:firstLine="0"/>
              <w:jc w:val="center"/>
              <w:rPr>
                <w:rFonts w:ascii="Times New Roman" w:cs="Times New Roman"/>
                <w:b/>
                <w:sz w:val="21"/>
                <w:szCs w:val="21"/>
              </w:rPr>
            </w:pPr>
          </w:p>
        </w:tc>
      </w:tr>
      <w:tr w:rsidR="00BD5820">
        <w:trPr>
          <w:trHeight w:val="1419"/>
          <w:jc w:val="center"/>
        </w:trPr>
        <w:tc>
          <w:tcPr>
            <w:tcW w:w="187" w:type="pct"/>
            <w:tcBorders>
              <w:top w:val="single" w:sz="4" w:space="0" w:color="000000"/>
              <w:left w:val="nil"/>
              <w:bottom w:val="single" w:sz="4" w:space="0" w:color="000000"/>
              <w:right w:val="single" w:sz="4"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1</w:t>
            </w:r>
          </w:p>
        </w:tc>
        <w:tc>
          <w:tcPr>
            <w:tcW w:w="274" w:type="pct"/>
            <w:tcBorders>
              <w:top w:val="single" w:sz="4" w:space="0" w:color="000000"/>
              <w:left w:val="single" w:sz="4" w:space="0" w:color="000000"/>
              <w:bottom w:val="single" w:sz="4" w:space="0" w:color="000000"/>
              <w:right w:val="single" w:sz="4" w:space="0" w:color="000000"/>
            </w:tcBorders>
            <w:vAlign w:val="center"/>
          </w:tcPr>
          <w:p w:rsidR="00BD5820" w:rsidRPr="00D82054" w:rsidRDefault="00F64314">
            <w:pPr>
              <w:spacing w:line="240" w:lineRule="auto"/>
              <w:ind w:firstLineChars="0" w:firstLine="0"/>
              <w:jc w:val="center"/>
              <w:rPr>
                <w:rFonts w:ascii="Times New Roman" w:cs="Times New Roman"/>
                <w:color w:val="FF0000"/>
                <w:sz w:val="21"/>
                <w:szCs w:val="21"/>
              </w:rPr>
            </w:pPr>
            <w:r w:rsidRPr="00D82054">
              <w:rPr>
                <w:rFonts w:ascii="Times New Roman" w:cs="Times New Roman" w:hint="eastAsia"/>
                <w:color w:val="FF0000"/>
                <w:sz w:val="21"/>
                <w:szCs w:val="21"/>
              </w:rPr>
              <w:t>北斗村</w:t>
            </w:r>
            <w:r w:rsidRPr="00D82054">
              <w:rPr>
                <w:rFonts w:ascii="Times New Roman" w:cs="Times New Roman"/>
                <w:color w:val="FF0000"/>
                <w:sz w:val="21"/>
                <w:szCs w:val="21"/>
              </w:rPr>
              <w:t>农户</w:t>
            </w:r>
            <w:r w:rsidRPr="00D82054">
              <w:rPr>
                <w:rFonts w:ascii="Times New Roman" w:cs="Times New Roman" w:hint="eastAsia"/>
                <w:color w:val="FF0000"/>
                <w:sz w:val="21"/>
                <w:szCs w:val="21"/>
              </w:rPr>
              <w:t>1#</w:t>
            </w:r>
          </w:p>
        </w:tc>
        <w:tc>
          <w:tcPr>
            <w:tcW w:w="270" w:type="pct"/>
            <w:tcBorders>
              <w:top w:val="single" w:sz="4" w:space="0" w:color="000000"/>
              <w:left w:val="single" w:sz="4" w:space="0" w:color="000000"/>
              <w:bottom w:val="single" w:sz="4" w:space="0" w:color="000000"/>
              <w:right w:val="single" w:sz="2" w:space="0" w:color="auto"/>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107.794219</w:t>
            </w:r>
          </w:p>
        </w:tc>
        <w:tc>
          <w:tcPr>
            <w:tcW w:w="325" w:type="pct"/>
            <w:tcBorders>
              <w:top w:val="single" w:sz="4" w:space="0" w:color="000000"/>
              <w:left w:val="single" w:sz="2" w:space="0" w:color="auto"/>
              <w:bottom w:val="single" w:sz="4" w:space="0" w:color="000000"/>
              <w:right w:val="single" w:sz="4"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31.53820</w:t>
            </w:r>
            <w:r>
              <w:rPr>
                <w:rFonts w:ascii="Times New Roman" w:cs="Times New Roman" w:hint="eastAsia"/>
                <w:sz w:val="21"/>
                <w:szCs w:val="21"/>
              </w:rPr>
              <w:t>5</w:t>
            </w:r>
          </w:p>
        </w:tc>
        <w:tc>
          <w:tcPr>
            <w:tcW w:w="278" w:type="pct"/>
            <w:tcBorders>
              <w:top w:val="single" w:sz="4" w:space="0" w:color="000000"/>
              <w:left w:val="single" w:sz="4" w:space="0" w:color="000000"/>
              <w:bottom w:val="single" w:sz="4" w:space="0" w:color="000000"/>
              <w:right w:val="single" w:sz="2" w:space="0" w:color="auto"/>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267" w:type="pct"/>
            <w:tcBorders>
              <w:top w:val="single" w:sz="4" w:space="0" w:color="000000"/>
              <w:left w:val="single" w:sz="2" w:space="0" w:color="auto"/>
              <w:bottom w:val="single" w:sz="4" w:space="0" w:color="000000"/>
              <w:right w:val="single" w:sz="2" w:space="0" w:color="auto"/>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4</w:t>
            </w:r>
            <w:r>
              <w:rPr>
                <w:rFonts w:ascii="Times New Roman" w:cs="Times New Roman"/>
                <w:sz w:val="21"/>
                <w:szCs w:val="21"/>
              </w:rPr>
              <w:t>户</w:t>
            </w:r>
            <w:r>
              <w:rPr>
                <w:rFonts w:ascii="Times New Roman" w:cs="Times New Roman" w:hint="eastAsia"/>
                <w:sz w:val="21"/>
                <w:szCs w:val="21"/>
              </w:rPr>
              <w:t>20</w:t>
            </w:r>
            <w:r>
              <w:rPr>
                <w:rFonts w:ascii="Times New Roman" w:cs="Times New Roman"/>
                <w:sz w:val="21"/>
                <w:szCs w:val="21"/>
              </w:rPr>
              <w:t>人</w:t>
            </w:r>
          </w:p>
        </w:tc>
        <w:tc>
          <w:tcPr>
            <w:tcW w:w="244" w:type="pct"/>
            <w:tcBorders>
              <w:top w:val="single" w:sz="4" w:space="0" w:color="000000"/>
              <w:left w:val="single" w:sz="2" w:space="0" w:color="auto"/>
              <w:bottom w:val="single" w:sz="4" w:space="0" w:color="000000"/>
              <w:right w:val="single" w:sz="4"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二类</w:t>
            </w:r>
          </w:p>
        </w:tc>
        <w:tc>
          <w:tcPr>
            <w:tcW w:w="226" w:type="pct"/>
            <w:tcBorders>
              <w:top w:val="single" w:sz="4" w:space="0" w:color="000000"/>
              <w:left w:val="single" w:sz="4" w:space="0" w:color="000000"/>
              <w:bottom w:val="single" w:sz="4" w:space="0" w:color="000000"/>
              <w:right w:val="single" w:sz="2" w:space="0" w:color="auto"/>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左侧</w:t>
            </w:r>
          </w:p>
        </w:tc>
        <w:tc>
          <w:tcPr>
            <w:tcW w:w="419" w:type="pct"/>
            <w:tcBorders>
              <w:top w:val="single" w:sz="4" w:space="0" w:color="000000"/>
              <w:left w:val="single" w:sz="2" w:space="0" w:color="auto"/>
              <w:bottom w:val="single" w:sz="4" w:space="0" w:color="000000"/>
              <w:right w:val="single" w:sz="4"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80</w:t>
            </w:r>
            <w:r>
              <w:rPr>
                <w:rFonts w:ascii="Times New Roman" w:cs="Times New Roman"/>
                <w:sz w:val="21"/>
                <w:szCs w:val="21"/>
              </w:rPr>
              <w:t>~</w:t>
            </w:r>
            <w:r>
              <w:rPr>
                <w:rFonts w:ascii="Times New Roman" w:cs="Times New Roman" w:hint="eastAsia"/>
                <w:sz w:val="21"/>
                <w:szCs w:val="21"/>
              </w:rPr>
              <w:t>19</w:t>
            </w:r>
            <w:r>
              <w:rPr>
                <w:rFonts w:ascii="Times New Roman" w:cs="Times New Roman"/>
                <w:sz w:val="21"/>
                <w:szCs w:val="21"/>
              </w:rPr>
              <w:t>0</w:t>
            </w:r>
          </w:p>
        </w:tc>
        <w:tc>
          <w:tcPr>
            <w:tcW w:w="1204" w:type="pct"/>
            <w:tcBorders>
              <w:top w:val="single" w:sz="4" w:space="0" w:color="000000"/>
              <w:left w:val="single" w:sz="2" w:space="0" w:color="auto"/>
              <w:bottom w:val="single" w:sz="4"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noProof/>
                <w:sz w:val="21"/>
                <w:szCs w:val="21"/>
              </w:rPr>
              <w:drawing>
                <wp:inline distT="0" distB="0" distL="0" distR="0">
                  <wp:extent cx="2199640" cy="1819910"/>
                  <wp:effectExtent l="19050" t="0" r="0" b="0"/>
                  <wp:docPr id="9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18"/>
                          <pic:cNvPicPr>
                            <a:picLocks noChangeAspect="1" noChangeArrowheads="1"/>
                          </pic:cNvPicPr>
                        </pic:nvPicPr>
                        <pic:blipFill>
                          <a:blip r:embed="rId25"/>
                          <a:srcRect/>
                          <a:stretch>
                            <a:fillRect/>
                          </a:stretch>
                        </pic:blipFill>
                        <pic:spPr>
                          <a:xfrm>
                            <a:off x="0" y="0"/>
                            <a:ext cx="2199640" cy="1819910"/>
                          </a:xfrm>
                          <a:prstGeom prst="rect">
                            <a:avLst/>
                          </a:prstGeom>
                          <a:noFill/>
                          <a:ln w="9525">
                            <a:noFill/>
                            <a:miter lim="800000"/>
                            <a:headEnd/>
                            <a:tailEnd/>
                          </a:ln>
                        </pic:spPr>
                      </pic:pic>
                    </a:graphicData>
                  </a:graphic>
                </wp:inline>
              </w:drawing>
            </w:r>
          </w:p>
        </w:tc>
        <w:tc>
          <w:tcPr>
            <w:tcW w:w="1306" w:type="pct"/>
            <w:tcBorders>
              <w:top w:val="single" w:sz="4" w:space="0" w:color="000000"/>
              <w:left w:val="single" w:sz="2" w:space="0" w:color="auto"/>
              <w:bottom w:val="single" w:sz="4"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noProof/>
                <w:sz w:val="21"/>
                <w:szCs w:val="21"/>
              </w:rPr>
              <w:drawing>
                <wp:inline distT="0" distB="0" distL="0" distR="0">
                  <wp:extent cx="2254250" cy="1750695"/>
                  <wp:effectExtent l="19050" t="0" r="0" b="0"/>
                  <wp:docPr id="549" name="图片 33" descr="C:\Users\HUANG\AppData\Local\Temp\WeChat Files\9cf68a6f7b92b787932192f58504a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图片 33" descr="C:\Users\HUANG\AppData\Local\Temp\WeChat Files\9cf68a6f7b92b787932192f58504a43.jpg"/>
                          <pic:cNvPicPr>
                            <a:picLocks noChangeAspect="1" noChangeArrowheads="1"/>
                          </pic:cNvPicPr>
                        </pic:nvPicPr>
                        <pic:blipFill>
                          <a:blip r:embed="rId26" cstate="print"/>
                          <a:srcRect/>
                          <a:stretch>
                            <a:fillRect/>
                          </a:stretch>
                        </pic:blipFill>
                        <pic:spPr>
                          <a:xfrm>
                            <a:off x="0" y="0"/>
                            <a:ext cx="2254293" cy="1751162"/>
                          </a:xfrm>
                          <a:prstGeom prst="rect">
                            <a:avLst/>
                          </a:prstGeom>
                          <a:noFill/>
                          <a:ln w="9525">
                            <a:noFill/>
                            <a:miter lim="800000"/>
                            <a:headEnd/>
                            <a:tailEnd/>
                          </a:ln>
                        </pic:spPr>
                      </pic:pic>
                    </a:graphicData>
                  </a:graphic>
                </wp:inline>
              </w:drawing>
            </w:r>
          </w:p>
        </w:tc>
      </w:tr>
      <w:tr w:rsidR="00BD5820">
        <w:trPr>
          <w:trHeight w:val="1419"/>
          <w:jc w:val="center"/>
        </w:trPr>
        <w:tc>
          <w:tcPr>
            <w:tcW w:w="187" w:type="pct"/>
            <w:tcBorders>
              <w:top w:val="single" w:sz="4" w:space="0" w:color="000000"/>
              <w:left w:val="nil"/>
              <w:bottom w:val="single" w:sz="4" w:space="0" w:color="000000"/>
              <w:right w:val="single" w:sz="4"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w:t>
            </w:r>
          </w:p>
        </w:tc>
        <w:tc>
          <w:tcPr>
            <w:tcW w:w="274" w:type="pct"/>
            <w:tcBorders>
              <w:top w:val="single" w:sz="4" w:space="0" w:color="000000"/>
              <w:left w:val="single" w:sz="4" w:space="0" w:color="000000"/>
              <w:bottom w:val="single" w:sz="4" w:space="0" w:color="000000"/>
              <w:right w:val="single" w:sz="4" w:space="0" w:color="000000"/>
            </w:tcBorders>
            <w:vAlign w:val="center"/>
          </w:tcPr>
          <w:p w:rsidR="00BD5820" w:rsidRPr="00D82054" w:rsidRDefault="00F64314">
            <w:pPr>
              <w:spacing w:line="240" w:lineRule="auto"/>
              <w:ind w:firstLineChars="0" w:firstLine="0"/>
              <w:jc w:val="center"/>
              <w:rPr>
                <w:rFonts w:ascii="Times New Roman" w:cs="Times New Roman"/>
                <w:color w:val="FF0000"/>
                <w:sz w:val="21"/>
                <w:szCs w:val="21"/>
              </w:rPr>
            </w:pPr>
            <w:r w:rsidRPr="00D82054">
              <w:rPr>
                <w:rFonts w:ascii="Times New Roman" w:cs="Times New Roman" w:hint="eastAsia"/>
                <w:color w:val="FF0000"/>
                <w:sz w:val="21"/>
                <w:szCs w:val="21"/>
              </w:rPr>
              <w:t>北斗村</w:t>
            </w:r>
            <w:r w:rsidRPr="00D82054">
              <w:rPr>
                <w:rFonts w:ascii="Times New Roman" w:cs="Times New Roman"/>
                <w:color w:val="FF0000"/>
                <w:sz w:val="21"/>
                <w:szCs w:val="21"/>
              </w:rPr>
              <w:t>农户</w:t>
            </w:r>
            <w:r w:rsidRPr="00D82054">
              <w:rPr>
                <w:rFonts w:ascii="Times New Roman" w:cs="Times New Roman" w:hint="eastAsia"/>
                <w:color w:val="FF0000"/>
                <w:sz w:val="21"/>
                <w:szCs w:val="21"/>
              </w:rPr>
              <w:t>2#</w:t>
            </w:r>
          </w:p>
        </w:tc>
        <w:tc>
          <w:tcPr>
            <w:tcW w:w="270" w:type="pct"/>
            <w:tcBorders>
              <w:top w:val="single" w:sz="4" w:space="0" w:color="000000"/>
              <w:left w:val="single" w:sz="4" w:space="0" w:color="000000"/>
              <w:bottom w:val="single" w:sz="4" w:space="0" w:color="000000"/>
              <w:right w:val="single" w:sz="2" w:space="0" w:color="auto"/>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107.797014</w:t>
            </w:r>
          </w:p>
        </w:tc>
        <w:tc>
          <w:tcPr>
            <w:tcW w:w="325" w:type="pct"/>
            <w:tcBorders>
              <w:top w:val="single" w:sz="4" w:space="0" w:color="000000"/>
              <w:left w:val="single" w:sz="2" w:space="0" w:color="auto"/>
              <w:bottom w:val="single" w:sz="4" w:space="0" w:color="000000"/>
              <w:right w:val="single" w:sz="4"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31.53899</w:t>
            </w:r>
            <w:r>
              <w:rPr>
                <w:rFonts w:ascii="Times New Roman" w:cs="Times New Roman" w:hint="eastAsia"/>
                <w:sz w:val="21"/>
                <w:szCs w:val="21"/>
              </w:rPr>
              <w:t>6</w:t>
            </w:r>
          </w:p>
        </w:tc>
        <w:tc>
          <w:tcPr>
            <w:tcW w:w="278" w:type="pct"/>
            <w:tcBorders>
              <w:top w:val="single" w:sz="4" w:space="0" w:color="000000"/>
              <w:left w:val="single" w:sz="4" w:space="0" w:color="000000"/>
              <w:bottom w:val="single" w:sz="4" w:space="0" w:color="000000"/>
              <w:right w:val="single" w:sz="2" w:space="0" w:color="auto"/>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267" w:type="pct"/>
            <w:tcBorders>
              <w:top w:val="single" w:sz="4" w:space="0" w:color="000000"/>
              <w:left w:val="single" w:sz="2" w:space="0" w:color="auto"/>
              <w:bottom w:val="single" w:sz="4" w:space="0" w:color="000000"/>
              <w:right w:val="single" w:sz="2" w:space="0" w:color="auto"/>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12</w:t>
            </w:r>
            <w:r>
              <w:rPr>
                <w:rFonts w:ascii="Times New Roman" w:cs="Times New Roman"/>
                <w:sz w:val="21"/>
                <w:szCs w:val="21"/>
              </w:rPr>
              <w:t>户</w:t>
            </w:r>
            <w:r>
              <w:rPr>
                <w:rFonts w:ascii="Times New Roman" w:cs="Times New Roman" w:hint="eastAsia"/>
                <w:sz w:val="21"/>
                <w:szCs w:val="21"/>
              </w:rPr>
              <w:t>49</w:t>
            </w:r>
            <w:r>
              <w:rPr>
                <w:rFonts w:ascii="Times New Roman" w:cs="Times New Roman"/>
                <w:sz w:val="21"/>
                <w:szCs w:val="21"/>
              </w:rPr>
              <w:t>人</w:t>
            </w:r>
          </w:p>
        </w:tc>
        <w:tc>
          <w:tcPr>
            <w:tcW w:w="244" w:type="pct"/>
            <w:tcBorders>
              <w:top w:val="single" w:sz="4" w:space="0" w:color="000000"/>
              <w:left w:val="single" w:sz="2" w:space="0" w:color="auto"/>
              <w:bottom w:val="single" w:sz="4" w:space="0" w:color="000000"/>
              <w:right w:val="single" w:sz="4"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二类</w:t>
            </w:r>
          </w:p>
        </w:tc>
        <w:tc>
          <w:tcPr>
            <w:tcW w:w="226" w:type="pct"/>
            <w:tcBorders>
              <w:top w:val="single" w:sz="4" w:space="0" w:color="000000"/>
              <w:left w:val="single" w:sz="4" w:space="0" w:color="000000"/>
              <w:bottom w:val="single" w:sz="4" w:space="0" w:color="000000"/>
              <w:right w:val="single" w:sz="2" w:space="0" w:color="auto"/>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左侧</w:t>
            </w:r>
          </w:p>
        </w:tc>
        <w:tc>
          <w:tcPr>
            <w:tcW w:w="419" w:type="pct"/>
            <w:tcBorders>
              <w:top w:val="single" w:sz="4" w:space="0" w:color="000000"/>
              <w:left w:val="single" w:sz="2" w:space="0" w:color="auto"/>
              <w:bottom w:val="single" w:sz="4" w:space="0" w:color="000000"/>
              <w:right w:val="single" w:sz="4"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75</w:t>
            </w:r>
            <w:r>
              <w:rPr>
                <w:rFonts w:ascii="Times New Roman" w:cs="Times New Roman"/>
                <w:sz w:val="21"/>
                <w:szCs w:val="21"/>
              </w:rPr>
              <w:t>~</w:t>
            </w:r>
            <w:r>
              <w:rPr>
                <w:rFonts w:ascii="Times New Roman" w:cs="Times New Roman" w:hint="eastAsia"/>
                <w:sz w:val="21"/>
                <w:szCs w:val="21"/>
              </w:rPr>
              <w:t>17</w:t>
            </w:r>
            <w:r>
              <w:rPr>
                <w:rFonts w:ascii="Times New Roman" w:cs="Times New Roman"/>
                <w:sz w:val="21"/>
                <w:szCs w:val="21"/>
              </w:rPr>
              <w:t>0</w:t>
            </w:r>
          </w:p>
        </w:tc>
        <w:tc>
          <w:tcPr>
            <w:tcW w:w="1204" w:type="pct"/>
            <w:tcBorders>
              <w:top w:val="single" w:sz="4" w:space="0" w:color="000000"/>
              <w:left w:val="single" w:sz="2" w:space="0" w:color="auto"/>
              <w:bottom w:val="single" w:sz="4"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noProof/>
                <w:sz w:val="21"/>
                <w:szCs w:val="21"/>
              </w:rPr>
              <w:drawing>
                <wp:inline distT="0" distB="0" distL="0" distR="0">
                  <wp:extent cx="2199640" cy="1819910"/>
                  <wp:effectExtent l="19050" t="0" r="0" b="0"/>
                  <wp:docPr id="94"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21"/>
                          <pic:cNvPicPr>
                            <a:picLocks noChangeAspect="1" noChangeArrowheads="1"/>
                          </pic:cNvPicPr>
                        </pic:nvPicPr>
                        <pic:blipFill>
                          <a:blip r:embed="rId27" cstate="print"/>
                          <a:srcRect/>
                          <a:stretch>
                            <a:fillRect/>
                          </a:stretch>
                        </pic:blipFill>
                        <pic:spPr>
                          <a:xfrm>
                            <a:off x="0" y="0"/>
                            <a:ext cx="2199640" cy="1819910"/>
                          </a:xfrm>
                          <a:prstGeom prst="rect">
                            <a:avLst/>
                          </a:prstGeom>
                          <a:noFill/>
                          <a:ln w="9525">
                            <a:noFill/>
                            <a:miter lim="800000"/>
                            <a:headEnd/>
                            <a:tailEnd/>
                          </a:ln>
                        </pic:spPr>
                      </pic:pic>
                    </a:graphicData>
                  </a:graphic>
                </wp:inline>
              </w:drawing>
            </w:r>
          </w:p>
        </w:tc>
        <w:tc>
          <w:tcPr>
            <w:tcW w:w="1306" w:type="pct"/>
            <w:tcBorders>
              <w:top w:val="single" w:sz="4" w:space="0" w:color="000000"/>
              <w:left w:val="single" w:sz="2" w:space="0" w:color="auto"/>
              <w:bottom w:val="single" w:sz="4"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noProof/>
                <w:sz w:val="21"/>
                <w:szCs w:val="21"/>
              </w:rPr>
              <w:drawing>
                <wp:inline distT="0" distB="0" distL="0" distR="0">
                  <wp:extent cx="2292350" cy="1719580"/>
                  <wp:effectExtent l="19050" t="0" r="0" b="0"/>
                  <wp:docPr id="550" name="图片 34" descr="C:\Users\HUANG\AppData\Local\Temp\WeChat Files\2b3bab52a749ca58a776eb0a4fa90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图片 34" descr="C:\Users\HUANG\AppData\Local\Temp\WeChat Files\2b3bab52a749ca58a776eb0a4fa90a1.jpg"/>
                          <pic:cNvPicPr>
                            <a:picLocks noChangeAspect="1" noChangeArrowheads="1"/>
                          </pic:cNvPicPr>
                        </pic:nvPicPr>
                        <pic:blipFill>
                          <a:blip r:embed="rId28" cstate="print"/>
                          <a:srcRect/>
                          <a:stretch>
                            <a:fillRect/>
                          </a:stretch>
                        </pic:blipFill>
                        <pic:spPr>
                          <a:xfrm>
                            <a:off x="0" y="0"/>
                            <a:ext cx="2294020" cy="1720572"/>
                          </a:xfrm>
                          <a:prstGeom prst="rect">
                            <a:avLst/>
                          </a:prstGeom>
                          <a:noFill/>
                          <a:ln w="9525">
                            <a:noFill/>
                            <a:miter lim="800000"/>
                            <a:headEnd/>
                            <a:tailEnd/>
                          </a:ln>
                        </pic:spPr>
                      </pic:pic>
                    </a:graphicData>
                  </a:graphic>
                </wp:inline>
              </w:drawing>
            </w:r>
          </w:p>
        </w:tc>
      </w:tr>
      <w:tr w:rsidR="00BD5820">
        <w:trPr>
          <w:trHeight w:val="1419"/>
          <w:jc w:val="center"/>
        </w:trPr>
        <w:tc>
          <w:tcPr>
            <w:tcW w:w="187" w:type="pct"/>
            <w:tcBorders>
              <w:top w:val="single" w:sz="4" w:space="0" w:color="000000"/>
              <w:left w:val="nil"/>
              <w:bottom w:val="single" w:sz="4" w:space="0" w:color="000000"/>
              <w:right w:val="single" w:sz="4"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lastRenderedPageBreak/>
              <w:t>3</w:t>
            </w:r>
          </w:p>
        </w:tc>
        <w:tc>
          <w:tcPr>
            <w:tcW w:w="274" w:type="pct"/>
            <w:tcBorders>
              <w:top w:val="single" w:sz="4" w:space="0" w:color="000000"/>
              <w:left w:val="single" w:sz="4" w:space="0" w:color="000000"/>
              <w:bottom w:val="single" w:sz="4" w:space="0" w:color="000000"/>
              <w:right w:val="single" w:sz="4" w:space="0" w:color="000000"/>
            </w:tcBorders>
            <w:vAlign w:val="center"/>
          </w:tcPr>
          <w:p w:rsidR="00BD5820" w:rsidRDefault="00024A17">
            <w:pPr>
              <w:spacing w:line="240" w:lineRule="auto"/>
              <w:ind w:firstLineChars="0" w:firstLine="0"/>
              <w:jc w:val="center"/>
              <w:rPr>
                <w:rFonts w:ascii="Times New Roman" w:cs="Times New Roman"/>
                <w:sz w:val="21"/>
                <w:szCs w:val="21"/>
              </w:rPr>
            </w:pPr>
            <w:r>
              <w:rPr>
                <w:rFonts w:ascii="Times New Roman" w:cs="Times New Roman" w:hint="eastAsia"/>
                <w:sz w:val="21"/>
                <w:szCs w:val="21"/>
              </w:rPr>
              <w:t>干</w:t>
            </w:r>
            <w:r w:rsidR="00F64314">
              <w:rPr>
                <w:rFonts w:ascii="Times New Roman" w:cs="Times New Roman" w:hint="eastAsia"/>
                <w:sz w:val="21"/>
                <w:szCs w:val="21"/>
              </w:rPr>
              <w:t>河沟农户</w:t>
            </w:r>
            <w:r w:rsidR="00F64314">
              <w:rPr>
                <w:rFonts w:ascii="Times New Roman" w:cs="Times New Roman" w:hint="eastAsia"/>
                <w:sz w:val="21"/>
                <w:szCs w:val="21"/>
              </w:rPr>
              <w:t>60#</w:t>
            </w:r>
          </w:p>
        </w:tc>
        <w:tc>
          <w:tcPr>
            <w:tcW w:w="270" w:type="pct"/>
            <w:tcBorders>
              <w:top w:val="single" w:sz="4" w:space="0" w:color="000000"/>
              <w:left w:val="single" w:sz="4" w:space="0" w:color="000000"/>
              <w:bottom w:val="single" w:sz="4" w:space="0" w:color="000000"/>
              <w:right w:val="single" w:sz="2" w:space="0" w:color="auto"/>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107.795448</w:t>
            </w:r>
          </w:p>
        </w:tc>
        <w:tc>
          <w:tcPr>
            <w:tcW w:w="325" w:type="pct"/>
            <w:tcBorders>
              <w:top w:val="single" w:sz="4" w:space="0" w:color="000000"/>
              <w:left w:val="single" w:sz="2" w:space="0" w:color="auto"/>
              <w:bottom w:val="single" w:sz="4" w:space="0" w:color="000000"/>
              <w:right w:val="single" w:sz="4"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31.541894</w:t>
            </w:r>
          </w:p>
        </w:tc>
        <w:tc>
          <w:tcPr>
            <w:tcW w:w="278" w:type="pct"/>
            <w:tcBorders>
              <w:top w:val="single" w:sz="4" w:space="0" w:color="000000"/>
              <w:left w:val="single" w:sz="4" w:space="0" w:color="000000"/>
              <w:bottom w:val="single" w:sz="4" w:space="0" w:color="000000"/>
              <w:right w:val="single" w:sz="2" w:space="0" w:color="auto"/>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267" w:type="pct"/>
            <w:tcBorders>
              <w:top w:val="single" w:sz="4" w:space="0" w:color="000000"/>
              <w:left w:val="single" w:sz="2" w:space="0" w:color="auto"/>
              <w:bottom w:val="single" w:sz="4" w:space="0" w:color="000000"/>
              <w:right w:val="single" w:sz="2" w:space="0" w:color="auto"/>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25</w:t>
            </w:r>
            <w:r>
              <w:rPr>
                <w:rFonts w:ascii="Times New Roman" w:cs="Times New Roman"/>
                <w:sz w:val="21"/>
                <w:szCs w:val="21"/>
              </w:rPr>
              <w:t>户</w:t>
            </w:r>
            <w:r>
              <w:rPr>
                <w:rFonts w:ascii="Times New Roman" w:cs="Times New Roman" w:hint="eastAsia"/>
                <w:sz w:val="21"/>
                <w:szCs w:val="21"/>
              </w:rPr>
              <w:t>75</w:t>
            </w:r>
            <w:r>
              <w:rPr>
                <w:rFonts w:ascii="Times New Roman" w:cs="Times New Roman"/>
                <w:sz w:val="21"/>
                <w:szCs w:val="21"/>
              </w:rPr>
              <w:t>人</w:t>
            </w:r>
          </w:p>
        </w:tc>
        <w:tc>
          <w:tcPr>
            <w:tcW w:w="244" w:type="pct"/>
            <w:tcBorders>
              <w:top w:val="single" w:sz="4" w:space="0" w:color="000000"/>
              <w:left w:val="single" w:sz="2" w:space="0" w:color="auto"/>
              <w:bottom w:val="single" w:sz="4" w:space="0" w:color="000000"/>
              <w:right w:val="single" w:sz="4"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二类</w:t>
            </w:r>
          </w:p>
        </w:tc>
        <w:tc>
          <w:tcPr>
            <w:tcW w:w="226" w:type="pct"/>
            <w:tcBorders>
              <w:top w:val="single" w:sz="4" w:space="0" w:color="000000"/>
              <w:left w:val="single" w:sz="4" w:space="0" w:color="000000"/>
              <w:bottom w:val="single" w:sz="4" w:space="0" w:color="000000"/>
              <w:right w:val="single" w:sz="2" w:space="0" w:color="auto"/>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右侧</w:t>
            </w:r>
          </w:p>
        </w:tc>
        <w:tc>
          <w:tcPr>
            <w:tcW w:w="419" w:type="pct"/>
            <w:tcBorders>
              <w:top w:val="single" w:sz="4" w:space="0" w:color="000000"/>
              <w:left w:val="single" w:sz="2" w:space="0" w:color="auto"/>
              <w:bottom w:val="single" w:sz="4" w:space="0" w:color="000000"/>
              <w:right w:val="single" w:sz="4"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140</w:t>
            </w:r>
            <w:r>
              <w:rPr>
                <w:rFonts w:ascii="Times New Roman" w:cs="Times New Roman"/>
                <w:sz w:val="21"/>
                <w:szCs w:val="21"/>
              </w:rPr>
              <w:t>~</w:t>
            </w:r>
            <w:r>
              <w:rPr>
                <w:rFonts w:ascii="Times New Roman" w:cs="Times New Roman" w:hint="eastAsia"/>
                <w:sz w:val="21"/>
                <w:szCs w:val="21"/>
              </w:rPr>
              <w:t>380</w:t>
            </w:r>
          </w:p>
        </w:tc>
        <w:tc>
          <w:tcPr>
            <w:tcW w:w="1204" w:type="pct"/>
            <w:tcBorders>
              <w:top w:val="single" w:sz="4" w:space="0" w:color="000000"/>
              <w:left w:val="single" w:sz="2" w:space="0" w:color="auto"/>
              <w:bottom w:val="single" w:sz="4"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noProof/>
                <w:sz w:val="21"/>
                <w:szCs w:val="21"/>
              </w:rPr>
              <w:drawing>
                <wp:inline distT="0" distB="0" distL="0" distR="0">
                  <wp:extent cx="2199640" cy="1819910"/>
                  <wp:effectExtent l="19050" t="0" r="0" b="0"/>
                  <wp:docPr id="9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24"/>
                          <pic:cNvPicPr>
                            <a:picLocks noChangeAspect="1" noChangeArrowheads="1"/>
                          </pic:cNvPicPr>
                        </pic:nvPicPr>
                        <pic:blipFill>
                          <a:blip r:embed="rId27" cstate="print"/>
                          <a:srcRect/>
                          <a:stretch>
                            <a:fillRect/>
                          </a:stretch>
                        </pic:blipFill>
                        <pic:spPr>
                          <a:xfrm>
                            <a:off x="0" y="0"/>
                            <a:ext cx="2199640" cy="1819910"/>
                          </a:xfrm>
                          <a:prstGeom prst="rect">
                            <a:avLst/>
                          </a:prstGeom>
                          <a:noFill/>
                          <a:ln w="9525">
                            <a:noFill/>
                            <a:miter lim="800000"/>
                            <a:headEnd/>
                            <a:tailEnd/>
                          </a:ln>
                        </pic:spPr>
                      </pic:pic>
                    </a:graphicData>
                  </a:graphic>
                </wp:inline>
              </w:drawing>
            </w:r>
          </w:p>
        </w:tc>
        <w:tc>
          <w:tcPr>
            <w:tcW w:w="1306" w:type="pct"/>
            <w:tcBorders>
              <w:top w:val="single" w:sz="4" w:space="0" w:color="000000"/>
              <w:left w:val="single" w:sz="2" w:space="0" w:color="auto"/>
              <w:bottom w:val="single" w:sz="4" w:space="0" w:color="000000"/>
              <w:right w:val="nil"/>
            </w:tcBorders>
            <w:vAlign w:val="center"/>
          </w:tcPr>
          <w:p w:rsidR="00BD5820" w:rsidRDefault="00F64314">
            <w:pPr>
              <w:spacing w:line="240" w:lineRule="auto"/>
              <w:ind w:firstLineChars="0" w:firstLine="0"/>
              <w:jc w:val="center"/>
              <w:rPr>
                <w:rFonts w:ascii="Times New Roman" w:cs="Times New Roman"/>
                <w:kern w:val="2"/>
                <w:sz w:val="21"/>
                <w:szCs w:val="21"/>
              </w:rPr>
            </w:pPr>
            <w:r>
              <w:rPr>
                <w:rFonts w:ascii="Times New Roman" w:cs="Times New Roman"/>
                <w:noProof/>
                <w:kern w:val="2"/>
                <w:sz w:val="21"/>
                <w:szCs w:val="21"/>
              </w:rPr>
              <w:drawing>
                <wp:inline distT="0" distB="0" distL="0" distR="0">
                  <wp:extent cx="2311400" cy="1733550"/>
                  <wp:effectExtent l="19050" t="0" r="0" b="0"/>
                  <wp:docPr id="551" name="图片 35" descr="C:\Users\HUANG\AppData\Local\Temp\WeChat Files\4fa257f0f4e98d7ab100abc43c23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图片 35" descr="C:\Users\HUANG\AppData\Local\Temp\WeChat Files\4fa257f0f4e98d7ab100abc43c23778.jpg"/>
                          <pic:cNvPicPr>
                            <a:picLocks noChangeAspect="1" noChangeArrowheads="1"/>
                          </pic:cNvPicPr>
                        </pic:nvPicPr>
                        <pic:blipFill>
                          <a:blip r:embed="rId29" cstate="print"/>
                          <a:srcRect/>
                          <a:stretch>
                            <a:fillRect/>
                          </a:stretch>
                        </pic:blipFill>
                        <pic:spPr>
                          <a:xfrm rot="10800000" flipV="1">
                            <a:off x="0" y="0"/>
                            <a:ext cx="2320964" cy="1740781"/>
                          </a:xfrm>
                          <a:prstGeom prst="rect">
                            <a:avLst/>
                          </a:prstGeom>
                          <a:noFill/>
                          <a:ln w="9525">
                            <a:noFill/>
                            <a:miter lim="800000"/>
                            <a:headEnd/>
                            <a:tailEnd/>
                          </a:ln>
                        </pic:spPr>
                      </pic:pic>
                    </a:graphicData>
                  </a:graphic>
                </wp:inline>
              </w:drawing>
            </w:r>
          </w:p>
        </w:tc>
      </w:tr>
      <w:tr w:rsidR="00BD5820">
        <w:trPr>
          <w:trHeight w:val="1419"/>
          <w:jc w:val="center"/>
        </w:trPr>
        <w:tc>
          <w:tcPr>
            <w:tcW w:w="187" w:type="pct"/>
            <w:tcBorders>
              <w:top w:val="single" w:sz="4" w:space="0" w:color="000000"/>
              <w:left w:val="nil"/>
              <w:bottom w:val="single" w:sz="4" w:space="0" w:color="000000"/>
              <w:right w:val="single" w:sz="4"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w:t>
            </w:r>
          </w:p>
        </w:tc>
        <w:tc>
          <w:tcPr>
            <w:tcW w:w="274" w:type="pct"/>
            <w:tcBorders>
              <w:top w:val="single" w:sz="4" w:space="0" w:color="000000"/>
              <w:left w:val="single" w:sz="4" w:space="0" w:color="000000"/>
              <w:bottom w:val="single" w:sz="4" w:space="0" w:color="000000"/>
              <w:right w:val="single" w:sz="4" w:space="0" w:color="000000"/>
            </w:tcBorders>
            <w:vAlign w:val="center"/>
          </w:tcPr>
          <w:p w:rsidR="00BD5820" w:rsidRPr="00D82054" w:rsidRDefault="00F64314">
            <w:pPr>
              <w:spacing w:line="240" w:lineRule="auto"/>
              <w:ind w:firstLineChars="0" w:firstLine="0"/>
              <w:jc w:val="center"/>
              <w:rPr>
                <w:rFonts w:ascii="Times New Roman" w:cs="Times New Roman"/>
                <w:color w:val="FF0000"/>
                <w:sz w:val="21"/>
                <w:szCs w:val="21"/>
              </w:rPr>
            </w:pPr>
            <w:r w:rsidRPr="00D82054">
              <w:rPr>
                <w:rFonts w:ascii="Times New Roman" w:cs="Times New Roman" w:hint="eastAsia"/>
                <w:color w:val="FF0000"/>
                <w:sz w:val="21"/>
                <w:szCs w:val="21"/>
              </w:rPr>
              <w:t>北斗村</w:t>
            </w:r>
            <w:r w:rsidRPr="00D82054">
              <w:rPr>
                <w:rFonts w:ascii="Times New Roman" w:cs="Times New Roman"/>
                <w:color w:val="FF0000"/>
                <w:sz w:val="21"/>
                <w:szCs w:val="21"/>
              </w:rPr>
              <w:t>农户</w:t>
            </w:r>
            <w:r w:rsidRPr="00D82054">
              <w:rPr>
                <w:rFonts w:ascii="Times New Roman" w:cs="Times New Roman" w:hint="eastAsia"/>
                <w:color w:val="FF0000"/>
                <w:sz w:val="21"/>
                <w:szCs w:val="21"/>
              </w:rPr>
              <w:t>61#</w:t>
            </w:r>
          </w:p>
        </w:tc>
        <w:tc>
          <w:tcPr>
            <w:tcW w:w="270" w:type="pct"/>
            <w:tcBorders>
              <w:top w:val="single" w:sz="4" w:space="0" w:color="000000"/>
              <w:left w:val="single" w:sz="4" w:space="0" w:color="000000"/>
              <w:bottom w:val="single" w:sz="4" w:space="0" w:color="000000"/>
              <w:right w:val="single" w:sz="2" w:space="0" w:color="auto"/>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107.799975</w:t>
            </w:r>
          </w:p>
        </w:tc>
        <w:tc>
          <w:tcPr>
            <w:tcW w:w="325" w:type="pct"/>
            <w:tcBorders>
              <w:top w:val="single" w:sz="4" w:space="0" w:color="000000"/>
              <w:left w:val="single" w:sz="2" w:space="0" w:color="auto"/>
              <w:bottom w:val="single" w:sz="4" w:space="0" w:color="000000"/>
              <w:right w:val="single" w:sz="4"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31.545954</w:t>
            </w:r>
          </w:p>
        </w:tc>
        <w:tc>
          <w:tcPr>
            <w:tcW w:w="278" w:type="pct"/>
            <w:tcBorders>
              <w:top w:val="single" w:sz="4" w:space="0" w:color="000000"/>
              <w:left w:val="single" w:sz="4" w:space="0" w:color="000000"/>
              <w:bottom w:val="single" w:sz="4" w:space="0" w:color="000000"/>
              <w:right w:val="single" w:sz="2" w:space="0" w:color="auto"/>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267" w:type="pct"/>
            <w:tcBorders>
              <w:top w:val="single" w:sz="4" w:space="0" w:color="000000"/>
              <w:left w:val="single" w:sz="2" w:space="0" w:color="auto"/>
              <w:bottom w:val="single" w:sz="4" w:space="0" w:color="000000"/>
              <w:right w:val="single" w:sz="2" w:space="0" w:color="auto"/>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15</w:t>
            </w:r>
            <w:r>
              <w:rPr>
                <w:rFonts w:ascii="Times New Roman" w:cs="Times New Roman"/>
                <w:sz w:val="21"/>
                <w:szCs w:val="21"/>
              </w:rPr>
              <w:t>户</w:t>
            </w:r>
            <w:r>
              <w:rPr>
                <w:rFonts w:ascii="Times New Roman" w:cs="Times New Roman" w:hint="eastAsia"/>
                <w:sz w:val="21"/>
                <w:szCs w:val="21"/>
              </w:rPr>
              <w:t>50</w:t>
            </w:r>
            <w:r>
              <w:rPr>
                <w:rFonts w:ascii="Times New Roman" w:cs="Times New Roman"/>
                <w:sz w:val="21"/>
                <w:szCs w:val="21"/>
              </w:rPr>
              <w:t>人</w:t>
            </w:r>
          </w:p>
        </w:tc>
        <w:tc>
          <w:tcPr>
            <w:tcW w:w="244" w:type="pct"/>
            <w:tcBorders>
              <w:top w:val="single" w:sz="4" w:space="0" w:color="000000"/>
              <w:left w:val="single" w:sz="2" w:space="0" w:color="auto"/>
              <w:bottom w:val="single" w:sz="4" w:space="0" w:color="000000"/>
              <w:right w:val="single" w:sz="4"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二类</w:t>
            </w:r>
          </w:p>
        </w:tc>
        <w:tc>
          <w:tcPr>
            <w:tcW w:w="226" w:type="pct"/>
            <w:tcBorders>
              <w:top w:val="single" w:sz="4" w:space="0" w:color="000000"/>
              <w:left w:val="single" w:sz="4" w:space="0" w:color="000000"/>
              <w:bottom w:val="single" w:sz="4" w:space="0" w:color="000000"/>
              <w:right w:val="single" w:sz="2" w:space="0" w:color="auto"/>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右</w:t>
            </w:r>
            <w:r>
              <w:rPr>
                <w:rFonts w:ascii="Times New Roman" w:cs="Times New Roman"/>
                <w:sz w:val="21"/>
                <w:szCs w:val="21"/>
              </w:rPr>
              <w:t>侧</w:t>
            </w:r>
          </w:p>
        </w:tc>
        <w:tc>
          <w:tcPr>
            <w:tcW w:w="419" w:type="pct"/>
            <w:tcBorders>
              <w:top w:val="single" w:sz="4" w:space="0" w:color="000000"/>
              <w:left w:val="single" w:sz="2" w:space="0" w:color="auto"/>
              <w:bottom w:val="single" w:sz="4" w:space="0" w:color="000000"/>
              <w:right w:val="single" w:sz="4"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180</w:t>
            </w:r>
            <w:r>
              <w:rPr>
                <w:rFonts w:ascii="Times New Roman" w:cs="Times New Roman"/>
                <w:sz w:val="21"/>
                <w:szCs w:val="21"/>
              </w:rPr>
              <w:t>~</w:t>
            </w:r>
            <w:r>
              <w:rPr>
                <w:rFonts w:ascii="Times New Roman" w:cs="Times New Roman" w:hint="eastAsia"/>
                <w:sz w:val="21"/>
                <w:szCs w:val="21"/>
              </w:rPr>
              <w:t>370</w:t>
            </w:r>
          </w:p>
        </w:tc>
        <w:tc>
          <w:tcPr>
            <w:tcW w:w="1204" w:type="pct"/>
            <w:tcBorders>
              <w:top w:val="single" w:sz="4" w:space="0" w:color="000000"/>
              <w:left w:val="single" w:sz="2" w:space="0" w:color="auto"/>
              <w:bottom w:val="single" w:sz="4"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noProof/>
                <w:sz w:val="21"/>
                <w:szCs w:val="21"/>
              </w:rPr>
              <w:drawing>
                <wp:inline distT="0" distB="0" distL="0" distR="0">
                  <wp:extent cx="2199640" cy="1819910"/>
                  <wp:effectExtent l="19050" t="0" r="0" b="0"/>
                  <wp:docPr id="544"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图片 27"/>
                          <pic:cNvPicPr>
                            <a:picLocks noChangeAspect="1" noChangeArrowheads="1"/>
                          </pic:cNvPicPr>
                        </pic:nvPicPr>
                        <pic:blipFill>
                          <a:blip r:embed="rId27" cstate="print"/>
                          <a:srcRect/>
                          <a:stretch>
                            <a:fillRect/>
                          </a:stretch>
                        </pic:blipFill>
                        <pic:spPr>
                          <a:xfrm>
                            <a:off x="0" y="0"/>
                            <a:ext cx="2199640" cy="1819910"/>
                          </a:xfrm>
                          <a:prstGeom prst="rect">
                            <a:avLst/>
                          </a:prstGeom>
                          <a:noFill/>
                          <a:ln w="9525">
                            <a:noFill/>
                            <a:miter lim="800000"/>
                            <a:headEnd/>
                            <a:tailEnd/>
                          </a:ln>
                        </pic:spPr>
                      </pic:pic>
                    </a:graphicData>
                  </a:graphic>
                </wp:inline>
              </w:drawing>
            </w:r>
          </w:p>
        </w:tc>
        <w:tc>
          <w:tcPr>
            <w:tcW w:w="1306" w:type="pct"/>
            <w:tcBorders>
              <w:top w:val="single" w:sz="4" w:space="0" w:color="000000"/>
              <w:left w:val="single" w:sz="2" w:space="0" w:color="auto"/>
              <w:bottom w:val="single" w:sz="4" w:space="0" w:color="000000"/>
              <w:right w:val="nil"/>
            </w:tcBorders>
            <w:vAlign w:val="center"/>
          </w:tcPr>
          <w:p w:rsidR="00BD5820" w:rsidRDefault="00F64314">
            <w:pPr>
              <w:spacing w:line="240" w:lineRule="auto"/>
              <w:ind w:firstLineChars="0" w:firstLine="0"/>
              <w:jc w:val="center"/>
              <w:rPr>
                <w:rFonts w:ascii="Times New Roman" w:cs="Times New Roman"/>
                <w:kern w:val="2"/>
                <w:sz w:val="21"/>
                <w:szCs w:val="21"/>
              </w:rPr>
            </w:pPr>
            <w:r>
              <w:rPr>
                <w:rFonts w:ascii="Times New Roman" w:cs="Times New Roman"/>
                <w:noProof/>
                <w:kern w:val="2"/>
                <w:sz w:val="21"/>
                <w:szCs w:val="21"/>
              </w:rPr>
              <w:drawing>
                <wp:inline distT="0" distB="0" distL="0" distR="0">
                  <wp:extent cx="2353310" cy="1765300"/>
                  <wp:effectExtent l="19050" t="0" r="8419" b="0"/>
                  <wp:docPr id="552" name="图片 36" descr="C:\Users\HUANG\AppData\Local\Temp\WeChat Files\e69a68db238b15746ea7ba731f76e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图片 36" descr="C:\Users\HUANG\AppData\Local\Temp\WeChat Files\e69a68db238b15746ea7ba731f76e4a.jpg"/>
                          <pic:cNvPicPr>
                            <a:picLocks noChangeAspect="1" noChangeArrowheads="1"/>
                          </pic:cNvPicPr>
                        </pic:nvPicPr>
                        <pic:blipFill>
                          <a:blip r:embed="rId30" cstate="print"/>
                          <a:srcRect/>
                          <a:stretch>
                            <a:fillRect/>
                          </a:stretch>
                        </pic:blipFill>
                        <pic:spPr>
                          <a:xfrm>
                            <a:off x="0" y="0"/>
                            <a:ext cx="2354170" cy="1765687"/>
                          </a:xfrm>
                          <a:prstGeom prst="rect">
                            <a:avLst/>
                          </a:prstGeom>
                          <a:noFill/>
                          <a:ln w="9525">
                            <a:noFill/>
                            <a:miter lim="800000"/>
                            <a:headEnd/>
                            <a:tailEnd/>
                          </a:ln>
                        </pic:spPr>
                      </pic:pic>
                    </a:graphicData>
                  </a:graphic>
                </wp:inline>
              </w:drawing>
            </w:r>
          </w:p>
        </w:tc>
      </w:tr>
      <w:tr w:rsidR="00BD5820">
        <w:trPr>
          <w:trHeight w:val="1419"/>
          <w:jc w:val="center"/>
        </w:trPr>
        <w:tc>
          <w:tcPr>
            <w:tcW w:w="187" w:type="pct"/>
            <w:tcBorders>
              <w:top w:val="single" w:sz="4" w:space="0" w:color="000000"/>
              <w:left w:val="nil"/>
              <w:bottom w:val="single" w:sz="4" w:space="0" w:color="000000"/>
              <w:right w:val="single" w:sz="4"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5</w:t>
            </w:r>
          </w:p>
        </w:tc>
        <w:tc>
          <w:tcPr>
            <w:tcW w:w="274" w:type="pct"/>
            <w:tcBorders>
              <w:top w:val="single" w:sz="4" w:space="0" w:color="000000"/>
              <w:left w:val="single" w:sz="4" w:space="0" w:color="000000"/>
              <w:bottom w:val="single" w:sz="4" w:space="0" w:color="000000"/>
              <w:right w:val="single" w:sz="4" w:space="0" w:color="000000"/>
            </w:tcBorders>
            <w:vAlign w:val="center"/>
          </w:tcPr>
          <w:p w:rsidR="00BD5820" w:rsidRDefault="00F64314">
            <w:pPr>
              <w:spacing w:line="240" w:lineRule="auto"/>
              <w:ind w:firstLineChars="0" w:firstLine="0"/>
              <w:jc w:val="center"/>
              <w:rPr>
                <w:rFonts w:hAnsi="宋体" w:cs="Times New Roman"/>
                <w:sz w:val="21"/>
                <w:szCs w:val="21"/>
              </w:rPr>
            </w:pPr>
            <w:r>
              <w:rPr>
                <w:rFonts w:ascii="Times New Roman" w:cs="Times New Roman" w:hint="eastAsia"/>
                <w:sz w:val="21"/>
                <w:szCs w:val="21"/>
              </w:rPr>
              <w:t>慈云寺</w:t>
            </w:r>
            <w:r>
              <w:rPr>
                <w:rFonts w:ascii="Times New Roman" w:cs="Times New Roman"/>
                <w:sz w:val="21"/>
                <w:szCs w:val="21"/>
              </w:rPr>
              <w:t>农户</w:t>
            </w:r>
            <w:r>
              <w:rPr>
                <w:rFonts w:ascii="Times New Roman" w:cs="Times New Roman" w:hint="eastAsia"/>
                <w:sz w:val="21"/>
                <w:szCs w:val="21"/>
              </w:rPr>
              <w:t>62#</w:t>
            </w:r>
          </w:p>
        </w:tc>
        <w:tc>
          <w:tcPr>
            <w:tcW w:w="270" w:type="pct"/>
            <w:tcBorders>
              <w:top w:val="single" w:sz="4" w:space="0" w:color="000000"/>
              <w:left w:val="single" w:sz="4" w:space="0" w:color="000000"/>
              <w:bottom w:val="single" w:sz="4" w:space="0" w:color="000000"/>
              <w:right w:val="single" w:sz="2" w:space="0" w:color="auto"/>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107.80461</w:t>
            </w:r>
            <w:r>
              <w:rPr>
                <w:rFonts w:ascii="Times New Roman" w:cs="Times New Roman" w:hint="eastAsia"/>
                <w:sz w:val="21"/>
                <w:szCs w:val="21"/>
              </w:rPr>
              <w:t>1</w:t>
            </w:r>
          </w:p>
        </w:tc>
        <w:tc>
          <w:tcPr>
            <w:tcW w:w="325" w:type="pct"/>
            <w:tcBorders>
              <w:top w:val="single" w:sz="4" w:space="0" w:color="000000"/>
              <w:left w:val="single" w:sz="2" w:space="0" w:color="auto"/>
              <w:bottom w:val="single" w:sz="4" w:space="0" w:color="000000"/>
              <w:right w:val="single" w:sz="4"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31.549913</w:t>
            </w:r>
          </w:p>
        </w:tc>
        <w:tc>
          <w:tcPr>
            <w:tcW w:w="278" w:type="pct"/>
            <w:tcBorders>
              <w:top w:val="single" w:sz="4" w:space="0" w:color="000000"/>
              <w:left w:val="single" w:sz="4" w:space="0" w:color="000000"/>
              <w:bottom w:val="single" w:sz="4" w:space="0" w:color="000000"/>
              <w:right w:val="single" w:sz="2" w:space="0" w:color="auto"/>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267" w:type="pct"/>
            <w:tcBorders>
              <w:top w:val="single" w:sz="4" w:space="0" w:color="000000"/>
              <w:left w:val="single" w:sz="2" w:space="0" w:color="auto"/>
              <w:bottom w:val="single" w:sz="4" w:space="0" w:color="000000"/>
              <w:right w:val="single" w:sz="2" w:space="0" w:color="auto"/>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20</w:t>
            </w:r>
            <w:r>
              <w:rPr>
                <w:rFonts w:ascii="Times New Roman" w:cs="Times New Roman"/>
                <w:sz w:val="21"/>
                <w:szCs w:val="21"/>
              </w:rPr>
              <w:t>户</w:t>
            </w:r>
            <w:r>
              <w:rPr>
                <w:rFonts w:ascii="Times New Roman" w:cs="Times New Roman" w:hint="eastAsia"/>
                <w:sz w:val="21"/>
                <w:szCs w:val="21"/>
              </w:rPr>
              <w:t>65</w:t>
            </w:r>
            <w:r>
              <w:rPr>
                <w:rFonts w:ascii="Times New Roman" w:cs="Times New Roman"/>
                <w:sz w:val="21"/>
                <w:szCs w:val="21"/>
              </w:rPr>
              <w:t>人</w:t>
            </w:r>
          </w:p>
        </w:tc>
        <w:tc>
          <w:tcPr>
            <w:tcW w:w="244" w:type="pct"/>
            <w:tcBorders>
              <w:top w:val="single" w:sz="4" w:space="0" w:color="000000"/>
              <w:left w:val="single" w:sz="2" w:space="0" w:color="auto"/>
              <w:bottom w:val="single" w:sz="4" w:space="0" w:color="000000"/>
              <w:right w:val="single" w:sz="4"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二类</w:t>
            </w:r>
          </w:p>
        </w:tc>
        <w:tc>
          <w:tcPr>
            <w:tcW w:w="226" w:type="pct"/>
            <w:tcBorders>
              <w:top w:val="single" w:sz="4" w:space="0" w:color="000000"/>
              <w:left w:val="single" w:sz="4" w:space="0" w:color="000000"/>
              <w:bottom w:val="single" w:sz="4" w:space="0" w:color="000000"/>
              <w:right w:val="single" w:sz="2" w:space="0" w:color="auto"/>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右</w:t>
            </w:r>
            <w:r>
              <w:rPr>
                <w:rFonts w:ascii="Times New Roman" w:cs="Times New Roman"/>
                <w:sz w:val="21"/>
                <w:szCs w:val="21"/>
              </w:rPr>
              <w:t>侧</w:t>
            </w:r>
          </w:p>
        </w:tc>
        <w:tc>
          <w:tcPr>
            <w:tcW w:w="419" w:type="pct"/>
            <w:tcBorders>
              <w:top w:val="single" w:sz="4" w:space="0" w:color="000000"/>
              <w:left w:val="single" w:sz="2" w:space="0" w:color="auto"/>
              <w:bottom w:val="single" w:sz="4" w:space="0" w:color="000000"/>
              <w:right w:val="single" w:sz="4"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80</w:t>
            </w:r>
            <w:r>
              <w:rPr>
                <w:rFonts w:ascii="Times New Roman" w:cs="Times New Roman"/>
                <w:sz w:val="21"/>
                <w:szCs w:val="21"/>
              </w:rPr>
              <w:t>~</w:t>
            </w:r>
            <w:r>
              <w:rPr>
                <w:rFonts w:ascii="Times New Roman" w:cs="Times New Roman" w:hint="eastAsia"/>
                <w:sz w:val="21"/>
                <w:szCs w:val="21"/>
              </w:rPr>
              <w:t>270</w:t>
            </w:r>
          </w:p>
        </w:tc>
        <w:tc>
          <w:tcPr>
            <w:tcW w:w="1204" w:type="pct"/>
            <w:tcBorders>
              <w:top w:val="single" w:sz="4" w:space="0" w:color="000000"/>
              <w:left w:val="single" w:sz="2" w:space="0" w:color="auto"/>
              <w:bottom w:val="single" w:sz="4"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noProof/>
                <w:sz w:val="21"/>
                <w:szCs w:val="21"/>
              </w:rPr>
              <w:drawing>
                <wp:inline distT="0" distB="0" distL="0" distR="0">
                  <wp:extent cx="2197735" cy="1802765"/>
                  <wp:effectExtent l="19050" t="0" r="0" b="0"/>
                  <wp:docPr id="54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图片 30"/>
                          <pic:cNvPicPr>
                            <a:picLocks noChangeAspect="1" noChangeArrowheads="1"/>
                          </pic:cNvPicPr>
                        </pic:nvPicPr>
                        <pic:blipFill>
                          <a:blip r:embed="rId31" cstate="print"/>
                          <a:srcRect/>
                          <a:stretch>
                            <a:fillRect/>
                          </a:stretch>
                        </pic:blipFill>
                        <pic:spPr>
                          <a:xfrm>
                            <a:off x="0" y="0"/>
                            <a:ext cx="2199640" cy="1804316"/>
                          </a:xfrm>
                          <a:prstGeom prst="rect">
                            <a:avLst/>
                          </a:prstGeom>
                          <a:noFill/>
                          <a:ln w="9525">
                            <a:noFill/>
                            <a:miter lim="800000"/>
                            <a:headEnd/>
                            <a:tailEnd/>
                          </a:ln>
                        </pic:spPr>
                      </pic:pic>
                    </a:graphicData>
                  </a:graphic>
                </wp:inline>
              </w:drawing>
            </w:r>
          </w:p>
        </w:tc>
        <w:tc>
          <w:tcPr>
            <w:tcW w:w="1306" w:type="pct"/>
            <w:tcBorders>
              <w:top w:val="single" w:sz="4" w:space="0" w:color="000000"/>
              <w:left w:val="single" w:sz="2" w:space="0" w:color="auto"/>
              <w:bottom w:val="single" w:sz="4" w:space="0" w:color="000000"/>
              <w:right w:val="nil"/>
            </w:tcBorders>
            <w:vAlign w:val="center"/>
          </w:tcPr>
          <w:p w:rsidR="00BD5820" w:rsidRDefault="00F64314">
            <w:pPr>
              <w:spacing w:line="240" w:lineRule="auto"/>
              <w:ind w:firstLineChars="0" w:firstLine="0"/>
              <w:jc w:val="center"/>
              <w:rPr>
                <w:rFonts w:ascii="Times New Roman" w:cs="Times New Roman"/>
                <w:kern w:val="2"/>
                <w:sz w:val="21"/>
                <w:szCs w:val="21"/>
              </w:rPr>
            </w:pPr>
            <w:r>
              <w:rPr>
                <w:rFonts w:ascii="Times New Roman" w:cs="Times New Roman"/>
                <w:noProof/>
                <w:kern w:val="2"/>
                <w:sz w:val="21"/>
                <w:szCs w:val="21"/>
              </w:rPr>
              <w:drawing>
                <wp:inline distT="0" distB="0" distL="0" distR="0">
                  <wp:extent cx="2369185" cy="1776730"/>
                  <wp:effectExtent l="19050" t="0" r="0" b="0"/>
                  <wp:docPr id="553" name="图片 37" descr="C:\Users\HUANG\AppData\Local\Temp\WeChat Files\13c0b01056175be5694b814b17b82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图片 37" descr="C:\Users\HUANG\AppData\Local\Temp\WeChat Files\13c0b01056175be5694b814b17b823d.jpg"/>
                          <pic:cNvPicPr>
                            <a:picLocks noChangeAspect="1" noChangeArrowheads="1"/>
                          </pic:cNvPicPr>
                        </pic:nvPicPr>
                        <pic:blipFill>
                          <a:blip r:embed="rId32" cstate="print"/>
                          <a:srcRect/>
                          <a:stretch>
                            <a:fillRect/>
                          </a:stretch>
                        </pic:blipFill>
                        <pic:spPr>
                          <a:xfrm>
                            <a:off x="0" y="0"/>
                            <a:ext cx="2374870" cy="1781212"/>
                          </a:xfrm>
                          <a:prstGeom prst="rect">
                            <a:avLst/>
                          </a:prstGeom>
                          <a:noFill/>
                          <a:ln w="9525">
                            <a:noFill/>
                            <a:miter lim="800000"/>
                            <a:headEnd/>
                            <a:tailEnd/>
                          </a:ln>
                        </pic:spPr>
                      </pic:pic>
                    </a:graphicData>
                  </a:graphic>
                </wp:inline>
              </w:drawing>
            </w:r>
          </w:p>
        </w:tc>
      </w:tr>
      <w:tr w:rsidR="00BD5820">
        <w:trPr>
          <w:trHeight w:val="1419"/>
          <w:jc w:val="center"/>
        </w:trPr>
        <w:tc>
          <w:tcPr>
            <w:tcW w:w="187" w:type="pct"/>
            <w:tcBorders>
              <w:top w:val="single" w:sz="4" w:space="0" w:color="000000"/>
              <w:left w:val="nil"/>
              <w:bottom w:val="single" w:sz="4" w:space="0" w:color="000000"/>
              <w:right w:val="single" w:sz="4"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lastRenderedPageBreak/>
              <w:t>6</w:t>
            </w:r>
          </w:p>
        </w:tc>
        <w:tc>
          <w:tcPr>
            <w:tcW w:w="274" w:type="pct"/>
            <w:tcBorders>
              <w:top w:val="single" w:sz="4" w:space="0" w:color="000000"/>
              <w:left w:val="single" w:sz="4" w:space="0" w:color="000000"/>
              <w:bottom w:val="single" w:sz="4" w:space="0" w:color="000000"/>
              <w:right w:val="single" w:sz="4" w:space="0" w:color="000000"/>
            </w:tcBorders>
            <w:vAlign w:val="center"/>
          </w:tcPr>
          <w:p w:rsidR="00BD5820" w:rsidRPr="00D82054" w:rsidRDefault="00D82054" w:rsidP="00D82054">
            <w:pPr>
              <w:spacing w:line="240" w:lineRule="auto"/>
              <w:ind w:firstLineChars="0" w:firstLine="0"/>
              <w:jc w:val="center"/>
              <w:rPr>
                <w:rFonts w:ascii="Times New Roman" w:cs="Times New Roman"/>
                <w:color w:val="FF0000"/>
                <w:sz w:val="21"/>
                <w:szCs w:val="21"/>
              </w:rPr>
            </w:pPr>
            <w:r w:rsidRPr="00D82054">
              <w:rPr>
                <w:rFonts w:ascii="Times New Roman" w:cs="Times New Roman" w:hint="eastAsia"/>
                <w:color w:val="FF0000"/>
                <w:sz w:val="21"/>
                <w:szCs w:val="21"/>
              </w:rPr>
              <w:t>北斗村</w:t>
            </w:r>
            <w:r w:rsidRPr="00D82054">
              <w:rPr>
                <w:rFonts w:ascii="Times New Roman" w:cs="Times New Roman"/>
                <w:color w:val="FF0000"/>
                <w:sz w:val="21"/>
                <w:szCs w:val="21"/>
              </w:rPr>
              <w:t>农户</w:t>
            </w:r>
            <w:r w:rsidRPr="00D82054">
              <w:rPr>
                <w:rFonts w:ascii="Times New Roman" w:cs="Times New Roman" w:hint="eastAsia"/>
                <w:color w:val="FF0000"/>
                <w:sz w:val="21"/>
                <w:szCs w:val="21"/>
              </w:rPr>
              <w:t>63#</w:t>
            </w:r>
          </w:p>
        </w:tc>
        <w:tc>
          <w:tcPr>
            <w:tcW w:w="270" w:type="pct"/>
            <w:tcBorders>
              <w:top w:val="single" w:sz="4" w:space="0" w:color="000000"/>
              <w:left w:val="single" w:sz="4" w:space="0" w:color="000000"/>
              <w:bottom w:val="single" w:sz="4" w:space="0" w:color="000000"/>
              <w:right w:val="single" w:sz="2" w:space="0" w:color="auto"/>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107.809932</w:t>
            </w:r>
          </w:p>
        </w:tc>
        <w:tc>
          <w:tcPr>
            <w:tcW w:w="325" w:type="pct"/>
            <w:tcBorders>
              <w:top w:val="single" w:sz="4" w:space="0" w:color="000000"/>
              <w:left w:val="single" w:sz="2" w:space="0" w:color="auto"/>
              <w:bottom w:val="single" w:sz="4" w:space="0" w:color="000000"/>
              <w:right w:val="single" w:sz="4"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31.547435</w:t>
            </w:r>
          </w:p>
        </w:tc>
        <w:tc>
          <w:tcPr>
            <w:tcW w:w="278" w:type="pct"/>
            <w:tcBorders>
              <w:top w:val="single" w:sz="4" w:space="0" w:color="000000"/>
              <w:left w:val="single" w:sz="4" w:space="0" w:color="000000"/>
              <w:bottom w:val="single" w:sz="4" w:space="0" w:color="000000"/>
              <w:right w:val="single" w:sz="2" w:space="0" w:color="auto"/>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267" w:type="pct"/>
            <w:tcBorders>
              <w:top w:val="single" w:sz="4" w:space="0" w:color="000000"/>
              <w:left w:val="single" w:sz="2" w:space="0" w:color="auto"/>
              <w:bottom w:val="single" w:sz="4" w:space="0" w:color="000000"/>
              <w:right w:val="single" w:sz="2" w:space="0" w:color="auto"/>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10</w:t>
            </w:r>
            <w:r>
              <w:rPr>
                <w:rFonts w:ascii="Times New Roman" w:cs="Times New Roman"/>
                <w:sz w:val="21"/>
                <w:szCs w:val="21"/>
              </w:rPr>
              <w:t>户</w:t>
            </w:r>
            <w:r>
              <w:rPr>
                <w:rFonts w:ascii="Times New Roman" w:cs="Times New Roman" w:hint="eastAsia"/>
                <w:sz w:val="21"/>
                <w:szCs w:val="21"/>
              </w:rPr>
              <w:t>35</w:t>
            </w:r>
            <w:r>
              <w:rPr>
                <w:rFonts w:ascii="Times New Roman" w:cs="Times New Roman"/>
                <w:sz w:val="21"/>
                <w:szCs w:val="21"/>
              </w:rPr>
              <w:t>人</w:t>
            </w:r>
          </w:p>
        </w:tc>
        <w:tc>
          <w:tcPr>
            <w:tcW w:w="244" w:type="pct"/>
            <w:tcBorders>
              <w:top w:val="single" w:sz="4" w:space="0" w:color="000000"/>
              <w:left w:val="single" w:sz="2" w:space="0" w:color="auto"/>
              <w:bottom w:val="single" w:sz="4" w:space="0" w:color="000000"/>
              <w:right w:val="single" w:sz="4"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二类</w:t>
            </w:r>
          </w:p>
        </w:tc>
        <w:tc>
          <w:tcPr>
            <w:tcW w:w="226" w:type="pct"/>
            <w:tcBorders>
              <w:top w:val="single" w:sz="4" w:space="0" w:color="000000"/>
              <w:left w:val="single" w:sz="4" w:space="0" w:color="000000"/>
              <w:bottom w:val="single" w:sz="4" w:space="0" w:color="000000"/>
              <w:right w:val="single" w:sz="2" w:space="0" w:color="auto"/>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左</w:t>
            </w:r>
            <w:r>
              <w:rPr>
                <w:rFonts w:ascii="Times New Roman" w:cs="Times New Roman"/>
                <w:sz w:val="21"/>
                <w:szCs w:val="21"/>
              </w:rPr>
              <w:t>侧</w:t>
            </w:r>
          </w:p>
        </w:tc>
        <w:tc>
          <w:tcPr>
            <w:tcW w:w="419" w:type="pct"/>
            <w:tcBorders>
              <w:top w:val="single" w:sz="4" w:space="0" w:color="000000"/>
              <w:left w:val="single" w:sz="2" w:space="0" w:color="auto"/>
              <w:bottom w:val="single" w:sz="4" w:space="0" w:color="000000"/>
              <w:right w:val="single" w:sz="4"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130</w:t>
            </w:r>
            <w:r>
              <w:rPr>
                <w:rFonts w:ascii="Times New Roman" w:cs="Times New Roman"/>
                <w:sz w:val="21"/>
                <w:szCs w:val="21"/>
              </w:rPr>
              <w:t>~</w:t>
            </w:r>
            <w:r>
              <w:rPr>
                <w:rFonts w:ascii="Times New Roman" w:cs="Times New Roman" w:hint="eastAsia"/>
                <w:sz w:val="21"/>
                <w:szCs w:val="21"/>
              </w:rPr>
              <w:t>340</w:t>
            </w:r>
          </w:p>
        </w:tc>
        <w:tc>
          <w:tcPr>
            <w:tcW w:w="1204" w:type="pct"/>
            <w:tcBorders>
              <w:top w:val="single" w:sz="4" w:space="0" w:color="000000"/>
              <w:left w:val="single" w:sz="2" w:space="0" w:color="auto"/>
              <w:bottom w:val="single" w:sz="4"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noProof/>
                <w:sz w:val="21"/>
                <w:szCs w:val="21"/>
              </w:rPr>
              <w:drawing>
                <wp:inline distT="0" distB="0" distL="0" distR="0">
                  <wp:extent cx="2197735" cy="1802765"/>
                  <wp:effectExtent l="19050" t="0" r="0" b="0"/>
                  <wp:docPr id="546"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图片 30"/>
                          <pic:cNvPicPr>
                            <a:picLocks noChangeAspect="1" noChangeArrowheads="1"/>
                          </pic:cNvPicPr>
                        </pic:nvPicPr>
                        <pic:blipFill>
                          <a:blip r:embed="rId33"/>
                          <a:srcRect/>
                          <a:stretch>
                            <a:fillRect/>
                          </a:stretch>
                        </pic:blipFill>
                        <pic:spPr>
                          <a:xfrm>
                            <a:off x="0" y="0"/>
                            <a:ext cx="2199640" cy="1804316"/>
                          </a:xfrm>
                          <a:prstGeom prst="rect">
                            <a:avLst/>
                          </a:prstGeom>
                          <a:noFill/>
                          <a:ln w="9525">
                            <a:noFill/>
                            <a:miter lim="800000"/>
                            <a:headEnd/>
                            <a:tailEnd/>
                          </a:ln>
                        </pic:spPr>
                      </pic:pic>
                    </a:graphicData>
                  </a:graphic>
                </wp:inline>
              </w:drawing>
            </w:r>
          </w:p>
        </w:tc>
        <w:tc>
          <w:tcPr>
            <w:tcW w:w="1306" w:type="pct"/>
            <w:tcBorders>
              <w:top w:val="single" w:sz="4" w:space="0" w:color="000000"/>
              <w:left w:val="single" w:sz="2" w:space="0" w:color="auto"/>
              <w:bottom w:val="single" w:sz="4" w:space="0" w:color="000000"/>
              <w:right w:val="nil"/>
            </w:tcBorders>
            <w:vAlign w:val="center"/>
          </w:tcPr>
          <w:p w:rsidR="00BD5820" w:rsidRDefault="00F64314">
            <w:pPr>
              <w:spacing w:line="240" w:lineRule="auto"/>
              <w:ind w:firstLineChars="0" w:firstLine="0"/>
              <w:jc w:val="center"/>
              <w:rPr>
                <w:rFonts w:ascii="Times New Roman" w:cs="Times New Roman"/>
                <w:kern w:val="2"/>
                <w:sz w:val="21"/>
                <w:szCs w:val="21"/>
              </w:rPr>
            </w:pPr>
            <w:r>
              <w:rPr>
                <w:rFonts w:ascii="Times New Roman" w:cs="Times New Roman"/>
                <w:noProof/>
                <w:kern w:val="2"/>
                <w:sz w:val="21"/>
                <w:szCs w:val="21"/>
              </w:rPr>
              <w:drawing>
                <wp:inline distT="0" distB="0" distL="0" distR="0">
                  <wp:extent cx="2361565" cy="1771015"/>
                  <wp:effectExtent l="19050" t="0" r="360" b="0"/>
                  <wp:docPr id="554" name="图片 38" descr="C:\Users\HUANG\AppData\Local\Temp\WeChat Files\c237052b0e3e50fd39b02b528254f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图片 38" descr="C:\Users\HUANG\AppData\Local\Temp\WeChat Files\c237052b0e3e50fd39b02b528254f02.jpg"/>
                          <pic:cNvPicPr>
                            <a:picLocks noChangeAspect="1" noChangeArrowheads="1"/>
                          </pic:cNvPicPr>
                        </pic:nvPicPr>
                        <pic:blipFill>
                          <a:blip r:embed="rId34" cstate="print"/>
                          <a:srcRect/>
                          <a:stretch>
                            <a:fillRect/>
                          </a:stretch>
                        </pic:blipFill>
                        <pic:spPr>
                          <a:xfrm>
                            <a:off x="0" y="0"/>
                            <a:ext cx="2363440" cy="1772640"/>
                          </a:xfrm>
                          <a:prstGeom prst="rect">
                            <a:avLst/>
                          </a:prstGeom>
                          <a:noFill/>
                          <a:ln w="9525">
                            <a:noFill/>
                            <a:miter lim="800000"/>
                            <a:headEnd/>
                            <a:tailEnd/>
                          </a:ln>
                        </pic:spPr>
                      </pic:pic>
                    </a:graphicData>
                  </a:graphic>
                </wp:inline>
              </w:drawing>
            </w:r>
          </w:p>
        </w:tc>
      </w:tr>
      <w:tr w:rsidR="00BD5820">
        <w:trPr>
          <w:trHeight w:val="1419"/>
          <w:jc w:val="center"/>
        </w:trPr>
        <w:tc>
          <w:tcPr>
            <w:tcW w:w="187" w:type="pct"/>
            <w:tcBorders>
              <w:top w:val="single" w:sz="4" w:space="0" w:color="000000"/>
              <w:left w:val="nil"/>
              <w:bottom w:val="single" w:sz="4" w:space="0" w:color="000000"/>
              <w:right w:val="single" w:sz="4"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7</w:t>
            </w:r>
          </w:p>
        </w:tc>
        <w:tc>
          <w:tcPr>
            <w:tcW w:w="274" w:type="pct"/>
            <w:tcBorders>
              <w:top w:val="single" w:sz="4" w:space="0" w:color="000000"/>
              <w:left w:val="single" w:sz="4" w:space="0" w:color="000000"/>
              <w:bottom w:val="single" w:sz="4" w:space="0" w:color="000000"/>
              <w:right w:val="single" w:sz="4" w:space="0" w:color="000000"/>
            </w:tcBorders>
            <w:vAlign w:val="center"/>
          </w:tcPr>
          <w:p w:rsidR="00BD5820" w:rsidRDefault="00F64314">
            <w:pPr>
              <w:spacing w:line="240" w:lineRule="auto"/>
              <w:ind w:firstLineChars="0" w:firstLine="0"/>
              <w:jc w:val="center"/>
              <w:rPr>
                <w:rFonts w:hAnsi="宋体" w:cs="Times New Roman"/>
                <w:sz w:val="21"/>
                <w:szCs w:val="21"/>
              </w:rPr>
            </w:pPr>
            <w:r>
              <w:rPr>
                <w:rFonts w:ascii="Times New Roman" w:cs="Times New Roman"/>
                <w:sz w:val="21"/>
                <w:szCs w:val="21"/>
              </w:rPr>
              <w:t>罗家塝农户</w:t>
            </w:r>
            <w:r>
              <w:rPr>
                <w:rFonts w:ascii="Times New Roman" w:cs="Times New Roman" w:hint="eastAsia"/>
                <w:sz w:val="21"/>
                <w:szCs w:val="21"/>
              </w:rPr>
              <w:t>64#</w:t>
            </w:r>
          </w:p>
        </w:tc>
        <w:tc>
          <w:tcPr>
            <w:tcW w:w="270" w:type="pct"/>
            <w:tcBorders>
              <w:top w:val="single" w:sz="4" w:space="0" w:color="000000"/>
              <w:left w:val="single" w:sz="4" w:space="0" w:color="000000"/>
              <w:bottom w:val="single" w:sz="4" w:space="0" w:color="000000"/>
              <w:right w:val="single" w:sz="2" w:space="0" w:color="auto"/>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107.808988</w:t>
            </w:r>
          </w:p>
        </w:tc>
        <w:tc>
          <w:tcPr>
            <w:tcW w:w="325" w:type="pct"/>
            <w:tcBorders>
              <w:top w:val="single" w:sz="4" w:space="0" w:color="000000"/>
              <w:left w:val="single" w:sz="2" w:space="0" w:color="auto"/>
              <w:bottom w:val="single" w:sz="4" w:space="0" w:color="000000"/>
              <w:right w:val="single" w:sz="4"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31.551805</w:t>
            </w:r>
          </w:p>
        </w:tc>
        <w:tc>
          <w:tcPr>
            <w:tcW w:w="278" w:type="pct"/>
            <w:tcBorders>
              <w:top w:val="single" w:sz="4" w:space="0" w:color="000000"/>
              <w:left w:val="single" w:sz="4" w:space="0" w:color="000000"/>
              <w:bottom w:val="single" w:sz="4" w:space="0" w:color="000000"/>
              <w:right w:val="single" w:sz="2" w:space="0" w:color="auto"/>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267" w:type="pct"/>
            <w:tcBorders>
              <w:top w:val="single" w:sz="4" w:space="0" w:color="000000"/>
              <w:left w:val="single" w:sz="2" w:space="0" w:color="auto"/>
              <w:bottom w:val="single" w:sz="4" w:space="0" w:color="000000"/>
              <w:right w:val="single" w:sz="2" w:space="0" w:color="auto"/>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50</w:t>
            </w:r>
            <w:r>
              <w:rPr>
                <w:rFonts w:ascii="Times New Roman" w:cs="Times New Roman"/>
                <w:sz w:val="21"/>
                <w:szCs w:val="21"/>
              </w:rPr>
              <w:t>户</w:t>
            </w:r>
            <w:r>
              <w:rPr>
                <w:rFonts w:ascii="Times New Roman" w:cs="Times New Roman" w:hint="eastAsia"/>
                <w:sz w:val="21"/>
                <w:szCs w:val="21"/>
              </w:rPr>
              <w:t>155</w:t>
            </w:r>
            <w:r>
              <w:rPr>
                <w:rFonts w:ascii="Times New Roman" w:cs="Times New Roman"/>
                <w:sz w:val="21"/>
                <w:szCs w:val="21"/>
              </w:rPr>
              <w:t>人</w:t>
            </w:r>
          </w:p>
        </w:tc>
        <w:tc>
          <w:tcPr>
            <w:tcW w:w="244" w:type="pct"/>
            <w:tcBorders>
              <w:top w:val="single" w:sz="4" w:space="0" w:color="000000"/>
              <w:left w:val="single" w:sz="2" w:space="0" w:color="auto"/>
              <w:bottom w:val="single" w:sz="4" w:space="0" w:color="000000"/>
              <w:right w:val="single" w:sz="4"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二类</w:t>
            </w:r>
          </w:p>
        </w:tc>
        <w:tc>
          <w:tcPr>
            <w:tcW w:w="226" w:type="pct"/>
            <w:tcBorders>
              <w:top w:val="single" w:sz="4" w:space="0" w:color="000000"/>
              <w:left w:val="single" w:sz="4" w:space="0" w:color="000000"/>
              <w:bottom w:val="single" w:sz="4" w:space="0" w:color="000000"/>
              <w:right w:val="single" w:sz="2" w:space="0" w:color="auto"/>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右</w:t>
            </w:r>
            <w:r>
              <w:rPr>
                <w:rFonts w:ascii="Times New Roman" w:cs="Times New Roman"/>
                <w:sz w:val="21"/>
                <w:szCs w:val="21"/>
              </w:rPr>
              <w:t>侧</w:t>
            </w:r>
          </w:p>
        </w:tc>
        <w:tc>
          <w:tcPr>
            <w:tcW w:w="419" w:type="pct"/>
            <w:tcBorders>
              <w:top w:val="single" w:sz="4" w:space="0" w:color="000000"/>
              <w:left w:val="single" w:sz="2" w:space="0" w:color="auto"/>
              <w:bottom w:val="single" w:sz="4" w:space="0" w:color="000000"/>
              <w:right w:val="single" w:sz="4"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170</w:t>
            </w:r>
            <w:r>
              <w:rPr>
                <w:rFonts w:ascii="Times New Roman" w:cs="Times New Roman"/>
                <w:sz w:val="21"/>
                <w:szCs w:val="21"/>
              </w:rPr>
              <w:t>~</w:t>
            </w:r>
            <w:r>
              <w:rPr>
                <w:rFonts w:ascii="Times New Roman" w:cs="Times New Roman" w:hint="eastAsia"/>
                <w:sz w:val="21"/>
                <w:szCs w:val="21"/>
              </w:rPr>
              <w:t>490</w:t>
            </w:r>
          </w:p>
        </w:tc>
        <w:tc>
          <w:tcPr>
            <w:tcW w:w="1204" w:type="pct"/>
            <w:tcBorders>
              <w:top w:val="single" w:sz="4" w:space="0" w:color="000000"/>
              <w:left w:val="single" w:sz="2" w:space="0" w:color="auto"/>
              <w:bottom w:val="single" w:sz="4"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noProof/>
                <w:sz w:val="21"/>
                <w:szCs w:val="21"/>
              </w:rPr>
              <w:drawing>
                <wp:inline distT="0" distB="0" distL="0" distR="0">
                  <wp:extent cx="2197735" cy="1802765"/>
                  <wp:effectExtent l="19050" t="0" r="0" b="0"/>
                  <wp:docPr id="54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图片 30"/>
                          <pic:cNvPicPr>
                            <a:picLocks noChangeAspect="1" noChangeArrowheads="1"/>
                          </pic:cNvPicPr>
                        </pic:nvPicPr>
                        <pic:blipFill>
                          <a:blip r:embed="rId31" cstate="print"/>
                          <a:srcRect/>
                          <a:stretch>
                            <a:fillRect/>
                          </a:stretch>
                        </pic:blipFill>
                        <pic:spPr>
                          <a:xfrm>
                            <a:off x="0" y="0"/>
                            <a:ext cx="2199640" cy="1804316"/>
                          </a:xfrm>
                          <a:prstGeom prst="rect">
                            <a:avLst/>
                          </a:prstGeom>
                          <a:noFill/>
                          <a:ln w="9525">
                            <a:noFill/>
                            <a:miter lim="800000"/>
                            <a:headEnd/>
                            <a:tailEnd/>
                          </a:ln>
                        </pic:spPr>
                      </pic:pic>
                    </a:graphicData>
                  </a:graphic>
                </wp:inline>
              </w:drawing>
            </w:r>
          </w:p>
        </w:tc>
        <w:tc>
          <w:tcPr>
            <w:tcW w:w="1306" w:type="pct"/>
            <w:tcBorders>
              <w:top w:val="single" w:sz="4" w:space="0" w:color="000000"/>
              <w:left w:val="single" w:sz="2" w:space="0" w:color="auto"/>
              <w:bottom w:val="single" w:sz="4" w:space="0" w:color="000000"/>
              <w:right w:val="nil"/>
            </w:tcBorders>
            <w:vAlign w:val="center"/>
          </w:tcPr>
          <w:p w:rsidR="00BD5820" w:rsidRDefault="00F64314">
            <w:pPr>
              <w:spacing w:line="240" w:lineRule="auto"/>
              <w:ind w:firstLineChars="0" w:firstLine="0"/>
              <w:jc w:val="center"/>
              <w:rPr>
                <w:rFonts w:ascii="Times New Roman" w:cs="Times New Roman"/>
                <w:kern w:val="2"/>
                <w:sz w:val="21"/>
                <w:szCs w:val="21"/>
              </w:rPr>
            </w:pPr>
            <w:r>
              <w:rPr>
                <w:rFonts w:ascii="Times New Roman" w:cs="Times New Roman"/>
                <w:noProof/>
                <w:kern w:val="2"/>
                <w:sz w:val="21"/>
                <w:szCs w:val="21"/>
              </w:rPr>
              <w:drawing>
                <wp:inline distT="0" distB="0" distL="0" distR="0">
                  <wp:extent cx="2403475" cy="1802765"/>
                  <wp:effectExtent l="19050" t="0" r="0" b="0"/>
                  <wp:docPr id="555" name="图片 39" descr="C:\Users\HUANG\AppData\Local\Temp\WeChat Files\e4200b1078b51e18cbe377bbd481b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图片 39" descr="C:\Users\HUANG\AppData\Local\Temp\WeChat Files\e4200b1078b51e18cbe377bbd481b18.jpg"/>
                          <pic:cNvPicPr>
                            <a:picLocks noChangeAspect="1" noChangeArrowheads="1"/>
                          </pic:cNvPicPr>
                        </pic:nvPicPr>
                        <pic:blipFill>
                          <a:blip r:embed="rId35" cstate="print"/>
                          <a:srcRect/>
                          <a:stretch>
                            <a:fillRect/>
                          </a:stretch>
                        </pic:blipFill>
                        <pic:spPr>
                          <a:xfrm>
                            <a:off x="0" y="0"/>
                            <a:ext cx="2413268" cy="1810011"/>
                          </a:xfrm>
                          <a:prstGeom prst="rect">
                            <a:avLst/>
                          </a:prstGeom>
                          <a:noFill/>
                          <a:ln w="9525">
                            <a:noFill/>
                            <a:miter lim="800000"/>
                            <a:headEnd/>
                            <a:tailEnd/>
                          </a:ln>
                        </pic:spPr>
                      </pic:pic>
                    </a:graphicData>
                  </a:graphic>
                </wp:inline>
              </w:drawing>
            </w:r>
          </w:p>
        </w:tc>
      </w:tr>
      <w:tr w:rsidR="00BD5820">
        <w:trPr>
          <w:trHeight w:val="1419"/>
          <w:jc w:val="center"/>
        </w:trPr>
        <w:tc>
          <w:tcPr>
            <w:tcW w:w="187" w:type="pct"/>
            <w:tcBorders>
              <w:top w:val="single" w:sz="4" w:space="0" w:color="000000"/>
              <w:left w:val="nil"/>
              <w:bottom w:val="single" w:sz="4" w:space="0" w:color="000000"/>
              <w:right w:val="single" w:sz="4"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8</w:t>
            </w:r>
          </w:p>
        </w:tc>
        <w:tc>
          <w:tcPr>
            <w:tcW w:w="274" w:type="pct"/>
            <w:tcBorders>
              <w:top w:val="single" w:sz="4" w:space="0" w:color="000000"/>
              <w:left w:val="single" w:sz="4" w:space="0" w:color="000000"/>
              <w:bottom w:val="single" w:sz="4" w:space="0" w:color="000000"/>
              <w:right w:val="single" w:sz="4" w:space="0" w:color="000000"/>
            </w:tcBorders>
            <w:vAlign w:val="center"/>
          </w:tcPr>
          <w:p w:rsidR="00BD5820" w:rsidRDefault="00F64314">
            <w:pPr>
              <w:spacing w:line="240" w:lineRule="auto"/>
              <w:ind w:firstLineChars="0" w:firstLine="0"/>
              <w:jc w:val="center"/>
              <w:rPr>
                <w:rFonts w:hAnsi="宋体" w:cs="Times New Roman"/>
                <w:sz w:val="21"/>
                <w:szCs w:val="21"/>
              </w:rPr>
            </w:pPr>
            <w:r>
              <w:rPr>
                <w:rFonts w:hAnsi="宋体" w:cs="Times New Roman"/>
                <w:sz w:val="21"/>
                <w:szCs w:val="21"/>
              </w:rPr>
              <w:t>下塝</w:t>
            </w:r>
            <w:r>
              <w:rPr>
                <w:rFonts w:ascii="Times New Roman" w:cs="Times New Roman"/>
                <w:sz w:val="21"/>
                <w:szCs w:val="21"/>
              </w:rPr>
              <w:t>农户</w:t>
            </w:r>
            <w:r>
              <w:rPr>
                <w:rFonts w:ascii="Times New Roman" w:cs="Times New Roman" w:hint="eastAsia"/>
                <w:sz w:val="21"/>
                <w:szCs w:val="21"/>
              </w:rPr>
              <w:t>65#</w:t>
            </w:r>
          </w:p>
        </w:tc>
        <w:tc>
          <w:tcPr>
            <w:tcW w:w="270" w:type="pct"/>
            <w:tcBorders>
              <w:top w:val="single" w:sz="4" w:space="0" w:color="000000"/>
              <w:left w:val="single" w:sz="4" w:space="0" w:color="000000"/>
              <w:bottom w:val="single" w:sz="4" w:space="0" w:color="000000"/>
              <w:right w:val="single" w:sz="2" w:space="0" w:color="auto"/>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107.485969</w:t>
            </w:r>
          </w:p>
        </w:tc>
        <w:tc>
          <w:tcPr>
            <w:tcW w:w="325" w:type="pct"/>
            <w:tcBorders>
              <w:top w:val="single" w:sz="4" w:space="0" w:color="000000"/>
              <w:left w:val="single" w:sz="2" w:space="0" w:color="auto"/>
              <w:bottom w:val="single" w:sz="4" w:space="0" w:color="000000"/>
              <w:right w:val="single" w:sz="4"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31.32528</w:t>
            </w:r>
            <w:r>
              <w:rPr>
                <w:rFonts w:ascii="Times New Roman" w:cs="Times New Roman" w:hint="eastAsia"/>
                <w:sz w:val="21"/>
                <w:szCs w:val="21"/>
              </w:rPr>
              <w:t>6</w:t>
            </w:r>
          </w:p>
        </w:tc>
        <w:tc>
          <w:tcPr>
            <w:tcW w:w="278" w:type="pct"/>
            <w:tcBorders>
              <w:top w:val="single" w:sz="4" w:space="0" w:color="000000"/>
              <w:left w:val="single" w:sz="4" w:space="0" w:color="000000"/>
              <w:bottom w:val="single" w:sz="4" w:space="0" w:color="000000"/>
              <w:right w:val="single" w:sz="2" w:space="0" w:color="auto"/>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267" w:type="pct"/>
            <w:tcBorders>
              <w:top w:val="single" w:sz="4" w:space="0" w:color="000000"/>
              <w:left w:val="single" w:sz="2" w:space="0" w:color="auto"/>
              <w:bottom w:val="single" w:sz="4" w:space="0" w:color="000000"/>
              <w:right w:val="single" w:sz="2" w:space="0" w:color="auto"/>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13</w:t>
            </w:r>
            <w:r>
              <w:rPr>
                <w:rFonts w:ascii="Times New Roman" w:cs="Times New Roman"/>
                <w:sz w:val="21"/>
                <w:szCs w:val="21"/>
              </w:rPr>
              <w:t>户</w:t>
            </w:r>
            <w:r>
              <w:rPr>
                <w:rFonts w:ascii="Times New Roman" w:cs="Times New Roman" w:hint="eastAsia"/>
                <w:sz w:val="21"/>
                <w:szCs w:val="21"/>
              </w:rPr>
              <w:t>55</w:t>
            </w:r>
            <w:r>
              <w:rPr>
                <w:rFonts w:ascii="Times New Roman" w:cs="Times New Roman"/>
                <w:sz w:val="21"/>
                <w:szCs w:val="21"/>
              </w:rPr>
              <w:t>人</w:t>
            </w:r>
          </w:p>
        </w:tc>
        <w:tc>
          <w:tcPr>
            <w:tcW w:w="244" w:type="pct"/>
            <w:tcBorders>
              <w:top w:val="single" w:sz="4" w:space="0" w:color="000000"/>
              <w:left w:val="single" w:sz="2" w:space="0" w:color="auto"/>
              <w:bottom w:val="single" w:sz="4" w:space="0" w:color="000000"/>
              <w:right w:val="single" w:sz="4"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二类</w:t>
            </w:r>
          </w:p>
        </w:tc>
        <w:tc>
          <w:tcPr>
            <w:tcW w:w="226" w:type="pct"/>
            <w:tcBorders>
              <w:top w:val="single" w:sz="4" w:space="0" w:color="000000"/>
              <w:left w:val="single" w:sz="4" w:space="0" w:color="000000"/>
              <w:bottom w:val="single" w:sz="4" w:space="0" w:color="000000"/>
              <w:right w:val="single" w:sz="2" w:space="0" w:color="auto"/>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左</w:t>
            </w:r>
            <w:r>
              <w:rPr>
                <w:rFonts w:ascii="Times New Roman" w:cs="Times New Roman"/>
                <w:sz w:val="21"/>
                <w:szCs w:val="21"/>
              </w:rPr>
              <w:t>侧</w:t>
            </w:r>
          </w:p>
        </w:tc>
        <w:tc>
          <w:tcPr>
            <w:tcW w:w="419" w:type="pct"/>
            <w:tcBorders>
              <w:top w:val="single" w:sz="4" w:space="0" w:color="000000"/>
              <w:left w:val="single" w:sz="2" w:space="0" w:color="auto"/>
              <w:bottom w:val="single" w:sz="4" w:space="0" w:color="000000"/>
              <w:right w:val="single" w:sz="4"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90</w:t>
            </w:r>
            <w:r>
              <w:rPr>
                <w:rFonts w:ascii="Times New Roman" w:cs="Times New Roman"/>
                <w:sz w:val="21"/>
                <w:szCs w:val="21"/>
              </w:rPr>
              <w:t>~</w:t>
            </w:r>
            <w:r>
              <w:rPr>
                <w:rFonts w:ascii="Times New Roman" w:cs="Times New Roman" w:hint="eastAsia"/>
                <w:sz w:val="21"/>
                <w:szCs w:val="21"/>
              </w:rPr>
              <w:t>210</w:t>
            </w:r>
          </w:p>
        </w:tc>
        <w:tc>
          <w:tcPr>
            <w:tcW w:w="1204" w:type="pct"/>
            <w:tcBorders>
              <w:top w:val="single" w:sz="4" w:space="0" w:color="000000"/>
              <w:left w:val="single" w:sz="2" w:space="0" w:color="auto"/>
              <w:bottom w:val="single" w:sz="4"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noProof/>
                <w:sz w:val="21"/>
                <w:szCs w:val="21"/>
              </w:rPr>
              <w:drawing>
                <wp:inline distT="0" distB="0" distL="0" distR="0">
                  <wp:extent cx="2197735" cy="1802765"/>
                  <wp:effectExtent l="19050" t="0" r="0" b="0"/>
                  <wp:docPr id="548"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图片 30"/>
                          <pic:cNvPicPr>
                            <a:picLocks noChangeAspect="1" noChangeArrowheads="1"/>
                          </pic:cNvPicPr>
                        </pic:nvPicPr>
                        <pic:blipFill>
                          <a:blip r:embed="rId31" cstate="print"/>
                          <a:srcRect/>
                          <a:stretch>
                            <a:fillRect/>
                          </a:stretch>
                        </pic:blipFill>
                        <pic:spPr>
                          <a:xfrm>
                            <a:off x="0" y="0"/>
                            <a:ext cx="2199640" cy="1804316"/>
                          </a:xfrm>
                          <a:prstGeom prst="rect">
                            <a:avLst/>
                          </a:prstGeom>
                          <a:noFill/>
                          <a:ln w="9525">
                            <a:noFill/>
                            <a:miter lim="800000"/>
                            <a:headEnd/>
                            <a:tailEnd/>
                          </a:ln>
                        </pic:spPr>
                      </pic:pic>
                    </a:graphicData>
                  </a:graphic>
                </wp:inline>
              </w:drawing>
            </w:r>
          </w:p>
        </w:tc>
        <w:tc>
          <w:tcPr>
            <w:tcW w:w="1306" w:type="pct"/>
            <w:tcBorders>
              <w:top w:val="single" w:sz="4" w:space="0" w:color="000000"/>
              <w:left w:val="single" w:sz="2" w:space="0" w:color="auto"/>
              <w:bottom w:val="single" w:sz="4" w:space="0" w:color="000000"/>
              <w:right w:val="nil"/>
            </w:tcBorders>
            <w:vAlign w:val="center"/>
          </w:tcPr>
          <w:p w:rsidR="00BD5820" w:rsidRDefault="00F64314">
            <w:pPr>
              <w:spacing w:line="240" w:lineRule="auto"/>
              <w:ind w:firstLineChars="0" w:firstLine="0"/>
              <w:jc w:val="center"/>
              <w:rPr>
                <w:rFonts w:ascii="Times New Roman" w:cs="Times New Roman"/>
                <w:kern w:val="2"/>
                <w:sz w:val="21"/>
                <w:szCs w:val="21"/>
              </w:rPr>
            </w:pPr>
            <w:r>
              <w:rPr>
                <w:rFonts w:ascii="Times New Roman" w:cs="Times New Roman"/>
                <w:noProof/>
                <w:kern w:val="2"/>
                <w:sz w:val="21"/>
                <w:szCs w:val="21"/>
              </w:rPr>
              <w:drawing>
                <wp:inline distT="0" distB="0" distL="0" distR="0">
                  <wp:extent cx="2402840" cy="1802765"/>
                  <wp:effectExtent l="19050" t="0" r="0" b="0"/>
                  <wp:docPr id="557" name="图片 40" descr="C:\Users\HUANG\AppData\Local\Temp\WeChat Files\f017e10ba858fc7172433d1c3cdc3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图片 40" descr="C:\Users\HUANG\AppData\Local\Temp\WeChat Files\f017e10ba858fc7172433d1c3cdc30a.jpg"/>
                          <pic:cNvPicPr>
                            <a:picLocks noChangeAspect="1" noChangeArrowheads="1"/>
                          </pic:cNvPicPr>
                        </pic:nvPicPr>
                        <pic:blipFill>
                          <a:blip r:embed="rId36" cstate="print"/>
                          <a:srcRect/>
                          <a:stretch>
                            <a:fillRect/>
                          </a:stretch>
                        </pic:blipFill>
                        <pic:spPr>
                          <a:xfrm>
                            <a:off x="0" y="0"/>
                            <a:ext cx="2408725" cy="1807233"/>
                          </a:xfrm>
                          <a:prstGeom prst="rect">
                            <a:avLst/>
                          </a:prstGeom>
                          <a:noFill/>
                          <a:ln w="9525">
                            <a:noFill/>
                            <a:miter lim="800000"/>
                            <a:headEnd/>
                            <a:tailEnd/>
                          </a:ln>
                        </pic:spPr>
                      </pic:pic>
                    </a:graphicData>
                  </a:graphic>
                </wp:inline>
              </w:drawing>
            </w:r>
          </w:p>
        </w:tc>
      </w:tr>
    </w:tbl>
    <w:p w:rsidR="00BD5820" w:rsidRDefault="00F64314">
      <w:pPr>
        <w:pStyle w:val="10"/>
        <w:ind w:firstLine="480"/>
        <w:rPr>
          <w:rFonts w:cs="Times New Roman"/>
        </w:rPr>
      </w:pPr>
      <w:r>
        <w:rPr>
          <w:rFonts w:cs="Times New Roman"/>
        </w:rPr>
        <w:lastRenderedPageBreak/>
        <w:t>表</w:t>
      </w:r>
      <w:r>
        <w:rPr>
          <w:rFonts w:cs="Times New Roman"/>
          <w:bCs/>
        </w:rPr>
        <w:t>1.9-</w:t>
      </w:r>
      <w:r>
        <w:rPr>
          <w:rFonts w:cs="Times New Roman" w:hint="eastAsia"/>
          <w:bCs/>
        </w:rPr>
        <w:t>3</w:t>
      </w:r>
      <w:r>
        <w:rPr>
          <w:rFonts w:cs="Times New Roman"/>
          <w:bCs/>
        </w:rPr>
        <w:t xml:space="preserve">  </w:t>
      </w:r>
      <w:r>
        <w:rPr>
          <w:rFonts w:cs="Times New Roman" w:hint="eastAsia"/>
          <w:bCs/>
        </w:rPr>
        <w:t>普光气田</w:t>
      </w:r>
      <w:r>
        <w:rPr>
          <w:rFonts w:cs="Times New Roman" w:hint="eastAsia"/>
          <w:bCs/>
        </w:rPr>
        <w:t>2</w:t>
      </w:r>
      <w:r>
        <w:rPr>
          <w:rFonts w:cs="Times New Roman"/>
          <w:bCs/>
        </w:rPr>
        <w:t>#</w:t>
      </w:r>
      <w:r>
        <w:rPr>
          <w:rFonts w:cs="Times New Roman" w:hint="eastAsia"/>
          <w:bCs/>
        </w:rPr>
        <w:t>增压站</w:t>
      </w:r>
      <w:r>
        <w:rPr>
          <w:rFonts w:cs="Times New Roman"/>
        </w:rPr>
        <w:t>主要环境敏感目标一览表</w:t>
      </w:r>
    </w:p>
    <w:tbl>
      <w:tblPr>
        <w:tblW w:w="5097" w:type="pct"/>
        <w:jc w:val="center"/>
        <w:tblBorders>
          <w:top w:val="single" w:sz="12" w:space="0" w:color="000000"/>
          <w:bottom w:val="single" w:sz="12" w:space="0" w:color="000000"/>
          <w:insideH w:val="single" w:sz="4" w:space="0" w:color="000000"/>
          <w:insideV w:val="single" w:sz="4" w:space="0" w:color="000000"/>
        </w:tblBorders>
        <w:tblLayout w:type="fixed"/>
        <w:tblLook w:val="04A0"/>
      </w:tblPr>
      <w:tblGrid>
        <w:gridCol w:w="572"/>
        <w:gridCol w:w="1437"/>
        <w:gridCol w:w="2593"/>
        <w:gridCol w:w="1294"/>
        <w:gridCol w:w="1157"/>
        <w:gridCol w:w="1151"/>
        <w:gridCol w:w="1719"/>
        <w:gridCol w:w="3167"/>
        <w:gridCol w:w="717"/>
        <w:gridCol w:w="1376"/>
      </w:tblGrid>
      <w:tr w:rsidR="00BD5820">
        <w:trPr>
          <w:trHeight w:val="34"/>
          <w:jc w:val="center"/>
        </w:trPr>
        <w:tc>
          <w:tcPr>
            <w:tcW w:w="188" w:type="pct"/>
            <w:vMerge w:val="restart"/>
            <w:tcBorders>
              <w:top w:val="single" w:sz="1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b/>
                <w:sz w:val="21"/>
                <w:szCs w:val="21"/>
              </w:rPr>
            </w:pPr>
            <w:r>
              <w:rPr>
                <w:rFonts w:ascii="Times New Roman" w:cs="Times New Roman"/>
                <w:b/>
                <w:sz w:val="21"/>
                <w:szCs w:val="21"/>
              </w:rPr>
              <w:t>序号</w:t>
            </w:r>
          </w:p>
        </w:tc>
        <w:tc>
          <w:tcPr>
            <w:tcW w:w="473" w:type="pct"/>
            <w:vMerge w:val="restart"/>
            <w:tcBorders>
              <w:top w:val="single" w:sz="1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b/>
                <w:sz w:val="21"/>
                <w:szCs w:val="21"/>
              </w:rPr>
            </w:pPr>
            <w:r>
              <w:rPr>
                <w:rFonts w:ascii="Times New Roman" w:cs="Times New Roman"/>
                <w:b/>
                <w:sz w:val="21"/>
                <w:szCs w:val="21"/>
              </w:rPr>
              <w:t>环境要素</w:t>
            </w:r>
          </w:p>
        </w:tc>
        <w:tc>
          <w:tcPr>
            <w:tcW w:w="854" w:type="pct"/>
            <w:vMerge w:val="restart"/>
            <w:tcBorders>
              <w:top w:val="single" w:sz="1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b/>
                <w:sz w:val="21"/>
                <w:szCs w:val="21"/>
              </w:rPr>
            </w:pPr>
            <w:r>
              <w:rPr>
                <w:rFonts w:ascii="Times New Roman" w:cs="Times New Roman"/>
                <w:b/>
                <w:sz w:val="21"/>
                <w:szCs w:val="21"/>
              </w:rPr>
              <w:t>保护目标</w:t>
            </w:r>
          </w:p>
        </w:tc>
        <w:tc>
          <w:tcPr>
            <w:tcW w:w="807" w:type="pct"/>
            <w:gridSpan w:val="2"/>
            <w:tcBorders>
              <w:top w:val="single" w:sz="1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b/>
                <w:sz w:val="21"/>
                <w:szCs w:val="21"/>
              </w:rPr>
            </w:pPr>
            <w:r>
              <w:rPr>
                <w:rFonts w:ascii="Times New Roman" w:cs="Times New Roman"/>
                <w:b/>
                <w:sz w:val="21"/>
                <w:szCs w:val="21"/>
              </w:rPr>
              <w:t>距离最近点坐标</w:t>
            </w:r>
          </w:p>
        </w:tc>
        <w:tc>
          <w:tcPr>
            <w:tcW w:w="379" w:type="pct"/>
            <w:vMerge w:val="restart"/>
            <w:tcBorders>
              <w:top w:val="single" w:sz="1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b/>
                <w:sz w:val="21"/>
                <w:szCs w:val="21"/>
              </w:rPr>
            </w:pPr>
            <w:r>
              <w:rPr>
                <w:rFonts w:ascii="Times New Roman" w:cs="Times New Roman"/>
                <w:b/>
                <w:sz w:val="21"/>
                <w:szCs w:val="21"/>
              </w:rPr>
              <w:t>保护对象</w:t>
            </w:r>
          </w:p>
        </w:tc>
        <w:tc>
          <w:tcPr>
            <w:tcW w:w="566" w:type="pct"/>
            <w:vMerge w:val="restart"/>
            <w:tcBorders>
              <w:top w:val="single" w:sz="1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b/>
                <w:sz w:val="21"/>
                <w:szCs w:val="21"/>
              </w:rPr>
            </w:pPr>
            <w:r>
              <w:rPr>
                <w:rFonts w:ascii="Times New Roman" w:cs="Times New Roman"/>
                <w:b/>
                <w:sz w:val="21"/>
                <w:szCs w:val="21"/>
              </w:rPr>
              <w:t>保护内容</w:t>
            </w:r>
          </w:p>
        </w:tc>
        <w:tc>
          <w:tcPr>
            <w:tcW w:w="1043" w:type="pct"/>
            <w:vMerge w:val="restart"/>
            <w:tcBorders>
              <w:top w:val="single" w:sz="1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b/>
                <w:sz w:val="21"/>
                <w:szCs w:val="21"/>
              </w:rPr>
            </w:pPr>
            <w:r>
              <w:rPr>
                <w:rFonts w:ascii="Times New Roman" w:cs="Times New Roman"/>
                <w:b/>
                <w:sz w:val="21"/>
                <w:szCs w:val="21"/>
              </w:rPr>
              <w:t>环境功能区</w:t>
            </w:r>
          </w:p>
        </w:tc>
        <w:tc>
          <w:tcPr>
            <w:tcW w:w="689" w:type="pct"/>
            <w:gridSpan w:val="2"/>
            <w:tcBorders>
              <w:top w:val="single" w:sz="1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b/>
                <w:sz w:val="21"/>
                <w:szCs w:val="21"/>
              </w:rPr>
            </w:pPr>
            <w:r>
              <w:rPr>
                <w:rFonts w:ascii="Times New Roman" w:cs="Times New Roman"/>
                <w:b/>
                <w:sz w:val="21"/>
                <w:szCs w:val="21"/>
              </w:rPr>
              <w:t>相对</w:t>
            </w:r>
            <w:r>
              <w:rPr>
                <w:rFonts w:ascii="Times New Roman" w:cs="Times New Roman" w:hint="eastAsia"/>
                <w:b/>
                <w:sz w:val="21"/>
                <w:szCs w:val="21"/>
              </w:rPr>
              <w:t>站场</w:t>
            </w:r>
          </w:p>
        </w:tc>
      </w:tr>
      <w:tr w:rsidR="00BD5820">
        <w:trPr>
          <w:trHeight w:val="25"/>
          <w:jc w:val="center"/>
        </w:trPr>
        <w:tc>
          <w:tcPr>
            <w:tcW w:w="188" w:type="pct"/>
            <w:vMerge/>
            <w:tcBorders>
              <w:top w:val="single" w:sz="2" w:space="0" w:color="000000"/>
              <w:left w:val="nil"/>
              <w:bottom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b/>
                <w:sz w:val="21"/>
                <w:szCs w:val="21"/>
              </w:rPr>
            </w:pPr>
          </w:p>
        </w:tc>
        <w:tc>
          <w:tcPr>
            <w:tcW w:w="473" w:type="pct"/>
            <w:vMerge/>
            <w:tcBorders>
              <w:top w:val="single" w:sz="2" w:space="0" w:color="000000"/>
              <w:left w:val="single" w:sz="2" w:space="0" w:color="000000"/>
              <w:bottom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b/>
                <w:sz w:val="21"/>
                <w:szCs w:val="21"/>
              </w:rPr>
            </w:pPr>
          </w:p>
        </w:tc>
        <w:tc>
          <w:tcPr>
            <w:tcW w:w="854" w:type="pct"/>
            <w:vMerge/>
            <w:tcBorders>
              <w:top w:val="single" w:sz="2" w:space="0" w:color="000000"/>
              <w:left w:val="single" w:sz="2" w:space="0" w:color="000000"/>
              <w:bottom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b/>
                <w:sz w:val="21"/>
                <w:szCs w:val="21"/>
              </w:rPr>
            </w:pP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b/>
                <w:sz w:val="21"/>
                <w:szCs w:val="21"/>
              </w:rPr>
            </w:pPr>
            <w:r>
              <w:rPr>
                <w:rFonts w:ascii="Times New Roman" w:cs="Times New Roman"/>
                <w:b/>
                <w:sz w:val="21"/>
                <w:szCs w:val="21"/>
              </w:rPr>
              <w:t>X</w:t>
            </w:r>
            <w:r>
              <w:rPr>
                <w:rFonts w:ascii="Times New Roman" w:cs="Times New Roman" w:hint="eastAsia"/>
                <w:b/>
                <w:sz w:val="21"/>
                <w:szCs w:val="21"/>
              </w:rPr>
              <w:t>（</w:t>
            </w:r>
            <w:r>
              <w:rPr>
                <w:rFonts w:ascii="Times New Roman" w:cs="Times New Roman"/>
                <w:b/>
                <w:sz w:val="21"/>
                <w:szCs w:val="21"/>
              </w:rPr>
              <w:t>m</w:t>
            </w:r>
            <w:r>
              <w:rPr>
                <w:rFonts w:ascii="Times New Roman" w:cs="Times New Roman" w:hint="eastAsia"/>
                <w:b/>
                <w:sz w:val="21"/>
                <w:szCs w:val="21"/>
              </w:rPr>
              <w:t>）</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b/>
                <w:sz w:val="21"/>
                <w:szCs w:val="21"/>
              </w:rPr>
            </w:pPr>
            <w:r>
              <w:rPr>
                <w:rFonts w:ascii="Times New Roman" w:cs="Times New Roman"/>
                <w:b/>
                <w:sz w:val="21"/>
                <w:szCs w:val="21"/>
              </w:rPr>
              <w:t>Y</w:t>
            </w:r>
            <w:r>
              <w:rPr>
                <w:rFonts w:ascii="Times New Roman" w:cs="Times New Roman" w:hint="eastAsia"/>
                <w:b/>
                <w:sz w:val="21"/>
                <w:szCs w:val="21"/>
              </w:rPr>
              <w:t>（</w:t>
            </w:r>
            <w:r>
              <w:rPr>
                <w:rFonts w:ascii="Times New Roman" w:cs="Times New Roman"/>
                <w:b/>
                <w:sz w:val="21"/>
                <w:szCs w:val="21"/>
              </w:rPr>
              <w:t>m</w:t>
            </w:r>
            <w:r>
              <w:rPr>
                <w:rFonts w:ascii="Times New Roman" w:cs="Times New Roman" w:hint="eastAsia"/>
                <w:b/>
                <w:sz w:val="21"/>
                <w:szCs w:val="21"/>
              </w:rPr>
              <w:t>）</w:t>
            </w:r>
          </w:p>
        </w:tc>
        <w:tc>
          <w:tcPr>
            <w:tcW w:w="379" w:type="pct"/>
            <w:vMerge/>
            <w:tcBorders>
              <w:top w:val="single" w:sz="2" w:space="0" w:color="000000"/>
              <w:left w:val="single" w:sz="2" w:space="0" w:color="000000"/>
              <w:bottom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b/>
                <w:sz w:val="21"/>
                <w:szCs w:val="21"/>
              </w:rPr>
            </w:pPr>
          </w:p>
        </w:tc>
        <w:tc>
          <w:tcPr>
            <w:tcW w:w="566" w:type="pct"/>
            <w:vMerge/>
            <w:tcBorders>
              <w:top w:val="single" w:sz="2" w:space="0" w:color="000000"/>
              <w:left w:val="single" w:sz="2" w:space="0" w:color="000000"/>
              <w:bottom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b/>
                <w:sz w:val="21"/>
                <w:szCs w:val="21"/>
              </w:rPr>
            </w:pPr>
          </w:p>
        </w:tc>
        <w:tc>
          <w:tcPr>
            <w:tcW w:w="1043" w:type="pct"/>
            <w:vMerge/>
            <w:tcBorders>
              <w:top w:val="single" w:sz="2" w:space="0" w:color="000000"/>
              <w:left w:val="single" w:sz="2" w:space="0" w:color="000000"/>
              <w:bottom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b/>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b/>
                <w:sz w:val="21"/>
                <w:szCs w:val="21"/>
              </w:rPr>
            </w:pPr>
            <w:r>
              <w:rPr>
                <w:rFonts w:ascii="Times New Roman" w:cs="Times New Roman"/>
                <w:b/>
                <w:sz w:val="21"/>
                <w:szCs w:val="21"/>
              </w:rPr>
              <w:t>方位</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b/>
                <w:sz w:val="21"/>
                <w:szCs w:val="21"/>
              </w:rPr>
            </w:pPr>
            <w:r>
              <w:rPr>
                <w:rFonts w:ascii="Times New Roman" w:cs="Times New Roman"/>
                <w:b/>
                <w:sz w:val="21"/>
                <w:szCs w:val="21"/>
              </w:rPr>
              <w:t>距离（</w:t>
            </w:r>
            <w:r>
              <w:rPr>
                <w:rFonts w:ascii="Times New Roman" w:cs="Times New Roman"/>
                <w:b/>
                <w:sz w:val="21"/>
                <w:szCs w:val="21"/>
              </w:rPr>
              <w:t>m</w:t>
            </w:r>
            <w:r>
              <w:rPr>
                <w:rFonts w:ascii="Times New Roman" w:cs="Times New Roman"/>
                <w:b/>
                <w:sz w:val="21"/>
                <w:szCs w:val="21"/>
              </w:rPr>
              <w:t>）</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1</w:t>
            </w:r>
          </w:p>
        </w:tc>
        <w:tc>
          <w:tcPr>
            <w:tcW w:w="473" w:type="pct"/>
            <w:vMerge w:val="restart"/>
            <w:tcBorders>
              <w:top w:val="single" w:sz="2" w:space="0" w:color="000000"/>
              <w:left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b/>
                <w:sz w:val="21"/>
                <w:szCs w:val="21"/>
              </w:rPr>
            </w:pPr>
            <w:r>
              <w:rPr>
                <w:rFonts w:ascii="Times New Roman" w:cs="Times New Roman"/>
                <w:sz w:val="21"/>
                <w:szCs w:val="21"/>
              </w:rPr>
              <w:t>环境空气</w:t>
            </w:r>
            <w:r>
              <w:rPr>
                <w:rFonts w:ascii="Times New Roman" w:cs="Times New Roman" w:hint="eastAsia"/>
                <w:sz w:val="21"/>
                <w:szCs w:val="21"/>
              </w:rPr>
              <w:t>、</w:t>
            </w:r>
            <w:r>
              <w:rPr>
                <w:rFonts w:ascii="Times New Roman" w:cs="Times New Roman"/>
                <w:sz w:val="21"/>
                <w:szCs w:val="21"/>
              </w:rPr>
              <w:t>环境风险</w:t>
            </w: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大台寺</w:t>
            </w:r>
            <w:r>
              <w:rPr>
                <w:rFonts w:ascii="Times New Roman" w:cs="Times New Roman"/>
                <w:sz w:val="21"/>
                <w:szCs w:val="21"/>
              </w:rPr>
              <w:t>农户</w:t>
            </w:r>
            <w:r>
              <w:rPr>
                <w:rFonts w:ascii="Times New Roman" w:cs="Times New Roman" w:hint="eastAsia"/>
                <w:sz w:val="21"/>
                <w:szCs w:val="21"/>
              </w:rPr>
              <w:t>1#</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-900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约</w:t>
            </w:r>
            <w:r>
              <w:rPr>
                <w:rFonts w:ascii="Times New Roman" w:cs="Times New Roman" w:hint="eastAsia"/>
                <w:sz w:val="21"/>
                <w:szCs w:val="21"/>
              </w:rPr>
              <w:t>15</w:t>
            </w:r>
            <w:r>
              <w:rPr>
                <w:rFonts w:ascii="Times New Roman" w:cs="Times New Roman" w:hint="eastAsia"/>
                <w:sz w:val="21"/>
                <w:szCs w:val="21"/>
              </w:rPr>
              <w:t>户</w:t>
            </w:r>
            <w:r>
              <w:rPr>
                <w:rFonts w:ascii="Times New Roman" w:cs="Times New Roman" w:hint="eastAsia"/>
                <w:sz w:val="21"/>
                <w:szCs w:val="21"/>
              </w:rPr>
              <w:t>50</w:t>
            </w:r>
            <w:r>
              <w:rPr>
                <w:rFonts w:ascii="Times New Roman" w:cs="Times New Roman" w:hint="eastAsia"/>
                <w:sz w:val="21"/>
                <w:szCs w:val="21"/>
              </w:rPr>
              <w:t>人</w:t>
            </w:r>
          </w:p>
        </w:tc>
        <w:tc>
          <w:tcPr>
            <w:tcW w:w="1043" w:type="pct"/>
            <w:vMerge w:val="restart"/>
            <w:tcBorders>
              <w:top w:val="single" w:sz="2" w:space="0" w:color="000000"/>
              <w:left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《环境空气质量标准》（</w:t>
            </w:r>
            <w:r>
              <w:rPr>
                <w:rFonts w:ascii="Times New Roman" w:cs="Times New Roman"/>
                <w:sz w:val="21"/>
                <w:szCs w:val="21"/>
              </w:rPr>
              <w:t>GB3095-2012</w:t>
            </w:r>
            <w:r>
              <w:rPr>
                <w:rFonts w:ascii="Times New Roman" w:cs="Times New Roman"/>
                <w:sz w:val="21"/>
                <w:szCs w:val="21"/>
              </w:rPr>
              <w:t>）二级标准</w:t>
            </w: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900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2</w:t>
            </w:r>
          </w:p>
        </w:tc>
        <w:tc>
          <w:tcPr>
            <w:tcW w:w="47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刘家坪</w:t>
            </w:r>
            <w:r>
              <w:rPr>
                <w:rFonts w:ascii="Times New Roman" w:cs="Times New Roman"/>
                <w:sz w:val="21"/>
                <w:szCs w:val="21"/>
              </w:rPr>
              <w:t>农户</w:t>
            </w:r>
            <w:r>
              <w:rPr>
                <w:rFonts w:ascii="Times New Roman" w:cs="Times New Roman" w:hint="eastAsia"/>
                <w:sz w:val="21"/>
                <w:szCs w:val="21"/>
              </w:rPr>
              <w:t>2#</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-1720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约</w:t>
            </w:r>
            <w:r>
              <w:rPr>
                <w:rFonts w:ascii="Times New Roman" w:cs="Times New Roman" w:hint="eastAsia"/>
                <w:sz w:val="21"/>
                <w:szCs w:val="21"/>
              </w:rPr>
              <w:t>5</w:t>
            </w:r>
            <w:r>
              <w:rPr>
                <w:rFonts w:ascii="Times New Roman" w:cs="Times New Roman" w:hint="eastAsia"/>
                <w:sz w:val="21"/>
                <w:szCs w:val="21"/>
              </w:rPr>
              <w:t>户</w:t>
            </w:r>
            <w:r>
              <w:rPr>
                <w:rFonts w:ascii="Times New Roman" w:cs="Times New Roman" w:hint="eastAsia"/>
                <w:sz w:val="21"/>
                <w:szCs w:val="21"/>
              </w:rPr>
              <w:t>15</w:t>
            </w:r>
            <w:r>
              <w:rPr>
                <w:rFonts w:ascii="Times New Roman" w:cs="Times New Roman" w:hint="eastAsia"/>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1720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3</w:t>
            </w:r>
          </w:p>
        </w:tc>
        <w:tc>
          <w:tcPr>
            <w:tcW w:w="47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李家咀</w:t>
            </w:r>
            <w:r>
              <w:rPr>
                <w:rFonts w:ascii="Times New Roman" w:cs="Times New Roman"/>
                <w:sz w:val="21"/>
                <w:szCs w:val="21"/>
              </w:rPr>
              <w:t>农户</w:t>
            </w:r>
            <w:r>
              <w:rPr>
                <w:rFonts w:ascii="Times New Roman" w:cs="Times New Roman" w:hint="eastAsia"/>
                <w:sz w:val="21"/>
                <w:szCs w:val="21"/>
              </w:rPr>
              <w:t>3#</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-740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-1505</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25</w:t>
            </w:r>
            <w:r>
              <w:rPr>
                <w:rFonts w:ascii="Times New Roman" w:cs="Times New Roman"/>
                <w:sz w:val="21"/>
                <w:szCs w:val="21"/>
              </w:rPr>
              <w:t>户</w:t>
            </w:r>
            <w:r>
              <w:rPr>
                <w:rFonts w:ascii="Times New Roman" w:cs="Times New Roman" w:hint="eastAsia"/>
                <w:sz w:val="21"/>
                <w:szCs w:val="21"/>
              </w:rPr>
              <w:t>80</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1700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4</w:t>
            </w:r>
          </w:p>
        </w:tc>
        <w:tc>
          <w:tcPr>
            <w:tcW w:w="47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土主镇场镇</w:t>
            </w:r>
            <w:r>
              <w:rPr>
                <w:rFonts w:ascii="Times New Roman" w:cs="Times New Roman" w:hint="eastAsia"/>
                <w:sz w:val="21"/>
                <w:szCs w:val="21"/>
              </w:rPr>
              <w:t>4#</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-2125</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-1470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场镇居民</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8000</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2540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5</w:t>
            </w:r>
          </w:p>
        </w:tc>
        <w:tc>
          <w:tcPr>
            <w:tcW w:w="47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宣汉</w:t>
            </w:r>
            <w:r>
              <w:rPr>
                <w:rFonts w:ascii="Times New Roman" w:cs="Times New Roman"/>
                <w:sz w:val="21"/>
                <w:szCs w:val="21"/>
              </w:rPr>
              <w:t>人民医院土主分院</w:t>
            </w:r>
            <w:r>
              <w:rPr>
                <w:rFonts w:ascii="Times New Roman" w:cs="Times New Roman" w:hint="eastAsia"/>
                <w:sz w:val="21"/>
                <w:szCs w:val="21"/>
              </w:rPr>
              <w:t>5#</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-2460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-1430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医院</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约</w:t>
            </w:r>
            <w:r>
              <w:rPr>
                <w:rFonts w:ascii="Times New Roman" w:cs="Times New Roman" w:hint="eastAsia"/>
                <w:sz w:val="21"/>
                <w:szCs w:val="21"/>
              </w:rPr>
              <w:t>500</w:t>
            </w:r>
            <w:r>
              <w:rPr>
                <w:rFonts w:ascii="Times New Roman" w:cs="Times New Roman" w:hint="eastAsia"/>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2810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6</w:t>
            </w:r>
          </w:p>
        </w:tc>
        <w:tc>
          <w:tcPr>
            <w:tcW w:w="47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童家坡</w:t>
            </w:r>
            <w:r>
              <w:rPr>
                <w:rFonts w:ascii="Times New Roman" w:cs="Times New Roman"/>
                <w:sz w:val="21"/>
                <w:szCs w:val="21"/>
              </w:rPr>
              <w:t>农户</w:t>
            </w:r>
            <w:r>
              <w:rPr>
                <w:rFonts w:ascii="Times New Roman" w:cs="Times New Roman" w:hint="eastAsia"/>
                <w:sz w:val="21"/>
                <w:szCs w:val="21"/>
              </w:rPr>
              <w:t>6#</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-930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-1920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约</w:t>
            </w:r>
            <w:r>
              <w:rPr>
                <w:rFonts w:ascii="Times New Roman" w:cs="Times New Roman" w:hint="eastAsia"/>
                <w:sz w:val="21"/>
                <w:szCs w:val="21"/>
              </w:rPr>
              <w:t>20</w:t>
            </w:r>
            <w:r>
              <w:rPr>
                <w:rFonts w:ascii="Times New Roman" w:cs="Times New Roman" w:hint="eastAsia"/>
                <w:sz w:val="21"/>
                <w:szCs w:val="21"/>
              </w:rPr>
              <w:t>户</w:t>
            </w:r>
            <w:r>
              <w:rPr>
                <w:rFonts w:ascii="Times New Roman" w:cs="Times New Roman" w:hint="eastAsia"/>
                <w:sz w:val="21"/>
                <w:szCs w:val="21"/>
              </w:rPr>
              <w:t>65</w:t>
            </w:r>
            <w:r>
              <w:rPr>
                <w:rFonts w:ascii="Times New Roman" w:cs="Times New Roman" w:hint="eastAsia"/>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2150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7</w:t>
            </w:r>
          </w:p>
        </w:tc>
        <w:tc>
          <w:tcPr>
            <w:tcW w:w="47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石人村农户</w:t>
            </w:r>
            <w:r>
              <w:rPr>
                <w:rFonts w:ascii="Times New Roman" w:cs="Times New Roman" w:hint="eastAsia"/>
                <w:sz w:val="21"/>
                <w:szCs w:val="21"/>
              </w:rPr>
              <w:t>7#</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-1160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-2290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约</w:t>
            </w:r>
            <w:r>
              <w:rPr>
                <w:rFonts w:ascii="Times New Roman" w:cs="Times New Roman" w:hint="eastAsia"/>
                <w:sz w:val="21"/>
                <w:szCs w:val="21"/>
              </w:rPr>
              <w:t>15</w:t>
            </w:r>
            <w:r>
              <w:rPr>
                <w:rFonts w:ascii="Times New Roman" w:cs="Times New Roman" w:hint="eastAsia"/>
                <w:sz w:val="21"/>
                <w:szCs w:val="21"/>
              </w:rPr>
              <w:t>户</w:t>
            </w:r>
            <w:r>
              <w:rPr>
                <w:rFonts w:ascii="Times New Roman" w:cs="Times New Roman" w:hint="eastAsia"/>
                <w:sz w:val="21"/>
                <w:szCs w:val="21"/>
              </w:rPr>
              <w:t>50</w:t>
            </w:r>
            <w:r>
              <w:rPr>
                <w:rFonts w:ascii="Times New Roman" w:cs="Times New Roman" w:hint="eastAsia"/>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2640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8</w:t>
            </w:r>
          </w:p>
        </w:tc>
        <w:tc>
          <w:tcPr>
            <w:tcW w:w="47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汤家沟</w:t>
            </w:r>
            <w:r>
              <w:rPr>
                <w:rFonts w:ascii="Times New Roman" w:cs="Times New Roman"/>
                <w:sz w:val="21"/>
                <w:szCs w:val="21"/>
              </w:rPr>
              <w:t>农户</w:t>
            </w:r>
            <w:r>
              <w:rPr>
                <w:rFonts w:ascii="Times New Roman" w:cs="Times New Roman" w:hint="eastAsia"/>
                <w:sz w:val="21"/>
                <w:szCs w:val="21"/>
              </w:rPr>
              <w:t>8#</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-2010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-3170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约</w:t>
            </w:r>
            <w:r>
              <w:rPr>
                <w:rFonts w:ascii="Times New Roman" w:cs="Times New Roman" w:hint="eastAsia"/>
                <w:sz w:val="21"/>
                <w:szCs w:val="21"/>
              </w:rPr>
              <w:t>10</w:t>
            </w:r>
            <w:r>
              <w:rPr>
                <w:rFonts w:ascii="Times New Roman" w:cs="Times New Roman" w:hint="eastAsia"/>
                <w:sz w:val="21"/>
                <w:szCs w:val="21"/>
              </w:rPr>
              <w:t>户</w:t>
            </w:r>
            <w:r>
              <w:rPr>
                <w:rFonts w:ascii="Times New Roman" w:cs="Times New Roman" w:hint="eastAsia"/>
                <w:sz w:val="21"/>
                <w:szCs w:val="21"/>
              </w:rPr>
              <w:t>30</w:t>
            </w:r>
            <w:r>
              <w:rPr>
                <w:rFonts w:ascii="Times New Roman" w:cs="Times New Roman" w:hint="eastAsia"/>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379</w:t>
            </w:r>
            <w:r>
              <w:rPr>
                <w:rFonts w:ascii="Times New Roman" w:cs="Times New Roman"/>
                <w:sz w:val="21"/>
                <w:szCs w:val="21"/>
              </w:rPr>
              <w:t>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9</w:t>
            </w:r>
          </w:p>
        </w:tc>
        <w:tc>
          <w:tcPr>
            <w:tcW w:w="47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严家湾</w:t>
            </w:r>
            <w:r>
              <w:rPr>
                <w:rFonts w:ascii="Times New Roman" w:cs="Times New Roman"/>
                <w:sz w:val="21"/>
                <w:szCs w:val="21"/>
              </w:rPr>
              <w:t>农户</w:t>
            </w:r>
            <w:r>
              <w:rPr>
                <w:rFonts w:ascii="Times New Roman" w:cs="Times New Roman" w:hint="eastAsia"/>
                <w:sz w:val="21"/>
                <w:szCs w:val="21"/>
              </w:rPr>
              <w:t>9#</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-2950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-2980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5</w:t>
            </w:r>
            <w:r>
              <w:rPr>
                <w:rFonts w:ascii="Times New Roman" w:cs="Times New Roman"/>
                <w:sz w:val="21"/>
                <w:szCs w:val="21"/>
              </w:rPr>
              <w:t>户</w:t>
            </w:r>
            <w:r>
              <w:rPr>
                <w:rFonts w:ascii="Times New Roman" w:cs="Times New Roman" w:hint="eastAsia"/>
                <w:sz w:val="21"/>
                <w:szCs w:val="21"/>
              </w:rPr>
              <w:t>15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3960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10</w:t>
            </w:r>
          </w:p>
        </w:tc>
        <w:tc>
          <w:tcPr>
            <w:tcW w:w="47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胡家营</w:t>
            </w:r>
            <w:r>
              <w:rPr>
                <w:rFonts w:ascii="Times New Roman" w:cs="Times New Roman"/>
                <w:sz w:val="21"/>
                <w:szCs w:val="21"/>
              </w:rPr>
              <w:t>农户</w:t>
            </w:r>
            <w:r>
              <w:rPr>
                <w:rFonts w:ascii="Times New Roman" w:cs="Times New Roman" w:hint="eastAsia"/>
                <w:sz w:val="21"/>
                <w:szCs w:val="21"/>
              </w:rPr>
              <w:t>10#</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-1720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-3700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约</w:t>
            </w:r>
            <w:r>
              <w:rPr>
                <w:rFonts w:ascii="Times New Roman" w:cs="Times New Roman" w:hint="eastAsia"/>
                <w:sz w:val="21"/>
                <w:szCs w:val="21"/>
              </w:rPr>
              <w:t>50</w:t>
            </w:r>
            <w:r>
              <w:rPr>
                <w:rFonts w:ascii="Times New Roman" w:cs="Times New Roman" w:hint="eastAsia"/>
                <w:sz w:val="21"/>
                <w:szCs w:val="21"/>
              </w:rPr>
              <w:t>户</w:t>
            </w:r>
            <w:r>
              <w:rPr>
                <w:rFonts w:ascii="Times New Roman" w:cs="Times New Roman" w:hint="eastAsia"/>
                <w:sz w:val="21"/>
                <w:szCs w:val="21"/>
              </w:rPr>
              <w:t>170</w:t>
            </w:r>
            <w:r>
              <w:rPr>
                <w:rFonts w:ascii="Times New Roman" w:cs="Times New Roman" w:hint="eastAsia"/>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4230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11</w:t>
            </w:r>
          </w:p>
        </w:tc>
        <w:tc>
          <w:tcPr>
            <w:tcW w:w="47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梯子坎</w:t>
            </w:r>
            <w:r>
              <w:rPr>
                <w:rFonts w:ascii="Times New Roman" w:cs="Times New Roman"/>
                <w:sz w:val="21"/>
                <w:szCs w:val="21"/>
              </w:rPr>
              <w:t>农户</w:t>
            </w:r>
            <w:r>
              <w:rPr>
                <w:rFonts w:ascii="Times New Roman" w:cs="Times New Roman" w:hint="eastAsia"/>
                <w:sz w:val="21"/>
                <w:szCs w:val="21"/>
              </w:rPr>
              <w:t>11#</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-2850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-3560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30</w:t>
            </w:r>
            <w:r>
              <w:rPr>
                <w:rFonts w:ascii="Times New Roman" w:cs="Times New Roman"/>
                <w:sz w:val="21"/>
                <w:szCs w:val="21"/>
              </w:rPr>
              <w:t>户</w:t>
            </w:r>
            <w:r>
              <w:rPr>
                <w:rFonts w:ascii="Times New Roman" w:cs="Times New Roman" w:hint="eastAsia"/>
                <w:sz w:val="21"/>
                <w:szCs w:val="21"/>
              </w:rPr>
              <w:t>95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4590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12</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鞍子</w:t>
            </w:r>
            <w:r>
              <w:rPr>
                <w:rFonts w:ascii="Times New Roman" w:cs="Times New Roman"/>
                <w:sz w:val="21"/>
                <w:szCs w:val="21"/>
              </w:rPr>
              <w:t>沟农户</w:t>
            </w:r>
            <w:r>
              <w:rPr>
                <w:rFonts w:ascii="Times New Roman" w:cs="Times New Roman" w:hint="eastAsia"/>
                <w:sz w:val="21"/>
                <w:szCs w:val="21"/>
              </w:rPr>
              <w:t>12#</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-2240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-4250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约</w:t>
            </w:r>
            <w:r>
              <w:rPr>
                <w:rFonts w:ascii="Times New Roman" w:cs="Times New Roman" w:hint="eastAsia"/>
                <w:sz w:val="21"/>
                <w:szCs w:val="21"/>
              </w:rPr>
              <w:t>3</w:t>
            </w:r>
            <w:r>
              <w:rPr>
                <w:rFonts w:ascii="Times New Roman" w:cs="Times New Roman" w:hint="eastAsia"/>
                <w:sz w:val="21"/>
                <w:szCs w:val="21"/>
              </w:rPr>
              <w:t>户</w:t>
            </w:r>
            <w:r>
              <w:rPr>
                <w:rFonts w:ascii="Times New Roman" w:cs="Times New Roman" w:hint="eastAsia"/>
                <w:sz w:val="21"/>
                <w:szCs w:val="21"/>
              </w:rPr>
              <w:t>10</w:t>
            </w:r>
            <w:r>
              <w:rPr>
                <w:rFonts w:ascii="Times New Roman" w:cs="Times New Roman" w:hint="eastAsia"/>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4900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13</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bCs/>
                <w:sz w:val="21"/>
                <w:szCs w:val="21"/>
              </w:rPr>
              <w:t>铧尖坡</w:t>
            </w:r>
            <w:r>
              <w:rPr>
                <w:rFonts w:ascii="Times New Roman" w:cs="Times New Roman"/>
                <w:sz w:val="21"/>
                <w:szCs w:val="21"/>
              </w:rPr>
              <w:t>农户</w:t>
            </w:r>
            <w:r>
              <w:rPr>
                <w:rFonts w:ascii="Times New Roman" w:cs="Times New Roman" w:hint="eastAsia"/>
                <w:sz w:val="21"/>
                <w:szCs w:val="21"/>
              </w:rPr>
              <w:t>13#</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-3170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-4440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约</w:t>
            </w:r>
            <w:r>
              <w:rPr>
                <w:rFonts w:ascii="Times New Roman" w:cs="Times New Roman" w:hint="eastAsia"/>
                <w:sz w:val="21"/>
                <w:szCs w:val="21"/>
              </w:rPr>
              <w:t>10</w:t>
            </w:r>
            <w:r>
              <w:rPr>
                <w:rFonts w:ascii="Times New Roman" w:cs="Times New Roman" w:hint="eastAsia"/>
                <w:sz w:val="21"/>
                <w:szCs w:val="21"/>
              </w:rPr>
              <w:t>户</w:t>
            </w:r>
            <w:r>
              <w:rPr>
                <w:rFonts w:ascii="Times New Roman" w:cs="Times New Roman" w:hint="eastAsia"/>
                <w:sz w:val="21"/>
                <w:szCs w:val="21"/>
              </w:rPr>
              <w:t>30</w:t>
            </w:r>
            <w:r>
              <w:rPr>
                <w:rFonts w:ascii="Times New Roman" w:cs="Times New Roman" w:hint="eastAsia"/>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5570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14</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笕槽岭</w:t>
            </w:r>
            <w:r>
              <w:rPr>
                <w:rFonts w:ascii="Times New Roman" w:cs="Times New Roman"/>
                <w:sz w:val="21"/>
                <w:szCs w:val="21"/>
              </w:rPr>
              <w:t>农户</w:t>
            </w:r>
            <w:r>
              <w:rPr>
                <w:rFonts w:ascii="Times New Roman" w:cs="Times New Roman" w:hint="eastAsia"/>
                <w:sz w:val="21"/>
                <w:szCs w:val="21"/>
              </w:rPr>
              <w:t>14#</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-920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-4310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约</w:t>
            </w:r>
            <w:r>
              <w:rPr>
                <w:rFonts w:ascii="Times New Roman" w:cs="Times New Roman" w:hint="eastAsia"/>
                <w:sz w:val="21"/>
                <w:szCs w:val="21"/>
              </w:rPr>
              <w:t>20</w:t>
            </w:r>
            <w:r>
              <w:rPr>
                <w:rFonts w:ascii="Times New Roman" w:cs="Times New Roman" w:hint="eastAsia"/>
                <w:sz w:val="21"/>
                <w:szCs w:val="21"/>
              </w:rPr>
              <w:t>户</w:t>
            </w:r>
            <w:r>
              <w:rPr>
                <w:rFonts w:ascii="Times New Roman" w:cs="Times New Roman" w:hint="eastAsia"/>
                <w:sz w:val="21"/>
                <w:szCs w:val="21"/>
              </w:rPr>
              <w:t>65</w:t>
            </w:r>
            <w:r>
              <w:rPr>
                <w:rFonts w:ascii="Times New Roman" w:cs="Times New Roman" w:hint="eastAsia"/>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4460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15</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color w:val="FF0000"/>
                <w:sz w:val="21"/>
                <w:szCs w:val="21"/>
              </w:rPr>
            </w:pPr>
            <w:r>
              <w:rPr>
                <w:rFonts w:ascii="Times New Roman" w:cs="Times New Roman" w:hint="eastAsia"/>
                <w:sz w:val="21"/>
                <w:szCs w:val="21"/>
              </w:rPr>
              <w:t>三溪口</w:t>
            </w:r>
            <w:r>
              <w:rPr>
                <w:rFonts w:ascii="Times New Roman" w:cs="Times New Roman"/>
                <w:sz w:val="21"/>
                <w:szCs w:val="21"/>
              </w:rPr>
              <w:t>农户</w:t>
            </w:r>
            <w:r>
              <w:rPr>
                <w:rFonts w:ascii="Times New Roman" w:cs="Times New Roman" w:hint="eastAsia"/>
                <w:sz w:val="21"/>
                <w:szCs w:val="21"/>
              </w:rPr>
              <w:t>15#</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color w:val="FF0000"/>
                <w:sz w:val="21"/>
                <w:szCs w:val="21"/>
              </w:rPr>
            </w:pPr>
            <w:r>
              <w:rPr>
                <w:rFonts w:ascii="Times New Roman" w:cs="Times New Roman" w:hint="eastAsia"/>
                <w:sz w:val="21"/>
                <w:szCs w:val="21"/>
              </w:rPr>
              <w:t>-3250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color w:val="FF0000"/>
                <w:sz w:val="21"/>
                <w:szCs w:val="21"/>
              </w:rPr>
            </w:pPr>
            <w:r>
              <w:rPr>
                <w:rFonts w:ascii="Times New Roman" w:cs="Times New Roman" w:hint="eastAsia"/>
                <w:sz w:val="21"/>
                <w:szCs w:val="21"/>
              </w:rPr>
              <w:t>-2960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color w:val="FF0000"/>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color w:val="FF0000"/>
                <w:sz w:val="21"/>
                <w:szCs w:val="21"/>
              </w:rPr>
            </w:pPr>
            <w:r>
              <w:rPr>
                <w:rFonts w:ascii="Times New Roman" w:cs="Times New Roman" w:hint="eastAsia"/>
                <w:sz w:val="21"/>
                <w:szCs w:val="21"/>
              </w:rPr>
              <w:t>约</w:t>
            </w:r>
            <w:r>
              <w:rPr>
                <w:rFonts w:ascii="Times New Roman" w:cs="Times New Roman" w:hint="eastAsia"/>
                <w:sz w:val="21"/>
                <w:szCs w:val="21"/>
              </w:rPr>
              <w:t>10</w:t>
            </w:r>
            <w:r>
              <w:rPr>
                <w:rFonts w:ascii="Times New Roman" w:cs="Times New Roman" w:hint="eastAsia"/>
                <w:sz w:val="21"/>
                <w:szCs w:val="21"/>
              </w:rPr>
              <w:t>户</w:t>
            </w:r>
            <w:r>
              <w:rPr>
                <w:rFonts w:ascii="Times New Roman" w:cs="Times New Roman" w:hint="eastAsia"/>
                <w:sz w:val="21"/>
                <w:szCs w:val="21"/>
              </w:rPr>
              <w:t>30</w:t>
            </w:r>
            <w:r>
              <w:rPr>
                <w:rFonts w:ascii="Times New Roman" w:cs="Times New Roman" w:hint="eastAsia"/>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color w:val="FF0000"/>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color w:val="FF0000"/>
                <w:sz w:val="21"/>
                <w:szCs w:val="21"/>
              </w:rPr>
            </w:pPr>
            <w:r>
              <w:rPr>
                <w:rFonts w:ascii="Times New Roman" w:cs="Times New Roman" w:hint="eastAsia"/>
                <w:sz w:val="21"/>
                <w:szCs w:val="21"/>
              </w:rPr>
              <w:t>4650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16</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大石鼓农户</w:t>
            </w:r>
            <w:r>
              <w:rPr>
                <w:rFonts w:ascii="Times New Roman" w:cs="Times New Roman" w:hint="eastAsia"/>
                <w:sz w:val="21"/>
                <w:szCs w:val="21"/>
              </w:rPr>
              <w:t>16#</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-3650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-3790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约</w:t>
            </w:r>
            <w:r>
              <w:rPr>
                <w:rFonts w:ascii="Times New Roman" w:cs="Times New Roman" w:hint="eastAsia"/>
                <w:sz w:val="21"/>
                <w:szCs w:val="21"/>
              </w:rPr>
              <w:t>10</w:t>
            </w:r>
            <w:r>
              <w:rPr>
                <w:rFonts w:ascii="Times New Roman" w:cs="Times New Roman" w:hint="eastAsia"/>
                <w:sz w:val="21"/>
                <w:szCs w:val="21"/>
              </w:rPr>
              <w:t>户</w:t>
            </w:r>
            <w:r>
              <w:rPr>
                <w:rFonts w:ascii="Times New Roman" w:cs="Times New Roman" w:hint="eastAsia"/>
                <w:sz w:val="21"/>
                <w:szCs w:val="21"/>
              </w:rPr>
              <w:t>30</w:t>
            </w:r>
            <w:r>
              <w:rPr>
                <w:rFonts w:ascii="Times New Roman" w:cs="Times New Roman" w:hint="eastAsia"/>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5370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17</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王家河边</w:t>
            </w:r>
            <w:r>
              <w:rPr>
                <w:rFonts w:ascii="Times New Roman" w:cs="Times New Roman"/>
                <w:sz w:val="21"/>
                <w:szCs w:val="21"/>
              </w:rPr>
              <w:t>农户</w:t>
            </w:r>
            <w:r>
              <w:rPr>
                <w:rFonts w:ascii="Times New Roman" w:cs="Times New Roman" w:hint="eastAsia"/>
                <w:sz w:val="21"/>
                <w:szCs w:val="21"/>
              </w:rPr>
              <w:t>17#</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-4300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-3090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约</w:t>
            </w:r>
            <w:r>
              <w:rPr>
                <w:rFonts w:ascii="Times New Roman" w:cs="Times New Roman" w:hint="eastAsia"/>
                <w:sz w:val="21"/>
                <w:szCs w:val="21"/>
              </w:rPr>
              <w:t>15</w:t>
            </w:r>
            <w:r>
              <w:rPr>
                <w:rFonts w:ascii="Times New Roman" w:cs="Times New Roman" w:hint="eastAsia"/>
                <w:sz w:val="21"/>
                <w:szCs w:val="21"/>
              </w:rPr>
              <w:t>户</w:t>
            </w:r>
            <w:r>
              <w:rPr>
                <w:rFonts w:ascii="Times New Roman" w:cs="Times New Roman" w:hint="eastAsia"/>
                <w:sz w:val="21"/>
                <w:szCs w:val="21"/>
              </w:rPr>
              <w:t>50</w:t>
            </w:r>
            <w:r>
              <w:rPr>
                <w:rFonts w:ascii="Times New Roman" w:cs="Times New Roman" w:hint="eastAsia"/>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538</w:t>
            </w:r>
            <w:r>
              <w:rPr>
                <w:rFonts w:ascii="Times New Roman" w:cs="Times New Roman"/>
                <w:sz w:val="21"/>
                <w:szCs w:val="21"/>
              </w:rPr>
              <w:t>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1</w:t>
            </w:r>
            <w:r>
              <w:rPr>
                <w:rFonts w:ascii="Times New Roman" w:cs="Times New Roman" w:hint="eastAsia"/>
                <w:sz w:val="21"/>
                <w:szCs w:val="21"/>
              </w:rPr>
              <w:t>8</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陡咀河脚</w:t>
            </w:r>
            <w:r>
              <w:rPr>
                <w:rFonts w:ascii="Times New Roman" w:cs="Times New Roman"/>
                <w:sz w:val="21"/>
                <w:szCs w:val="21"/>
              </w:rPr>
              <w:t>农户</w:t>
            </w:r>
            <w:r>
              <w:rPr>
                <w:rFonts w:ascii="Times New Roman" w:cs="Times New Roman" w:hint="eastAsia"/>
                <w:sz w:val="21"/>
                <w:szCs w:val="21"/>
              </w:rPr>
              <w:t>18#</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-4820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-3450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约</w:t>
            </w:r>
            <w:r>
              <w:rPr>
                <w:rFonts w:ascii="Times New Roman" w:cs="Times New Roman" w:hint="eastAsia"/>
                <w:sz w:val="21"/>
                <w:szCs w:val="21"/>
              </w:rPr>
              <w:t>10</w:t>
            </w:r>
            <w:r>
              <w:rPr>
                <w:rFonts w:ascii="Times New Roman" w:cs="Times New Roman" w:hint="eastAsia"/>
                <w:sz w:val="21"/>
                <w:szCs w:val="21"/>
              </w:rPr>
              <w:t>户</w:t>
            </w:r>
            <w:r>
              <w:rPr>
                <w:rFonts w:ascii="Times New Roman" w:cs="Times New Roman" w:hint="eastAsia"/>
                <w:sz w:val="21"/>
                <w:szCs w:val="21"/>
              </w:rPr>
              <w:t>30</w:t>
            </w:r>
            <w:r>
              <w:rPr>
                <w:rFonts w:ascii="Times New Roman" w:cs="Times New Roman" w:hint="eastAsia"/>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6000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19</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鱼坝村</w:t>
            </w:r>
            <w:r>
              <w:rPr>
                <w:rFonts w:ascii="Times New Roman" w:cs="Times New Roman"/>
                <w:sz w:val="21"/>
                <w:szCs w:val="21"/>
              </w:rPr>
              <w:t>农户</w:t>
            </w:r>
            <w:r>
              <w:rPr>
                <w:rFonts w:ascii="Times New Roman" w:cs="Times New Roman" w:hint="eastAsia"/>
                <w:sz w:val="21"/>
                <w:szCs w:val="21"/>
              </w:rPr>
              <w:t>19#</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-2000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90</w:t>
            </w:r>
            <w:r>
              <w:rPr>
                <w:rFonts w:ascii="Times New Roman" w:cs="Times New Roman"/>
                <w:sz w:val="21"/>
                <w:szCs w:val="21"/>
              </w:rPr>
              <w:t>户</w:t>
            </w:r>
            <w:r>
              <w:rPr>
                <w:rFonts w:ascii="Times New Roman" w:cs="Times New Roman" w:hint="eastAsia"/>
                <w:sz w:val="21"/>
                <w:szCs w:val="21"/>
              </w:rPr>
              <w:t>350</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2000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20</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陶家沟</w:t>
            </w:r>
            <w:r>
              <w:rPr>
                <w:rFonts w:ascii="Times New Roman" w:cs="Times New Roman"/>
                <w:sz w:val="21"/>
                <w:szCs w:val="21"/>
              </w:rPr>
              <w:t>农户</w:t>
            </w:r>
            <w:r>
              <w:rPr>
                <w:rFonts w:ascii="Times New Roman" w:cs="Times New Roman" w:hint="eastAsia"/>
                <w:sz w:val="21"/>
                <w:szCs w:val="21"/>
              </w:rPr>
              <w:t>20#</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-4000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约</w:t>
            </w:r>
            <w:r>
              <w:rPr>
                <w:rFonts w:ascii="Times New Roman" w:cs="Times New Roman" w:hint="eastAsia"/>
                <w:sz w:val="21"/>
                <w:szCs w:val="21"/>
              </w:rPr>
              <w:t>8</w:t>
            </w:r>
            <w:r>
              <w:rPr>
                <w:rFonts w:ascii="Times New Roman" w:cs="Times New Roman" w:hint="eastAsia"/>
                <w:sz w:val="21"/>
                <w:szCs w:val="21"/>
              </w:rPr>
              <w:t>户</w:t>
            </w:r>
            <w:r>
              <w:rPr>
                <w:rFonts w:ascii="Times New Roman" w:cs="Times New Roman" w:hint="eastAsia"/>
                <w:sz w:val="21"/>
                <w:szCs w:val="21"/>
              </w:rPr>
              <w:t>25</w:t>
            </w:r>
            <w:r>
              <w:rPr>
                <w:rFonts w:ascii="Times New Roman" w:cs="Times New Roman" w:hint="eastAsia"/>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4000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lastRenderedPageBreak/>
              <w:t>21</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文家湾</w:t>
            </w:r>
            <w:r>
              <w:rPr>
                <w:rFonts w:ascii="Times New Roman" w:cs="Times New Roman"/>
                <w:sz w:val="21"/>
                <w:szCs w:val="21"/>
              </w:rPr>
              <w:t>农户</w:t>
            </w:r>
            <w:r>
              <w:rPr>
                <w:rFonts w:ascii="Times New Roman" w:cs="Times New Roman" w:hint="eastAsia"/>
                <w:sz w:val="21"/>
                <w:szCs w:val="21"/>
              </w:rPr>
              <w:t>21#</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-4870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约</w:t>
            </w:r>
            <w:r>
              <w:rPr>
                <w:rFonts w:ascii="Times New Roman" w:cs="Times New Roman" w:hint="eastAsia"/>
                <w:sz w:val="21"/>
                <w:szCs w:val="21"/>
              </w:rPr>
              <w:t>10</w:t>
            </w:r>
            <w:r>
              <w:rPr>
                <w:rFonts w:ascii="Times New Roman" w:cs="Times New Roman" w:hint="eastAsia"/>
                <w:sz w:val="21"/>
                <w:szCs w:val="21"/>
              </w:rPr>
              <w:t>户</w:t>
            </w:r>
            <w:r>
              <w:rPr>
                <w:rFonts w:ascii="Times New Roman" w:cs="Times New Roman" w:hint="eastAsia"/>
                <w:sz w:val="21"/>
                <w:szCs w:val="21"/>
              </w:rPr>
              <w:t>30</w:t>
            </w:r>
            <w:r>
              <w:rPr>
                <w:rFonts w:ascii="Times New Roman" w:cs="Times New Roman" w:hint="eastAsia"/>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4870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22</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汤家沟</w:t>
            </w:r>
            <w:r>
              <w:rPr>
                <w:rFonts w:ascii="Times New Roman" w:cs="Times New Roman"/>
                <w:sz w:val="21"/>
                <w:szCs w:val="21"/>
              </w:rPr>
              <w:t>农户</w:t>
            </w:r>
            <w:r>
              <w:rPr>
                <w:rFonts w:ascii="Times New Roman" w:cs="Times New Roman" w:hint="eastAsia"/>
                <w:sz w:val="21"/>
                <w:szCs w:val="21"/>
              </w:rPr>
              <w:t>22#</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-3520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约</w:t>
            </w:r>
            <w:r>
              <w:rPr>
                <w:rFonts w:ascii="Times New Roman" w:cs="Times New Roman" w:hint="eastAsia"/>
                <w:sz w:val="21"/>
                <w:szCs w:val="21"/>
              </w:rPr>
              <w:t>10</w:t>
            </w:r>
            <w:r>
              <w:rPr>
                <w:rFonts w:ascii="Times New Roman" w:cs="Times New Roman" w:hint="eastAsia"/>
                <w:sz w:val="21"/>
                <w:szCs w:val="21"/>
              </w:rPr>
              <w:t>户</w:t>
            </w:r>
            <w:r>
              <w:rPr>
                <w:rFonts w:ascii="Times New Roman" w:cs="Times New Roman" w:hint="eastAsia"/>
                <w:sz w:val="21"/>
                <w:szCs w:val="21"/>
              </w:rPr>
              <w:t>30</w:t>
            </w:r>
            <w:r>
              <w:rPr>
                <w:rFonts w:ascii="Times New Roman" w:cs="Times New Roman" w:hint="eastAsia"/>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3520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23</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土地岩农户</w:t>
            </w:r>
            <w:r>
              <w:rPr>
                <w:rFonts w:ascii="Times New Roman" w:cs="Times New Roman" w:hint="eastAsia"/>
                <w:sz w:val="21"/>
                <w:szCs w:val="21"/>
              </w:rPr>
              <w:t>23#</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4750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15</w:t>
            </w:r>
            <w:r>
              <w:rPr>
                <w:rFonts w:ascii="Times New Roman" w:cs="Times New Roman"/>
                <w:sz w:val="21"/>
                <w:szCs w:val="21"/>
              </w:rPr>
              <w:t>户</w:t>
            </w:r>
            <w:r>
              <w:rPr>
                <w:rFonts w:ascii="Times New Roman" w:cs="Times New Roman" w:hint="eastAsia"/>
                <w:sz w:val="21"/>
                <w:szCs w:val="21"/>
              </w:rPr>
              <w:t>50</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4750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24</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刘家坡</w:t>
            </w:r>
            <w:r>
              <w:rPr>
                <w:rFonts w:ascii="Times New Roman" w:cs="Times New Roman"/>
                <w:sz w:val="21"/>
                <w:szCs w:val="21"/>
              </w:rPr>
              <w:t>农户</w:t>
            </w:r>
            <w:r>
              <w:rPr>
                <w:rFonts w:ascii="Times New Roman" w:cs="Times New Roman" w:hint="eastAsia"/>
                <w:sz w:val="21"/>
                <w:szCs w:val="21"/>
              </w:rPr>
              <w:t>24#</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4560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-1740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5</w:t>
            </w:r>
            <w:r>
              <w:rPr>
                <w:rFonts w:ascii="Times New Roman" w:cs="Times New Roman"/>
                <w:sz w:val="21"/>
                <w:szCs w:val="21"/>
              </w:rPr>
              <w:t>户</w:t>
            </w:r>
            <w:r>
              <w:rPr>
                <w:rFonts w:ascii="Times New Roman" w:cs="Times New Roman" w:hint="eastAsia"/>
                <w:sz w:val="21"/>
                <w:szCs w:val="21"/>
              </w:rPr>
              <w:t>15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4870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25</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白岩坡</w:t>
            </w:r>
            <w:r>
              <w:rPr>
                <w:rFonts w:ascii="Times New Roman" w:cs="Times New Roman"/>
                <w:sz w:val="21"/>
                <w:szCs w:val="21"/>
              </w:rPr>
              <w:t>农户</w:t>
            </w:r>
            <w:r>
              <w:rPr>
                <w:rFonts w:ascii="Times New Roman" w:cs="Times New Roman" w:hint="eastAsia"/>
                <w:sz w:val="21"/>
                <w:szCs w:val="21"/>
              </w:rPr>
              <w:t>25#</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4770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-2890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5</w:t>
            </w:r>
            <w:r>
              <w:rPr>
                <w:rFonts w:ascii="Times New Roman" w:cs="Times New Roman"/>
                <w:sz w:val="21"/>
                <w:szCs w:val="21"/>
              </w:rPr>
              <w:t>户</w:t>
            </w:r>
            <w:r>
              <w:rPr>
                <w:rFonts w:ascii="Times New Roman" w:cs="Times New Roman" w:hint="eastAsia"/>
                <w:sz w:val="21"/>
                <w:szCs w:val="21"/>
              </w:rPr>
              <w:t>15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5420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26</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Pr="00D82054" w:rsidRDefault="00F64314">
            <w:pPr>
              <w:spacing w:line="240" w:lineRule="auto"/>
              <w:ind w:firstLineChars="0" w:firstLine="0"/>
              <w:jc w:val="center"/>
              <w:rPr>
                <w:rFonts w:ascii="Times New Roman" w:cs="Times New Roman"/>
                <w:color w:val="FF0000"/>
                <w:sz w:val="21"/>
                <w:szCs w:val="21"/>
              </w:rPr>
            </w:pPr>
            <w:r w:rsidRPr="00D82054">
              <w:rPr>
                <w:rFonts w:ascii="Times New Roman" w:cs="Times New Roman" w:hint="eastAsia"/>
                <w:color w:val="FF0000"/>
                <w:sz w:val="21"/>
                <w:szCs w:val="21"/>
              </w:rPr>
              <w:t>北斗村</w:t>
            </w:r>
            <w:r w:rsidRPr="00D82054">
              <w:rPr>
                <w:rFonts w:ascii="Times New Roman" w:cs="Times New Roman"/>
                <w:color w:val="FF0000"/>
                <w:sz w:val="21"/>
                <w:szCs w:val="21"/>
              </w:rPr>
              <w:t>农户</w:t>
            </w:r>
            <w:r w:rsidRPr="00D82054">
              <w:rPr>
                <w:rFonts w:ascii="Times New Roman" w:cs="Times New Roman" w:hint="eastAsia"/>
                <w:color w:val="FF0000"/>
                <w:sz w:val="21"/>
                <w:szCs w:val="21"/>
              </w:rPr>
              <w:t>26#</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4350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990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约</w:t>
            </w:r>
            <w:r>
              <w:rPr>
                <w:rFonts w:ascii="Times New Roman" w:cs="Times New Roman" w:hint="eastAsia"/>
                <w:sz w:val="21"/>
                <w:szCs w:val="21"/>
              </w:rPr>
              <w:t>20</w:t>
            </w:r>
            <w:r>
              <w:rPr>
                <w:rFonts w:ascii="Times New Roman" w:cs="Times New Roman" w:hint="eastAsia"/>
                <w:sz w:val="21"/>
                <w:szCs w:val="21"/>
              </w:rPr>
              <w:t>户</w:t>
            </w:r>
            <w:r>
              <w:rPr>
                <w:rFonts w:ascii="Times New Roman" w:cs="Times New Roman" w:hint="eastAsia"/>
                <w:sz w:val="21"/>
                <w:szCs w:val="21"/>
              </w:rPr>
              <w:t>65</w:t>
            </w:r>
            <w:r>
              <w:rPr>
                <w:rFonts w:ascii="Times New Roman" w:cs="Times New Roman" w:hint="eastAsia"/>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4475</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27</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彭家坡</w:t>
            </w:r>
            <w:r>
              <w:rPr>
                <w:rFonts w:ascii="Times New Roman" w:cs="Times New Roman"/>
                <w:sz w:val="21"/>
                <w:szCs w:val="21"/>
              </w:rPr>
              <w:t>农户</w:t>
            </w:r>
            <w:r>
              <w:rPr>
                <w:rFonts w:ascii="Times New Roman" w:cs="Times New Roman" w:hint="eastAsia"/>
                <w:sz w:val="21"/>
                <w:szCs w:val="21"/>
              </w:rPr>
              <w:t>27#</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3360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780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3</w:t>
            </w:r>
            <w:r>
              <w:rPr>
                <w:rFonts w:ascii="Times New Roman" w:cs="Times New Roman"/>
                <w:sz w:val="21"/>
                <w:szCs w:val="21"/>
              </w:rPr>
              <w:t>户</w:t>
            </w:r>
            <w:r>
              <w:rPr>
                <w:rFonts w:ascii="Times New Roman" w:cs="Times New Roman" w:hint="eastAsia"/>
                <w:sz w:val="21"/>
                <w:szCs w:val="21"/>
              </w:rPr>
              <w:t>10</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3470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28</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普光镇场镇</w:t>
            </w:r>
            <w:r>
              <w:rPr>
                <w:rFonts w:ascii="Times New Roman" w:cs="Times New Roman" w:hint="eastAsia"/>
                <w:sz w:val="21"/>
                <w:szCs w:val="21"/>
              </w:rPr>
              <w:t>28#</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2650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300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场镇居民</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1.5</w:t>
            </w:r>
            <w:r>
              <w:rPr>
                <w:rFonts w:ascii="Times New Roman" w:cs="Times New Roman" w:hint="eastAsia"/>
                <w:sz w:val="21"/>
                <w:szCs w:val="21"/>
              </w:rPr>
              <w:t>万</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2670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29</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陡梯村</w:t>
            </w:r>
            <w:r>
              <w:rPr>
                <w:rFonts w:ascii="Times New Roman" w:cs="Times New Roman"/>
                <w:sz w:val="21"/>
                <w:szCs w:val="21"/>
              </w:rPr>
              <w:t>农户</w:t>
            </w:r>
            <w:r>
              <w:rPr>
                <w:rFonts w:ascii="Times New Roman" w:cs="Times New Roman" w:hint="eastAsia"/>
                <w:sz w:val="21"/>
                <w:szCs w:val="21"/>
              </w:rPr>
              <w:t>29#</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3140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15</w:t>
            </w:r>
            <w:r>
              <w:rPr>
                <w:rFonts w:ascii="Times New Roman" w:cs="Times New Roman"/>
                <w:sz w:val="21"/>
                <w:szCs w:val="21"/>
              </w:rPr>
              <w:t>户</w:t>
            </w:r>
            <w:r>
              <w:rPr>
                <w:rFonts w:ascii="Times New Roman" w:cs="Times New Roman" w:hint="eastAsia"/>
                <w:sz w:val="21"/>
                <w:szCs w:val="21"/>
              </w:rPr>
              <w:t>50</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3140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30</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李家岩</w:t>
            </w:r>
            <w:r>
              <w:rPr>
                <w:rFonts w:ascii="Times New Roman" w:cs="Times New Roman"/>
                <w:sz w:val="21"/>
                <w:szCs w:val="21"/>
              </w:rPr>
              <w:t>农户</w:t>
            </w:r>
            <w:r>
              <w:rPr>
                <w:rFonts w:ascii="Times New Roman" w:cs="Times New Roman" w:hint="eastAsia"/>
                <w:sz w:val="21"/>
                <w:szCs w:val="21"/>
              </w:rPr>
              <w:t>30#</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3430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-600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30</w:t>
            </w:r>
            <w:r>
              <w:rPr>
                <w:rFonts w:ascii="Times New Roman" w:cs="Times New Roman"/>
                <w:sz w:val="21"/>
                <w:szCs w:val="21"/>
              </w:rPr>
              <w:t>户</w:t>
            </w:r>
            <w:r>
              <w:rPr>
                <w:rFonts w:ascii="Times New Roman" w:cs="Times New Roman" w:hint="eastAsia"/>
                <w:sz w:val="21"/>
                <w:szCs w:val="21"/>
              </w:rPr>
              <w:t>95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3490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31</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李家坪</w:t>
            </w:r>
            <w:r>
              <w:rPr>
                <w:rFonts w:ascii="Times New Roman" w:cs="Times New Roman"/>
                <w:sz w:val="21"/>
                <w:szCs w:val="21"/>
              </w:rPr>
              <w:t>农户</w:t>
            </w:r>
            <w:r>
              <w:rPr>
                <w:rFonts w:ascii="Times New Roman" w:cs="Times New Roman" w:hint="eastAsia"/>
                <w:sz w:val="21"/>
                <w:szCs w:val="21"/>
              </w:rPr>
              <w:t>31#</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3240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-1340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20</w:t>
            </w:r>
            <w:r>
              <w:rPr>
                <w:rFonts w:ascii="Times New Roman" w:cs="Times New Roman"/>
                <w:sz w:val="21"/>
                <w:szCs w:val="21"/>
              </w:rPr>
              <w:t>户</w:t>
            </w:r>
            <w:r>
              <w:rPr>
                <w:rFonts w:ascii="Times New Roman" w:cs="Times New Roman" w:hint="eastAsia"/>
                <w:sz w:val="21"/>
                <w:szCs w:val="21"/>
              </w:rPr>
              <w:t>65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color w:val="FF0000"/>
                <w:sz w:val="21"/>
                <w:szCs w:val="21"/>
              </w:rPr>
            </w:pPr>
            <w:r>
              <w:rPr>
                <w:rFonts w:ascii="Times New Roman" w:cs="Times New Roman" w:hint="eastAsia"/>
                <w:sz w:val="21"/>
                <w:szCs w:val="21"/>
              </w:rPr>
              <w:t>3490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32</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刘家</w:t>
            </w:r>
            <w:r>
              <w:rPr>
                <w:rFonts w:ascii="Times New Roman" w:cs="Times New Roman"/>
                <w:sz w:val="21"/>
                <w:szCs w:val="21"/>
              </w:rPr>
              <w:t>湾农户</w:t>
            </w:r>
            <w:r>
              <w:rPr>
                <w:rFonts w:ascii="Times New Roman" w:cs="Times New Roman" w:hint="eastAsia"/>
                <w:sz w:val="21"/>
                <w:szCs w:val="21"/>
              </w:rPr>
              <w:t>32#</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2360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-1800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15</w:t>
            </w:r>
            <w:r>
              <w:rPr>
                <w:rFonts w:ascii="Times New Roman" w:cs="Times New Roman"/>
                <w:sz w:val="21"/>
                <w:szCs w:val="21"/>
              </w:rPr>
              <w:t>户</w:t>
            </w:r>
            <w:r>
              <w:rPr>
                <w:rFonts w:ascii="Times New Roman" w:cs="Times New Roman" w:hint="eastAsia"/>
                <w:sz w:val="21"/>
                <w:szCs w:val="21"/>
              </w:rPr>
              <w:t>50</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2990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33</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黄家岩</w:t>
            </w:r>
            <w:r>
              <w:rPr>
                <w:rFonts w:ascii="Times New Roman" w:cs="Times New Roman"/>
                <w:sz w:val="21"/>
                <w:szCs w:val="21"/>
              </w:rPr>
              <w:t>农户</w:t>
            </w:r>
            <w:r>
              <w:rPr>
                <w:rFonts w:ascii="Times New Roman" w:cs="Times New Roman" w:hint="eastAsia"/>
                <w:sz w:val="21"/>
                <w:szCs w:val="21"/>
              </w:rPr>
              <w:t>33#</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2610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-220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50</w:t>
            </w:r>
            <w:r>
              <w:rPr>
                <w:rFonts w:ascii="Times New Roman" w:cs="Times New Roman"/>
                <w:sz w:val="21"/>
                <w:szCs w:val="21"/>
              </w:rPr>
              <w:t>户</w:t>
            </w:r>
            <w:r>
              <w:rPr>
                <w:rFonts w:ascii="Times New Roman" w:cs="Times New Roman" w:hint="eastAsia"/>
                <w:sz w:val="21"/>
                <w:szCs w:val="21"/>
              </w:rPr>
              <w:t>155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2675</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34</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侯家湾</w:t>
            </w:r>
            <w:r>
              <w:rPr>
                <w:rFonts w:ascii="Times New Roman" w:cs="Times New Roman"/>
                <w:sz w:val="21"/>
                <w:szCs w:val="21"/>
              </w:rPr>
              <w:t>农户</w:t>
            </w:r>
            <w:r>
              <w:rPr>
                <w:rFonts w:ascii="Times New Roman" w:cs="Times New Roman" w:hint="eastAsia"/>
                <w:sz w:val="21"/>
                <w:szCs w:val="21"/>
              </w:rPr>
              <w:t>34#</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1570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约</w:t>
            </w:r>
            <w:r>
              <w:rPr>
                <w:rFonts w:ascii="Times New Roman" w:cs="Times New Roman" w:hint="eastAsia"/>
                <w:sz w:val="21"/>
                <w:szCs w:val="21"/>
              </w:rPr>
              <w:t>20</w:t>
            </w:r>
            <w:r>
              <w:rPr>
                <w:rFonts w:ascii="Times New Roman" w:cs="Times New Roman" w:hint="eastAsia"/>
                <w:sz w:val="21"/>
                <w:szCs w:val="21"/>
              </w:rPr>
              <w:t>户</w:t>
            </w:r>
            <w:r>
              <w:rPr>
                <w:rFonts w:ascii="Times New Roman" w:cs="Times New Roman" w:hint="eastAsia"/>
                <w:sz w:val="21"/>
                <w:szCs w:val="21"/>
              </w:rPr>
              <w:t>65</w:t>
            </w:r>
            <w:r>
              <w:rPr>
                <w:rFonts w:ascii="Times New Roman" w:cs="Times New Roman" w:hint="eastAsia"/>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1570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35</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石船子</w:t>
            </w:r>
            <w:r>
              <w:rPr>
                <w:rFonts w:ascii="Times New Roman" w:cs="Times New Roman"/>
                <w:sz w:val="21"/>
                <w:szCs w:val="21"/>
              </w:rPr>
              <w:t>农户</w:t>
            </w:r>
            <w:r>
              <w:rPr>
                <w:rFonts w:ascii="Times New Roman" w:cs="Times New Roman" w:hint="eastAsia"/>
                <w:sz w:val="21"/>
                <w:szCs w:val="21"/>
              </w:rPr>
              <w:t>35#</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3100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-800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15</w:t>
            </w:r>
            <w:r>
              <w:rPr>
                <w:rFonts w:ascii="Times New Roman" w:cs="Times New Roman"/>
                <w:sz w:val="21"/>
                <w:szCs w:val="21"/>
              </w:rPr>
              <w:t>户</w:t>
            </w:r>
            <w:r>
              <w:rPr>
                <w:rFonts w:ascii="Times New Roman" w:cs="Times New Roman" w:hint="eastAsia"/>
                <w:sz w:val="21"/>
                <w:szCs w:val="21"/>
              </w:rPr>
              <w:t>50</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3220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36</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鲜家湾</w:t>
            </w:r>
            <w:r>
              <w:rPr>
                <w:rFonts w:ascii="Times New Roman" w:cs="Times New Roman"/>
                <w:sz w:val="21"/>
                <w:szCs w:val="21"/>
              </w:rPr>
              <w:t>农户</w:t>
            </w:r>
            <w:r>
              <w:rPr>
                <w:rFonts w:ascii="Times New Roman" w:cs="Times New Roman" w:hint="eastAsia"/>
                <w:sz w:val="21"/>
                <w:szCs w:val="21"/>
              </w:rPr>
              <w:t>36#</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1820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-1180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30</w:t>
            </w:r>
            <w:r>
              <w:rPr>
                <w:rFonts w:ascii="Times New Roman" w:cs="Times New Roman"/>
                <w:sz w:val="21"/>
                <w:szCs w:val="21"/>
              </w:rPr>
              <w:t>户</w:t>
            </w:r>
            <w:r>
              <w:rPr>
                <w:rFonts w:ascii="Times New Roman" w:cs="Times New Roman" w:hint="eastAsia"/>
                <w:sz w:val="21"/>
                <w:szCs w:val="21"/>
              </w:rPr>
              <w:t>95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2180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37</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严家湾</w:t>
            </w:r>
            <w:r>
              <w:rPr>
                <w:rFonts w:ascii="Times New Roman" w:cs="Times New Roman"/>
                <w:sz w:val="21"/>
                <w:szCs w:val="21"/>
              </w:rPr>
              <w:t>农户</w:t>
            </w:r>
            <w:r>
              <w:rPr>
                <w:rFonts w:ascii="Times New Roman" w:cs="Times New Roman" w:hint="eastAsia"/>
                <w:sz w:val="21"/>
                <w:szCs w:val="21"/>
              </w:rPr>
              <w:t>37#</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2880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-2900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15</w:t>
            </w:r>
            <w:r>
              <w:rPr>
                <w:rFonts w:ascii="Times New Roman" w:cs="Times New Roman"/>
                <w:sz w:val="21"/>
                <w:szCs w:val="21"/>
              </w:rPr>
              <w:t>户</w:t>
            </w:r>
            <w:r>
              <w:rPr>
                <w:rFonts w:ascii="Times New Roman" w:cs="Times New Roman" w:hint="eastAsia"/>
                <w:sz w:val="21"/>
                <w:szCs w:val="21"/>
              </w:rPr>
              <w:t>50</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4000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38</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子坝村</w:t>
            </w:r>
            <w:r>
              <w:rPr>
                <w:rFonts w:ascii="Times New Roman" w:cs="Times New Roman"/>
                <w:sz w:val="21"/>
                <w:szCs w:val="21"/>
              </w:rPr>
              <w:t>农户</w:t>
            </w:r>
            <w:r>
              <w:rPr>
                <w:rFonts w:ascii="Times New Roman" w:cs="Times New Roman" w:hint="eastAsia"/>
                <w:sz w:val="21"/>
                <w:szCs w:val="21"/>
              </w:rPr>
              <w:t>38#</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1730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-2310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约</w:t>
            </w:r>
            <w:r>
              <w:rPr>
                <w:rFonts w:ascii="Times New Roman" w:cs="Times New Roman" w:hint="eastAsia"/>
                <w:sz w:val="21"/>
                <w:szCs w:val="21"/>
              </w:rPr>
              <w:t>20</w:t>
            </w:r>
            <w:r>
              <w:rPr>
                <w:rFonts w:ascii="Times New Roman" w:cs="Times New Roman" w:hint="eastAsia"/>
                <w:sz w:val="21"/>
                <w:szCs w:val="21"/>
              </w:rPr>
              <w:t>户</w:t>
            </w:r>
            <w:r>
              <w:rPr>
                <w:rFonts w:ascii="Times New Roman" w:cs="Times New Roman" w:hint="eastAsia"/>
                <w:sz w:val="21"/>
                <w:szCs w:val="21"/>
              </w:rPr>
              <w:t>65</w:t>
            </w:r>
            <w:r>
              <w:rPr>
                <w:rFonts w:ascii="Times New Roman" w:cs="Times New Roman" w:hint="eastAsia"/>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2910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39</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乔家坡</w:t>
            </w:r>
            <w:r>
              <w:rPr>
                <w:rFonts w:ascii="Times New Roman" w:cs="Times New Roman"/>
                <w:sz w:val="21"/>
                <w:szCs w:val="21"/>
              </w:rPr>
              <w:t>农户</w:t>
            </w:r>
            <w:r>
              <w:rPr>
                <w:rFonts w:ascii="Times New Roman" w:cs="Times New Roman" w:hint="eastAsia"/>
                <w:sz w:val="21"/>
                <w:szCs w:val="21"/>
              </w:rPr>
              <w:t>39#</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1100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-1530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5</w:t>
            </w:r>
            <w:r>
              <w:rPr>
                <w:rFonts w:ascii="Times New Roman" w:cs="Times New Roman"/>
                <w:sz w:val="21"/>
                <w:szCs w:val="21"/>
              </w:rPr>
              <w:t>户</w:t>
            </w:r>
            <w:r>
              <w:rPr>
                <w:rFonts w:ascii="Times New Roman" w:cs="Times New Roman" w:hint="eastAsia"/>
                <w:sz w:val="21"/>
                <w:szCs w:val="21"/>
              </w:rPr>
              <w:t>15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SE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1930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40</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铜坎村</w:t>
            </w:r>
            <w:r>
              <w:rPr>
                <w:rFonts w:ascii="Times New Roman" w:cs="Times New Roman"/>
                <w:sz w:val="21"/>
                <w:szCs w:val="21"/>
              </w:rPr>
              <w:t>农户</w:t>
            </w:r>
            <w:r>
              <w:rPr>
                <w:rFonts w:ascii="Times New Roman" w:cs="Times New Roman" w:hint="eastAsia"/>
                <w:sz w:val="21"/>
                <w:szCs w:val="21"/>
              </w:rPr>
              <w:t>40#</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430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100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9E70FB">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15</w:t>
            </w:r>
            <w:r>
              <w:rPr>
                <w:rFonts w:ascii="Times New Roman" w:cs="Times New Roman"/>
                <w:sz w:val="21"/>
                <w:szCs w:val="21"/>
              </w:rPr>
              <w:t>户</w:t>
            </w:r>
            <w:r>
              <w:rPr>
                <w:rFonts w:ascii="Times New Roman" w:cs="Times New Roman" w:hint="eastAsia"/>
                <w:sz w:val="21"/>
                <w:szCs w:val="21"/>
              </w:rPr>
              <w:t>55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470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41</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进化村</w:t>
            </w:r>
            <w:r>
              <w:rPr>
                <w:rFonts w:ascii="Times New Roman" w:cs="Times New Roman"/>
                <w:sz w:val="21"/>
                <w:szCs w:val="21"/>
              </w:rPr>
              <w:t>农户</w:t>
            </w:r>
            <w:r>
              <w:rPr>
                <w:rFonts w:ascii="Times New Roman" w:cs="Times New Roman" w:hint="eastAsia"/>
                <w:sz w:val="21"/>
                <w:szCs w:val="21"/>
              </w:rPr>
              <w:t>41#</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2070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570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70</w:t>
            </w:r>
            <w:r>
              <w:rPr>
                <w:rFonts w:ascii="Times New Roman" w:cs="Times New Roman"/>
                <w:sz w:val="21"/>
                <w:szCs w:val="21"/>
              </w:rPr>
              <w:t>户</w:t>
            </w:r>
            <w:r>
              <w:rPr>
                <w:rFonts w:ascii="Times New Roman" w:cs="Times New Roman" w:hint="eastAsia"/>
                <w:sz w:val="21"/>
                <w:szCs w:val="21"/>
              </w:rPr>
              <w:t>240</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2100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42</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楼幅湾</w:t>
            </w:r>
            <w:r>
              <w:rPr>
                <w:rFonts w:ascii="Times New Roman" w:cs="Times New Roman"/>
                <w:sz w:val="21"/>
                <w:szCs w:val="21"/>
              </w:rPr>
              <w:t>农户</w:t>
            </w:r>
            <w:r>
              <w:rPr>
                <w:rFonts w:ascii="Times New Roman" w:cs="Times New Roman" w:hint="eastAsia"/>
                <w:sz w:val="21"/>
                <w:szCs w:val="21"/>
              </w:rPr>
              <w:t>42#</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1140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900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90</w:t>
            </w:r>
            <w:r>
              <w:rPr>
                <w:rFonts w:ascii="Times New Roman" w:cs="Times New Roman"/>
                <w:sz w:val="21"/>
                <w:szCs w:val="21"/>
              </w:rPr>
              <w:t>户</w:t>
            </w:r>
            <w:r>
              <w:rPr>
                <w:rFonts w:ascii="Times New Roman" w:cs="Times New Roman" w:hint="eastAsia"/>
                <w:sz w:val="21"/>
                <w:szCs w:val="21"/>
              </w:rPr>
              <w:t>350</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1390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43</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张家坝</w:t>
            </w:r>
            <w:r>
              <w:rPr>
                <w:rFonts w:ascii="Times New Roman" w:cs="Times New Roman"/>
                <w:sz w:val="21"/>
                <w:szCs w:val="21"/>
              </w:rPr>
              <w:t>农户</w:t>
            </w:r>
            <w:r>
              <w:rPr>
                <w:rFonts w:ascii="Times New Roman" w:cs="Times New Roman" w:hint="eastAsia"/>
                <w:sz w:val="21"/>
                <w:szCs w:val="21"/>
              </w:rPr>
              <w:t>43#</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2450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1180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50</w:t>
            </w:r>
            <w:r>
              <w:rPr>
                <w:rFonts w:ascii="Times New Roman" w:cs="Times New Roman"/>
                <w:sz w:val="21"/>
                <w:szCs w:val="21"/>
              </w:rPr>
              <w:t>户</w:t>
            </w:r>
            <w:r>
              <w:rPr>
                <w:rFonts w:ascii="Times New Roman" w:cs="Times New Roman" w:hint="eastAsia"/>
                <w:sz w:val="21"/>
                <w:szCs w:val="21"/>
              </w:rPr>
              <w:t>155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2680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lastRenderedPageBreak/>
              <w:t>44</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诸家湾</w:t>
            </w:r>
            <w:r>
              <w:rPr>
                <w:rFonts w:ascii="Times New Roman" w:cs="Times New Roman"/>
                <w:sz w:val="21"/>
                <w:szCs w:val="21"/>
              </w:rPr>
              <w:t>农户</w:t>
            </w:r>
            <w:r>
              <w:rPr>
                <w:rFonts w:ascii="Times New Roman" w:cs="Times New Roman" w:hint="eastAsia"/>
                <w:sz w:val="21"/>
                <w:szCs w:val="21"/>
              </w:rPr>
              <w:t>44#</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1610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1400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55</w:t>
            </w:r>
            <w:r>
              <w:rPr>
                <w:rFonts w:ascii="Times New Roman" w:cs="Times New Roman"/>
                <w:sz w:val="21"/>
                <w:szCs w:val="21"/>
              </w:rPr>
              <w:t>户</w:t>
            </w:r>
            <w:r>
              <w:rPr>
                <w:rFonts w:ascii="Times New Roman" w:cs="Times New Roman" w:hint="eastAsia"/>
                <w:sz w:val="21"/>
                <w:szCs w:val="21"/>
              </w:rPr>
              <w:t>165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2050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45</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邱家坝</w:t>
            </w:r>
            <w:r>
              <w:rPr>
                <w:rFonts w:ascii="Times New Roman" w:cs="Times New Roman"/>
                <w:sz w:val="21"/>
                <w:szCs w:val="21"/>
              </w:rPr>
              <w:t>农户</w:t>
            </w:r>
            <w:r>
              <w:rPr>
                <w:rFonts w:ascii="Times New Roman" w:cs="Times New Roman" w:hint="eastAsia"/>
                <w:sz w:val="21"/>
                <w:szCs w:val="21"/>
              </w:rPr>
              <w:t>45#</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480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1760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5</w:t>
            </w:r>
            <w:r>
              <w:rPr>
                <w:rFonts w:ascii="Times New Roman" w:cs="Times New Roman"/>
                <w:sz w:val="21"/>
                <w:szCs w:val="21"/>
              </w:rPr>
              <w:t>户</w:t>
            </w:r>
            <w:r>
              <w:rPr>
                <w:rFonts w:ascii="Times New Roman" w:cs="Times New Roman" w:hint="eastAsia"/>
                <w:sz w:val="21"/>
                <w:szCs w:val="21"/>
              </w:rPr>
              <w:t>15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1825</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46</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小树林</w:t>
            </w:r>
            <w:r>
              <w:rPr>
                <w:rFonts w:ascii="Times New Roman" w:cs="Times New Roman"/>
                <w:sz w:val="21"/>
                <w:szCs w:val="21"/>
              </w:rPr>
              <w:t>农户</w:t>
            </w:r>
            <w:r>
              <w:rPr>
                <w:rFonts w:ascii="Times New Roman" w:cs="Times New Roman" w:hint="eastAsia"/>
                <w:sz w:val="21"/>
                <w:szCs w:val="21"/>
              </w:rPr>
              <w:t>46#</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2140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2210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15</w:t>
            </w:r>
            <w:r>
              <w:rPr>
                <w:rFonts w:ascii="Times New Roman" w:cs="Times New Roman"/>
                <w:sz w:val="21"/>
                <w:szCs w:val="21"/>
              </w:rPr>
              <w:t>户</w:t>
            </w:r>
            <w:r>
              <w:rPr>
                <w:rFonts w:ascii="Times New Roman" w:cs="Times New Roman" w:hint="eastAsia"/>
                <w:sz w:val="21"/>
                <w:szCs w:val="21"/>
              </w:rPr>
              <w:t>50</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2970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47</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大树林</w:t>
            </w:r>
            <w:r>
              <w:rPr>
                <w:rFonts w:ascii="Times New Roman" w:cs="Times New Roman"/>
                <w:sz w:val="21"/>
                <w:szCs w:val="21"/>
              </w:rPr>
              <w:t>农户</w:t>
            </w:r>
            <w:r>
              <w:rPr>
                <w:rFonts w:ascii="Times New Roman" w:cs="Times New Roman" w:hint="eastAsia"/>
                <w:sz w:val="21"/>
                <w:szCs w:val="21"/>
              </w:rPr>
              <w:t>47#</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2540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2550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20</w:t>
            </w:r>
            <w:r>
              <w:rPr>
                <w:rFonts w:ascii="Times New Roman" w:cs="Times New Roman"/>
                <w:sz w:val="21"/>
                <w:szCs w:val="21"/>
              </w:rPr>
              <w:t>户</w:t>
            </w:r>
            <w:r>
              <w:rPr>
                <w:rFonts w:ascii="Times New Roman" w:cs="Times New Roman" w:hint="eastAsia"/>
                <w:sz w:val="21"/>
                <w:szCs w:val="21"/>
              </w:rPr>
              <w:t>65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3560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48</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流杯湾</w:t>
            </w:r>
            <w:r>
              <w:rPr>
                <w:rFonts w:ascii="Times New Roman" w:cs="Times New Roman"/>
                <w:sz w:val="21"/>
                <w:szCs w:val="21"/>
              </w:rPr>
              <w:t>农户</w:t>
            </w:r>
            <w:r>
              <w:rPr>
                <w:rFonts w:ascii="Times New Roman" w:cs="Times New Roman" w:hint="eastAsia"/>
                <w:sz w:val="21"/>
                <w:szCs w:val="21"/>
              </w:rPr>
              <w:t>48#</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3250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2000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30</w:t>
            </w:r>
            <w:r>
              <w:rPr>
                <w:rFonts w:ascii="Times New Roman" w:cs="Times New Roman"/>
                <w:sz w:val="21"/>
                <w:szCs w:val="21"/>
              </w:rPr>
              <w:t>户</w:t>
            </w:r>
            <w:r>
              <w:rPr>
                <w:rFonts w:ascii="Times New Roman" w:cs="Times New Roman" w:hint="eastAsia"/>
                <w:sz w:val="21"/>
                <w:szCs w:val="21"/>
              </w:rPr>
              <w:t>95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3760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49</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桥沟</w:t>
            </w:r>
            <w:r>
              <w:rPr>
                <w:rFonts w:ascii="Times New Roman" w:cs="Times New Roman"/>
                <w:sz w:val="21"/>
                <w:szCs w:val="21"/>
              </w:rPr>
              <w:t>农户</w:t>
            </w:r>
            <w:r>
              <w:rPr>
                <w:rFonts w:ascii="Times New Roman" w:cs="Times New Roman" w:hint="eastAsia"/>
                <w:sz w:val="21"/>
                <w:szCs w:val="21"/>
              </w:rPr>
              <w:t>49#</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2220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3050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约</w:t>
            </w:r>
            <w:r>
              <w:rPr>
                <w:rFonts w:ascii="Times New Roman" w:cs="Times New Roman" w:hint="eastAsia"/>
                <w:sz w:val="21"/>
                <w:szCs w:val="21"/>
              </w:rPr>
              <w:t>2</w:t>
            </w:r>
            <w:r>
              <w:rPr>
                <w:rFonts w:ascii="Times New Roman" w:cs="Times New Roman" w:hint="eastAsia"/>
                <w:sz w:val="21"/>
                <w:szCs w:val="21"/>
              </w:rPr>
              <w:t>户</w:t>
            </w:r>
            <w:r>
              <w:rPr>
                <w:rFonts w:ascii="Times New Roman" w:cs="Times New Roman" w:hint="eastAsia"/>
                <w:sz w:val="21"/>
                <w:szCs w:val="21"/>
              </w:rPr>
              <w:t>7</w:t>
            </w:r>
            <w:r>
              <w:rPr>
                <w:rFonts w:ascii="Times New Roman" w:cs="Times New Roman" w:hint="eastAsia"/>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3690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50</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孙家坝</w:t>
            </w:r>
            <w:r>
              <w:rPr>
                <w:rFonts w:ascii="Times New Roman" w:cs="Times New Roman"/>
                <w:sz w:val="21"/>
                <w:szCs w:val="21"/>
              </w:rPr>
              <w:t>农户</w:t>
            </w:r>
            <w:r>
              <w:rPr>
                <w:rFonts w:ascii="Times New Roman" w:cs="Times New Roman" w:hint="eastAsia"/>
                <w:sz w:val="21"/>
                <w:szCs w:val="21"/>
              </w:rPr>
              <w:t>50#</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3470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3080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15</w:t>
            </w:r>
            <w:r>
              <w:rPr>
                <w:rFonts w:ascii="Times New Roman" w:cs="Times New Roman"/>
                <w:sz w:val="21"/>
                <w:szCs w:val="21"/>
              </w:rPr>
              <w:t>户</w:t>
            </w:r>
            <w:r>
              <w:rPr>
                <w:rFonts w:ascii="Times New Roman" w:cs="Times New Roman" w:hint="eastAsia"/>
                <w:sz w:val="21"/>
                <w:szCs w:val="21"/>
              </w:rPr>
              <w:t>50</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4640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51</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灯笼村</w:t>
            </w:r>
            <w:r>
              <w:rPr>
                <w:rFonts w:ascii="Times New Roman" w:cs="Times New Roman"/>
                <w:sz w:val="21"/>
                <w:szCs w:val="21"/>
              </w:rPr>
              <w:t>农户</w:t>
            </w:r>
            <w:r>
              <w:rPr>
                <w:rFonts w:ascii="Times New Roman" w:cs="Times New Roman" w:hint="eastAsia"/>
                <w:sz w:val="21"/>
                <w:szCs w:val="21"/>
              </w:rPr>
              <w:t>51#</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2960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4200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5</w:t>
            </w:r>
            <w:r>
              <w:rPr>
                <w:rFonts w:ascii="Times New Roman" w:cs="Times New Roman"/>
                <w:sz w:val="21"/>
                <w:szCs w:val="21"/>
              </w:rPr>
              <w:t>户</w:t>
            </w:r>
            <w:r>
              <w:rPr>
                <w:rFonts w:ascii="Times New Roman" w:cs="Times New Roman" w:hint="eastAsia"/>
                <w:sz w:val="21"/>
                <w:szCs w:val="21"/>
              </w:rPr>
              <w:t>15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5070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52</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黄家山</w:t>
            </w:r>
            <w:r>
              <w:rPr>
                <w:rFonts w:ascii="Times New Roman" w:cs="Times New Roman"/>
                <w:sz w:val="21"/>
                <w:szCs w:val="21"/>
              </w:rPr>
              <w:t>农户</w:t>
            </w:r>
            <w:r>
              <w:rPr>
                <w:rFonts w:ascii="Times New Roman" w:cs="Times New Roman" w:hint="eastAsia"/>
                <w:sz w:val="21"/>
                <w:szCs w:val="21"/>
              </w:rPr>
              <w:t>52#</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850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4120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22</w:t>
            </w:r>
            <w:r>
              <w:rPr>
                <w:rFonts w:ascii="Times New Roman" w:cs="Times New Roman"/>
                <w:sz w:val="21"/>
                <w:szCs w:val="21"/>
              </w:rPr>
              <w:t>户</w:t>
            </w:r>
            <w:r>
              <w:rPr>
                <w:rFonts w:ascii="Times New Roman" w:cs="Times New Roman" w:hint="eastAsia"/>
                <w:sz w:val="21"/>
                <w:szCs w:val="21"/>
              </w:rPr>
              <w:t>78</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4260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53</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尖包粱</w:t>
            </w:r>
            <w:r>
              <w:rPr>
                <w:rFonts w:ascii="Times New Roman" w:cs="Times New Roman"/>
                <w:sz w:val="21"/>
                <w:szCs w:val="21"/>
              </w:rPr>
              <w:t>农户</w:t>
            </w:r>
            <w:r>
              <w:rPr>
                <w:rFonts w:ascii="Times New Roman" w:cs="Times New Roman" w:hint="eastAsia"/>
                <w:sz w:val="21"/>
                <w:szCs w:val="21"/>
              </w:rPr>
              <w:t>53#</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850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4820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5</w:t>
            </w:r>
            <w:r>
              <w:rPr>
                <w:rFonts w:ascii="Times New Roman" w:cs="Times New Roman"/>
                <w:sz w:val="21"/>
                <w:szCs w:val="21"/>
              </w:rPr>
              <w:t>户</w:t>
            </w:r>
            <w:r>
              <w:rPr>
                <w:rFonts w:ascii="Times New Roman" w:cs="Times New Roman" w:hint="eastAsia"/>
                <w:sz w:val="21"/>
                <w:szCs w:val="21"/>
              </w:rPr>
              <w:t>15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4880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54</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灯笼坪</w:t>
            </w:r>
            <w:r>
              <w:rPr>
                <w:rFonts w:ascii="Times New Roman" w:cs="Times New Roman"/>
                <w:sz w:val="21"/>
                <w:szCs w:val="21"/>
              </w:rPr>
              <w:t>农户</w:t>
            </w:r>
            <w:r>
              <w:rPr>
                <w:rFonts w:ascii="Times New Roman" w:cs="Times New Roman" w:hint="eastAsia"/>
                <w:sz w:val="21"/>
                <w:szCs w:val="21"/>
              </w:rPr>
              <w:t>54#</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2150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4870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约</w:t>
            </w:r>
            <w:r>
              <w:rPr>
                <w:rFonts w:ascii="Times New Roman" w:cs="Times New Roman" w:hint="eastAsia"/>
                <w:sz w:val="21"/>
                <w:szCs w:val="21"/>
              </w:rPr>
              <w:t>25</w:t>
            </w:r>
            <w:r>
              <w:rPr>
                <w:rFonts w:ascii="Times New Roman" w:cs="Times New Roman" w:hint="eastAsia"/>
                <w:sz w:val="21"/>
                <w:szCs w:val="21"/>
              </w:rPr>
              <w:t>户</w:t>
            </w:r>
            <w:r>
              <w:rPr>
                <w:rFonts w:ascii="Times New Roman" w:cs="Times New Roman" w:hint="eastAsia"/>
                <w:sz w:val="21"/>
                <w:szCs w:val="21"/>
              </w:rPr>
              <w:t>75</w:t>
            </w:r>
            <w:r>
              <w:rPr>
                <w:rFonts w:ascii="Times New Roman" w:cs="Times New Roman" w:hint="eastAsia"/>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5240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55</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芭蕉村</w:t>
            </w:r>
            <w:r>
              <w:rPr>
                <w:rFonts w:ascii="Times New Roman" w:cs="Times New Roman"/>
                <w:sz w:val="21"/>
                <w:szCs w:val="21"/>
              </w:rPr>
              <w:t>农户</w:t>
            </w:r>
            <w:r>
              <w:rPr>
                <w:rFonts w:ascii="Times New Roman" w:cs="Times New Roman" w:hint="eastAsia"/>
                <w:sz w:val="21"/>
                <w:szCs w:val="21"/>
              </w:rPr>
              <w:t>55#</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3850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3080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220</w:t>
            </w:r>
            <w:r>
              <w:rPr>
                <w:rFonts w:ascii="Times New Roman" w:cs="Times New Roman"/>
                <w:sz w:val="21"/>
                <w:szCs w:val="21"/>
              </w:rPr>
              <w:t>户</w:t>
            </w:r>
            <w:r>
              <w:rPr>
                <w:rFonts w:ascii="Times New Roman" w:cs="Times New Roman" w:hint="eastAsia"/>
                <w:sz w:val="21"/>
                <w:szCs w:val="21"/>
              </w:rPr>
              <w:t>850</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4830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56</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盛家沟</w:t>
            </w:r>
            <w:r>
              <w:rPr>
                <w:rFonts w:ascii="Times New Roman" w:cs="Times New Roman"/>
                <w:sz w:val="21"/>
                <w:szCs w:val="21"/>
              </w:rPr>
              <w:t>农户</w:t>
            </w:r>
            <w:r>
              <w:rPr>
                <w:rFonts w:ascii="Times New Roman" w:cs="Times New Roman" w:hint="eastAsia"/>
                <w:sz w:val="21"/>
                <w:szCs w:val="21"/>
              </w:rPr>
              <w:t>56#</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4220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3820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约</w:t>
            </w:r>
            <w:r>
              <w:rPr>
                <w:rFonts w:ascii="Times New Roman" w:cs="Times New Roman" w:hint="eastAsia"/>
                <w:sz w:val="21"/>
                <w:szCs w:val="21"/>
              </w:rPr>
              <w:t>20</w:t>
            </w:r>
            <w:r>
              <w:rPr>
                <w:rFonts w:ascii="Times New Roman" w:cs="Times New Roman" w:hint="eastAsia"/>
                <w:sz w:val="21"/>
                <w:szCs w:val="21"/>
              </w:rPr>
              <w:t>户</w:t>
            </w:r>
            <w:r>
              <w:rPr>
                <w:rFonts w:ascii="Times New Roman" w:cs="Times New Roman" w:hint="eastAsia"/>
                <w:sz w:val="21"/>
                <w:szCs w:val="21"/>
              </w:rPr>
              <w:t>65</w:t>
            </w:r>
            <w:r>
              <w:rPr>
                <w:rFonts w:ascii="Times New Roman" w:cs="Times New Roman" w:hint="eastAsia"/>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5540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57</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吴家沟</w:t>
            </w:r>
            <w:r>
              <w:rPr>
                <w:rFonts w:ascii="Times New Roman" w:cs="Times New Roman"/>
                <w:sz w:val="21"/>
                <w:szCs w:val="21"/>
              </w:rPr>
              <w:t>农户</w:t>
            </w:r>
            <w:r>
              <w:rPr>
                <w:rFonts w:ascii="Times New Roman" w:cs="Times New Roman" w:hint="eastAsia"/>
                <w:sz w:val="21"/>
                <w:szCs w:val="21"/>
              </w:rPr>
              <w:t>57#</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-2810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420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5</w:t>
            </w:r>
            <w:r>
              <w:rPr>
                <w:rFonts w:ascii="Times New Roman" w:cs="Times New Roman"/>
                <w:sz w:val="21"/>
                <w:szCs w:val="21"/>
              </w:rPr>
              <w:t>户</w:t>
            </w:r>
            <w:r>
              <w:rPr>
                <w:rFonts w:ascii="Times New Roman" w:cs="Times New Roman" w:hint="eastAsia"/>
                <w:sz w:val="21"/>
                <w:szCs w:val="21"/>
              </w:rPr>
              <w:t>15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NW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2840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58</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鲤鱼村</w:t>
            </w:r>
            <w:r>
              <w:rPr>
                <w:rFonts w:ascii="Times New Roman" w:cs="Times New Roman"/>
                <w:sz w:val="21"/>
                <w:szCs w:val="21"/>
              </w:rPr>
              <w:t>农户</w:t>
            </w:r>
            <w:r>
              <w:rPr>
                <w:rFonts w:ascii="Times New Roman" w:cs="Times New Roman" w:hint="eastAsia"/>
                <w:sz w:val="21"/>
                <w:szCs w:val="21"/>
              </w:rPr>
              <w:t>58#</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-3730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1340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约</w:t>
            </w:r>
            <w:r>
              <w:rPr>
                <w:rFonts w:ascii="Times New Roman" w:cs="Times New Roman" w:hint="eastAsia"/>
                <w:sz w:val="21"/>
                <w:szCs w:val="21"/>
              </w:rPr>
              <w:t>25</w:t>
            </w:r>
            <w:r>
              <w:rPr>
                <w:rFonts w:ascii="Times New Roman" w:cs="Times New Roman" w:hint="eastAsia"/>
                <w:sz w:val="21"/>
                <w:szCs w:val="21"/>
              </w:rPr>
              <w:t>户</w:t>
            </w:r>
            <w:r>
              <w:rPr>
                <w:rFonts w:ascii="Times New Roman" w:cs="Times New Roman" w:hint="eastAsia"/>
                <w:sz w:val="21"/>
                <w:szCs w:val="21"/>
              </w:rPr>
              <w:t>75</w:t>
            </w:r>
            <w:r>
              <w:rPr>
                <w:rFonts w:ascii="Times New Roman" w:cs="Times New Roman" w:hint="eastAsia"/>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NW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3960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59</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王家沟</w:t>
            </w:r>
            <w:r>
              <w:rPr>
                <w:rFonts w:ascii="Times New Roman" w:cs="Times New Roman"/>
                <w:sz w:val="21"/>
                <w:szCs w:val="21"/>
              </w:rPr>
              <w:t>农户</w:t>
            </w:r>
            <w:r>
              <w:rPr>
                <w:rFonts w:ascii="Times New Roman" w:cs="Times New Roman" w:hint="eastAsia"/>
                <w:sz w:val="21"/>
                <w:szCs w:val="21"/>
              </w:rPr>
              <w:t>59#</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-4590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1670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15</w:t>
            </w:r>
            <w:r>
              <w:rPr>
                <w:rFonts w:ascii="Times New Roman" w:cs="Times New Roman"/>
                <w:sz w:val="21"/>
                <w:szCs w:val="21"/>
              </w:rPr>
              <w:t>户</w:t>
            </w:r>
            <w:r>
              <w:rPr>
                <w:rFonts w:ascii="Times New Roman" w:cs="Times New Roman" w:hint="eastAsia"/>
                <w:sz w:val="21"/>
                <w:szCs w:val="21"/>
              </w:rPr>
              <w:t>50</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NW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4810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60</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上罗家坪</w:t>
            </w:r>
            <w:r>
              <w:rPr>
                <w:rFonts w:ascii="Times New Roman" w:cs="Times New Roman"/>
                <w:sz w:val="21"/>
                <w:szCs w:val="21"/>
              </w:rPr>
              <w:t>农户</w:t>
            </w:r>
            <w:r>
              <w:rPr>
                <w:rFonts w:ascii="Times New Roman" w:cs="Times New Roman" w:hint="eastAsia"/>
                <w:sz w:val="21"/>
                <w:szCs w:val="21"/>
              </w:rPr>
              <w:t>60#</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-2310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2040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5</w:t>
            </w:r>
            <w:r>
              <w:rPr>
                <w:rFonts w:ascii="Times New Roman" w:cs="Times New Roman"/>
                <w:sz w:val="21"/>
                <w:szCs w:val="21"/>
              </w:rPr>
              <w:t>户</w:t>
            </w:r>
            <w:r>
              <w:rPr>
                <w:rFonts w:ascii="Times New Roman" w:cs="Times New Roman" w:hint="eastAsia"/>
                <w:sz w:val="21"/>
                <w:szCs w:val="21"/>
              </w:rPr>
              <w:t>15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NW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2960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61</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下罗家坪</w:t>
            </w:r>
            <w:r>
              <w:rPr>
                <w:rFonts w:ascii="Times New Roman" w:cs="Times New Roman"/>
                <w:sz w:val="21"/>
                <w:szCs w:val="21"/>
              </w:rPr>
              <w:t>农户</w:t>
            </w:r>
            <w:r>
              <w:rPr>
                <w:rFonts w:ascii="Times New Roman" w:cs="Times New Roman" w:hint="eastAsia"/>
                <w:sz w:val="21"/>
                <w:szCs w:val="21"/>
              </w:rPr>
              <w:t>61#</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-1200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2270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8</w:t>
            </w:r>
            <w:r>
              <w:rPr>
                <w:rFonts w:ascii="Times New Roman" w:cs="Times New Roman"/>
                <w:sz w:val="21"/>
                <w:szCs w:val="21"/>
              </w:rPr>
              <w:t>户</w:t>
            </w:r>
            <w:r>
              <w:rPr>
                <w:rFonts w:ascii="Times New Roman" w:cs="Times New Roman" w:hint="eastAsia"/>
                <w:sz w:val="21"/>
                <w:szCs w:val="21"/>
              </w:rPr>
              <w:t>25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NW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2560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62</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长河坝</w:t>
            </w:r>
            <w:r>
              <w:rPr>
                <w:rFonts w:ascii="Times New Roman" w:cs="Times New Roman"/>
                <w:sz w:val="21"/>
                <w:szCs w:val="21"/>
              </w:rPr>
              <w:t>农户</w:t>
            </w:r>
            <w:r>
              <w:rPr>
                <w:rFonts w:ascii="Times New Roman" w:cs="Times New Roman" w:hint="eastAsia"/>
                <w:sz w:val="21"/>
                <w:szCs w:val="21"/>
              </w:rPr>
              <w:t>62#</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-4170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4050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约</w:t>
            </w:r>
            <w:r>
              <w:rPr>
                <w:rFonts w:ascii="Times New Roman" w:cs="Times New Roman" w:hint="eastAsia"/>
                <w:sz w:val="21"/>
                <w:szCs w:val="21"/>
              </w:rPr>
              <w:t>20</w:t>
            </w:r>
            <w:r>
              <w:rPr>
                <w:rFonts w:ascii="Times New Roman" w:cs="Times New Roman" w:hint="eastAsia"/>
                <w:sz w:val="21"/>
                <w:szCs w:val="21"/>
              </w:rPr>
              <w:t>户</w:t>
            </w:r>
            <w:r>
              <w:rPr>
                <w:rFonts w:ascii="Times New Roman" w:cs="Times New Roman" w:hint="eastAsia"/>
                <w:sz w:val="21"/>
                <w:szCs w:val="21"/>
              </w:rPr>
              <w:t>65</w:t>
            </w:r>
            <w:r>
              <w:rPr>
                <w:rFonts w:ascii="Times New Roman" w:cs="Times New Roman" w:hint="eastAsia"/>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NW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5740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63</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跳河村</w:t>
            </w:r>
            <w:r>
              <w:rPr>
                <w:rFonts w:ascii="Times New Roman" w:cs="Times New Roman"/>
                <w:sz w:val="21"/>
                <w:szCs w:val="21"/>
              </w:rPr>
              <w:t>农户</w:t>
            </w:r>
            <w:r>
              <w:rPr>
                <w:rFonts w:ascii="Times New Roman" w:cs="Times New Roman" w:hint="eastAsia"/>
                <w:sz w:val="21"/>
                <w:szCs w:val="21"/>
              </w:rPr>
              <w:t>63#</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-1850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3780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30</w:t>
            </w:r>
            <w:r>
              <w:rPr>
                <w:rFonts w:ascii="Times New Roman" w:cs="Times New Roman"/>
                <w:sz w:val="21"/>
                <w:szCs w:val="21"/>
              </w:rPr>
              <w:t>户</w:t>
            </w:r>
            <w:r>
              <w:rPr>
                <w:rFonts w:ascii="Times New Roman" w:cs="Times New Roman" w:hint="eastAsia"/>
                <w:sz w:val="21"/>
                <w:szCs w:val="21"/>
              </w:rPr>
              <w:t>95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NW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4150</w:t>
            </w:r>
          </w:p>
        </w:tc>
      </w:tr>
      <w:tr w:rsidR="00BD5820">
        <w:trPr>
          <w:trHeight w:val="381"/>
          <w:jc w:val="center"/>
        </w:trPr>
        <w:tc>
          <w:tcPr>
            <w:tcW w:w="188" w:type="pct"/>
            <w:tcBorders>
              <w:top w:val="single" w:sz="2" w:space="0" w:color="000000"/>
              <w:left w:val="nil"/>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64</w:t>
            </w:r>
          </w:p>
        </w:tc>
        <w:tc>
          <w:tcPr>
            <w:tcW w:w="473" w:type="pct"/>
            <w:vMerge/>
            <w:tcBorders>
              <w:top w:val="single" w:sz="2" w:space="0" w:color="000000"/>
              <w:left w:val="single" w:sz="2" w:space="0" w:color="000000"/>
              <w:right w:val="single" w:sz="2" w:space="0" w:color="000000"/>
            </w:tcBorders>
            <w:vAlign w:val="center"/>
          </w:tcPr>
          <w:p w:rsidR="00BD5820" w:rsidRDefault="00BD5820">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黄家坝</w:t>
            </w:r>
            <w:r>
              <w:rPr>
                <w:rFonts w:ascii="Times New Roman" w:cs="Times New Roman"/>
                <w:sz w:val="21"/>
                <w:szCs w:val="21"/>
              </w:rPr>
              <w:t>农户</w:t>
            </w:r>
            <w:r>
              <w:rPr>
                <w:rFonts w:ascii="Times New Roman" w:cs="Times New Roman" w:hint="eastAsia"/>
                <w:sz w:val="21"/>
                <w:szCs w:val="21"/>
              </w:rPr>
              <w:t>64#</w:t>
            </w:r>
          </w:p>
        </w:tc>
        <w:tc>
          <w:tcPr>
            <w:tcW w:w="42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-1240</w:t>
            </w:r>
          </w:p>
        </w:tc>
        <w:tc>
          <w:tcPr>
            <w:tcW w:w="381"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3870</w:t>
            </w:r>
          </w:p>
        </w:tc>
        <w:tc>
          <w:tcPr>
            <w:tcW w:w="379"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40</w:t>
            </w:r>
            <w:r>
              <w:rPr>
                <w:rFonts w:ascii="Times New Roman" w:cs="Times New Roman"/>
                <w:sz w:val="21"/>
                <w:szCs w:val="21"/>
              </w:rPr>
              <w:t>户</w:t>
            </w:r>
            <w:r>
              <w:rPr>
                <w:rFonts w:ascii="Times New Roman" w:cs="Times New Roman" w:hint="eastAsia"/>
                <w:sz w:val="21"/>
                <w:szCs w:val="21"/>
              </w:rPr>
              <w:t>130</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BD5820" w:rsidRDefault="00BD5820">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NW</w:t>
            </w:r>
          </w:p>
        </w:tc>
        <w:tc>
          <w:tcPr>
            <w:tcW w:w="453" w:type="pct"/>
            <w:tcBorders>
              <w:top w:val="single" w:sz="2" w:space="0" w:color="000000"/>
              <w:left w:val="single" w:sz="2" w:space="0" w:color="000000"/>
              <w:bottom w:val="single" w:sz="2" w:space="0" w:color="000000"/>
              <w:right w:val="nil"/>
            </w:tcBorders>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4000</w:t>
            </w:r>
          </w:p>
        </w:tc>
      </w:tr>
      <w:tr w:rsidR="00C9707E">
        <w:trPr>
          <w:trHeight w:val="381"/>
          <w:jc w:val="center"/>
        </w:trPr>
        <w:tc>
          <w:tcPr>
            <w:tcW w:w="188" w:type="pct"/>
            <w:tcBorders>
              <w:top w:val="single" w:sz="2" w:space="0" w:color="000000"/>
              <w:left w:val="nil"/>
              <w:bottom w:val="single" w:sz="2" w:space="0" w:color="000000"/>
              <w:right w:val="single" w:sz="2" w:space="0" w:color="000000"/>
            </w:tcBorders>
            <w:vAlign w:val="center"/>
          </w:tcPr>
          <w:p w:rsidR="00C9707E" w:rsidRDefault="00C9707E">
            <w:pPr>
              <w:spacing w:line="240" w:lineRule="auto"/>
              <w:ind w:firstLineChars="0" w:firstLine="0"/>
              <w:jc w:val="center"/>
              <w:rPr>
                <w:rFonts w:ascii="Times New Roman" w:cs="Times New Roman" w:hint="eastAsia"/>
                <w:sz w:val="21"/>
                <w:szCs w:val="21"/>
              </w:rPr>
            </w:pPr>
            <w:r>
              <w:rPr>
                <w:rFonts w:ascii="Times New Roman" w:cs="Times New Roman" w:hint="eastAsia"/>
                <w:sz w:val="21"/>
                <w:szCs w:val="21"/>
              </w:rPr>
              <w:t>65</w:t>
            </w:r>
          </w:p>
        </w:tc>
        <w:tc>
          <w:tcPr>
            <w:tcW w:w="473" w:type="pct"/>
            <w:vMerge/>
            <w:tcBorders>
              <w:top w:val="single" w:sz="2" w:space="0" w:color="000000"/>
              <w:left w:val="single" w:sz="2" w:space="0" w:color="000000"/>
              <w:right w:val="single" w:sz="2" w:space="0" w:color="000000"/>
            </w:tcBorders>
            <w:vAlign w:val="center"/>
          </w:tcPr>
          <w:p w:rsidR="00C9707E" w:rsidRDefault="00C9707E">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C9707E" w:rsidRDefault="00C9707E">
            <w:pPr>
              <w:spacing w:line="240" w:lineRule="auto"/>
              <w:ind w:firstLineChars="0" w:firstLine="0"/>
              <w:jc w:val="center"/>
              <w:rPr>
                <w:rFonts w:ascii="Times New Roman" w:cs="Times New Roman" w:hint="eastAsia"/>
                <w:sz w:val="21"/>
                <w:szCs w:val="21"/>
              </w:rPr>
            </w:pPr>
            <w:r>
              <w:rPr>
                <w:rFonts w:ascii="Times New Roman" w:cs="Times New Roman" w:hint="eastAsia"/>
                <w:sz w:val="21"/>
                <w:szCs w:val="21"/>
              </w:rPr>
              <w:t>杨家湾</w:t>
            </w:r>
            <w:r>
              <w:rPr>
                <w:rFonts w:ascii="Times New Roman" w:cs="Times New Roman"/>
                <w:sz w:val="21"/>
                <w:szCs w:val="21"/>
              </w:rPr>
              <w:t>农户</w:t>
            </w:r>
            <w:r>
              <w:rPr>
                <w:rFonts w:ascii="Times New Roman" w:cs="Times New Roman" w:hint="eastAsia"/>
                <w:sz w:val="21"/>
                <w:szCs w:val="21"/>
              </w:rPr>
              <w:t>65#</w:t>
            </w:r>
          </w:p>
        </w:tc>
        <w:tc>
          <w:tcPr>
            <w:tcW w:w="426" w:type="pct"/>
            <w:tcBorders>
              <w:top w:val="single" w:sz="2" w:space="0" w:color="000000"/>
              <w:left w:val="single" w:sz="2" w:space="0" w:color="000000"/>
              <w:bottom w:val="single" w:sz="2" w:space="0" w:color="000000"/>
              <w:right w:val="single" w:sz="2" w:space="0" w:color="000000"/>
            </w:tcBorders>
            <w:vAlign w:val="center"/>
          </w:tcPr>
          <w:p w:rsidR="00C9707E" w:rsidRDefault="00C9707E">
            <w:pPr>
              <w:spacing w:line="240" w:lineRule="auto"/>
              <w:ind w:firstLineChars="0" w:firstLine="0"/>
              <w:jc w:val="center"/>
              <w:rPr>
                <w:rFonts w:ascii="Times New Roman" w:cs="Times New Roman" w:hint="eastAsia"/>
                <w:sz w:val="21"/>
                <w:szCs w:val="21"/>
              </w:rPr>
            </w:pPr>
            <w:r>
              <w:rPr>
                <w:rFonts w:ascii="Times New Roman" w:cs="Times New Roman" w:hint="eastAsia"/>
                <w:sz w:val="21"/>
                <w:szCs w:val="21"/>
              </w:rPr>
              <w:t>0</w:t>
            </w:r>
          </w:p>
        </w:tc>
        <w:tc>
          <w:tcPr>
            <w:tcW w:w="381" w:type="pct"/>
            <w:tcBorders>
              <w:top w:val="single" w:sz="2" w:space="0" w:color="000000"/>
              <w:left w:val="single" w:sz="2" w:space="0" w:color="000000"/>
              <w:bottom w:val="single" w:sz="2" w:space="0" w:color="000000"/>
              <w:right w:val="single" w:sz="2" w:space="0" w:color="000000"/>
            </w:tcBorders>
            <w:vAlign w:val="center"/>
          </w:tcPr>
          <w:p w:rsidR="00C9707E" w:rsidRDefault="00C9707E">
            <w:pPr>
              <w:spacing w:line="240" w:lineRule="auto"/>
              <w:ind w:firstLineChars="0" w:firstLine="0"/>
              <w:jc w:val="center"/>
              <w:rPr>
                <w:rFonts w:ascii="Times New Roman" w:cs="Times New Roman" w:hint="eastAsia"/>
                <w:sz w:val="21"/>
                <w:szCs w:val="21"/>
              </w:rPr>
            </w:pPr>
            <w:r>
              <w:rPr>
                <w:rFonts w:ascii="Times New Roman" w:cs="Times New Roman" w:hint="eastAsia"/>
                <w:sz w:val="21"/>
                <w:szCs w:val="21"/>
              </w:rPr>
              <w:t>4190</w:t>
            </w:r>
          </w:p>
        </w:tc>
        <w:tc>
          <w:tcPr>
            <w:tcW w:w="379" w:type="pct"/>
            <w:tcBorders>
              <w:top w:val="single" w:sz="2" w:space="0" w:color="000000"/>
              <w:left w:val="single" w:sz="2" w:space="0" w:color="000000"/>
              <w:bottom w:val="single" w:sz="2" w:space="0" w:color="000000"/>
              <w:right w:val="single" w:sz="2" w:space="0" w:color="000000"/>
            </w:tcBorders>
            <w:vAlign w:val="center"/>
          </w:tcPr>
          <w:p w:rsidR="00C9707E" w:rsidRDefault="00C9707E">
            <w:pPr>
              <w:spacing w:line="240" w:lineRule="auto"/>
              <w:ind w:firstLineChars="0" w:firstLine="0"/>
              <w:jc w:val="center"/>
              <w:rPr>
                <w:rFonts w:ascii="Times New Roman" w:cs="Times New Roman"/>
                <w:sz w:val="21"/>
                <w:szCs w:val="21"/>
              </w:rPr>
            </w:pPr>
            <w:r>
              <w:rPr>
                <w:rFonts w:ascii="Times New Roman" w:cs="Times New Roman"/>
                <w:sz w:val="21"/>
                <w:szCs w:val="21"/>
              </w:rPr>
              <w:t>农户</w:t>
            </w:r>
          </w:p>
        </w:tc>
        <w:tc>
          <w:tcPr>
            <w:tcW w:w="566" w:type="pct"/>
            <w:tcBorders>
              <w:top w:val="single" w:sz="2" w:space="0" w:color="000000"/>
              <w:left w:val="single" w:sz="2" w:space="0" w:color="000000"/>
              <w:bottom w:val="single" w:sz="2" w:space="0" w:color="000000"/>
              <w:right w:val="single" w:sz="2" w:space="0" w:color="000000"/>
            </w:tcBorders>
            <w:vAlign w:val="center"/>
          </w:tcPr>
          <w:p w:rsidR="00C9707E" w:rsidRDefault="00C9707E">
            <w:pPr>
              <w:spacing w:line="240" w:lineRule="auto"/>
              <w:ind w:firstLineChars="0" w:firstLine="0"/>
              <w:jc w:val="center"/>
              <w:rPr>
                <w:rFonts w:ascii="Times New Roman" w:cs="Times New Roman"/>
                <w:sz w:val="21"/>
                <w:szCs w:val="21"/>
              </w:rPr>
            </w:pPr>
            <w:r>
              <w:rPr>
                <w:rFonts w:ascii="Times New Roman" w:cs="Times New Roman"/>
                <w:sz w:val="21"/>
                <w:szCs w:val="21"/>
              </w:rPr>
              <w:t>约</w:t>
            </w:r>
            <w:r>
              <w:rPr>
                <w:rFonts w:ascii="Times New Roman" w:cs="Times New Roman" w:hint="eastAsia"/>
                <w:sz w:val="21"/>
                <w:szCs w:val="21"/>
              </w:rPr>
              <w:t>5</w:t>
            </w:r>
            <w:r>
              <w:rPr>
                <w:rFonts w:ascii="Times New Roman" w:cs="Times New Roman"/>
                <w:sz w:val="21"/>
                <w:szCs w:val="21"/>
              </w:rPr>
              <w:t>户</w:t>
            </w:r>
            <w:r>
              <w:rPr>
                <w:rFonts w:ascii="Times New Roman" w:cs="Times New Roman" w:hint="eastAsia"/>
                <w:sz w:val="21"/>
                <w:szCs w:val="21"/>
              </w:rPr>
              <w:t>15</w:t>
            </w:r>
            <w:r>
              <w:rPr>
                <w:rFonts w:ascii="Times New Roman" w:cs="Times New Roman"/>
                <w:sz w:val="21"/>
                <w:szCs w:val="21"/>
              </w:rPr>
              <w:t>人</w:t>
            </w:r>
          </w:p>
        </w:tc>
        <w:tc>
          <w:tcPr>
            <w:tcW w:w="1043" w:type="pct"/>
            <w:vMerge/>
            <w:tcBorders>
              <w:top w:val="single" w:sz="2" w:space="0" w:color="000000"/>
              <w:left w:val="single" w:sz="2" w:space="0" w:color="000000"/>
              <w:right w:val="single" w:sz="2" w:space="0" w:color="000000"/>
            </w:tcBorders>
            <w:vAlign w:val="center"/>
          </w:tcPr>
          <w:p w:rsidR="00C9707E" w:rsidRDefault="00C9707E">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C9707E" w:rsidRDefault="00C9707E">
            <w:pPr>
              <w:spacing w:line="240" w:lineRule="auto"/>
              <w:ind w:firstLineChars="0" w:firstLine="0"/>
              <w:jc w:val="center"/>
              <w:rPr>
                <w:rFonts w:ascii="Times New Roman" w:cs="Times New Roman" w:hint="eastAsia"/>
                <w:sz w:val="21"/>
                <w:szCs w:val="21"/>
              </w:rPr>
            </w:pPr>
            <w:r>
              <w:rPr>
                <w:rFonts w:ascii="Times New Roman" w:cs="Times New Roman" w:hint="eastAsia"/>
                <w:sz w:val="21"/>
                <w:szCs w:val="21"/>
              </w:rPr>
              <w:t>NW</w:t>
            </w:r>
          </w:p>
        </w:tc>
        <w:tc>
          <w:tcPr>
            <w:tcW w:w="453" w:type="pct"/>
            <w:tcBorders>
              <w:top w:val="single" w:sz="2" w:space="0" w:color="000000"/>
              <w:left w:val="single" w:sz="2" w:space="0" w:color="000000"/>
              <w:bottom w:val="single" w:sz="2" w:space="0" w:color="000000"/>
              <w:right w:val="nil"/>
            </w:tcBorders>
            <w:vAlign w:val="center"/>
          </w:tcPr>
          <w:p w:rsidR="00C9707E" w:rsidRDefault="00C9707E">
            <w:pPr>
              <w:spacing w:line="240" w:lineRule="auto"/>
              <w:ind w:firstLineChars="0" w:firstLine="0"/>
              <w:jc w:val="center"/>
              <w:rPr>
                <w:rFonts w:ascii="Times New Roman" w:cs="Times New Roman" w:hint="eastAsia"/>
                <w:sz w:val="21"/>
                <w:szCs w:val="21"/>
              </w:rPr>
            </w:pPr>
            <w:r>
              <w:rPr>
                <w:rFonts w:ascii="Times New Roman" w:cs="Times New Roman" w:hint="eastAsia"/>
                <w:sz w:val="21"/>
                <w:szCs w:val="21"/>
              </w:rPr>
              <w:t>4190</w:t>
            </w:r>
          </w:p>
        </w:tc>
      </w:tr>
      <w:tr w:rsidR="00C9707E">
        <w:trPr>
          <w:trHeight w:val="381"/>
          <w:jc w:val="center"/>
        </w:trPr>
        <w:tc>
          <w:tcPr>
            <w:tcW w:w="188" w:type="pct"/>
            <w:tcBorders>
              <w:top w:val="single" w:sz="2" w:space="0" w:color="000000"/>
              <w:left w:val="nil"/>
              <w:bottom w:val="single" w:sz="2" w:space="0" w:color="000000"/>
              <w:right w:val="single" w:sz="2" w:space="0" w:color="000000"/>
            </w:tcBorders>
            <w:vAlign w:val="center"/>
          </w:tcPr>
          <w:p w:rsidR="00C9707E" w:rsidRDefault="00C9707E" w:rsidP="00725554">
            <w:pPr>
              <w:spacing w:line="240" w:lineRule="auto"/>
              <w:ind w:firstLineChars="0" w:firstLine="0"/>
              <w:jc w:val="center"/>
              <w:rPr>
                <w:rFonts w:ascii="Times New Roman" w:cs="Times New Roman"/>
                <w:sz w:val="21"/>
                <w:szCs w:val="21"/>
              </w:rPr>
            </w:pPr>
            <w:r>
              <w:rPr>
                <w:rFonts w:ascii="Times New Roman" w:cs="Times New Roman" w:hint="eastAsia"/>
                <w:sz w:val="21"/>
                <w:szCs w:val="21"/>
              </w:rPr>
              <w:t>66</w:t>
            </w:r>
          </w:p>
        </w:tc>
        <w:tc>
          <w:tcPr>
            <w:tcW w:w="473" w:type="pct"/>
            <w:vMerge/>
            <w:tcBorders>
              <w:top w:val="single" w:sz="2" w:space="0" w:color="000000"/>
              <w:left w:val="single" w:sz="2" w:space="0" w:color="000000"/>
              <w:right w:val="single" w:sz="2" w:space="0" w:color="000000"/>
            </w:tcBorders>
            <w:vAlign w:val="center"/>
          </w:tcPr>
          <w:p w:rsidR="00C9707E" w:rsidRDefault="00C9707E">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C9707E" w:rsidRDefault="00C9707E">
            <w:pPr>
              <w:spacing w:line="240" w:lineRule="auto"/>
              <w:ind w:firstLineChars="0" w:firstLine="0"/>
              <w:jc w:val="center"/>
              <w:rPr>
                <w:rFonts w:ascii="Times New Roman" w:cs="Times New Roman" w:hint="eastAsia"/>
                <w:sz w:val="21"/>
                <w:szCs w:val="21"/>
              </w:rPr>
            </w:pPr>
            <w:r w:rsidRPr="00C9707E">
              <w:rPr>
                <w:rFonts w:ascii="Times New Roman" w:cs="Times New Roman"/>
                <w:color w:val="FF0000"/>
                <w:sz w:val="21"/>
                <w:szCs w:val="21"/>
              </w:rPr>
              <w:t>土主镇</w:t>
            </w:r>
            <w:r w:rsidRPr="00C9707E">
              <w:rPr>
                <w:rFonts w:ascii="Times New Roman" w:cs="Times New Roman" w:hint="eastAsia"/>
                <w:color w:val="FF0000"/>
                <w:sz w:val="21"/>
                <w:szCs w:val="21"/>
              </w:rPr>
              <w:t>鱼</w:t>
            </w:r>
            <w:r w:rsidRPr="00C9707E">
              <w:rPr>
                <w:rFonts w:ascii="Times New Roman" w:cs="Times New Roman"/>
                <w:color w:val="FF0000"/>
                <w:sz w:val="21"/>
                <w:szCs w:val="21"/>
              </w:rPr>
              <w:t>坝小学</w:t>
            </w:r>
            <w:r w:rsidRPr="00C9707E">
              <w:rPr>
                <w:rFonts w:ascii="Times New Roman" w:cs="Times New Roman" w:hint="eastAsia"/>
                <w:color w:val="FF0000"/>
                <w:sz w:val="21"/>
                <w:szCs w:val="21"/>
              </w:rPr>
              <w:t>66#</w:t>
            </w:r>
          </w:p>
        </w:tc>
        <w:tc>
          <w:tcPr>
            <w:tcW w:w="426" w:type="pct"/>
            <w:tcBorders>
              <w:top w:val="single" w:sz="2" w:space="0" w:color="000000"/>
              <w:left w:val="single" w:sz="2" w:space="0" w:color="000000"/>
              <w:bottom w:val="single" w:sz="2" w:space="0" w:color="000000"/>
              <w:right w:val="single" w:sz="2" w:space="0" w:color="000000"/>
            </w:tcBorders>
            <w:vAlign w:val="center"/>
          </w:tcPr>
          <w:p w:rsidR="00C9707E" w:rsidRDefault="00C9707E">
            <w:pPr>
              <w:spacing w:line="240" w:lineRule="auto"/>
              <w:ind w:firstLineChars="0" w:firstLine="0"/>
              <w:jc w:val="center"/>
              <w:rPr>
                <w:rFonts w:ascii="Times New Roman" w:cs="Times New Roman" w:hint="eastAsia"/>
                <w:sz w:val="21"/>
                <w:szCs w:val="21"/>
              </w:rPr>
            </w:pPr>
            <w:r w:rsidRPr="00C9707E">
              <w:rPr>
                <w:rFonts w:ascii="Times New Roman" w:cs="Times New Roman" w:hint="eastAsia"/>
                <w:color w:val="FF0000"/>
                <w:sz w:val="21"/>
                <w:szCs w:val="21"/>
              </w:rPr>
              <w:t>-2240</w:t>
            </w:r>
          </w:p>
        </w:tc>
        <w:tc>
          <w:tcPr>
            <w:tcW w:w="381" w:type="pct"/>
            <w:tcBorders>
              <w:top w:val="single" w:sz="2" w:space="0" w:color="000000"/>
              <w:left w:val="single" w:sz="2" w:space="0" w:color="000000"/>
              <w:bottom w:val="single" w:sz="2" w:space="0" w:color="000000"/>
              <w:right w:val="single" w:sz="2" w:space="0" w:color="000000"/>
            </w:tcBorders>
            <w:vAlign w:val="center"/>
          </w:tcPr>
          <w:p w:rsidR="00C9707E" w:rsidRDefault="00C9707E">
            <w:pPr>
              <w:spacing w:line="240" w:lineRule="auto"/>
              <w:ind w:firstLineChars="0" w:firstLine="0"/>
              <w:jc w:val="center"/>
              <w:rPr>
                <w:rFonts w:ascii="Times New Roman" w:cs="Times New Roman" w:hint="eastAsia"/>
                <w:sz w:val="21"/>
                <w:szCs w:val="21"/>
              </w:rPr>
            </w:pPr>
            <w:r w:rsidRPr="00C9707E">
              <w:rPr>
                <w:rFonts w:ascii="Times New Roman" w:cs="Times New Roman" w:hint="eastAsia"/>
                <w:color w:val="FF0000"/>
                <w:sz w:val="21"/>
                <w:szCs w:val="21"/>
              </w:rPr>
              <w:t>-560</w:t>
            </w:r>
          </w:p>
        </w:tc>
        <w:tc>
          <w:tcPr>
            <w:tcW w:w="379" w:type="pct"/>
            <w:tcBorders>
              <w:top w:val="single" w:sz="2" w:space="0" w:color="000000"/>
              <w:left w:val="single" w:sz="2" w:space="0" w:color="000000"/>
              <w:bottom w:val="single" w:sz="2" w:space="0" w:color="000000"/>
              <w:right w:val="single" w:sz="2" w:space="0" w:color="000000"/>
            </w:tcBorders>
            <w:vAlign w:val="center"/>
          </w:tcPr>
          <w:p w:rsidR="00C9707E" w:rsidRDefault="00C9707E">
            <w:pPr>
              <w:spacing w:line="240" w:lineRule="auto"/>
              <w:ind w:firstLineChars="0" w:firstLine="0"/>
              <w:jc w:val="center"/>
              <w:rPr>
                <w:rFonts w:ascii="Times New Roman" w:cs="Times New Roman"/>
                <w:sz w:val="21"/>
                <w:szCs w:val="21"/>
              </w:rPr>
            </w:pPr>
            <w:r w:rsidRPr="00C9707E">
              <w:rPr>
                <w:rFonts w:ascii="Times New Roman" w:cs="Times New Roman"/>
                <w:color w:val="FF0000"/>
                <w:sz w:val="21"/>
                <w:szCs w:val="21"/>
              </w:rPr>
              <w:t>学校</w:t>
            </w:r>
          </w:p>
        </w:tc>
        <w:tc>
          <w:tcPr>
            <w:tcW w:w="566" w:type="pct"/>
            <w:tcBorders>
              <w:top w:val="single" w:sz="2" w:space="0" w:color="000000"/>
              <w:left w:val="single" w:sz="2" w:space="0" w:color="000000"/>
              <w:bottom w:val="single" w:sz="2" w:space="0" w:color="000000"/>
              <w:right w:val="single" w:sz="2" w:space="0" w:color="000000"/>
            </w:tcBorders>
            <w:vAlign w:val="center"/>
          </w:tcPr>
          <w:p w:rsidR="00C9707E" w:rsidRDefault="00C9707E">
            <w:pPr>
              <w:spacing w:line="240" w:lineRule="auto"/>
              <w:ind w:firstLineChars="0" w:firstLine="0"/>
              <w:jc w:val="center"/>
              <w:rPr>
                <w:rFonts w:ascii="Times New Roman" w:cs="Times New Roman"/>
                <w:sz w:val="21"/>
                <w:szCs w:val="21"/>
              </w:rPr>
            </w:pPr>
            <w:r w:rsidRPr="00C9707E">
              <w:rPr>
                <w:rFonts w:ascii="Times New Roman" w:cs="Times New Roman"/>
                <w:color w:val="FF0000"/>
                <w:sz w:val="21"/>
                <w:szCs w:val="21"/>
              </w:rPr>
              <w:t>师生约</w:t>
            </w:r>
            <w:r w:rsidRPr="00C9707E">
              <w:rPr>
                <w:rFonts w:ascii="Times New Roman" w:cs="Times New Roman" w:hint="eastAsia"/>
                <w:color w:val="FF0000"/>
                <w:sz w:val="21"/>
                <w:szCs w:val="21"/>
              </w:rPr>
              <w:t>120</w:t>
            </w:r>
            <w:r w:rsidRPr="00C9707E">
              <w:rPr>
                <w:rFonts w:ascii="Times New Roman" w:cs="Times New Roman" w:hint="eastAsia"/>
                <w:color w:val="FF0000"/>
                <w:sz w:val="21"/>
                <w:szCs w:val="21"/>
              </w:rPr>
              <w:t>人</w:t>
            </w:r>
          </w:p>
        </w:tc>
        <w:tc>
          <w:tcPr>
            <w:tcW w:w="1043" w:type="pct"/>
            <w:vMerge/>
            <w:tcBorders>
              <w:top w:val="single" w:sz="2" w:space="0" w:color="000000"/>
              <w:left w:val="single" w:sz="2" w:space="0" w:color="000000"/>
              <w:right w:val="single" w:sz="2" w:space="0" w:color="000000"/>
            </w:tcBorders>
            <w:vAlign w:val="center"/>
          </w:tcPr>
          <w:p w:rsidR="00C9707E" w:rsidRDefault="00C9707E">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C9707E" w:rsidRDefault="00C9707E">
            <w:pPr>
              <w:spacing w:line="240" w:lineRule="auto"/>
              <w:ind w:firstLineChars="0" w:firstLine="0"/>
              <w:jc w:val="center"/>
              <w:rPr>
                <w:rFonts w:ascii="Times New Roman" w:cs="Times New Roman" w:hint="eastAsia"/>
                <w:sz w:val="21"/>
                <w:szCs w:val="21"/>
              </w:rPr>
            </w:pPr>
            <w:r w:rsidRPr="00C9707E">
              <w:rPr>
                <w:rFonts w:ascii="Times New Roman" w:cs="Times New Roman" w:hint="eastAsia"/>
                <w:color w:val="FF0000"/>
                <w:sz w:val="21"/>
                <w:szCs w:val="21"/>
              </w:rPr>
              <w:t>SW</w:t>
            </w:r>
          </w:p>
        </w:tc>
        <w:tc>
          <w:tcPr>
            <w:tcW w:w="453" w:type="pct"/>
            <w:tcBorders>
              <w:top w:val="single" w:sz="2" w:space="0" w:color="000000"/>
              <w:left w:val="single" w:sz="2" w:space="0" w:color="000000"/>
              <w:bottom w:val="single" w:sz="2" w:space="0" w:color="000000"/>
              <w:right w:val="nil"/>
            </w:tcBorders>
            <w:vAlign w:val="center"/>
          </w:tcPr>
          <w:p w:rsidR="00C9707E" w:rsidRDefault="00C9707E">
            <w:pPr>
              <w:spacing w:line="240" w:lineRule="auto"/>
              <w:ind w:firstLineChars="0" w:firstLine="0"/>
              <w:jc w:val="center"/>
              <w:rPr>
                <w:rFonts w:ascii="Times New Roman" w:cs="Times New Roman" w:hint="eastAsia"/>
                <w:sz w:val="21"/>
                <w:szCs w:val="21"/>
              </w:rPr>
            </w:pPr>
            <w:r w:rsidRPr="00C9707E">
              <w:rPr>
                <w:rFonts w:ascii="Times New Roman" w:cs="Times New Roman" w:hint="eastAsia"/>
                <w:color w:val="FF0000"/>
                <w:sz w:val="21"/>
                <w:szCs w:val="21"/>
              </w:rPr>
              <w:t>2340</w:t>
            </w:r>
          </w:p>
        </w:tc>
      </w:tr>
      <w:tr w:rsidR="00C9707E">
        <w:trPr>
          <w:trHeight w:val="381"/>
          <w:jc w:val="center"/>
        </w:trPr>
        <w:tc>
          <w:tcPr>
            <w:tcW w:w="188" w:type="pct"/>
            <w:tcBorders>
              <w:top w:val="single" w:sz="2" w:space="0" w:color="000000"/>
              <w:left w:val="nil"/>
              <w:bottom w:val="single" w:sz="2" w:space="0" w:color="000000"/>
              <w:right w:val="single" w:sz="2" w:space="0" w:color="000000"/>
            </w:tcBorders>
            <w:vAlign w:val="center"/>
          </w:tcPr>
          <w:p w:rsidR="00C9707E" w:rsidRDefault="00C9707E" w:rsidP="00725554">
            <w:pPr>
              <w:spacing w:line="240" w:lineRule="auto"/>
              <w:ind w:firstLineChars="0" w:firstLine="0"/>
              <w:jc w:val="center"/>
              <w:rPr>
                <w:rFonts w:ascii="Times New Roman" w:cs="Times New Roman"/>
                <w:sz w:val="21"/>
                <w:szCs w:val="21"/>
              </w:rPr>
            </w:pPr>
            <w:r>
              <w:rPr>
                <w:rFonts w:ascii="Times New Roman" w:cs="Times New Roman" w:hint="eastAsia"/>
                <w:sz w:val="21"/>
                <w:szCs w:val="21"/>
              </w:rPr>
              <w:lastRenderedPageBreak/>
              <w:t>67</w:t>
            </w:r>
          </w:p>
        </w:tc>
        <w:tc>
          <w:tcPr>
            <w:tcW w:w="473" w:type="pct"/>
            <w:vMerge/>
            <w:tcBorders>
              <w:top w:val="single" w:sz="2" w:space="0" w:color="000000"/>
              <w:left w:val="single" w:sz="2" w:space="0" w:color="000000"/>
              <w:right w:val="single" w:sz="2" w:space="0" w:color="000000"/>
            </w:tcBorders>
            <w:vAlign w:val="center"/>
          </w:tcPr>
          <w:p w:rsidR="00C9707E" w:rsidRDefault="00C9707E">
            <w:pPr>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C9707E" w:rsidRPr="00C9707E" w:rsidRDefault="00C9707E">
            <w:pPr>
              <w:spacing w:line="240" w:lineRule="auto"/>
              <w:ind w:firstLineChars="0" w:firstLine="0"/>
              <w:jc w:val="center"/>
              <w:rPr>
                <w:rFonts w:ascii="Times New Roman" w:cs="Times New Roman"/>
                <w:color w:val="FF0000"/>
                <w:sz w:val="21"/>
                <w:szCs w:val="21"/>
              </w:rPr>
            </w:pPr>
            <w:r w:rsidRPr="00C9707E">
              <w:rPr>
                <w:rFonts w:ascii="Times New Roman" w:cs="Times New Roman" w:hint="eastAsia"/>
                <w:color w:val="FF0000"/>
                <w:sz w:val="21"/>
                <w:szCs w:val="21"/>
              </w:rPr>
              <w:t>宣汉</w:t>
            </w:r>
            <w:r w:rsidRPr="00C9707E">
              <w:rPr>
                <w:rFonts w:ascii="Times New Roman" w:cs="Times New Roman" w:hint="eastAsia"/>
                <w:color w:val="FF0000"/>
                <w:sz w:val="21"/>
                <w:szCs w:val="21"/>
              </w:rPr>
              <w:t>县</w:t>
            </w:r>
            <w:r w:rsidRPr="00C9707E">
              <w:rPr>
                <w:rFonts w:ascii="Times New Roman" w:cs="Times New Roman" w:hint="eastAsia"/>
                <w:color w:val="FF0000"/>
                <w:sz w:val="21"/>
                <w:szCs w:val="21"/>
              </w:rPr>
              <w:t>普光学校</w:t>
            </w:r>
          </w:p>
        </w:tc>
        <w:tc>
          <w:tcPr>
            <w:tcW w:w="426" w:type="pct"/>
            <w:tcBorders>
              <w:top w:val="single" w:sz="2" w:space="0" w:color="000000"/>
              <w:left w:val="single" w:sz="2" w:space="0" w:color="000000"/>
              <w:bottom w:val="single" w:sz="2" w:space="0" w:color="000000"/>
              <w:right w:val="single" w:sz="2" w:space="0" w:color="000000"/>
            </w:tcBorders>
            <w:vAlign w:val="center"/>
          </w:tcPr>
          <w:p w:rsidR="00C9707E" w:rsidRPr="00C9707E" w:rsidRDefault="00C9707E" w:rsidP="00C9707E">
            <w:pPr>
              <w:spacing w:line="240" w:lineRule="auto"/>
              <w:ind w:firstLineChars="0" w:firstLine="0"/>
              <w:jc w:val="center"/>
              <w:rPr>
                <w:rFonts w:ascii="Times New Roman" w:cs="Times New Roman" w:hint="eastAsia"/>
                <w:color w:val="FF0000"/>
                <w:sz w:val="21"/>
                <w:szCs w:val="21"/>
              </w:rPr>
            </w:pPr>
            <w:r w:rsidRPr="00C9707E">
              <w:rPr>
                <w:rFonts w:ascii="Times New Roman" w:cs="Times New Roman" w:hint="eastAsia"/>
                <w:color w:val="FF0000"/>
                <w:sz w:val="21"/>
                <w:szCs w:val="21"/>
              </w:rPr>
              <w:t>-2</w:t>
            </w:r>
            <w:r w:rsidRPr="00C9707E">
              <w:rPr>
                <w:rFonts w:ascii="Times New Roman" w:cs="Times New Roman" w:hint="eastAsia"/>
                <w:color w:val="FF0000"/>
                <w:sz w:val="21"/>
                <w:szCs w:val="21"/>
              </w:rPr>
              <w:t>53</w:t>
            </w:r>
            <w:r w:rsidRPr="00C9707E">
              <w:rPr>
                <w:rFonts w:ascii="Times New Roman" w:cs="Times New Roman" w:hint="eastAsia"/>
                <w:color w:val="FF0000"/>
                <w:sz w:val="21"/>
                <w:szCs w:val="21"/>
              </w:rPr>
              <w:t>0</w:t>
            </w:r>
          </w:p>
        </w:tc>
        <w:tc>
          <w:tcPr>
            <w:tcW w:w="381" w:type="pct"/>
            <w:tcBorders>
              <w:top w:val="single" w:sz="2" w:space="0" w:color="000000"/>
              <w:left w:val="single" w:sz="2" w:space="0" w:color="000000"/>
              <w:bottom w:val="single" w:sz="2" w:space="0" w:color="000000"/>
              <w:right w:val="single" w:sz="2" w:space="0" w:color="000000"/>
            </w:tcBorders>
            <w:vAlign w:val="center"/>
          </w:tcPr>
          <w:p w:rsidR="00C9707E" w:rsidRPr="00C9707E" w:rsidRDefault="00C9707E" w:rsidP="00C9707E">
            <w:pPr>
              <w:spacing w:line="240" w:lineRule="auto"/>
              <w:ind w:firstLineChars="0" w:firstLine="0"/>
              <w:jc w:val="center"/>
              <w:rPr>
                <w:rFonts w:ascii="Times New Roman" w:cs="Times New Roman" w:hint="eastAsia"/>
                <w:color w:val="FF0000"/>
                <w:sz w:val="21"/>
                <w:szCs w:val="21"/>
              </w:rPr>
            </w:pPr>
            <w:r w:rsidRPr="00C9707E">
              <w:rPr>
                <w:rFonts w:ascii="Times New Roman" w:cs="Times New Roman" w:hint="eastAsia"/>
                <w:color w:val="FF0000"/>
                <w:sz w:val="21"/>
                <w:szCs w:val="21"/>
              </w:rPr>
              <w:t>-</w:t>
            </w:r>
            <w:r w:rsidRPr="00C9707E">
              <w:rPr>
                <w:rFonts w:ascii="Times New Roman" w:cs="Times New Roman" w:hint="eastAsia"/>
                <w:color w:val="FF0000"/>
                <w:sz w:val="21"/>
                <w:szCs w:val="21"/>
              </w:rPr>
              <w:t>172</w:t>
            </w:r>
            <w:r w:rsidRPr="00C9707E">
              <w:rPr>
                <w:rFonts w:ascii="Times New Roman" w:cs="Times New Roman" w:hint="eastAsia"/>
                <w:color w:val="FF0000"/>
                <w:sz w:val="21"/>
                <w:szCs w:val="21"/>
              </w:rPr>
              <w:t>0</w:t>
            </w:r>
          </w:p>
        </w:tc>
        <w:tc>
          <w:tcPr>
            <w:tcW w:w="379" w:type="pct"/>
            <w:tcBorders>
              <w:top w:val="single" w:sz="2" w:space="0" w:color="000000"/>
              <w:left w:val="single" w:sz="2" w:space="0" w:color="000000"/>
              <w:bottom w:val="single" w:sz="2" w:space="0" w:color="000000"/>
              <w:right w:val="single" w:sz="2" w:space="0" w:color="000000"/>
            </w:tcBorders>
            <w:vAlign w:val="center"/>
          </w:tcPr>
          <w:p w:rsidR="00C9707E" w:rsidRPr="00C9707E" w:rsidRDefault="00C9707E">
            <w:pPr>
              <w:spacing w:line="240" w:lineRule="auto"/>
              <w:ind w:firstLineChars="0" w:firstLine="0"/>
              <w:jc w:val="center"/>
              <w:rPr>
                <w:rFonts w:ascii="Times New Roman" w:cs="Times New Roman"/>
                <w:color w:val="FF0000"/>
                <w:sz w:val="21"/>
                <w:szCs w:val="21"/>
              </w:rPr>
            </w:pPr>
          </w:p>
        </w:tc>
        <w:tc>
          <w:tcPr>
            <w:tcW w:w="566" w:type="pct"/>
            <w:tcBorders>
              <w:top w:val="single" w:sz="2" w:space="0" w:color="000000"/>
              <w:left w:val="single" w:sz="2" w:space="0" w:color="000000"/>
              <w:bottom w:val="single" w:sz="2" w:space="0" w:color="000000"/>
              <w:right w:val="single" w:sz="2" w:space="0" w:color="000000"/>
            </w:tcBorders>
            <w:vAlign w:val="center"/>
          </w:tcPr>
          <w:p w:rsidR="00C9707E" w:rsidRPr="00C9707E" w:rsidRDefault="00C9707E" w:rsidP="00C9707E">
            <w:pPr>
              <w:spacing w:line="240" w:lineRule="auto"/>
              <w:ind w:firstLineChars="0" w:firstLine="0"/>
              <w:jc w:val="center"/>
              <w:rPr>
                <w:rFonts w:ascii="Times New Roman" w:cs="Times New Roman"/>
                <w:color w:val="FF0000"/>
                <w:sz w:val="21"/>
                <w:szCs w:val="21"/>
              </w:rPr>
            </w:pPr>
            <w:r w:rsidRPr="00C9707E">
              <w:rPr>
                <w:rFonts w:ascii="Times New Roman" w:cs="Times New Roman"/>
                <w:color w:val="FF0000"/>
                <w:sz w:val="21"/>
                <w:szCs w:val="21"/>
              </w:rPr>
              <w:t>师生约</w:t>
            </w:r>
            <w:r w:rsidRPr="00C9707E">
              <w:rPr>
                <w:rFonts w:ascii="Times New Roman" w:cs="Times New Roman" w:hint="eastAsia"/>
                <w:color w:val="FF0000"/>
                <w:sz w:val="21"/>
                <w:szCs w:val="21"/>
              </w:rPr>
              <w:t>98</w:t>
            </w:r>
            <w:r w:rsidRPr="00C9707E">
              <w:rPr>
                <w:rFonts w:ascii="Times New Roman" w:cs="Times New Roman" w:hint="eastAsia"/>
                <w:color w:val="FF0000"/>
                <w:sz w:val="21"/>
                <w:szCs w:val="21"/>
              </w:rPr>
              <w:t>0</w:t>
            </w:r>
            <w:r w:rsidRPr="00C9707E">
              <w:rPr>
                <w:rFonts w:ascii="Times New Roman" w:cs="Times New Roman" w:hint="eastAsia"/>
                <w:color w:val="FF0000"/>
                <w:sz w:val="21"/>
                <w:szCs w:val="21"/>
              </w:rPr>
              <w:t>人</w:t>
            </w:r>
          </w:p>
        </w:tc>
        <w:tc>
          <w:tcPr>
            <w:tcW w:w="1043" w:type="pct"/>
            <w:vMerge/>
            <w:tcBorders>
              <w:top w:val="single" w:sz="2" w:space="0" w:color="000000"/>
              <w:left w:val="single" w:sz="2" w:space="0" w:color="000000"/>
              <w:right w:val="single" w:sz="2" w:space="0" w:color="000000"/>
            </w:tcBorders>
            <w:vAlign w:val="center"/>
          </w:tcPr>
          <w:p w:rsidR="00C9707E" w:rsidRPr="00C9707E" w:rsidRDefault="00C9707E">
            <w:pPr>
              <w:spacing w:line="240" w:lineRule="auto"/>
              <w:ind w:firstLineChars="0" w:firstLine="0"/>
              <w:jc w:val="center"/>
              <w:rPr>
                <w:rFonts w:ascii="Times New Roman" w:cs="Times New Roman"/>
                <w:color w:val="FF0000"/>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C9707E" w:rsidRPr="00C9707E" w:rsidRDefault="00C9707E">
            <w:pPr>
              <w:spacing w:line="240" w:lineRule="auto"/>
              <w:ind w:firstLineChars="0" w:firstLine="0"/>
              <w:jc w:val="center"/>
              <w:rPr>
                <w:rFonts w:ascii="Times New Roman" w:cs="Times New Roman" w:hint="eastAsia"/>
                <w:color w:val="FF0000"/>
                <w:sz w:val="21"/>
                <w:szCs w:val="21"/>
              </w:rPr>
            </w:pPr>
            <w:r w:rsidRPr="00C9707E">
              <w:rPr>
                <w:rFonts w:ascii="Times New Roman" w:cs="Times New Roman" w:hint="eastAsia"/>
                <w:color w:val="FF0000"/>
                <w:sz w:val="21"/>
                <w:szCs w:val="21"/>
              </w:rPr>
              <w:t>SW</w:t>
            </w:r>
          </w:p>
        </w:tc>
        <w:tc>
          <w:tcPr>
            <w:tcW w:w="453" w:type="pct"/>
            <w:tcBorders>
              <w:top w:val="single" w:sz="2" w:space="0" w:color="000000"/>
              <w:left w:val="single" w:sz="2" w:space="0" w:color="000000"/>
              <w:bottom w:val="single" w:sz="2" w:space="0" w:color="000000"/>
              <w:right w:val="nil"/>
            </w:tcBorders>
            <w:vAlign w:val="center"/>
          </w:tcPr>
          <w:p w:rsidR="00C9707E" w:rsidRPr="00C9707E" w:rsidRDefault="00C9707E">
            <w:pPr>
              <w:spacing w:line="240" w:lineRule="auto"/>
              <w:ind w:firstLineChars="0" w:firstLine="0"/>
              <w:jc w:val="center"/>
              <w:rPr>
                <w:rFonts w:ascii="Times New Roman" w:cs="Times New Roman" w:hint="eastAsia"/>
                <w:color w:val="FF0000"/>
                <w:sz w:val="21"/>
                <w:szCs w:val="21"/>
              </w:rPr>
            </w:pPr>
            <w:r w:rsidRPr="00C9707E">
              <w:rPr>
                <w:rFonts w:ascii="Times New Roman" w:cs="Times New Roman" w:hint="eastAsia"/>
                <w:color w:val="FF0000"/>
                <w:sz w:val="21"/>
                <w:szCs w:val="21"/>
              </w:rPr>
              <w:t>3000</w:t>
            </w:r>
          </w:p>
        </w:tc>
      </w:tr>
      <w:tr w:rsidR="00F16021">
        <w:trPr>
          <w:trHeight w:val="342"/>
          <w:jc w:val="center"/>
        </w:trPr>
        <w:tc>
          <w:tcPr>
            <w:tcW w:w="188" w:type="pct"/>
            <w:tcBorders>
              <w:top w:val="single" w:sz="2" w:space="0" w:color="000000"/>
              <w:left w:val="nil"/>
              <w:bottom w:val="single" w:sz="2" w:space="0" w:color="000000"/>
              <w:right w:val="single" w:sz="2" w:space="0" w:color="000000"/>
            </w:tcBorders>
            <w:vAlign w:val="center"/>
          </w:tcPr>
          <w:p w:rsidR="00F16021" w:rsidRDefault="00F16021" w:rsidP="00AF43CE">
            <w:pPr>
              <w:spacing w:line="240" w:lineRule="auto"/>
              <w:ind w:firstLineChars="0" w:firstLine="0"/>
              <w:jc w:val="center"/>
              <w:rPr>
                <w:rFonts w:ascii="Times New Roman" w:cs="Times New Roman"/>
                <w:sz w:val="21"/>
                <w:szCs w:val="21"/>
              </w:rPr>
            </w:pPr>
            <w:r>
              <w:rPr>
                <w:rFonts w:ascii="Times New Roman" w:cs="Times New Roman" w:hint="eastAsia"/>
                <w:sz w:val="21"/>
                <w:szCs w:val="21"/>
              </w:rPr>
              <w:t>68</w:t>
            </w:r>
          </w:p>
        </w:tc>
        <w:tc>
          <w:tcPr>
            <w:tcW w:w="473" w:type="pct"/>
            <w:vMerge w:val="restart"/>
            <w:tcBorders>
              <w:left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sz w:val="21"/>
                <w:szCs w:val="21"/>
              </w:rPr>
              <w:t>地表水</w:t>
            </w:r>
            <w:r>
              <w:rPr>
                <w:rFonts w:ascii="Times New Roman" w:cs="Times New Roman" w:hint="eastAsia"/>
                <w:sz w:val="21"/>
                <w:szCs w:val="21"/>
              </w:rPr>
              <w:t>、</w:t>
            </w:r>
            <w:r>
              <w:rPr>
                <w:rFonts w:ascii="Times New Roman" w:cs="Times New Roman"/>
                <w:sz w:val="21"/>
                <w:szCs w:val="21"/>
              </w:rPr>
              <w:t>环境风险</w:t>
            </w:r>
          </w:p>
        </w:tc>
        <w:tc>
          <w:tcPr>
            <w:tcW w:w="854"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hint="eastAsia"/>
                <w:sz w:val="21"/>
                <w:szCs w:val="21"/>
              </w:rPr>
              <w:t>后河</w:t>
            </w:r>
          </w:p>
        </w:tc>
        <w:tc>
          <w:tcPr>
            <w:tcW w:w="426"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sz w:val="21"/>
                <w:szCs w:val="21"/>
              </w:rPr>
              <w:t>—</w:t>
            </w:r>
          </w:p>
        </w:tc>
        <w:tc>
          <w:tcPr>
            <w:tcW w:w="381"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sz w:val="21"/>
                <w:szCs w:val="21"/>
              </w:rPr>
              <w:t>—</w:t>
            </w:r>
          </w:p>
        </w:tc>
        <w:tc>
          <w:tcPr>
            <w:tcW w:w="379"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sz w:val="21"/>
                <w:szCs w:val="21"/>
              </w:rPr>
              <w:t>地表水</w:t>
            </w:r>
          </w:p>
        </w:tc>
        <w:tc>
          <w:tcPr>
            <w:tcW w:w="566"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sz w:val="21"/>
                <w:szCs w:val="21"/>
              </w:rPr>
              <w:t>地表水水质</w:t>
            </w:r>
          </w:p>
        </w:tc>
        <w:tc>
          <w:tcPr>
            <w:tcW w:w="1043" w:type="pct"/>
            <w:tcBorders>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sz w:val="21"/>
                <w:szCs w:val="21"/>
              </w:rPr>
              <w:t>《地表水环境质量标准》（</w:t>
            </w:r>
            <w:r>
              <w:rPr>
                <w:rFonts w:ascii="Times New Roman" w:cs="Times New Roman"/>
                <w:sz w:val="21"/>
                <w:szCs w:val="21"/>
              </w:rPr>
              <w:t>GB3838-2002</w:t>
            </w:r>
            <w:r>
              <w:rPr>
                <w:rFonts w:ascii="Times New Roman" w:cs="Times New Roman"/>
                <w:sz w:val="21"/>
                <w:szCs w:val="21"/>
              </w:rPr>
              <w:t>）</w:t>
            </w:r>
            <w:r>
              <w:rPr>
                <w:rFonts w:hAnsi="宋体" w:hint="eastAsia"/>
                <w:sz w:val="21"/>
                <w:szCs w:val="21"/>
              </w:rPr>
              <w:t>Ⅲ</w:t>
            </w:r>
            <w:r>
              <w:rPr>
                <w:rFonts w:ascii="Times New Roman" w:cs="Times New Roman"/>
                <w:sz w:val="21"/>
                <w:szCs w:val="21"/>
              </w:rPr>
              <w:t>类</w:t>
            </w:r>
          </w:p>
        </w:tc>
        <w:tc>
          <w:tcPr>
            <w:tcW w:w="236"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hint="eastAsia"/>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hint="eastAsia"/>
                <w:sz w:val="21"/>
                <w:szCs w:val="21"/>
              </w:rPr>
              <w:t>1000</w:t>
            </w:r>
          </w:p>
        </w:tc>
      </w:tr>
      <w:tr w:rsidR="00F16021">
        <w:trPr>
          <w:trHeight w:val="342"/>
          <w:jc w:val="center"/>
        </w:trPr>
        <w:tc>
          <w:tcPr>
            <w:tcW w:w="188" w:type="pct"/>
            <w:tcBorders>
              <w:top w:val="single" w:sz="2" w:space="0" w:color="000000"/>
              <w:left w:val="nil"/>
              <w:bottom w:val="single" w:sz="2" w:space="0" w:color="000000"/>
              <w:right w:val="single" w:sz="2" w:space="0" w:color="000000"/>
            </w:tcBorders>
            <w:vAlign w:val="center"/>
          </w:tcPr>
          <w:p w:rsidR="00F16021" w:rsidRDefault="00F16021" w:rsidP="00AF43CE">
            <w:pPr>
              <w:spacing w:line="240" w:lineRule="auto"/>
              <w:ind w:firstLineChars="0" w:firstLine="0"/>
              <w:jc w:val="center"/>
              <w:rPr>
                <w:rFonts w:ascii="Times New Roman" w:cs="Times New Roman"/>
                <w:sz w:val="21"/>
                <w:szCs w:val="21"/>
              </w:rPr>
            </w:pPr>
            <w:r>
              <w:rPr>
                <w:rFonts w:ascii="Times New Roman" w:cs="Times New Roman" w:hint="eastAsia"/>
                <w:sz w:val="21"/>
                <w:szCs w:val="21"/>
              </w:rPr>
              <w:t>69</w:t>
            </w:r>
          </w:p>
        </w:tc>
        <w:tc>
          <w:tcPr>
            <w:tcW w:w="473" w:type="pct"/>
            <w:vMerge/>
            <w:tcBorders>
              <w:left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F16021" w:rsidRPr="00511129" w:rsidRDefault="00F16021" w:rsidP="004841B2">
            <w:pPr>
              <w:spacing w:line="240" w:lineRule="auto"/>
              <w:ind w:firstLineChars="0" w:firstLine="0"/>
              <w:jc w:val="center"/>
              <w:rPr>
                <w:rFonts w:ascii="Times New Roman" w:cs="Times New Roman"/>
                <w:color w:val="FF0000"/>
                <w:sz w:val="21"/>
                <w:szCs w:val="21"/>
              </w:rPr>
            </w:pPr>
            <w:r w:rsidRPr="00511129">
              <w:rPr>
                <w:rFonts w:ascii="Times New Roman" w:cs="Times New Roman" w:hint="eastAsia"/>
                <w:color w:val="FF0000"/>
                <w:sz w:val="21"/>
                <w:szCs w:val="21"/>
              </w:rPr>
              <w:t>中河</w:t>
            </w:r>
          </w:p>
        </w:tc>
        <w:tc>
          <w:tcPr>
            <w:tcW w:w="426" w:type="pct"/>
            <w:tcBorders>
              <w:top w:val="single" w:sz="2" w:space="0" w:color="000000"/>
              <w:left w:val="single" w:sz="2" w:space="0" w:color="000000"/>
              <w:bottom w:val="single" w:sz="2" w:space="0" w:color="000000"/>
              <w:right w:val="single" w:sz="2" w:space="0" w:color="000000"/>
            </w:tcBorders>
            <w:vAlign w:val="center"/>
          </w:tcPr>
          <w:p w:rsidR="00F16021" w:rsidRPr="00511129" w:rsidRDefault="00F16021" w:rsidP="004841B2">
            <w:pPr>
              <w:spacing w:line="240" w:lineRule="auto"/>
              <w:ind w:firstLineChars="0" w:firstLine="0"/>
              <w:jc w:val="center"/>
              <w:rPr>
                <w:rFonts w:ascii="Times New Roman" w:cs="Times New Roman"/>
                <w:color w:val="FF0000"/>
                <w:sz w:val="21"/>
                <w:szCs w:val="21"/>
              </w:rPr>
            </w:pPr>
            <w:r w:rsidRPr="00511129">
              <w:rPr>
                <w:rFonts w:ascii="Times New Roman" w:cs="Times New Roman"/>
                <w:color w:val="FF0000"/>
                <w:sz w:val="21"/>
                <w:szCs w:val="21"/>
              </w:rPr>
              <w:t>—</w:t>
            </w:r>
          </w:p>
        </w:tc>
        <w:tc>
          <w:tcPr>
            <w:tcW w:w="381" w:type="pct"/>
            <w:tcBorders>
              <w:top w:val="single" w:sz="2" w:space="0" w:color="000000"/>
              <w:left w:val="single" w:sz="2" w:space="0" w:color="000000"/>
              <w:bottom w:val="single" w:sz="2" w:space="0" w:color="000000"/>
              <w:right w:val="single" w:sz="2" w:space="0" w:color="000000"/>
            </w:tcBorders>
            <w:vAlign w:val="center"/>
          </w:tcPr>
          <w:p w:rsidR="00F16021" w:rsidRPr="00511129" w:rsidRDefault="00F16021" w:rsidP="004841B2">
            <w:pPr>
              <w:spacing w:line="240" w:lineRule="auto"/>
              <w:ind w:firstLineChars="0" w:firstLine="0"/>
              <w:jc w:val="center"/>
              <w:rPr>
                <w:rFonts w:ascii="Times New Roman" w:cs="Times New Roman"/>
                <w:color w:val="FF0000"/>
                <w:sz w:val="21"/>
                <w:szCs w:val="21"/>
              </w:rPr>
            </w:pPr>
            <w:r w:rsidRPr="00511129">
              <w:rPr>
                <w:rFonts w:ascii="Times New Roman" w:cs="Times New Roman"/>
                <w:color w:val="FF0000"/>
                <w:sz w:val="21"/>
                <w:szCs w:val="21"/>
              </w:rPr>
              <w:t>—</w:t>
            </w:r>
          </w:p>
        </w:tc>
        <w:tc>
          <w:tcPr>
            <w:tcW w:w="379" w:type="pct"/>
            <w:tcBorders>
              <w:top w:val="single" w:sz="2" w:space="0" w:color="000000"/>
              <w:left w:val="single" w:sz="2" w:space="0" w:color="000000"/>
              <w:bottom w:val="single" w:sz="2" w:space="0" w:color="000000"/>
              <w:right w:val="single" w:sz="2" w:space="0" w:color="000000"/>
            </w:tcBorders>
            <w:vAlign w:val="center"/>
          </w:tcPr>
          <w:p w:rsidR="00F16021" w:rsidRPr="00511129" w:rsidRDefault="00F16021" w:rsidP="004841B2">
            <w:pPr>
              <w:spacing w:line="240" w:lineRule="auto"/>
              <w:ind w:firstLineChars="0" w:firstLine="0"/>
              <w:jc w:val="center"/>
              <w:rPr>
                <w:rFonts w:ascii="Times New Roman" w:cs="Times New Roman"/>
                <w:color w:val="FF0000"/>
                <w:sz w:val="21"/>
                <w:szCs w:val="21"/>
              </w:rPr>
            </w:pPr>
            <w:r w:rsidRPr="00511129">
              <w:rPr>
                <w:rFonts w:ascii="Times New Roman" w:cs="Times New Roman"/>
                <w:color w:val="FF0000"/>
                <w:sz w:val="21"/>
                <w:szCs w:val="21"/>
              </w:rPr>
              <w:t>地表水</w:t>
            </w:r>
          </w:p>
        </w:tc>
        <w:tc>
          <w:tcPr>
            <w:tcW w:w="566" w:type="pct"/>
            <w:tcBorders>
              <w:top w:val="single" w:sz="2" w:space="0" w:color="000000"/>
              <w:left w:val="single" w:sz="2" w:space="0" w:color="000000"/>
              <w:bottom w:val="single" w:sz="2" w:space="0" w:color="000000"/>
              <w:right w:val="single" w:sz="2" w:space="0" w:color="000000"/>
            </w:tcBorders>
            <w:vAlign w:val="center"/>
          </w:tcPr>
          <w:p w:rsidR="00F16021" w:rsidRPr="00511129" w:rsidRDefault="00F16021" w:rsidP="004841B2">
            <w:pPr>
              <w:spacing w:line="240" w:lineRule="auto"/>
              <w:ind w:firstLineChars="0" w:firstLine="0"/>
              <w:jc w:val="center"/>
              <w:rPr>
                <w:rFonts w:ascii="Times New Roman" w:cs="Times New Roman"/>
                <w:color w:val="FF0000"/>
                <w:sz w:val="21"/>
                <w:szCs w:val="21"/>
              </w:rPr>
            </w:pPr>
            <w:r w:rsidRPr="00511129">
              <w:rPr>
                <w:rFonts w:ascii="Times New Roman" w:cs="Times New Roman"/>
                <w:color w:val="FF0000"/>
                <w:sz w:val="21"/>
                <w:szCs w:val="21"/>
              </w:rPr>
              <w:t>地表水水质</w:t>
            </w:r>
          </w:p>
        </w:tc>
        <w:tc>
          <w:tcPr>
            <w:tcW w:w="1043" w:type="pct"/>
            <w:tcBorders>
              <w:left w:val="single" w:sz="2" w:space="0" w:color="000000"/>
              <w:bottom w:val="single" w:sz="2" w:space="0" w:color="000000"/>
              <w:right w:val="single" w:sz="2" w:space="0" w:color="000000"/>
            </w:tcBorders>
            <w:vAlign w:val="center"/>
          </w:tcPr>
          <w:p w:rsidR="00F16021" w:rsidRPr="00511129" w:rsidRDefault="00F16021" w:rsidP="004841B2">
            <w:pPr>
              <w:spacing w:line="240" w:lineRule="auto"/>
              <w:ind w:firstLineChars="0" w:firstLine="0"/>
              <w:jc w:val="center"/>
              <w:rPr>
                <w:rFonts w:ascii="Times New Roman" w:cs="Times New Roman"/>
                <w:color w:val="FF0000"/>
                <w:sz w:val="21"/>
                <w:szCs w:val="21"/>
              </w:rPr>
            </w:pPr>
            <w:r w:rsidRPr="00511129">
              <w:rPr>
                <w:rFonts w:ascii="Times New Roman" w:cs="Times New Roman"/>
                <w:color w:val="FF0000"/>
                <w:sz w:val="21"/>
                <w:szCs w:val="21"/>
              </w:rPr>
              <w:t>《地表水环境质量标准》（</w:t>
            </w:r>
            <w:r w:rsidRPr="00511129">
              <w:rPr>
                <w:rFonts w:ascii="Times New Roman" w:cs="Times New Roman"/>
                <w:color w:val="FF0000"/>
                <w:sz w:val="21"/>
                <w:szCs w:val="21"/>
              </w:rPr>
              <w:t>GB3838-2002</w:t>
            </w:r>
            <w:r w:rsidRPr="00511129">
              <w:rPr>
                <w:rFonts w:ascii="Times New Roman" w:cs="Times New Roman"/>
                <w:color w:val="FF0000"/>
                <w:sz w:val="21"/>
                <w:szCs w:val="21"/>
              </w:rPr>
              <w:t>）</w:t>
            </w:r>
            <w:r w:rsidRPr="00511129">
              <w:rPr>
                <w:rFonts w:hAnsi="宋体" w:hint="eastAsia"/>
                <w:color w:val="FF0000"/>
                <w:sz w:val="21"/>
                <w:szCs w:val="21"/>
              </w:rPr>
              <w:t>Ⅲ</w:t>
            </w:r>
            <w:r w:rsidRPr="00511129">
              <w:rPr>
                <w:rFonts w:ascii="Times New Roman" w:cs="Times New Roman"/>
                <w:color w:val="FF0000"/>
                <w:sz w:val="21"/>
                <w:szCs w:val="21"/>
              </w:rPr>
              <w:t>类</w:t>
            </w:r>
          </w:p>
        </w:tc>
        <w:tc>
          <w:tcPr>
            <w:tcW w:w="236" w:type="pct"/>
            <w:tcBorders>
              <w:top w:val="single" w:sz="2" w:space="0" w:color="000000"/>
              <w:left w:val="single" w:sz="2" w:space="0" w:color="000000"/>
              <w:bottom w:val="single" w:sz="2" w:space="0" w:color="000000"/>
              <w:right w:val="single" w:sz="2" w:space="0" w:color="000000"/>
            </w:tcBorders>
            <w:vAlign w:val="center"/>
          </w:tcPr>
          <w:p w:rsidR="00F16021" w:rsidRPr="00511129" w:rsidRDefault="00F16021" w:rsidP="004841B2">
            <w:pPr>
              <w:spacing w:line="240" w:lineRule="auto"/>
              <w:ind w:firstLineChars="0" w:firstLine="0"/>
              <w:jc w:val="center"/>
              <w:rPr>
                <w:rFonts w:ascii="Times New Roman" w:cs="Times New Roman"/>
                <w:color w:val="FF0000"/>
                <w:sz w:val="21"/>
                <w:szCs w:val="21"/>
              </w:rPr>
            </w:pPr>
            <w:r w:rsidRPr="00511129">
              <w:rPr>
                <w:rFonts w:ascii="Times New Roman" w:cs="Times New Roman" w:hint="eastAsia"/>
                <w:color w:val="FF0000"/>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F16021" w:rsidRPr="00511129" w:rsidRDefault="00F16021" w:rsidP="004841B2">
            <w:pPr>
              <w:spacing w:line="240" w:lineRule="auto"/>
              <w:ind w:firstLineChars="0" w:firstLine="0"/>
              <w:jc w:val="center"/>
              <w:rPr>
                <w:rFonts w:ascii="Times New Roman" w:cs="Times New Roman"/>
                <w:color w:val="FF0000"/>
                <w:sz w:val="21"/>
                <w:szCs w:val="21"/>
              </w:rPr>
            </w:pPr>
            <w:r w:rsidRPr="00511129">
              <w:rPr>
                <w:rFonts w:ascii="Times New Roman" w:cs="Times New Roman" w:hint="eastAsia"/>
                <w:color w:val="FF0000"/>
                <w:sz w:val="21"/>
                <w:szCs w:val="21"/>
              </w:rPr>
              <w:t>4000</w:t>
            </w:r>
          </w:p>
        </w:tc>
      </w:tr>
      <w:tr w:rsidR="00F16021">
        <w:trPr>
          <w:trHeight w:val="342"/>
          <w:jc w:val="center"/>
        </w:trPr>
        <w:tc>
          <w:tcPr>
            <w:tcW w:w="188" w:type="pct"/>
            <w:tcBorders>
              <w:top w:val="single" w:sz="2" w:space="0" w:color="000000"/>
              <w:left w:val="nil"/>
              <w:bottom w:val="single" w:sz="2" w:space="0" w:color="000000"/>
              <w:right w:val="single" w:sz="2" w:space="0" w:color="000000"/>
            </w:tcBorders>
            <w:vAlign w:val="center"/>
          </w:tcPr>
          <w:p w:rsidR="00F16021" w:rsidRDefault="00F16021" w:rsidP="00AF43CE">
            <w:pPr>
              <w:spacing w:line="240" w:lineRule="auto"/>
              <w:ind w:firstLineChars="0" w:firstLine="0"/>
              <w:jc w:val="center"/>
              <w:rPr>
                <w:rFonts w:ascii="Times New Roman" w:cs="Times New Roman"/>
                <w:sz w:val="21"/>
                <w:szCs w:val="21"/>
              </w:rPr>
            </w:pPr>
            <w:r>
              <w:rPr>
                <w:rFonts w:ascii="Times New Roman" w:cs="Times New Roman" w:hint="eastAsia"/>
                <w:sz w:val="21"/>
                <w:szCs w:val="21"/>
              </w:rPr>
              <w:t>70</w:t>
            </w:r>
          </w:p>
        </w:tc>
        <w:tc>
          <w:tcPr>
            <w:tcW w:w="473" w:type="pct"/>
            <w:vMerge w:val="restart"/>
            <w:tcBorders>
              <w:top w:val="single" w:sz="2" w:space="0" w:color="000000"/>
              <w:left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sz w:val="21"/>
                <w:szCs w:val="21"/>
              </w:rPr>
              <w:t>地下水环境</w:t>
            </w:r>
            <w:r>
              <w:rPr>
                <w:rFonts w:ascii="Times New Roman" w:cs="Times New Roman" w:hint="eastAsia"/>
                <w:sz w:val="21"/>
                <w:szCs w:val="21"/>
              </w:rPr>
              <w:t>、</w:t>
            </w:r>
            <w:r>
              <w:rPr>
                <w:rFonts w:ascii="Times New Roman" w:cs="Times New Roman"/>
                <w:sz w:val="21"/>
                <w:szCs w:val="21"/>
              </w:rPr>
              <w:t>环境风险</w:t>
            </w:r>
          </w:p>
        </w:tc>
        <w:tc>
          <w:tcPr>
            <w:tcW w:w="854"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color w:val="FF0000"/>
                <w:sz w:val="21"/>
                <w:szCs w:val="21"/>
              </w:rPr>
            </w:pPr>
            <w:r>
              <w:rPr>
                <w:rFonts w:ascii="Times New Roman" w:cs="Times New Roman" w:hint="eastAsia"/>
                <w:bCs/>
                <w:sz w:val="21"/>
                <w:szCs w:val="21"/>
              </w:rPr>
              <w:t>铜坎村水井</w:t>
            </w:r>
            <w:r>
              <w:rPr>
                <w:rFonts w:ascii="Times New Roman" w:cs="Times New Roman" w:hint="eastAsia"/>
                <w:sz w:val="21"/>
                <w:szCs w:val="21"/>
              </w:rPr>
              <w:t>JC1</w:t>
            </w:r>
          </w:p>
        </w:tc>
        <w:tc>
          <w:tcPr>
            <w:tcW w:w="426"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hint="eastAsia"/>
                <w:sz w:val="21"/>
                <w:szCs w:val="21"/>
              </w:rPr>
              <w:t>520</w:t>
            </w:r>
          </w:p>
        </w:tc>
        <w:tc>
          <w:tcPr>
            <w:tcW w:w="381"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hint="eastAsia"/>
                <w:sz w:val="21"/>
                <w:szCs w:val="21"/>
              </w:rPr>
              <w:t>290</w:t>
            </w:r>
          </w:p>
        </w:tc>
        <w:tc>
          <w:tcPr>
            <w:tcW w:w="379"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sz w:val="21"/>
                <w:szCs w:val="21"/>
              </w:rPr>
              <w:t>地下水水质</w:t>
            </w:r>
            <w:r>
              <w:rPr>
                <w:rFonts w:ascii="Times New Roman" w:cs="Times New Roman" w:hint="eastAsia"/>
                <w:sz w:val="21"/>
                <w:szCs w:val="21"/>
              </w:rPr>
              <w:t>，</w:t>
            </w:r>
            <w:r>
              <w:rPr>
                <w:rFonts w:ascii="Times New Roman" w:cs="Times New Roman"/>
                <w:sz w:val="21"/>
                <w:szCs w:val="21"/>
              </w:rPr>
              <w:t>高程</w:t>
            </w:r>
            <w:r>
              <w:rPr>
                <w:rFonts w:ascii="Times New Roman" w:cs="Times New Roman" w:hint="eastAsia"/>
                <w:sz w:val="21"/>
                <w:szCs w:val="21"/>
              </w:rPr>
              <w:t>341m</w:t>
            </w:r>
          </w:p>
        </w:tc>
        <w:tc>
          <w:tcPr>
            <w:tcW w:w="1043" w:type="pct"/>
            <w:vMerge w:val="restart"/>
            <w:tcBorders>
              <w:top w:val="single" w:sz="2" w:space="0" w:color="000000"/>
              <w:left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sz w:val="21"/>
                <w:szCs w:val="21"/>
              </w:rPr>
              <w:t>《地下水质量标准》（</w:t>
            </w:r>
            <w:r>
              <w:rPr>
                <w:rFonts w:ascii="Times New Roman" w:cs="Times New Roman"/>
                <w:sz w:val="21"/>
                <w:szCs w:val="21"/>
              </w:rPr>
              <w:t>GB/T14848</w:t>
            </w:r>
            <w:r>
              <w:rPr>
                <w:rFonts w:ascii="Times New Roman" w:cs="Times New Roman"/>
                <w:sz w:val="21"/>
                <w:szCs w:val="21"/>
              </w:rPr>
              <w:t>－</w:t>
            </w:r>
            <w:r>
              <w:rPr>
                <w:rFonts w:ascii="Times New Roman" w:cs="Times New Roman"/>
                <w:sz w:val="21"/>
                <w:szCs w:val="21"/>
              </w:rPr>
              <w:t>2017</w:t>
            </w:r>
            <w:r>
              <w:rPr>
                <w:rFonts w:ascii="Times New Roman" w:cs="Times New Roman"/>
                <w:sz w:val="21"/>
                <w:szCs w:val="21"/>
              </w:rPr>
              <w:t>）</w:t>
            </w:r>
            <w:r>
              <w:rPr>
                <w:rFonts w:hAnsi="宋体" w:hint="eastAsia"/>
                <w:sz w:val="21"/>
                <w:szCs w:val="21"/>
              </w:rPr>
              <w:t>Ⅲ</w:t>
            </w:r>
            <w:r>
              <w:rPr>
                <w:rFonts w:ascii="Times New Roman" w:cs="Times New Roman"/>
                <w:sz w:val="21"/>
                <w:szCs w:val="21"/>
              </w:rPr>
              <w:t>类标准</w:t>
            </w:r>
          </w:p>
        </w:tc>
        <w:tc>
          <w:tcPr>
            <w:tcW w:w="236"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hint="eastAsia"/>
                <w:sz w:val="21"/>
                <w:szCs w:val="21"/>
              </w:rPr>
              <w:t>NE</w:t>
            </w:r>
          </w:p>
        </w:tc>
        <w:tc>
          <w:tcPr>
            <w:tcW w:w="453" w:type="pct"/>
            <w:tcBorders>
              <w:top w:val="single" w:sz="2" w:space="0" w:color="000000"/>
              <w:left w:val="single" w:sz="2" w:space="0" w:color="000000"/>
              <w:bottom w:val="single" w:sz="2" w:space="0" w:color="000000"/>
              <w:right w:val="nil"/>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hint="eastAsia"/>
                <w:sz w:val="21"/>
                <w:szCs w:val="21"/>
              </w:rPr>
              <w:t>600</w:t>
            </w:r>
          </w:p>
        </w:tc>
      </w:tr>
      <w:tr w:rsidR="00F16021">
        <w:trPr>
          <w:trHeight w:val="342"/>
          <w:jc w:val="center"/>
        </w:trPr>
        <w:tc>
          <w:tcPr>
            <w:tcW w:w="188" w:type="pct"/>
            <w:tcBorders>
              <w:top w:val="single" w:sz="2" w:space="0" w:color="000000"/>
              <w:left w:val="nil"/>
              <w:bottom w:val="single" w:sz="2" w:space="0" w:color="000000"/>
              <w:right w:val="single" w:sz="2" w:space="0" w:color="000000"/>
            </w:tcBorders>
            <w:vAlign w:val="center"/>
          </w:tcPr>
          <w:p w:rsidR="00F16021" w:rsidRDefault="00F16021" w:rsidP="00AF43CE">
            <w:pPr>
              <w:spacing w:line="240" w:lineRule="auto"/>
              <w:ind w:firstLineChars="0" w:firstLine="0"/>
              <w:jc w:val="center"/>
              <w:rPr>
                <w:rFonts w:ascii="Times New Roman" w:cs="Times New Roman"/>
                <w:sz w:val="21"/>
                <w:szCs w:val="21"/>
              </w:rPr>
            </w:pPr>
            <w:r>
              <w:rPr>
                <w:rFonts w:ascii="Times New Roman" w:cs="Times New Roman" w:hint="eastAsia"/>
                <w:sz w:val="21"/>
                <w:szCs w:val="21"/>
              </w:rPr>
              <w:t>71</w:t>
            </w:r>
          </w:p>
        </w:tc>
        <w:tc>
          <w:tcPr>
            <w:tcW w:w="473" w:type="pct"/>
            <w:vMerge/>
            <w:tcBorders>
              <w:left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hint="eastAsia"/>
                <w:bCs/>
                <w:sz w:val="21"/>
                <w:szCs w:val="21"/>
              </w:rPr>
              <w:t>鱼坝村水井</w:t>
            </w:r>
            <w:r>
              <w:rPr>
                <w:rFonts w:ascii="Times New Roman" w:cs="Times New Roman" w:hint="eastAsia"/>
                <w:sz w:val="21"/>
                <w:szCs w:val="21"/>
              </w:rPr>
              <w:t>JC2</w:t>
            </w:r>
          </w:p>
        </w:tc>
        <w:tc>
          <w:tcPr>
            <w:tcW w:w="426"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hint="eastAsia"/>
                <w:sz w:val="21"/>
                <w:szCs w:val="21"/>
              </w:rPr>
              <w:t>-2000</w:t>
            </w:r>
          </w:p>
        </w:tc>
        <w:tc>
          <w:tcPr>
            <w:tcW w:w="381"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hint="eastAsia"/>
                <w:sz w:val="21"/>
                <w:szCs w:val="21"/>
              </w:rPr>
              <w:t>0</w:t>
            </w:r>
          </w:p>
        </w:tc>
        <w:tc>
          <w:tcPr>
            <w:tcW w:w="379"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sz w:val="21"/>
                <w:szCs w:val="21"/>
              </w:rPr>
              <w:t>地下水水质</w:t>
            </w:r>
            <w:r>
              <w:rPr>
                <w:rFonts w:ascii="Times New Roman" w:cs="Times New Roman" w:hint="eastAsia"/>
                <w:sz w:val="21"/>
                <w:szCs w:val="21"/>
              </w:rPr>
              <w:t>，</w:t>
            </w:r>
            <w:r>
              <w:rPr>
                <w:rFonts w:ascii="Times New Roman" w:cs="Times New Roman"/>
                <w:sz w:val="21"/>
                <w:szCs w:val="21"/>
              </w:rPr>
              <w:t>高程</w:t>
            </w:r>
            <w:r>
              <w:rPr>
                <w:rFonts w:ascii="Times New Roman" w:cs="Times New Roman" w:hint="eastAsia"/>
                <w:sz w:val="21"/>
                <w:szCs w:val="21"/>
              </w:rPr>
              <w:t>368.9m</w:t>
            </w:r>
          </w:p>
        </w:tc>
        <w:tc>
          <w:tcPr>
            <w:tcW w:w="1043" w:type="pct"/>
            <w:vMerge/>
            <w:tcBorders>
              <w:left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hint="eastAsia"/>
                <w:sz w:val="21"/>
                <w:szCs w:val="21"/>
              </w:rPr>
              <w:t>W</w:t>
            </w:r>
          </w:p>
        </w:tc>
        <w:tc>
          <w:tcPr>
            <w:tcW w:w="453" w:type="pct"/>
            <w:tcBorders>
              <w:top w:val="single" w:sz="2" w:space="0" w:color="000000"/>
              <w:left w:val="single" w:sz="2" w:space="0" w:color="000000"/>
              <w:bottom w:val="single" w:sz="2" w:space="0" w:color="000000"/>
              <w:right w:val="nil"/>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hint="eastAsia"/>
                <w:sz w:val="21"/>
                <w:szCs w:val="21"/>
              </w:rPr>
              <w:t>2000</w:t>
            </w:r>
          </w:p>
        </w:tc>
      </w:tr>
      <w:tr w:rsidR="00F16021">
        <w:trPr>
          <w:trHeight w:val="342"/>
          <w:jc w:val="center"/>
        </w:trPr>
        <w:tc>
          <w:tcPr>
            <w:tcW w:w="188" w:type="pct"/>
            <w:tcBorders>
              <w:top w:val="single" w:sz="2" w:space="0" w:color="000000"/>
              <w:left w:val="nil"/>
              <w:bottom w:val="single" w:sz="2" w:space="0" w:color="000000"/>
              <w:right w:val="single" w:sz="2" w:space="0" w:color="000000"/>
            </w:tcBorders>
            <w:vAlign w:val="center"/>
          </w:tcPr>
          <w:p w:rsidR="00F16021" w:rsidRDefault="00F16021" w:rsidP="00AF43CE">
            <w:pPr>
              <w:spacing w:line="240" w:lineRule="auto"/>
              <w:ind w:firstLineChars="0" w:firstLine="0"/>
              <w:jc w:val="center"/>
              <w:rPr>
                <w:rFonts w:ascii="Times New Roman" w:cs="Times New Roman"/>
                <w:sz w:val="21"/>
                <w:szCs w:val="21"/>
              </w:rPr>
            </w:pPr>
            <w:r>
              <w:rPr>
                <w:rFonts w:ascii="Times New Roman" w:cs="Times New Roman" w:hint="eastAsia"/>
                <w:sz w:val="21"/>
                <w:szCs w:val="21"/>
              </w:rPr>
              <w:t>72</w:t>
            </w:r>
          </w:p>
        </w:tc>
        <w:tc>
          <w:tcPr>
            <w:tcW w:w="473" w:type="pct"/>
            <w:vMerge/>
            <w:tcBorders>
              <w:left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hint="eastAsia"/>
                <w:bCs/>
                <w:sz w:val="21"/>
                <w:szCs w:val="21"/>
              </w:rPr>
              <w:t>陶家沟水井</w:t>
            </w:r>
            <w:r>
              <w:rPr>
                <w:rFonts w:ascii="Times New Roman" w:cs="Times New Roman" w:hint="eastAsia"/>
                <w:sz w:val="21"/>
                <w:szCs w:val="21"/>
              </w:rPr>
              <w:t>JC3</w:t>
            </w:r>
          </w:p>
        </w:tc>
        <w:tc>
          <w:tcPr>
            <w:tcW w:w="426"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hint="eastAsia"/>
                <w:sz w:val="21"/>
                <w:szCs w:val="21"/>
              </w:rPr>
              <w:t>-4100</w:t>
            </w:r>
          </w:p>
        </w:tc>
        <w:tc>
          <w:tcPr>
            <w:tcW w:w="381"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hint="eastAsia"/>
                <w:sz w:val="21"/>
                <w:szCs w:val="21"/>
              </w:rPr>
              <w:t>0</w:t>
            </w:r>
          </w:p>
        </w:tc>
        <w:tc>
          <w:tcPr>
            <w:tcW w:w="379"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sz w:val="21"/>
                <w:szCs w:val="21"/>
              </w:rPr>
              <w:t>地下水水质</w:t>
            </w:r>
            <w:r>
              <w:rPr>
                <w:rFonts w:ascii="Times New Roman" w:cs="Times New Roman" w:hint="eastAsia"/>
                <w:sz w:val="21"/>
                <w:szCs w:val="21"/>
              </w:rPr>
              <w:t>，</w:t>
            </w:r>
            <w:r>
              <w:rPr>
                <w:rFonts w:ascii="Times New Roman" w:cs="Times New Roman"/>
                <w:sz w:val="21"/>
                <w:szCs w:val="21"/>
              </w:rPr>
              <w:t>高程</w:t>
            </w:r>
            <w:r>
              <w:rPr>
                <w:rFonts w:ascii="Times New Roman" w:cs="Times New Roman" w:hint="eastAsia"/>
                <w:sz w:val="21"/>
                <w:szCs w:val="21"/>
              </w:rPr>
              <w:t>381.2m</w:t>
            </w:r>
          </w:p>
        </w:tc>
        <w:tc>
          <w:tcPr>
            <w:tcW w:w="1043" w:type="pct"/>
            <w:vMerge/>
            <w:tcBorders>
              <w:left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hint="eastAsia"/>
                <w:sz w:val="21"/>
                <w:szCs w:val="21"/>
              </w:rPr>
              <w:t>W</w:t>
            </w:r>
          </w:p>
        </w:tc>
        <w:tc>
          <w:tcPr>
            <w:tcW w:w="453" w:type="pct"/>
            <w:tcBorders>
              <w:top w:val="single" w:sz="2" w:space="0" w:color="000000"/>
              <w:left w:val="single" w:sz="2" w:space="0" w:color="000000"/>
              <w:bottom w:val="single" w:sz="2" w:space="0" w:color="000000"/>
              <w:right w:val="nil"/>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hint="eastAsia"/>
                <w:sz w:val="21"/>
                <w:szCs w:val="21"/>
              </w:rPr>
              <w:t>4100</w:t>
            </w:r>
          </w:p>
        </w:tc>
      </w:tr>
      <w:tr w:rsidR="00F16021">
        <w:trPr>
          <w:trHeight w:val="342"/>
          <w:jc w:val="center"/>
        </w:trPr>
        <w:tc>
          <w:tcPr>
            <w:tcW w:w="188" w:type="pct"/>
            <w:tcBorders>
              <w:top w:val="single" w:sz="2" w:space="0" w:color="000000"/>
              <w:left w:val="nil"/>
              <w:bottom w:val="single" w:sz="2" w:space="0" w:color="000000"/>
              <w:right w:val="single" w:sz="2" w:space="0" w:color="000000"/>
            </w:tcBorders>
            <w:vAlign w:val="center"/>
          </w:tcPr>
          <w:p w:rsidR="00F16021" w:rsidRDefault="00F16021" w:rsidP="00AF43CE">
            <w:pPr>
              <w:spacing w:line="240" w:lineRule="auto"/>
              <w:ind w:firstLineChars="0" w:firstLine="0"/>
              <w:jc w:val="center"/>
              <w:rPr>
                <w:rFonts w:ascii="Times New Roman" w:cs="Times New Roman"/>
                <w:sz w:val="21"/>
                <w:szCs w:val="21"/>
              </w:rPr>
            </w:pPr>
            <w:r>
              <w:rPr>
                <w:rFonts w:ascii="Times New Roman" w:cs="Times New Roman" w:hint="eastAsia"/>
                <w:sz w:val="21"/>
                <w:szCs w:val="21"/>
              </w:rPr>
              <w:t>73</w:t>
            </w:r>
          </w:p>
        </w:tc>
        <w:tc>
          <w:tcPr>
            <w:tcW w:w="473" w:type="pct"/>
            <w:vMerge/>
            <w:tcBorders>
              <w:left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hint="eastAsia"/>
                <w:bCs/>
                <w:sz w:val="21"/>
                <w:szCs w:val="21"/>
              </w:rPr>
              <w:t>上罗家坪水井</w:t>
            </w:r>
            <w:r>
              <w:rPr>
                <w:rFonts w:ascii="Times New Roman" w:cs="Times New Roman" w:hint="eastAsia"/>
                <w:sz w:val="21"/>
                <w:szCs w:val="21"/>
              </w:rPr>
              <w:t>JC4</w:t>
            </w:r>
          </w:p>
        </w:tc>
        <w:tc>
          <w:tcPr>
            <w:tcW w:w="426"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hint="eastAsia"/>
                <w:sz w:val="21"/>
                <w:szCs w:val="21"/>
              </w:rPr>
              <w:t>-2170</w:t>
            </w:r>
          </w:p>
        </w:tc>
        <w:tc>
          <w:tcPr>
            <w:tcW w:w="381"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hint="eastAsia"/>
                <w:sz w:val="21"/>
                <w:szCs w:val="21"/>
              </w:rPr>
              <w:t>2120</w:t>
            </w:r>
          </w:p>
        </w:tc>
        <w:tc>
          <w:tcPr>
            <w:tcW w:w="379"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sz w:val="21"/>
                <w:szCs w:val="21"/>
              </w:rPr>
              <w:t>地下水水质</w:t>
            </w:r>
            <w:r>
              <w:rPr>
                <w:rFonts w:ascii="Times New Roman" w:cs="Times New Roman" w:hint="eastAsia"/>
                <w:sz w:val="21"/>
                <w:szCs w:val="21"/>
              </w:rPr>
              <w:t>，</w:t>
            </w:r>
            <w:r>
              <w:rPr>
                <w:rFonts w:ascii="Times New Roman" w:cs="Times New Roman"/>
                <w:sz w:val="21"/>
                <w:szCs w:val="21"/>
              </w:rPr>
              <w:t>高程</w:t>
            </w:r>
            <w:r>
              <w:rPr>
                <w:rFonts w:ascii="Times New Roman" w:cs="Times New Roman" w:hint="eastAsia"/>
                <w:sz w:val="21"/>
                <w:szCs w:val="21"/>
              </w:rPr>
              <w:t>655.7m</w:t>
            </w:r>
          </w:p>
        </w:tc>
        <w:tc>
          <w:tcPr>
            <w:tcW w:w="1043" w:type="pct"/>
            <w:vMerge/>
            <w:tcBorders>
              <w:left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hint="eastAsia"/>
                <w:sz w:val="21"/>
                <w:szCs w:val="21"/>
              </w:rPr>
              <w:t>NW</w:t>
            </w:r>
          </w:p>
        </w:tc>
        <w:tc>
          <w:tcPr>
            <w:tcW w:w="453" w:type="pct"/>
            <w:tcBorders>
              <w:top w:val="single" w:sz="2" w:space="0" w:color="000000"/>
              <w:left w:val="single" w:sz="2" w:space="0" w:color="000000"/>
              <w:bottom w:val="single" w:sz="2" w:space="0" w:color="000000"/>
              <w:right w:val="nil"/>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hint="eastAsia"/>
                <w:sz w:val="21"/>
                <w:szCs w:val="21"/>
              </w:rPr>
              <w:t>3000</w:t>
            </w:r>
          </w:p>
        </w:tc>
      </w:tr>
      <w:tr w:rsidR="00F16021">
        <w:trPr>
          <w:trHeight w:val="342"/>
          <w:jc w:val="center"/>
        </w:trPr>
        <w:tc>
          <w:tcPr>
            <w:tcW w:w="188" w:type="pct"/>
            <w:tcBorders>
              <w:top w:val="single" w:sz="2" w:space="0" w:color="000000"/>
              <w:left w:val="nil"/>
              <w:bottom w:val="single" w:sz="2" w:space="0" w:color="000000"/>
              <w:right w:val="single" w:sz="2" w:space="0" w:color="000000"/>
            </w:tcBorders>
            <w:vAlign w:val="center"/>
          </w:tcPr>
          <w:p w:rsidR="00F16021" w:rsidRDefault="00F16021" w:rsidP="00AF43CE">
            <w:pPr>
              <w:spacing w:line="240" w:lineRule="auto"/>
              <w:ind w:firstLineChars="0" w:firstLine="0"/>
              <w:jc w:val="center"/>
              <w:rPr>
                <w:rFonts w:ascii="Times New Roman" w:cs="Times New Roman"/>
                <w:sz w:val="21"/>
                <w:szCs w:val="21"/>
              </w:rPr>
            </w:pPr>
            <w:r>
              <w:rPr>
                <w:rFonts w:ascii="Times New Roman" w:cs="Times New Roman" w:hint="eastAsia"/>
                <w:sz w:val="21"/>
                <w:szCs w:val="21"/>
              </w:rPr>
              <w:t>74</w:t>
            </w:r>
          </w:p>
        </w:tc>
        <w:tc>
          <w:tcPr>
            <w:tcW w:w="473" w:type="pct"/>
            <w:vMerge/>
            <w:tcBorders>
              <w:left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hint="eastAsia"/>
                <w:bCs/>
                <w:sz w:val="21"/>
                <w:szCs w:val="21"/>
              </w:rPr>
              <w:t>下罗家坪水井</w:t>
            </w:r>
            <w:r>
              <w:rPr>
                <w:rFonts w:ascii="Times New Roman" w:cs="Times New Roman" w:hint="eastAsia"/>
                <w:sz w:val="21"/>
                <w:szCs w:val="21"/>
              </w:rPr>
              <w:t>JC5</w:t>
            </w:r>
          </w:p>
        </w:tc>
        <w:tc>
          <w:tcPr>
            <w:tcW w:w="426"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hint="eastAsia"/>
                <w:sz w:val="21"/>
                <w:szCs w:val="21"/>
              </w:rPr>
              <w:t>-1080</w:t>
            </w:r>
          </w:p>
        </w:tc>
        <w:tc>
          <w:tcPr>
            <w:tcW w:w="381"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hint="eastAsia"/>
                <w:sz w:val="21"/>
                <w:szCs w:val="21"/>
              </w:rPr>
              <w:t>2320</w:t>
            </w:r>
          </w:p>
        </w:tc>
        <w:tc>
          <w:tcPr>
            <w:tcW w:w="379"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sz w:val="21"/>
                <w:szCs w:val="21"/>
              </w:rPr>
              <w:t>地下水水质</w:t>
            </w:r>
            <w:r>
              <w:rPr>
                <w:rFonts w:ascii="Times New Roman" w:cs="Times New Roman" w:hint="eastAsia"/>
                <w:sz w:val="21"/>
                <w:szCs w:val="21"/>
              </w:rPr>
              <w:t>，</w:t>
            </w:r>
            <w:r>
              <w:rPr>
                <w:rFonts w:ascii="Times New Roman" w:cs="Times New Roman"/>
                <w:sz w:val="21"/>
                <w:szCs w:val="21"/>
              </w:rPr>
              <w:t>高程</w:t>
            </w:r>
            <w:r>
              <w:rPr>
                <w:rFonts w:ascii="Times New Roman" w:cs="Times New Roman" w:hint="eastAsia"/>
                <w:sz w:val="21"/>
                <w:szCs w:val="21"/>
              </w:rPr>
              <w:t>573.9m</w:t>
            </w:r>
          </w:p>
        </w:tc>
        <w:tc>
          <w:tcPr>
            <w:tcW w:w="1043" w:type="pct"/>
            <w:vMerge/>
            <w:tcBorders>
              <w:left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hint="eastAsia"/>
                <w:sz w:val="21"/>
                <w:szCs w:val="21"/>
              </w:rPr>
              <w:t>NW</w:t>
            </w:r>
          </w:p>
        </w:tc>
        <w:tc>
          <w:tcPr>
            <w:tcW w:w="453" w:type="pct"/>
            <w:tcBorders>
              <w:top w:val="single" w:sz="2" w:space="0" w:color="000000"/>
              <w:left w:val="single" w:sz="2" w:space="0" w:color="000000"/>
              <w:bottom w:val="single" w:sz="2" w:space="0" w:color="000000"/>
              <w:right w:val="nil"/>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hint="eastAsia"/>
                <w:sz w:val="21"/>
                <w:szCs w:val="21"/>
              </w:rPr>
              <w:t>2570</w:t>
            </w:r>
          </w:p>
        </w:tc>
      </w:tr>
      <w:tr w:rsidR="00F16021">
        <w:trPr>
          <w:trHeight w:val="638"/>
          <w:jc w:val="center"/>
        </w:trPr>
        <w:tc>
          <w:tcPr>
            <w:tcW w:w="188" w:type="pct"/>
            <w:tcBorders>
              <w:top w:val="single" w:sz="2" w:space="0" w:color="000000"/>
              <w:left w:val="nil"/>
              <w:bottom w:val="single" w:sz="2" w:space="0" w:color="000000"/>
              <w:right w:val="single" w:sz="2" w:space="0" w:color="000000"/>
            </w:tcBorders>
            <w:vAlign w:val="center"/>
          </w:tcPr>
          <w:p w:rsidR="00F16021" w:rsidRDefault="00F16021" w:rsidP="00AF43CE">
            <w:pPr>
              <w:spacing w:line="240" w:lineRule="auto"/>
              <w:ind w:firstLineChars="0" w:firstLine="0"/>
              <w:jc w:val="center"/>
              <w:rPr>
                <w:rFonts w:ascii="Times New Roman" w:cs="Times New Roman"/>
                <w:sz w:val="21"/>
                <w:szCs w:val="21"/>
              </w:rPr>
            </w:pPr>
            <w:r>
              <w:rPr>
                <w:rFonts w:ascii="Times New Roman" w:cs="Times New Roman" w:hint="eastAsia"/>
                <w:sz w:val="21"/>
                <w:szCs w:val="21"/>
              </w:rPr>
              <w:t>75</w:t>
            </w:r>
          </w:p>
        </w:tc>
        <w:tc>
          <w:tcPr>
            <w:tcW w:w="473" w:type="pct"/>
            <w:vMerge/>
            <w:tcBorders>
              <w:left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hint="eastAsia"/>
                <w:bCs/>
                <w:sz w:val="21"/>
                <w:szCs w:val="21"/>
              </w:rPr>
              <w:t>汤家沟水井</w:t>
            </w:r>
            <w:r>
              <w:rPr>
                <w:rFonts w:ascii="Times New Roman" w:cs="Times New Roman" w:hint="eastAsia"/>
                <w:sz w:val="21"/>
                <w:szCs w:val="21"/>
              </w:rPr>
              <w:t>JC6</w:t>
            </w:r>
          </w:p>
        </w:tc>
        <w:tc>
          <w:tcPr>
            <w:tcW w:w="426"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hint="eastAsia"/>
                <w:sz w:val="21"/>
                <w:szCs w:val="21"/>
              </w:rPr>
              <w:t>-3440</w:t>
            </w:r>
          </w:p>
        </w:tc>
        <w:tc>
          <w:tcPr>
            <w:tcW w:w="381"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hint="eastAsia"/>
                <w:sz w:val="21"/>
                <w:szCs w:val="21"/>
              </w:rPr>
              <w:t>220</w:t>
            </w:r>
          </w:p>
        </w:tc>
        <w:tc>
          <w:tcPr>
            <w:tcW w:w="379"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sz w:val="21"/>
                <w:szCs w:val="21"/>
              </w:rPr>
              <w:t>地下水水质</w:t>
            </w:r>
            <w:r>
              <w:rPr>
                <w:rFonts w:ascii="Times New Roman" w:cs="Times New Roman" w:hint="eastAsia"/>
                <w:sz w:val="21"/>
                <w:szCs w:val="21"/>
              </w:rPr>
              <w:t>，</w:t>
            </w:r>
            <w:r>
              <w:rPr>
                <w:rFonts w:ascii="Times New Roman" w:cs="Times New Roman"/>
                <w:sz w:val="21"/>
                <w:szCs w:val="21"/>
              </w:rPr>
              <w:t>高程</w:t>
            </w:r>
            <w:r>
              <w:rPr>
                <w:rFonts w:ascii="Times New Roman" w:cs="Times New Roman" w:hint="eastAsia"/>
                <w:sz w:val="21"/>
                <w:szCs w:val="21"/>
              </w:rPr>
              <w:t>422.3m</w:t>
            </w:r>
          </w:p>
        </w:tc>
        <w:tc>
          <w:tcPr>
            <w:tcW w:w="1043" w:type="pct"/>
            <w:vMerge/>
            <w:tcBorders>
              <w:left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hint="eastAsia"/>
                <w:sz w:val="21"/>
                <w:szCs w:val="21"/>
              </w:rPr>
              <w:t>NW</w:t>
            </w:r>
          </w:p>
        </w:tc>
        <w:tc>
          <w:tcPr>
            <w:tcW w:w="453" w:type="pct"/>
            <w:tcBorders>
              <w:top w:val="single" w:sz="2" w:space="0" w:color="000000"/>
              <w:left w:val="single" w:sz="2" w:space="0" w:color="000000"/>
              <w:bottom w:val="single" w:sz="2" w:space="0" w:color="000000"/>
              <w:right w:val="nil"/>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hint="eastAsia"/>
                <w:sz w:val="21"/>
                <w:szCs w:val="21"/>
              </w:rPr>
              <w:t>3450</w:t>
            </w:r>
          </w:p>
        </w:tc>
      </w:tr>
      <w:tr w:rsidR="00F16021">
        <w:trPr>
          <w:trHeight w:val="342"/>
          <w:jc w:val="center"/>
        </w:trPr>
        <w:tc>
          <w:tcPr>
            <w:tcW w:w="188" w:type="pct"/>
            <w:tcBorders>
              <w:top w:val="single" w:sz="2" w:space="0" w:color="000000"/>
              <w:left w:val="nil"/>
              <w:bottom w:val="single" w:sz="2" w:space="0" w:color="000000"/>
              <w:right w:val="single" w:sz="2" w:space="0" w:color="000000"/>
            </w:tcBorders>
            <w:vAlign w:val="center"/>
          </w:tcPr>
          <w:p w:rsidR="00F16021" w:rsidRDefault="00F16021" w:rsidP="00AF43CE">
            <w:pPr>
              <w:spacing w:line="240" w:lineRule="auto"/>
              <w:ind w:firstLineChars="0" w:firstLine="0"/>
              <w:jc w:val="center"/>
              <w:rPr>
                <w:rFonts w:ascii="Times New Roman" w:cs="Times New Roman"/>
                <w:sz w:val="21"/>
                <w:szCs w:val="21"/>
              </w:rPr>
            </w:pPr>
            <w:r>
              <w:rPr>
                <w:rFonts w:ascii="Times New Roman" w:cs="Times New Roman" w:hint="eastAsia"/>
                <w:sz w:val="21"/>
                <w:szCs w:val="21"/>
              </w:rPr>
              <w:t>76</w:t>
            </w:r>
          </w:p>
        </w:tc>
        <w:tc>
          <w:tcPr>
            <w:tcW w:w="473" w:type="pct"/>
            <w:vMerge/>
            <w:tcBorders>
              <w:left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hint="eastAsia"/>
                <w:sz w:val="21"/>
                <w:szCs w:val="21"/>
              </w:rPr>
              <w:t>吴家沟</w:t>
            </w:r>
            <w:r>
              <w:rPr>
                <w:rFonts w:ascii="Times New Roman" w:cs="Times New Roman" w:hint="eastAsia"/>
                <w:bCs/>
                <w:sz w:val="21"/>
                <w:szCs w:val="21"/>
              </w:rPr>
              <w:t>水井</w:t>
            </w:r>
            <w:r>
              <w:rPr>
                <w:rFonts w:ascii="Times New Roman" w:cs="Times New Roman" w:hint="eastAsia"/>
                <w:sz w:val="21"/>
                <w:szCs w:val="21"/>
              </w:rPr>
              <w:t>JC7</w:t>
            </w:r>
          </w:p>
        </w:tc>
        <w:tc>
          <w:tcPr>
            <w:tcW w:w="426"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hint="eastAsia"/>
                <w:sz w:val="21"/>
                <w:szCs w:val="21"/>
              </w:rPr>
              <w:t>-2810</w:t>
            </w:r>
          </w:p>
        </w:tc>
        <w:tc>
          <w:tcPr>
            <w:tcW w:w="381"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hint="eastAsia"/>
                <w:sz w:val="21"/>
                <w:szCs w:val="21"/>
              </w:rPr>
              <w:t>480</w:t>
            </w:r>
          </w:p>
        </w:tc>
        <w:tc>
          <w:tcPr>
            <w:tcW w:w="379"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sz w:val="21"/>
                <w:szCs w:val="21"/>
              </w:rPr>
              <w:t>地下水水质</w:t>
            </w:r>
            <w:r>
              <w:rPr>
                <w:rFonts w:ascii="Times New Roman" w:cs="Times New Roman" w:hint="eastAsia"/>
                <w:sz w:val="21"/>
                <w:szCs w:val="21"/>
              </w:rPr>
              <w:t>，</w:t>
            </w:r>
            <w:r>
              <w:rPr>
                <w:rFonts w:ascii="Times New Roman" w:cs="Times New Roman"/>
                <w:sz w:val="21"/>
                <w:szCs w:val="21"/>
              </w:rPr>
              <w:t>高程</w:t>
            </w:r>
            <w:r>
              <w:rPr>
                <w:rFonts w:ascii="Times New Roman" w:cs="Times New Roman" w:hint="eastAsia"/>
                <w:sz w:val="21"/>
                <w:szCs w:val="21"/>
              </w:rPr>
              <w:t>432.2m</w:t>
            </w:r>
          </w:p>
        </w:tc>
        <w:tc>
          <w:tcPr>
            <w:tcW w:w="1043" w:type="pct"/>
            <w:vMerge/>
            <w:tcBorders>
              <w:left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hint="eastAsia"/>
                <w:sz w:val="21"/>
                <w:szCs w:val="21"/>
              </w:rPr>
              <w:t>NW</w:t>
            </w:r>
          </w:p>
        </w:tc>
        <w:tc>
          <w:tcPr>
            <w:tcW w:w="453" w:type="pct"/>
            <w:tcBorders>
              <w:top w:val="single" w:sz="2" w:space="0" w:color="000000"/>
              <w:left w:val="single" w:sz="2" w:space="0" w:color="000000"/>
              <w:bottom w:val="single" w:sz="2" w:space="0" w:color="000000"/>
              <w:right w:val="nil"/>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hint="eastAsia"/>
                <w:sz w:val="21"/>
                <w:szCs w:val="21"/>
              </w:rPr>
              <w:t>2870</w:t>
            </w:r>
          </w:p>
        </w:tc>
      </w:tr>
      <w:tr w:rsidR="00F16021">
        <w:trPr>
          <w:trHeight w:val="342"/>
          <w:jc w:val="center"/>
        </w:trPr>
        <w:tc>
          <w:tcPr>
            <w:tcW w:w="188" w:type="pct"/>
            <w:tcBorders>
              <w:top w:val="single" w:sz="2" w:space="0" w:color="000000"/>
              <w:left w:val="nil"/>
              <w:bottom w:val="single" w:sz="2" w:space="0" w:color="000000"/>
              <w:right w:val="single" w:sz="2" w:space="0" w:color="000000"/>
            </w:tcBorders>
            <w:vAlign w:val="center"/>
          </w:tcPr>
          <w:p w:rsidR="00F16021" w:rsidRDefault="00F16021" w:rsidP="00AF43CE">
            <w:pPr>
              <w:spacing w:line="240" w:lineRule="auto"/>
              <w:ind w:firstLineChars="0" w:firstLine="0"/>
              <w:jc w:val="center"/>
              <w:rPr>
                <w:rFonts w:ascii="Times New Roman" w:cs="Times New Roman"/>
                <w:sz w:val="21"/>
                <w:szCs w:val="21"/>
              </w:rPr>
            </w:pPr>
            <w:r>
              <w:rPr>
                <w:rFonts w:ascii="Times New Roman" w:cs="Times New Roman" w:hint="eastAsia"/>
                <w:sz w:val="21"/>
                <w:szCs w:val="21"/>
              </w:rPr>
              <w:t>77</w:t>
            </w:r>
          </w:p>
        </w:tc>
        <w:tc>
          <w:tcPr>
            <w:tcW w:w="473" w:type="pct"/>
            <w:vMerge/>
            <w:tcBorders>
              <w:left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hint="eastAsia"/>
                <w:sz w:val="21"/>
                <w:szCs w:val="21"/>
              </w:rPr>
              <w:t>王家沟</w:t>
            </w:r>
            <w:r>
              <w:rPr>
                <w:rFonts w:ascii="Times New Roman" w:cs="Times New Roman" w:hint="eastAsia"/>
                <w:bCs/>
                <w:sz w:val="21"/>
                <w:szCs w:val="21"/>
              </w:rPr>
              <w:t>水井</w:t>
            </w:r>
            <w:r>
              <w:rPr>
                <w:rFonts w:ascii="Times New Roman" w:cs="Times New Roman" w:hint="eastAsia"/>
                <w:sz w:val="21"/>
                <w:szCs w:val="21"/>
              </w:rPr>
              <w:t>JC8</w:t>
            </w:r>
          </w:p>
        </w:tc>
        <w:tc>
          <w:tcPr>
            <w:tcW w:w="426"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hint="eastAsia"/>
                <w:sz w:val="21"/>
                <w:szCs w:val="21"/>
              </w:rPr>
              <w:t>-4570</w:t>
            </w:r>
          </w:p>
        </w:tc>
        <w:tc>
          <w:tcPr>
            <w:tcW w:w="381"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hint="eastAsia"/>
                <w:sz w:val="21"/>
                <w:szCs w:val="21"/>
              </w:rPr>
              <w:t>1510</w:t>
            </w:r>
          </w:p>
        </w:tc>
        <w:tc>
          <w:tcPr>
            <w:tcW w:w="379"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sz w:val="21"/>
                <w:szCs w:val="21"/>
              </w:rPr>
              <w:t>地下水水质</w:t>
            </w:r>
            <w:r>
              <w:rPr>
                <w:rFonts w:ascii="Times New Roman" w:cs="Times New Roman" w:hint="eastAsia"/>
                <w:sz w:val="21"/>
                <w:szCs w:val="21"/>
              </w:rPr>
              <w:t>，</w:t>
            </w:r>
            <w:r>
              <w:rPr>
                <w:rFonts w:ascii="Times New Roman" w:cs="Times New Roman"/>
                <w:sz w:val="21"/>
                <w:szCs w:val="21"/>
              </w:rPr>
              <w:t>高程</w:t>
            </w:r>
            <w:r>
              <w:rPr>
                <w:rFonts w:ascii="Times New Roman" w:cs="Times New Roman" w:hint="eastAsia"/>
                <w:sz w:val="21"/>
                <w:szCs w:val="21"/>
              </w:rPr>
              <w:t>374.5m</w:t>
            </w:r>
          </w:p>
        </w:tc>
        <w:tc>
          <w:tcPr>
            <w:tcW w:w="1043" w:type="pct"/>
            <w:vMerge/>
            <w:tcBorders>
              <w:left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hint="eastAsia"/>
                <w:sz w:val="21"/>
                <w:szCs w:val="21"/>
              </w:rPr>
              <w:t>NW</w:t>
            </w:r>
          </w:p>
        </w:tc>
        <w:tc>
          <w:tcPr>
            <w:tcW w:w="453" w:type="pct"/>
            <w:tcBorders>
              <w:top w:val="single" w:sz="2" w:space="0" w:color="000000"/>
              <w:left w:val="single" w:sz="2" w:space="0" w:color="000000"/>
              <w:bottom w:val="single" w:sz="2" w:space="0" w:color="000000"/>
              <w:right w:val="nil"/>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hint="eastAsia"/>
                <w:sz w:val="21"/>
                <w:szCs w:val="21"/>
              </w:rPr>
              <w:t>4920</w:t>
            </w:r>
          </w:p>
        </w:tc>
      </w:tr>
      <w:tr w:rsidR="00F16021">
        <w:trPr>
          <w:trHeight w:val="342"/>
          <w:jc w:val="center"/>
        </w:trPr>
        <w:tc>
          <w:tcPr>
            <w:tcW w:w="188" w:type="pct"/>
            <w:tcBorders>
              <w:top w:val="single" w:sz="2" w:space="0" w:color="000000"/>
              <w:left w:val="nil"/>
              <w:bottom w:val="single" w:sz="2" w:space="0" w:color="000000"/>
              <w:right w:val="single" w:sz="2" w:space="0" w:color="000000"/>
            </w:tcBorders>
            <w:vAlign w:val="center"/>
          </w:tcPr>
          <w:p w:rsidR="00F16021" w:rsidRDefault="00F16021" w:rsidP="00AF43CE">
            <w:pPr>
              <w:spacing w:line="240" w:lineRule="auto"/>
              <w:ind w:firstLineChars="0" w:firstLine="0"/>
              <w:jc w:val="center"/>
              <w:rPr>
                <w:rFonts w:ascii="Times New Roman" w:cs="Times New Roman"/>
                <w:sz w:val="21"/>
                <w:szCs w:val="21"/>
              </w:rPr>
            </w:pPr>
            <w:r>
              <w:rPr>
                <w:rFonts w:ascii="Times New Roman" w:cs="Times New Roman" w:hint="eastAsia"/>
                <w:sz w:val="21"/>
                <w:szCs w:val="21"/>
              </w:rPr>
              <w:t>78</w:t>
            </w:r>
          </w:p>
        </w:tc>
        <w:tc>
          <w:tcPr>
            <w:tcW w:w="473" w:type="pct"/>
            <w:vMerge/>
            <w:tcBorders>
              <w:left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hint="eastAsia"/>
                <w:bCs/>
                <w:sz w:val="21"/>
                <w:szCs w:val="21"/>
              </w:rPr>
              <w:t>陈家坝水井</w:t>
            </w:r>
            <w:r>
              <w:rPr>
                <w:rFonts w:ascii="Times New Roman" w:cs="Times New Roman" w:hint="eastAsia"/>
                <w:sz w:val="21"/>
                <w:szCs w:val="21"/>
              </w:rPr>
              <w:t>JC9</w:t>
            </w:r>
          </w:p>
        </w:tc>
        <w:tc>
          <w:tcPr>
            <w:tcW w:w="426"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hint="eastAsia"/>
                <w:sz w:val="21"/>
                <w:szCs w:val="21"/>
              </w:rPr>
              <w:t>3760</w:t>
            </w:r>
          </w:p>
        </w:tc>
        <w:tc>
          <w:tcPr>
            <w:tcW w:w="381"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hint="eastAsia"/>
                <w:sz w:val="21"/>
                <w:szCs w:val="21"/>
              </w:rPr>
              <w:t>2330</w:t>
            </w:r>
          </w:p>
        </w:tc>
        <w:tc>
          <w:tcPr>
            <w:tcW w:w="379"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sz w:val="21"/>
                <w:szCs w:val="21"/>
              </w:rPr>
              <w:t>地下水水质</w:t>
            </w:r>
            <w:r>
              <w:rPr>
                <w:rFonts w:ascii="Times New Roman" w:cs="Times New Roman" w:hint="eastAsia"/>
                <w:sz w:val="21"/>
                <w:szCs w:val="21"/>
              </w:rPr>
              <w:t>，</w:t>
            </w:r>
            <w:r>
              <w:rPr>
                <w:rFonts w:ascii="Times New Roman" w:cs="Times New Roman"/>
                <w:sz w:val="21"/>
                <w:szCs w:val="21"/>
              </w:rPr>
              <w:t>高程</w:t>
            </w:r>
            <w:r>
              <w:rPr>
                <w:rFonts w:ascii="Times New Roman" w:cs="Times New Roman" w:hint="eastAsia"/>
                <w:sz w:val="21"/>
                <w:szCs w:val="21"/>
              </w:rPr>
              <w:t>373.7m</w:t>
            </w:r>
          </w:p>
        </w:tc>
        <w:tc>
          <w:tcPr>
            <w:tcW w:w="1043" w:type="pct"/>
            <w:vMerge/>
            <w:tcBorders>
              <w:left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hint="eastAsia"/>
                <w:sz w:val="21"/>
                <w:szCs w:val="21"/>
              </w:rPr>
              <w:t>NW</w:t>
            </w:r>
          </w:p>
        </w:tc>
        <w:tc>
          <w:tcPr>
            <w:tcW w:w="453" w:type="pct"/>
            <w:tcBorders>
              <w:top w:val="single" w:sz="2" w:space="0" w:color="000000"/>
              <w:left w:val="single" w:sz="2" w:space="0" w:color="000000"/>
              <w:bottom w:val="single" w:sz="2" w:space="0" w:color="000000"/>
              <w:right w:val="nil"/>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hint="eastAsia"/>
                <w:sz w:val="21"/>
                <w:szCs w:val="21"/>
              </w:rPr>
              <w:t>4370</w:t>
            </w:r>
          </w:p>
        </w:tc>
      </w:tr>
      <w:tr w:rsidR="00F16021">
        <w:trPr>
          <w:trHeight w:val="342"/>
          <w:jc w:val="center"/>
        </w:trPr>
        <w:tc>
          <w:tcPr>
            <w:tcW w:w="188" w:type="pct"/>
            <w:tcBorders>
              <w:top w:val="single" w:sz="2" w:space="0" w:color="000000"/>
              <w:left w:val="nil"/>
              <w:bottom w:val="single" w:sz="2" w:space="0" w:color="000000"/>
              <w:right w:val="single" w:sz="2" w:space="0" w:color="000000"/>
            </w:tcBorders>
            <w:vAlign w:val="center"/>
          </w:tcPr>
          <w:p w:rsidR="00F16021" w:rsidRDefault="00F16021" w:rsidP="00AF43CE">
            <w:pPr>
              <w:spacing w:line="240" w:lineRule="auto"/>
              <w:ind w:firstLineChars="0" w:firstLine="0"/>
              <w:jc w:val="center"/>
              <w:rPr>
                <w:rFonts w:ascii="Times New Roman" w:cs="Times New Roman"/>
                <w:sz w:val="21"/>
                <w:szCs w:val="21"/>
              </w:rPr>
            </w:pPr>
            <w:r>
              <w:rPr>
                <w:rFonts w:ascii="Times New Roman" w:cs="Times New Roman" w:hint="eastAsia"/>
                <w:sz w:val="21"/>
                <w:szCs w:val="21"/>
              </w:rPr>
              <w:t>79</w:t>
            </w:r>
          </w:p>
        </w:tc>
        <w:tc>
          <w:tcPr>
            <w:tcW w:w="473" w:type="pct"/>
            <w:vMerge/>
            <w:tcBorders>
              <w:left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p>
        </w:tc>
        <w:tc>
          <w:tcPr>
            <w:tcW w:w="854"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田塝上水井</w:t>
            </w:r>
            <w:r>
              <w:rPr>
                <w:rFonts w:ascii="Times New Roman" w:cs="Times New Roman" w:hint="eastAsia"/>
                <w:sz w:val="21"/>
                <w:szCs w:val="21"/>
              </w:rPr>
              <w:t>JC10</w:t>
            </w:r>
          </w:p>
        </w:tc>
        <w:tc>
          <w:tcPr>
            <w:tcW w:w="426"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hint="eastAsia"/>
                <w:sz w:val="21"/>
                <w:szCs w:val="21"/>
              </w:rPr>
              <w:t>2610</w:t>
            </w:r>
          </w:p>
        </w:tc>
        <w:tc>
          <w:tcPr>
            <w:tcW w:w="381"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hint="eastAsia"/>
                <w:sz w:val="21"/>
                <w:szCs w:val="21"/>
              </w:rPr>
              <w:t>3010</w:t>
            </w:r>
          </w:p>
        </w:tc>
        <w:tc>
          <w:tcPr>
            <w:tcW w:w="379"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sz w:val="21"/>
                <w:szCs w:val="21"/>
              </w:rPr>
              <w:t>地下水</w:t>
            </w:r>
          </w:p>
        </w:tc>
        <w:tc>
          <w:tcPr>
            <w:tcW w:w="566"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sz w:val="21"/>
                <w:szCs w:val="21"/>
              </w:rPr>
              <w:t>地下水水质</w:t>
            </w:r>
            <w:r>
              <w:rPr>
                <w:rFonts w:ascii="Times New Roman" w:cs="Times New Roman" w:hint="eastAsia"/>
                <w:sz w:val="21"/>
                <w:szCs w:val="21"/>
              </w:rPr>
              <w:t>，</w:t>
            </w:r>
            <w:r>
              <w:rPr>
                <w:rFonts w:ascii="Times New Roman" w:cs="Times New Roman"/>
                <w:sz w:val="21"/>
                <w:szCs w:val="21"/>
              </w:rPr>
              <w:t>高程</w:t>
            </w:r>
            <w:r>
              <w:rPr>
                <w:rFonts w:ascii="Times New Roman" w:cs="Times New Roman" w:hint="eastAsia"/>
                <w:sz w:val="21"/>
                <w:szCs w:val="21"/>
              </w:rPr>
              <w:t>347m</w:t>
            </w:r>
          </w:p>
        </w:tc>
        <w:tc>
          <w:tcPr>
            <w:tcW w:w="1043" w:type="pct"/>
            <w:vMerge/>
            <w:tcBorders>
              <w:left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p>
        </w:tc>
        <w:tc>
          <w:tcPr>
            <w:tcW w:w="236"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hint="eastAsia"/>
                <w:sz w:val="21"/>
                <w:szCs w:val="21"/>
              </w:rPr>
              <w:t>NW</w:t>
            </w:r>
          </w:p>
        </w:tc>
        <w:tc>
          <w:tcPr>
            <w:tcW w:w="453" w:type="pct"/>
            <w:tcBorders>
              <w:top w:val="single" w:sz="2" w:space="0" w:color="000000"/>
              <w:left w:val="single" w:sz="2" w:space="0" w:color="000000"/>
              <w:bottom w:val="single" w:sz="2" w:space="0" w:color="000000"/>
              <w:right w:val="nil"/>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hint="eastAsia"/>
                <w:sz w:val="21"/>
                <w:szCs w:val="21"/>
              </w:rPr>
              <w:t>4000</w:t>
            </w:r>
          </w:p>
        </w:tc>
      </w:tr>
      <w:tr w:rsidR="00F16021">
        <w:trPr>
          <w:trHeight w:val="342"/>
          <w:jc w:val="center"/>
        </w:trPr>
        <w:tc>
          <w:tcPr>
            <w:tcW w:w="188" w:type="pct"/>
            <w:tcBorders>
              <w:top w:val="single" w:sz="2" w:space="0" w:color="000000"/>
              <w:left w:val="nil"/>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hint="eastAsia"/>
                <w:sz w:val="21"/>
                <w:szCs w:val="21"/>
              </w:rPr>
              <w:t>80</w:t>
            </w:r>
          </w:p>
        </w:tc>
        <w:tc>
          <w:tcPr>
            <w:tcW w:w="473"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sz w:val="21"/>
                <w:szCs w:val="21"/>
              </w:rPr>
              <w:t>土壤环境</w:t>
            </w:r>
          </w:p>
        </w:tc>
        <w:tc>
          <w:tcPr>
            <w:tcW w:w="854"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sz w:val="21"/>
                <w:szCs w:val="21"/>
              </w:rPr>
              <w:t>—</w:t>
            </w:r>
          </w:p>
        </w:tc>
        <w:tc>
          <w:tcPr>
            <w:tcW w:w="426"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sz w:val="21"/>
                <w:szCs w:val="21"/>
              </w:rPr>
              <w:t>—</w:t>
            </w:r>
          </w:p>
        </w:tc>
        <w:tc>
          <w:tcPr>
            <w:tcW w:w="381"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sz w:val="21"/>
                <w:szCs w:val="21"/>
              </w:rPr>
              <w:t>—</w:t>
            </w:r>
          </w:p>
        </w:tc>
        <w:tc>
          <w:tcPr>
            <w:tcW w:w="379"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sz w:val="21"/>
                <w:szCs w:val="21"/>
              </w:rPr>
              <w:t>—</w:t>
            </w:r>
          </w:p>
        </w:tc>
        <w:tc>
          <w:tcPr>
            <w:tcW w:w="566"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sz w:val="21"/>
                <w:szCs w:val="21"/>
              </w:rPr>
              <w:t>—</w:t>
            </w:r>
          </w:p>
        </w:tc>
        <w:tc>
          <w:tcPr>
            <w:tcW w:w="1043"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sz w:val="21"/>
                <w:szCs w:val="21"/>
              </w:rPr>
              <w:t>—</w:t>
            </w:r>
          </w:p>
        </w:tc>
        <w:tc>
          <w:tcPr>
            <w:tcW w:w="236"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sz w:val="21"/>
                <w:szCs w:val="21"/>
              </w:rPr>
              <w:t>—</w:t>
            </w:r>
          </w:p>
        </w:tc>
        <w:tc>
          <w:tcPr>
            <w:tcW w:w="453" w:type="pct"/>
            <w:tcBorders>
              <w:top w:val="single" w:sz="2" w:space="0" w:color="000000"/>
              <w:left w:val="single" w:sz="2" w:space="0" w:color="000000"/>
              <w:bottom w:val="single" w:sz="2" w:space="0" w:color="000000"/>
              <w:right w:val="nil"/>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sz w:val="21"/>
                <w:szCs w:val="21"/>
              </w:rPr>
              <w:t>—</w:t>
            </w:r>
          </w:p>
        </w:tc>
      </w:tr>
      <w:tr w:rsidR="00F16021">
        <w:trPr>
          <w:trHeight w:val="342"/>
          <w:jc w:val="center"/>
        </w:trPr>
        <w:tc>
          <w:tcPr>
            <w:tcW w:w="188" w:type="pct"/>
            <w:tcBorders>
              <w:top w:val="single" w:sz="2" w:space="0" w:color="000000"/>
              <w:left w:val="nil"/>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hint="eastAsia"/>
                <w:sz w:val="21"/>
                <w:szCs w:val="21"/>
              </w:rPr>
              <w:lastRenderedPageBreak/>
              <w:t>81</w:t>
            </w:r>
          </w:p>
        </w:tc>
        <w:tc>
          <w:tcPr>
            <w:tcW w:w="473"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sz w:val="21"/>
                <w:szCs w:val="21"/>
              </w:rPr>
              <w:t>生态环境</w:t>
            </w:r>
          </w:p>
        </w:tc>
        <w:tc>
          <w:tcPr>
            <w:tcW w:w="854"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sz w:val="21"/>
                <w:szCs w:val="21"/>
              </w:rPr>
              <w:t>—</w:t>
            </w:r>
          </w:p>
        </w:tc>
        <w:tc>
          <w:tcPr>
            <w:tcW w:w="426"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sz w:val="21"/>
                <w:szCs w:val="21"/>
              </w:rPr>
              <w:t>—</w:t>
            </w:r>
          </w:p>
        </w:tc>
        <w:tc>
          <w:tcPr>
            <w:tcW w:w="381"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sz w:val="21"/>
                <w:szCs w:val="21"/>
              </w:rPr>
              <w:t>—</w:t>
            </w:r>
          </w:p>
        </w:tc>
        <w:tc>
          <w:tcPr>
            <w:tcW w:w="379"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sz w:val="21"/>
                <w:szCs w:val="21"/>
              </w:rPr>
              <w:t>—</w:t>
            </w:r>
          </w:p>
        </w:tc>
        <w:tc>
          <w:tcPr>
            <w:tcW w:w="566"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sz w:val="21"/>
                <w:szCs w:val="21"/>
              </w:rPr>
              <w:t>—</w:t>
            </w:r>
          </w:p>
        </w:tc>
        <w:tc>
          <w:tcPr>
            <w:tcW w:w="1043"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sz w:val="21"/>
                <w:szCs w:val="21"/>
              </w:rPr>
              <w:t>—</w:t>
            </w:r>
          </w:p>
        </w:tc>
        <w:tc>
          <w:tcPr>
            <w:tcW w:w="236" w:type="pct"/>
            <w:tcBorders>
              <w:top w:val="single" w:sz="2" w:space="0" w:color="000000"/>
              <w:left w:val="single" w:sz="2" w:space="0" w:color="000000"/>
              <w:bottom w:val="single" w:sz="2" w:space="0" w:color="000000"/>
              <w:right w:val="single" w:sz="2" w:space="0" w:color="000000"/>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sz w:val="21"/>
                <w:szCs w:val="21"/>
              </w:rPr>
              <w:t>—</w:t>
            </w:r>
          </w:p>
        </w:tc>
        <w:tc>
          <w:tcPr>
            <w:tcW w:w="453" w:type="pct"/>
            <w:tcBorders>
              <w:top w:val="single" w:sz="2" w:space="0" w:color="000000"/>
              <w:left w:val="single" w:sz="2" w:space="0" w:color="000000"/>
              <w:bottom w:val="single" w:sz="2" w:space="0" w:color="000000"/>
              <w:right w:val="nil"/>
            </w:tcBorders>
            <w:vAlign w:val="center"/>
          </w:tcPr>
          <w:p w:rsidR="00F16021" w:rsidRDefault="00F16021">
            <w:pPr>
              <w:spacing w:line="240" w:lineRule="auto"/>
              <w:ind w:firstLineChars="0" w:firstLine="0"/>
              <w:jc w:val="center"/>
              <w:rPr>
                <w:rFonts w:ascii="Times New Roman" w:cs="Times New Roman"/>
                <w:sz w:val="21"/>
                <w:szCs w:val="21"/>
              </w:rPr>
            </w:pPr>
            <w:r>
              <w:rPr>
                <w:rFonts w:ascii="Times New Roman" w:cs="Times New Roman"/>
                <w:sz w:val="21"/>
                <w:szCs w:val="21"/>
              </w:rPr>
              <w:t>—</w:t>
            </w:r>
          </w:p>
        </w:tc>
      </w:tr>
    </w:tbl>
    <w:p w:rsidR="00BD5820" w:rsidRDefault="00BD5820">
      <w:pPr>
        <w:ind w:firstLine="480"/>
        <w:rPr>
          <w:rFonts w:ascii="Times New Roman" w:cs="Times New Roman"/>
        </w:rPr>
        <w:sectPr w:rsidR="00BD5820">
          <w:pgSz w:w="16838" w:h="11906" w:orient="landscape"/>
          <w:pgMar w:top="1440" w:right="1080" w:bottom="1440" w:left="1080" w:header="851" w:footer="992" w:gutter="0"/>
          <w:cols w:space="425"/>
          <w:docGrid w:type="lines" w:linePitch="326"/>
        </w:sectPr>
      </w:pPr>
    </w:p>
    <w:p w:rsidR="00BD5820" w:rsidRDefault="00F64314">
      <w:pPr>
        <w:keepNext/>
        <w:keepLines/>
        <w:spacing w:before="120"/>
        <w:ind w:firstLineChars="0" w:firstLine="0"/>
        <w:outlineLvl w:val="1"/>
        <w:rPr>
          <w:rFonts w:ascii="Times New Roman" w:cs="Times New Roman"/>
          <w:b/>
          <w:bCs/>
          <w:sz w:val="28"/>
          <w:szCs w:val="32"/>
        </w:rPr>
      </w:pPr>
      <w:bookmarkStart w:id="97" w:name="bookmark7"/>
      <w:bookmarkStart w:id="98" w:name="_Toc4020"/>
      <w:bookmarkEnd w:id="97"/>
      <w:r>
        <w:rPr>
          <w:rFonts w:ascii="Times New Roman" w:cs="Times New Roman"/>
          <w:b/>
          <w:bCs/>
          <w:sz w:val="28"/>
          <w:szCs w:val="32"/>
        </w:rPr>
        <w:lastRenderedPageBreak/>
        <w:t xml:space="preserve">1.10 </w:t>
      </w:r>
      <w:r>
        <w:rPr>
          <w:rFonts w:ascii="Times New Roman" w:cs="Times New Roman"/>
          <w:b/>
          <w:bCs/>
          <w:sz w:val="28"/>
          <w:szCs w:val="32"/>
        </w:rPr>
        <w:t>评价方法和工作程序</w:t>
      </w:r>
      <w:bookmarkEnd w:id="80"/>
      <w:bookmarkEnd w:id="81"/>
      <w:bookmarkEnd w:id="98"/>
    </w:p>
    <w:p w:rsidR="00BD5820" w:rsidRDefault="00F64314">
      <w:pPr>
        <w:keepNext/>
        <w:keepLines/>
        <w:ind w:firstLineChars="0" w:firstLine="0"/>
        <w:outlineLvl w:val="2"/>
        <w:rPr>
          <w:rFonts w:ascii="Times New Roman" w:cs="Times New Roman"/>
          <w:b/>
          <w:szCs w:val="32"/>
        </w:rPr>
      </w:pPr>
      <w:bookmarkStart w:id="99" w:name="_Toc19815945"/>
      <w:r>
        <w:rPr>
          <w:rFonts w:ascii="Times New Roman" w:cs="Times New Roman"/>
          <w:b/>
          <w:szCs w:val="32"/>
        </w:rPr>
        <w:t xml:space="preserve">1.10.1 </w:t>
      </w:r>
      <w:r>
        <w:rPr>
          <w:rFonts w:ascii="Times New Roman" w:cs="Times New Roman"/>
          <w:b/>
          <w:szCs w:val="32"/>
        </w:rPr>
        <w:t>评价方法</w:t>
      </w:r>
      <w:bookmarkEnd w:id="99"/>
    </w:p>
    <w:p w:rsidR="00BD5820" w:rsidRDefault="00F64314">
      <w:pPr>
        <w:ind w:firstLine="480"/>
        <w:rPr>
          <w:rFonts w:ascii="Times New Roman" w:cs="Times New Roman"/>
        </w:rPr>
      </w:pPr>
      <w:r>
        <w:rPr>
          <w:rFonts w:ascii="Times New Roman" w:cs="Times New Roman"/>
        </w:rPr>
        <w:t>由于本项目主要为线路工程，本次评价按</w:t>
      </w:r>
      <w:r>
        <w:rPr>
          <w:rFonts w:ascii="Times New Roman" w:cs="Times New Roman" w:hint="eastAsia"/>
        </w:rPr>
        <w:t>“</w:t>
      </w:r>
      <w:r>
        <w:rPr>
          <w:rFonts w:ascii="Times New Roman" w:cs="Times New Roman"/>
        </w:rPr>
        <w:t>以点为主，点线结合，反馈全线</w:t>
      </w:r>
      <w:r>
        <w:rPr>
          <w:rFonts w:ascii="Times New Roman" w:cs="Times New Roman" w:hint="eastAsia"/>
        </w:rPr>
        <w:t>”</w:t>
      </w:r>
      <w:r>
        <w:rPr>
          <w:rFonts w:ascii="Times New Roman" w:cs="Times New Roman"/>
        </w:rPr>
        <w:t>的方法开展工作。结合本项目环境特征和各评价要素的评价工作等级，有针对、有侧重的对环境要素进行监测与评价，通过类比调查，选择适当的模式和参数，定量或定性的分析项目施工期间和投产后对周围环境的影响，以及事故状况下的影响，针对评价结论反映出的主要问题，结合国内外现有方法提出预防、恢复和缓解措施。结合工程沿线各城镇发展规划、环境功能区划、环境保护规划、生态保护规划和土地利用规划等，论述管线路由走向的可行性。最后综合分析各章节评价结论，给出该项目建设的环境可行性结论。</w:t>
      </w:r>
    </w:p>
    <w:p w:rsidR="00BD5820" w:rsidRDefault="00F64314">
      <w:pPr>
        <w:ind w:firstLine="480"/>
        <w:rPr>
          <w:rFonts w:ascii="Times New Roman" w:cs="Times New Roman"/>
        </w:rPr>
      </w:pPr>
      <w:r>
        <w:rPr>
          <w:rFonts w:ascii="Times New Roman" w:cs="Times New Roman"/>
        </w:rPr>
        <w:t>1</w:t>
      </w:r>
      <w:r>
        <w:rPr>
          <w:rFonts w:ascii="Times New Roman" w:cs="Times New Roman"/>
        </w:rPr>
        <w:t>、生态环境：采用现场调查、</w:t>
      </w:r>
      <w:r>
        <w:rPr>
          <w:rFonts w:ascii="Times New Roman" w:cs="Times New Roman"/>
        </w:rPr>
        <w:t>GPS</w:t>
      </w:r>
      <w:r>
        <w:rPr>
          <w:rFonts w:ascii="Times New Roman" w:cs="Times New Roman"/>
        </w:rPr>
        <w:t>定位及资料收集相结合的方法；</w:t>
      </w:r>
    </w:p>
    <w:p w:rsidR="00BD5820" w:rsidRDefault="00F64314">
      <w:pPr>
        <w:ind w:firstLine="480"/>
        <w:rPr>
          <w:rFonts w:ascii="Times New Roman" w:cs="Times New Roman"/>
        </w:rPr>
      </w:pPr>
      <w:r>
        <w:rPr>
          <w:rFonts w:ascii="Times New Roman" w:cs="Times New Roman"/>
        </w:rPr>
        <w:t>2</w:t>
      </w:r>
      <w:r>
        <w:rPr>
          <w:rFonts w:ascii="Times New Roman" w:cs="Times New Roman"/>
        </w:rPr>
        <w:t>、地表水环境：采用现场调查及现状监测、资料收集相结合的方法；</w:t>
      </w:r>
    </w:p>
    <w:p w:rsidR="00BD5820" w:rsidRDefault="00F64314">
      <w:pPr>
        <w:ind w:firstLine="480"/>
        <w:rPr>
          <w:rFonts w:ascii="Times New Roman" w:cs="Times New Roman"/>
        </w:rPr>
      </w:pPr>
      <w:r>
        <w:rPr>
          <w:rFonts w:ascii="Times New Roman" w:cs="Times New Roman"/>
        </w:rPr>
        <w:t>3</w:t>
      </w:r>
      <w:r>
        <w:rPr>
          <w:rFonts w:ascii="Times New Roman" w:cs="Times New Roman"/>
        </w:rPr>
        <w:t>、声环境：主要采用现场调查及现状监测、资料收集相结合的方法；</w:t>
      </w:r>
    </w:p>
    <w:p w:rsidR="00BD5820" w:rsidRDefault="00F64314">
      <w:pPr>
        <w:ind w:firstLine="480"/>
        <w:rPr>
          <w:rFonts w:ascii="Times New Roman" w:cs="Times New Roman"/>
        </w:rPr>
      </w:pPr>
      <w:r>
        <w:rPr>
          <w:rFonts w:ascii="Times New Roman" w:cs="Times New Roman"/>
        </w:rPr>
        <w:t>4</w:t>
      </w:r>
      <w:r>
        <w:rPr>
          <w:rFonts w:ascii="Times New Roman" w:cs="Times New Roman"/>
        </w:rPr>
        <w:t>、大气环境：主要采用现场调查及现状监测、资料收集相结合的方法；</w:t>
      </w:r>
    </w:p>
    <w:p w:rsidR="00BD5820" w:rsidRDefault="00F64314">
      <w:pPr>
        <w:ind w:firstLine="480"/>
        <w:rPr>
          <w:rFonts w:ascii="Times New Roman" w:cs="Times New Roman"/>
        </w:rPr>
      </w:pPr>
      <w:r>
        <w:rPr>
          <w:rFonts w:ascii="Times New Roman" w:cs="Times New Roman"/>
        </w:rPr>
        <w:t>5</w:t>
      </w:r>
      <w:r>
        <w:rPr>
          <w:rFonts w:ascii="Times New Roman" w:cs="Times New Roman"/>
        </w:rPr>
        <w:t>、土壤环境：采用现场调查及现状监测、资料收集相结合的方法；</w:t>
      </w:r>
    </w:p>
    <w:p w:rsidR="00BD5820" w:rsidRDefault="00F64314">
      <w:pPr>
        <w:ind w:firstLine="480"/>
        <w:rPr>
          <w:rFonts w:ascii="Times New Roman" w:cs="Times New Roman"/>
        </w:rPr>
      </w:pPr>
      <w:r>
        <w:rPr>
          <w:rFonts w:ascii="Times New Roman" w:cs="Times New Roman"/>
        </w:rPr>
        <w:t>6</w:t>
      </w:r>
      <w:r>
        <w:rPr>
          <w:rFonts w:ascii="Times New Roman" w:cs="Times New Roman"/>
        </w:rPr>
        <w:t>、地下水环境：采用现场调查和资料收集相结合的方法；</w:t>
      </w:r>
    </w:p>
    <w:p w:rsidR="00BD5820" w:rsidRDefault="00F64314">
      <w:pPr>
        <w:ind w:firstLine="480"/>
        <w:rPr>
          <w:rFonts w:ascii="Times New Roman" w:cs="Times New Roman"/>
        </w:rPr>
      </w:pPr>
      <w:r>
        <w:rPr>
          <w:rFonts w:ascii="Times New Roman" w:cs="Times New Roman"/>
        </w:rPr>
        <w:t>7</w:t>
      </w:r>
      <w:r>
        <w:rPr>
          <w:rFonts w:ascii="Times New Roman" w:cs="Times New Roman"/>
        </w:rPr>
        <w:t>、环境风险：采用资料收集、同类项目类比调查和模式计算、概率风险分析相结合的方法。</w:t>
      </w:r>
    </w:p>
    <w:p w:rsidR="00BD5820" w:rsidRDefault="00F64314">
      <w:pPr>
        <w:keepNext/>
        <w:keepLines/>
        <w:ind w:firstLineChars="0" w:firstLine="0"/>
        <w:outlineLvl w:val="2"/>
        <w:rPr>
          <w:rFonts w:ascii="Times New Roman" w:cs="Times New Roman"/>
          <w:b/>
          <w:szCs w:val="32"/>
        </w:rPr>
      </w:pPr>
      <w:bookmarkStart w:id="100" w:name="_Toc19815946"/>
      <w:r>
        <w:rPr>
          <w:rFonts w:ascii="Times New Roman" w:cs="Times New Roman"/>
          <w:b/>
          <w:szCs w:val="32"/>
        </w:rPr>
        <w:t xml:space="preserve">1.10.2 </w:t>
      </w:r>
      <w:r>
        <w:rPr>
          <w:rFonts w:ascii="Times New Roman" w:cs="Times New Roman"/>
          <w:b/>
          <w:szCs w:val="32"/>
        </w:rPr>
        <w:t>工作程序</w:t>
      </w:r>
      <w:bookmarkEnd w:id="100"/>
    </w:p>
    <w:p w:rsidR="00BD5820" w:rsidRDefault="00F64314">
      <w:pPr>
        <w:ind w:firstLine="480"/>
        <w:rPr>
          <w:rFonts w:ascii="Times New Roman" w:cs="Times New Roman"/>
        </w:rPr>
      </w:pPr>
      <w:r>
        <w:rPr>
          <w:rFonts w:ascii="Times New Roman" w:cs="Times New Roman"/>
        </w:rPr>
        <w:t>本次评价工作程序主要分为三个阶段：</w:t>
      </w:r>
    </w:p>
    <w:p w:rsidR="00BD5820" w:rsidRDefault="00F64314">
      <w:pPr>
        <w:ind w:firstLine="480"/>
        <w:rPr>
          <w:rFonts w:ascii="Times New Roman" w:cs="Times New Roman"/>
        </w:rPr>
      </w:pPr>
      <w:r>
        <w:rPr>
          <w:rFonts w:ascii="Times New Roman" w:cs="Times New Roman"/>
        </w:rPr>
        <w:t>1</w:t>
      </w:r>
      <w:r>
        <w:rPr>
          <w:rFonts w:ascii="Times New Roman" w:cs="Times New Roman"/>
        </w:rPr>
        <w:t>、前期准备阶段、调研和制定工作方案阶段；</w:t>
      </w:r>
    </w:p>
    <w:p w:rsidR="00BD5820" w:rsidRDefault="00F64314">
      <w:pPr>
        <w:ind w:firstLine="480"/>
        <w:rPr>
          <w:rFonts w:ascii="Times New Roman" w:cs="Times New Roman"/>
        </w:rPr>
      </w:pPr>
      <w:r>
        <w:rPr>
          <w:rFonts w:ascii="Times New Roman" w:cs="Times New Roman"/>
        </w:rPr>
        <w:t>2</w:t>
      </w:r>
      <w:r>
        <w:rPr>
          <w:rFonts w:ascii="Times New Roman" w:cs="Times New Roman"/>
        </w:rPr>
        <w:t>、分析论证和预测评价阶段；</w:t>
      </w:r>
    </w:p>
    <w:p w:rsidR="00BD5820" w:rsidRDefault="00F64314">
      <w:pPr>
        <w:ind w:firstLine="480"/>
        <w:rPr>
          <w:rFonts w:ascii="Times New Roman" w:cs="Times New Roman"/>
        </w:rPr>
      </w:pPr>
      <w:r>
        <w:rPr>
          <w:rFonts w:ascii="Times New Roman" w:cs="Times New Roman"/>
        </w:rPr>
        <w:t>3</w:t>
      </w:r>
      <w:r>
        <w:rPr>
          <w:rFonts w:ascii="Times New Roman" w:cs="Times New Roman"/>
        </w:rPr>
        <w:t>、环境影响评价文件编制阶段。</w:t>
      </w:r>
    </w:p>
    <w:p w:rsidR="00BD5820" w:rsidRDefault="00F64314">
      <w:pPr>
        <w:ind w:firstLine="480"/>
        <w:jc w:val="left"/>
        <w:rPr>
          <w:rFonts w:ascii="Times New Roman" w:cs="Times New Roman"/>
        </w:rPr>
      </w:pPr>
      <w:r>
        <w:rPr>
          <w:rFonts w:ascii="Times New Roman" w:cs="Times New Roman"/>
        </w:rPr>
        <w:t>重庆后科环保有限责任公司编制的《普光气田主体湿气增压工程环境影响报告书》呈报达州市</w:t>
      </w:r>
      <w:r>
        <w:rPr>
          <w:rFonts w:ascii="Times New Roman" w:cs="Times New Roman" w:hint="eastAsia"/>
        </w:rPr>
        <w:t>宣汉</w:t>
      </w:r>
      <w:r>
        <w:rPr>
          <w:rFonts w:ascii="Times New Roman" w:cs="Times New Roman"/>
        </w:rPr>
        <w:t>生态环境局审查批复后，可作为工程建设环保设计的技术依据之一。具体评价程序见下图。</w:t>
      </w:r>
      <w:r>
        <w:rPr>
          <w:rFonts w:ascii="Times New Roman" w:cs="Times New Roman"/>
          <w:noProof/>
        </w:rPr>
        <w:lastRenderedPageBreak/>
        <w:drawing>
          <wp:inline distT="0" distB="0" distL="0" distR="0">
            <wp:extent cx="5273675" cy="5754370"/>
            <wp:effectExtent l="19050" t="0" r="3175" b="0"/>
            <wp:docPr id="5" name="图片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6"/>
                    <pic:cNvPicPr>
                      <a:picLocks noChangeAspect="1" noChangeArrowheads="1"/>
                    </pic:cNvPicPr>
                  </pic:nvPicPr>
                  <pic:blipFill>
                    <a:blip r:embed="rId37" cstate="print"/>
                    <a:srcRect/>
                    <a:stretch>
                      <a:fillRect/>
                    </a:stretch>
                  </pic:blipFill>
                  <pic:spPr>
                    <a:xfrm>
                      <a:off x="0" y="0"/>
                      <a:ext cx="5273675" cy="5754370"/>
                    </a:xfrm>
                    <a:prstGeom prst="rect">
                      <a:avLst/>
                    </a:prstGeom>
                    <a:noFill/>
                    <a:ln w="9525">
                      <a:noFill/>
                      <a:miter lim="800000"/>
                      <a:headEnd/>
                      <a:tailEnd/>
                    </a:ln>
                  </pic:spPr>
                </pic:pic>
              </a:graphicData>
            </a:graphic>
          </wp:inline>
        </w:drawing>
      </w:r>
    </w:p>
    <w:p w:rsidR="00BD5820" w:rsidRDefault="00F64314">
      <w:pPr>
        <w:pStyle w:val="aff5"/>
        <w:rPr>
          <w:rFonts w:eastAsia="宋体"/>
        </w:rPr>
      </w:pPr>
      <w:r>
        <w:rPr>
          <w:rFonts w:eastAsia="宋体"/>
        </w:rPr>
        <w:t>图</w:t>
      </w:r>
      <w:r>
        <w:rPr>
          <w:rFonts w:eastAsia="宋体"/>
        </w:rPr>
        <w:t xml:space="preserve">1.10-1  </w:t>
      </w:r>
      <w:r>
        <w:rPr>
          <w:rFonts w:eastAsia="宋体"/>
        </w:rPr>
        <w:t>本项目环境影响评价工作程序图</w:t>
      </w:r>
    </w:p>
    <w:p w:rsidR="00BD5820" w:rsidRDefault="00BD5820">
      <w:pPr>
        <w:ind w:firstLine="480"/>
        <w:rPr>
          <w:rFonts w:ascii="Times New Roman" w:cs="Times New Roman"/>
        </w:rPr>
        <w:sectPr w:rsidR="00BD5820">
          <w:pgSz w:w="11906" w:h="16838"/>
          <w:pgMar w:top="1440" w:right="1800" w:bottom="1440" w:left="1800" w:header="851" w:footer="992" w:gutter="0"/>
          <w:cols w:space="425"/>
          <w:docGrid w:type="lines" w:linePitch="312"/>
        </w:sectPr>
      </w:pPr>
    </w:p>
    <w:p w:rsidR="00BD5820" w:rsidRDefault="00F64314">
      <w:pPr>
        <w:keepNext/>
        <w:keepLines/>
        <w:ind w:firstLineChars="0" w:firstLine="0"/>
        <w:jc w:val="left"/>
        <w:outlineLvl w:val="0"/>
        <w:rPr>
          <w:rFonts w:ascii="Times New Roman" w:cs="Times New Roman"/>
          <w:b/>
          <w:kern w:val="44"/>
          <w:sz w:val="32"/>
          <w:szCs w:val="44"/>
        </w:rPr>
      </w:pPr>
      <w:bookmarkStart w:id="101" w:name="_Toc23563"/>
      <w:r>
        <w:rPr>
          <w:rFonts w:ascii="Times New Roman" w:cs="Times New Roman"/>
          <w:b/>
          <w:kern w:val="44"/>
          <w:sz w:val="32"/>
          <w:szCs w:val="44"/>
        </w:rPr>
        <w:lastRenderedPageBreak/>
        <w:t xml:space="preserve">2 </w:t>
      </w:r>
      <w:r>
        <w:rPr>
          <w:rFonts w:ascii="Times New Roman" w:cs="Times New Roman" w:hint="eastAsia"/>
          <w:b/>
          <w:kern w:val="44"/>
          <w:sz w:val="32"/>
          <w:szCs w:val="44"/>
        </w:rPr>
        <w:t>现有</w:t>
      </w:r>
      <w:r>
        <w:rPr>
          <w:rFonts w:ascii="Times New Roman" w:cs="Times New Roman"/>
          <w:b/>
          <w:kern w:val="44"/>
          <w:sz w:val="32"/>
          <w:szCs w:val="44"/>
        </w:rPr>
        <w:t>工程依托可行性分析</w:t>
      </w:r>
      <w:bookmarkEnd w:id="101"/>
    </w:p>
    <w:p w:rsidR="00BD5820" w:rsidRDefault="00F64314">
      <w:pPr>
        <w:pStyle w:val="2"/>
        <w:spacing w:before="120"/>
        <w:rPr>
          <w:rFonts w:cs="Times New Roman"/>
        </w:rPr>
      </w:pPr>
      <w:bookmarkStart w:id="102" w:name="_Toc17694"/>
      <w:r>
        <w:rPr>
          <w:rFonts w:cs="Times New Roman" w:hint="eastAsia"/>
        </w:rPr>
        <w:t>2</w:t>
      </w:r>
      <w:r>
        <w:rPr>
          <w:rFonts w:cs="Times New Roman"/>
        </w:rPr>
        <w:t xml:space="preserve">.1 </w:t>
      </w:r>
      <w:r>
        <w:rPr>
          <w:rFonts w:cs="Times New Roman" w:hint="eastAsia"/>
        </w:rPr>
        <w:t>P102</w:t>
      </w:r>
      <w:r>
        <w:rPr>
          <w:rFonts w:cs="Times New Roman" w:hint="eastAsia"/>
        </w:rPr>
        <w:t>集气站现状及依托可行性</w:t>
      </w:r>
      <w:bookmarkEnd w:id="102"/>
    </w:p>
    <w:p w:rsidR="00BD5820" w:rsidRDefault="00F64314">
      <w:pPr>
        <w:pStyle w:val="00"/>
        <w:ind w:firstLine="480"/>
        <w:rPr>
          <w:sz w:val="24"/>
          <w:szCs w:val="24"/>
        </w:rPr>
      </w:pPr>
      <w:r>
        <w:rPr>
          <w:rFonts w:hint="eastAsia"/>
          <w:sz w:val="24"/>
          <w:szCs w:val="24"/>
        </w:rPr>
        <w:t>1</w:t>
      </w:r>
      <w:r>
        <w:rPr>
          <w:rFonts w:hint="eastAsia"/>
          <w:sz w:val="24"/>
          <w:szCs w:val="24"/>
        </w:rPr>
        <w:t>、</w:t>
      </w:r>
      <w:r>
        <w:rPr>
          <w:rFonts w:hint="eastAsia"/>
          <w:sz w:val="24"/>
          <w:szCs w:val="24"/>
        </w:rPr>
        <w:t>P102</w:t>
      </w:r>
      <w:r>
        <w:rPr>
          <w:rFonts w:hint="eastAsia"/>
          <w:sz w:val="24"/>
          <w:szCs w:val="24"/>
        </w:rPr>
        <w:t>集气站概况</w:t>
      </w:r>
    </w:p>
    <w:p w:rsidR="00BD5820" w:rsidRDefault="00F64314">
      <w:pPr>
        <w:pStyle w:val="00"/>
        <w:ind w:firstLine="480"/>
        <w:rPr>
          <w:sz w:val="24"/>
          <w:szCs w:val="24"/>
        </w:rPr>
      </w:pPr>
      <w:r>
        <w:rPr>
          <w:rFonts w:hint="eastAsia"/>
          <w:sz w:val="24"/>
          <w:szCs w:val="24"/>
        </w:rPr>
        <w:t>P102</w:t>
      </w:r>
      <w:r>
        <w:rPr>
          <w:rFonts w:hint="eastAsia"/>
          <w:sz w:val="24"/>
          <w:szCs w:val="24"/>
        </w:rPr>
        <w:t>集气站为普光主体区块已建站场，位于</w:t>
      </w:r>
      <w:r>
        <w:rPr>
          <w:rFonts w:hint="eastAsia"/>
          <w:bCs/>
          <w:sz w:val="24"/>
          <w:szCs w:val="24"/>
        </w:rPr>
        <w:t>四川省宣汉县普光镇北斗村岳家坡</w:t>
      </w:r>
      <w:r>
        <w:rPr>
          <w:rFonts w:hint="eastAsia"/>
          <w:sz w:val="24"/>
          <w:szCs w:val="24"/>
        </w:rPr>
        <w:t>，</w:t>
      </w:r>
      <w:r>
        <w:rPr>
          <w:rFonts w:hint="eastAsia"/>
          <w:sz w:val="24"/>
          <w:szCs w:val="24"/>
        </w:rPr>
        <w:t>P102</w:t>
      </w:r>
      <w:r>
        <w:rPr>
          <w:rFonts w:hint="eastAsia"/>
          <w:sz w:val="24"/>
          <w:szCs w:val="24"/>
        </w:rPr>
        <w:t>集气站站场分五个区域布置，主要由井场区、站场装置区、辅助生产站控室区、放空火炬区和污水罐区组成。</w:t>
      </w:r>
    </w:p>
    <w:p w:rsidR="00BD5820" w:rsidRDefault="00F64314">
      <w:pPr>
        <w:pStyle w:val="00"/>
        <w:ind w:firstLine="480"/>
        <w:rPr>
          <w:sz w:val="24"/>
          <w:szCs w:val="24"/>
        </w:rPr>
      </w:pPr>
      <w:r>
        <w:rPr>
          <w:rFonts w:hint="eastAsia"/>
          <w:sz w:val="24"/>
          <w:szCs w:val="24"/>
        </w:rPr>
        <w:t>P102</w:t>
      </w:r>
      <w:r>
        <w:rPr>
          <w:rFonts w:hint="eastAsia"/>
          <w:sz w:val="24"/>
          <w:szCs w:val="24"/>
        </w:rPr>
        <w:t>集气站天然气输送工艺采用加热、节流、保温混输的湿气集输工艺，具有对井口天然气进行集气、加热、节流、单井轮换计量、外输总计量、放空和清管等功能；站场安装有可燃气体、硫化氢气体、火焰监控仪表，站场集输管线安装紧急关断阀、紧急放空阀的紧急关断系统，整个集输系统采用</w:t>
      </w:r>
      <w:r>
        <w:rPr>
          <w:rFonts w:hint="eastAsia"/>
          <w:sz w:val="24"/>
          <w:szCs w:val="24"/>
        </w:rPr>
        <w:t xml:space="preserve"> SCADA </w:t>
      </w:r>
      <w:r>
        <w:rPr>
          <w:rFonts w:hint="eastAsia"/>
          <w:sz w:val="24"/>
          <w:szCs w:val="24"/>
        </w:rPr>
        <w:t>系统进行全过程监控。</w:t>
      </w:r>
      <w:r>
        <w:rPr>
          <w:sz w:val="24"/>
          <w:szCs w:val="24"/>
        </w:rPr>
        <w:cr/>
      </w:r>
      <w:r>
        <w:rPr>
          <w:rFonts w:hint="eastAsia"/>
          <w:sz w:val="24"/>
          <w:szCs w:val="24"/>
        </w:rPr>
        <w:t xml:space="preserve">    2</w:t>
      </w:r>
      <w:r>
        <w:rPr>
          <w:rFonts w:hint="eastAsia"/>
          <w:sz w:val="24"/>
          <w:szCs w:val="24"/>
        </w:rPr>
        <w:t>、原有环境问题</w:t>
      </w:r>
    </w:p>
    <w:p w:rsidR="00BD5820" w:rsidRPr="00D95D3E" w:rsidRDefault="00F64314">
      <w:pPr>
        <w:pStyle w:val="00"/>
        <w:ind w:firstLine="480"/>
        <w:rPr>
          <w:color w:val="FF0000"/>
          <w:sz w:val="24"/>
          <w:szCs w:val="24"/>
        </w:rPr>
      </w:pPr>
      <w:r>
        <w:rPr>
          <w:rFonts w:hint="eastAsia"/>
          <w:sz w:val="24"/>
          <w:szCs w:val="24"/>
        </w:rPr>
        <w:t>对照</w:t>
      </w:r>
      <w:r>
        <w:rPr>
          <w:rFonts w:hint="eastAsia"/>
          <w:sz w:val="24"/>
          <w:szCs w:val="24"/>
        </w:rPr>
        <w:t xml:space="preserve"> 2007</w:t>
      </w:r>
      <w:r>
        <w:rPr>
          <w:rFonts w:hint="eastAsia"/>
          <w:sz w:val="24"/>
          <w:szCs w:val="24"/>
        </w:rPr>
        <w:t>年</w:t>
      </w:r>
      <w:r>
        <w:rPr>
          <w:rFonts w:hint="eastAsia"/>
          <w:sz w:val="24"/>
          <w:szCs w:val="24"/>
        </w:rPr>
        <w:t xml:space="preserve"> 12</w:t>
      </w:r>
      <w:r>
        <w:rPr>
          <w:rFonts w:hint="eastAsia"/>
          <w:sz w:val="24"/>
          <w:szCs w:val="24"/>
        </w:rPr>
        <w:t>月</w:t>
      </w:r>
      <w:r>
        <w:rPr>
          <w:rFonts w:hint="eastAsia"/>
          <w:sz w:val="24"/>
          <w:szCs w:val="24"/>
        </w:rPr>
        <w:t>14</w:t>
      </w:r>
      <w:r>
        <w:rPr>
          <w:rFonts w:hint="eastAsia"/>
          <w:sz w:val="24"/>
          <w:szCs w:val="24"/>
        </w:rPr>
        <w:t>日原国家环境保护总局《关于中国石化普光气田开发及川气东送管道工程环境影响报告书的批复》（环审〔</w:t>
      </w:r>
      <w:r>
        <w:rPr>
          <w:rFonts w:hint="eastAsia"/>
          <w:sz w:val="24"/>
          <w:szCs w:val="24"/>
        </w:rPr>
        <w:t>2007</w:t>
      </w:r>
      <w:r>
        <w:rPr>
          <w:rFonts w:hint="eastAsia"/>
          <w:sz w:val="24"/>
          <w:szCs w:val="24"/>
        </w:rPr>
        <w:t>〕</w:t>
      </w:r>
      <w:r>
        <w:rPr>
          <w:rFonts w:hint="eastAsia"/>
          <w:sz w:val="24"/>
          <w:szCs w:val="24"/>
        </w:rPr>
        <w:t>76</w:t>
      </w:r>
      <w:r>
        <w:rPr>
          <w:rFonts w:hint="eastAsia"/>
          <w:sz w:val="24"/>
          <w:szCs w:val="24"/>
        </w:rPr>
        <w:t>号）</w:t>
      </w:r>
      <w:r w:rsidR="008A29CC">
        <w:rPr>
          <w:rFonts w:hint="eastAsia"/>
          <w:sz w:val="24"/>
          <w:szCs w:val="24"/>
        </w:rPr>
        <w:t>、</w:t>
      </w:r>
      <w:r w:rsidR="008A29CC" w:rsidRPr="008A29CC">
        <w:rPr>
          <w:rFonts w:hint="eastAsia"/>
          <w:color w:val="FF0000"/>
          <w:sz w:val="24"/>
          <w:szCs w:val="24"/>
        </w:rPr>
        <w:t>《关于中国石化普光气田开发及川气东送管道工程竣工环境保护验收意见的函》（环验</w:t>
      </w:r>
      <w:r w:rsidR="008A29CC" w:rsidRPr="008A29CC">
        <w:rPr>
          <w:rFonts w:hint="eastAsia"/>
          <w:color w:val="FF0000"/>
          <w:sz w:val="24"/>
          <w:szCs w:val="24"/>
        </w:rPr>
        <w:t>[2013]92</w:t>
      </w:r>
      <w:r w:rsidR="008A29CC" w:rsidRPr="008A29CC">
        <w:rPr>
          <w:rFonts w:hint="eastAsia"/>
          <w:color w:val="FF0000"/>
          <w:sz w:val="24"/>
          <w:szCs w:val="24"/>
        </w:rPr>
        <w:t>号）和</w:t>
      </w:r>
      <w:r>
        <w:rPr>
          <w:rFonts w:hint="eastAsia"/>
          <w:sz w:val="24"/>
          <w:szCs w:val="24"/>
        </w:rPr>
        <w:t>根据现场调查，</w:t>
      </w:r>
      <w:r>
        <w:rPr>
          <w:rFonts w:hint="eastAsia"/>
          <w:sz w:val="24"/>
          <w:szCs w:val="24"/>
        </w:rPr>
        <w:t>P102</w:t>
      </w:r>
      <w:r>
        <w:rPr>
          <w:rFonts w:hint="eastAsia"/>
          <w:sz w:val="24"/>
          <w:szCs w:val="24"/>
        </w:rPr>
        <w:t>集气站在营运过程中严格落实了各项污染防治措施，未对周边环境造成明显影响，也未接到周边环保投诉，气田开发工程严格落实了环审〔</w:t>
      </w:r>
      <w:r>
        <w:rPr>
          <w:rFonts w:hint="eastAsia"/>
          <w:sz w:val="24"/>
          <w:szCs w:val="24"/>
        </w:rPr>
        <w:t>2007</w:t>
      </w:r>
      <w:r>
        <w:rPr>
          <w:rFonts w:hint="eastAsia"/>
          <w:sz w:val="24"/>
          <w:szCs w:val="24"/>
        </w:rPr>
        <w:t>〕</w:t>
      </w:r>
      <w:r>
        <w:rPr>
          <w:rFonts w:hint="eastAsia"/>
          <w:sz w:val="24"/>
          <w:szCs w:val="24"/>
        </w:rPr>
        <w:t>76</w:t>
      </w:r>
      <w:r>
        <w:rPr>
          <w:rFonts w:hint="eastAsia"/>
          <w:sz w:val="24"/>
          <w:szCs w:val="24"/>
        </w:rPr>
        <w:t>号批复要求，</w:t>
      </w:r>
      <w:r>
        <w:rPr>
          <w:rFonts w:hint="eastAsia"/>
          <w:sz w:val="24"/>
          <w:szCs w:val="24"/>
        </w:rPr>
        <w:t>P102</w:t>
      </w:r>
      <w:r>
        <w:rPr>
          <w:rFonts w:hint="eastAsia"/>
          <w:sz w:val="24"/>
          <w:szCs w:val="24"/>
        </w:rPr>
        <w:t>集气站内部设置了地面硫化氢检测报警仪，</w:t>
      </w:r>
      <w:r w:rsidRPr="00D95D3E">
        <w:rPr>
          <w:rFonts w:hint="eastAsia"/>
          <w:color w:val="FF0000"/>
          <w:sz w:val="24"/>
          <w:szCs w:val="24"/>
        </w:rPr>
        <w:t>无</w:t>
      </w:r>
      <w:r w:rsidR="00D95D3E" w:rsidRPr="00D95D3E">
        <w:rPr>
          <w:rFonts w:hint="eastAsia"/>
          <w:color w:val="FF0000"/>
          <w:sz w:val="24"/>
          <w:szCs w:val="24"/>
        </w:rPr>
        <w:t>环保投诉、环保处罚等</w:t>
      </w:r>
      <w:r w:rsidRPr="00D95D3E">
        <w:rPr>
          <w:rFonts w:hint="eastAsia"/>
          <w:color w:val="FF0000"/>
          <w:sz w:val="24"/>
          <w:szCs w:val="24"/>
        </w:rPr>
        <w:t>环境遗留问题。</w:t>
      </w:r>
    </w:p>
    <w:p w:rsidR="00BD5820" w:rsidRDefault="00F64314">
      <w:pPr>
        <w:pStyle w:val="00"/>
        <w:ind w:firstLineChars="0" w:firstLine="0"/>
        <w:jc w:val="center"/>
        <w:rPr>
          <w:sz w:val="24"/>
          <w:szCs w:val="24"/>
        </w:rPr>
      </w:pPr>
      <w:r>
        <w:rPr>
          <w:noProof/>
          <w:sz w:val="24"/>
          <w:szCs w:val="24"/>
        </w:rPr>
        <w:drawing>
          <wp:inline distT="0" distB="0" distL="0" distR="0">
            <wp:extent cx="3535033" cy="2651216"/>
            <wp:effectExtent l="19050" t="0" r="8267" b="0"/>
            <wp:docPr id="38" name="图片 38" descr="C:\Users\HUANG\AppData\Local\Temp\WeChat Files\d8e8ece684804e5750038f831f162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HUANG\AppData\Local\Temp\WeChat Files\d8e8ece684804e5750038f831f1623e.jpg"/>
                    <pic:cNvPicPr>
                      <a:picLocks noChangeAspect="1" noChangeArrowheads="1"/>
                    </pic:cNvPicPr>
                  </pic:nvPicPr>
                  <pic:blipFill>
                    <a:blip r:embed="rId38" cstate="print"/>
                    <a:srcRect/>
                    <a:stretch>
                      <a:fillRect/>
                    </a:stretch>
                  </pic:blipFill>
                  <pic:spPr>
                    <a:xfrm>
                      <a:off x="0" y="0"/>
                      <a:ext cx="3543839" cy="2657820"/>
                    </a:xfrm>
                    <a:prstGeom prst="rect">
                      <a:avLst/>
                    </a:prstGeom>
                    <a:noFill/>
                    <a:ln w="9525">
                      <a:noFill/>
                      <a:miter lim="800000"/>
                      <a:headEnd/>
                      <a:tailEnd/>
                    </a:ln>
                  </pic:spPr>
                </pic:pic>
              </a:graphicData>
            </a:graphic>
          </wp:inline>
        </w:drawing>
      </w:r>
    </w:p>
    <w:p w:rsidR="00BD5820" w:rsidRDefault="00F64314">
      <w:pPr>
        <w:pStyle w:val="00"/>
        <w:ind w:firstLine="482"/>
        <w:jc w:val="center"/>
        <w:rPr>
          <w:sz w:val="24"/>
          <w:szCs w:val="24"/>
        </w:rPr>
      </w:pPr>
      <w:r>
        <w:rPr>
          <w:rFonts w:hint="eastAsia"/>
          <w:b/>
          <w:bCs/>
          <w:sz w:val="24"/>
          <w:szCs w:val="24"/>
        </w:rPr>
        <w:t>图</w:t>
      </w:r>
      <w:r>
        <w:rPr>
          <w:rFonts w:hint="eastAsia"/>
          <w:b/>
          <w:bCs/>
          <w:sz w:val="24"/>
          <w:szCs w:val="24"/>
        </w:rPr>
        <w:t xml:space="preserve">2.1-1 </w:t>
      </w:r>
      <w:r>
        <w:rPr>
          <w:b/>
          <w:bCs/>
          <w:sz w:val="24"/>
          <w:szCs w:val="24"/>
        </w:rPr>
        <w:t>P102</w:t>
      </w:r>
      <w:r>
        <w:rPr>
          <w:b/>
          <w:bCs/>
          <w:sz w:val="24"/>
          <w:szCs w:val="24"/>
        </w:rPr>
        <w:t>集气站</w:t>
      </w:r>
      <w:r>
        <w:rPr>
          <w:rFonts w:hint="eastAsia"/>
          <w:b/>
          <w:bCs/>
          <w:sz w:val="24"/>
          <w:szCs w:val="24"/>
        </w:rPr>
        <w:t>现场照片</w:t>
      </w:r>
    </w:p>
    <w:p w:rsidR="00BD5820" w:rsidRDefault="00F64314">
      <w:pPr>
        <w:pStyle w:val="2"/>
        <w:spacing w:before="120"/>
        <w:rPr>
          <w:rFonts w:cs="Times New Roman"/>
        </w:rPr>
      </w:pPr>
      <w:bookmarkStart w:id="103" w:name="_Toc23309"/>
      <w:r>
        <w:rPr>
          <w:rFonts w:cs="Times New Roman" w:hint="eastAsia"/>
        </w:rPr>
        <w:lastRenderedPageBreak/>
        <w:t>2</w:t>
      </w:r>
      <w:r>
        <w:rPr>
          <w:rFonts w:cs="Times New Roman"/>
        </w:rPr>
        <w:t>.</w:t>
      </w:r>
      <w:r>
        <w:rPr>
          <w:rFonts w:cs="Times New Roman" w:hint="eastAsia"/>
        </w:rPr>
        <w:t>2</w:t>
      </w:r>
      <w:r>
        <w:rPr>
          <w:rFonts w:cs="Times New Roman"/>
        </w:rPr>
        <w:t xml:space="preserve"> </w:t>
      </w:r>
      <w:r>
        <w:rPr>
          <w:rFonts w:cs="Times New Roman" w:hint="eastAsia"/>
        </w:rPr>
        <w:t>P104</w:t>
      </w:r>
      <w:r>
        <w:rPr>
          <w:rFonts w:cs="Times New Roman" w:hint="eastAsia"/>
        </w:rPr>
        <w:t>集气站现状及依托可行性</w:t>
      </w:r>
      <w:bookmarkEnd w:id="103"/>
    </w:p>
    <w:p w:rsidR="00BD5820" w:rsidRDefault="00F64314">
      <w:pPr>
        <w:pStyle w:val="00"/>
        <w:ind w:firstLine="480"/>
        <w:rPr>
          <w:sz w:val="24"/>
          <w:szCs w:val="24"/>
        </w:rPr>
      </w:pPr>
      <w:r>
        <w:rPr>
          <w:rFonts w:hint="eastAsia"/>
          <w:sz w:val="24"/>
          <w:szCs w:val="24"/>
        </w:rPr>
        <w:t>1</w:t>
      </w:r>
      <w:r>
        <w:rPr>
          <w:rFonts w:hint="eastAsia"/>
          <w:sz w:val="24"/>
          <w:szCs w:val="24"/>
        </w:rPr>
        <w:t>、</w:t>
      </w:r>
      <w:r>
        <w:rPr>
          <w:rFonts w:hint="eastAsia"/>
          <w:sz w:val="24"/>
          <w:szCs w:val="24"/>
        </w:rPr>
        <w:t>P104</w:t>
      </w:r>
      <w:r>
        <w:rPr>
          <w:rFonts w:hint="eastAsia"/>
          <w:sz w:val="24"/>
          <w:szCs w:val="24"/>
        </w:rPr>
        <w:t>集气站概况</w:t>
      </w:r>
    </w:p>
    <w:p w:rsidR="00BD5820" w:rsidRDefault="00F64314">
      <w:pPr>
        <w:pStyle w:val="00"/>
        <w:ind w:firstLine="480"/>
        <w:rPr>
          <w:sz w:val="24"/>
          <w:szCs w:val="24"/>
        </w:rPr>
      </w:pPr>
      <w:r>
        <w:rPr>
          <w:rFonts w:hint="eastAsia"/>
          <w:sz w:val="24"/>
          <w:szCs w:val="24"/>
        </w:rPr>
        <w:t>P104</w:t>
      </w:r>
      <w:r>
        <w:rPr>
          <w:rFonts w:hint="eastAsia"/>
          <w:sz w:val="24"/>
          <w:szCs w:val="24"/>
        </w:rPr>
        <w:t>集气站为普光主体区块已建站场，位于</w:t>
      </w:r>
      <w:r>
        <w:rPr>
          <w:rFonts w:hint="eastAsia"/>
          <w:bCs/>
          <w:sz w:val="24"/>
          <w:szCs w:val="24"/>
        </w:rPr>
        <w:t>四川省宣汉县普光镇北斗村下塝</w:t>
      </w:r>
      <w:r>
        <w:rPr>
          <w:rFonts w:hint="eastAsia"/>
          <w:sz w:val="24"/>
          <w:szCs w:val="24"/>
        </w:rPr>
        <w:t>，</w:t>
      </w:r>
      <w:r>
        <w:rPr>
          <w:rFonts w:hint="eastAsia"/>
          <w:sz w:val="24"/>
          <w:szCs w:val="24"/>
        </w:rPr>
        <w:t>P104</w:t>
      </w:r>
      <w:r>
        <w:rPr>
          <w:rFonts w:hint="eastAsia"/>
          <w:sz w:val="24"/>
          <w:szCs w:val="24"/>
        </w:rPr>
        <w:t>集气站站场分五个区域布置，主要由井场区、站场装置区、辅助生产站控室区、放空火炬区和污水罐区组成。</w:t>
      </w:r>
    </w:p>
    <w:p w:rsidR="00BD5820" w:rsidRDefault="00F64314">
      <w:pPr>
        <w:pStyle w:val="00"/>
        <w:ind w:firstLine="480"/>
        <w:rPr>
          <w:sz w:val="24"/>
          <w:szCs w:val="24"/>
        </w:rPr>
      </w:pPr>
      <w:r>
        <w:rPr>
          <w:rFonts w:hint="eastAsia"/>
          <w:sz w:val="24"/>
          <w:szCs w:val="24"/>
        </w:rPr>
        <w:t>P104</w:t>
      </w:r>
      <w:r>
        <w:rPr>
          <w:rFonts w:hint="eastAsia"/>
          <w:sz w:val="24"/>
          <w:szCs w:val="24"/>
        </w:rPr>
        <w:t>集气站天然气输送工艺采用加热、节流、保温混输的湿气集输工艺，具有对井口天然气进行集气、加热、节流、单井轮换计量、外输总计量、放空和清管等功能；站场安装有可燃气体、硫化氢气体、火焰监控仪表，站场集输管线安装紧急关断阀、紧急放空阀的紧急关断系统，整个集输系统采用</w:t>
      </w:r>
      <w:r>
        <w:rPr>
          <w:rFonts w:hint="eastAsia"/>
          <w:sz w:val="24"/>
          <w:szCs w:val="24"/>
        </w:rPr>
        <w:t xml:space="preserve"> SCADA </w:t>
      </w:r>
      <w:r>
        <w:rPr>
          <w:rFonts w:hint="eastAsia"/>
          <w:sz w:val="24"/>
          <w:szCs w:val="24"/>
        </w:rPr>
        <w:t>系统进行全过程监控。</w:t>
      </w:r>
      <w:r>
        <w:rPr>
          <w:sz w:val="24"/>
          <w:szCs w:val="24"/>
        </w:rPr>
        <w:cr/>
      </w:r>
      <w:r>
        <w:rPr>
          <w:rFonts w:hint="eastAsia"/>
          <w:sz w:val="24"/>
          <w:szCs w:val="24"/>
        </w:rPr>
        <w:t xml:space="preserve">    2</w:t>
      </w:r>
      <w:r>
        <w:rPr>
          <w:rFonts w:hint="eastAsia"/>
          <w:sz w:val="24"/>
          <w:szCs w:val="24"/>
        </w:rPr>
        <w:t>、原有环境问题</w:t>
      </w:r>
    </w:p>
    <w:p w:rsidR="00BD5820" w:rsidRDefault="00F64314">
      <w:pPr>
        <w:pStyle w:val="00"/>
        <w:ind w:firstLine="480"/>
        <w:rPr>
          <w:bCs/>
          <w:sz w:val="24"/>
          <w:szCs w:val="24"/>
        </w:rPr>
      </w:pPr>
      <w:r>
        <w:rPr>
          <w:rFonts w:hint="eastAsia"/>
          <w:sz w:val="24"/>
          <w:szCs w:val="24"/>
        </w:rPr>
        <w:t>对照</w:t>
      </w:r>
      <w:r>
        <w:rPr>
          <w:rFonts w:hint="eastAsia"/>
          <w:sz w:val="24"/>
          <w:szCs w:val="24"/>
        </w:rPr>
        <w:t xml:space="preserve"> 2007</w:t>
      </w:r>
      <w:r>
        <w:rPr>
          <w:rFonts w:hint="eastAsia"/>
          <w:sz w:val="24"/>
          <w:szCs w:val="24"/>
        </w:rPr>
        <w:t>年</w:t>
      </w:r>
      <w:r>
        <w:rPr>
          <w:rFonts w:hint="eastAsia"/>
          <w:sz w:val="24"/>
          <w:szCs w:val="24"/>
        </w:rPr>
        <w:t xml:space="preserve"> 12</w:t>
      </w:r>
      <w:r>
        <w:rPr>
          <w:rFonts w:hint="eastAsia"/>
          <w:sz w:val="24"/>
          <w:szCs w:val="24"/>
        </w:rPr>
        <w:t>月</w:t>
      </w:r>
      <w:r>
        <w:rPr>
          <w:rFonts w:hint="eastAsia"/>
          <w:sz w:val="24"/>
          <w:szCs w:val="24"/>
        </w:rPr>
        <w:t>14</w:t>
      </w:r>
      <w:r>
        <w:rPr>
          <w:rFonts w:hint="eastAsia"/>
          <w:sz w:val="24"/>
          <w:szCs w:val="24"/>
        </w:rPr>
        <w:t>日原国家环境保护总局《关于中国石化普光气田开发及川气东送管道工程环境影响报告书的批复》（环审〔</w:t>
      </w:r>
      <w:r>
        <w:rPr>
          <w:rFonts w:hint="eastAsia"/>
          <w:sz w:val="24"/>
          <w:szCs w:val="24"/>
        </w:rPr>
        <w:t>2007</w:t>
      </w:r>
      <w:r>
        <w:rPr>
          <w:rFonts w:hint="eastAsia"/>
          <w:sz w:val="24"/>
          <w:szCs w:val="24"/>
        </w:rPr>
        <w:t>〕</w:t>
      </w:r>
      <w:r>
        <w:rPr>
          <w:rFonts w:hint="eastAsia"/>
          <w:sz w:val="24"/>
          <w:szCs w:val="24"/>
        </w:rPr>
        <w:t>76</w:t>
      </w:r>
      <w:r>
        <w:rPr>
          <w:rFonts w:hint="eastAsia"/>
          <w:sz w:val="24"/>
          <w:szCs w:val="24"/>
        </w:rPr>
        <w:t>号）</w:t>
      </w:r>
      <w:r w:rsidR="008A29CC">
        <w:rPr>
          <w:rFonts w:hint="eastAsia"/>
          <w:sz w:val="24"/>
          <w:szCs w:val="24"/>
        </w:rPr>
        <w:t>、</w:t>
      </w:r>
      <w:r w:rsidR="008A29CC" w:rsidRPr="008A29CC">
        <w:rPr>
          <w:rFonts w:hint="eastAsia"/>
          <w:color w:val="FF0000"/>
          <w:sz w:val="24"/>
          <w:szCs w:val="24"/>
        </w:rPr>
        <w:t>《关于中国石化普光气田开发及川气东送管道工程竣工环境保护验收意见的函》（环验</w:t>
      </w:r>
      <w:r w:rsidR="008A29CC" w:rsidRPr="008A29CC">
        <w:rPr>
          <w:rFonts w:hint="eastAsia"/>
          <w:color w:val="FF0000"/>
          <w:sz w:val="24"/>
          <w:szCs w:val="24"/>
        </w:rPr>
        <w:t>[2013]92</w:t>
      </w:r>
      <w:r w:rsidR="008A29CC" w:rsidRPr="008A29CC">
        <w:rPr>
          <w:rFonts w:hint="eastAsia"/>
          <w:color w:val="FF0000"/>
          <w:sz w:val="24"/>
          <w:szCs w:val="24"/>
        </w:rPr>
        <w:t>号）和</w:t>
      </w:r>
      <w:r>
        <w:rPr>
          <w:rFonts w:hint="eastAsia"/>
          <w:sz w:val="24"/>
          <w:szCs w:val="24"/>
        </w:rPr>
        <w:t>根据现场调查，</w:t>
      </w:r>
      <w:r>
        <w:rPr>
          <w:rFonts w:hint="eastAsia"/>
          <w:sz w:val="24"/>
          <w:szCs w:val="24"/>
        </w:rPr>
        <w:t>P104</w:t>
      </w:r>
      <w:r>
        <w:rPr>
          <w:rFonts w:hint="eastAsia"/>
          <w:sz w:val="24"/>
          <w:szCs w:val="24"/>
        </w:rPr>
        <w:t>集气站在营运过程中严格落实了各项污染防治措施，未对周边环境造成明显影响，也未接到周边环保投诉，气田开发工程严格落实了环审〔</w:t>
      </w:r>
      <w:r>
        <w:rPr>
          <w:rFonts w:hint="eastAsia"/>
          <w:sz w:val="24"/>
          <w:szCs w:val="24"/>
        </w:rPr>
        <w:t>2007</w:t>
      </w:r>
      <w:r>
        <w:rPr>
          <w:rFonts w:hint="eastAsia"/>
          <w:sz w:val="24"/>
          <w:szCs w:val="24"/>
        </w:rPr>
        <w:t>〕</w:t>
      </w:r>
      <w:r>
        <w:rPr>
          <w:rFonts w:hint="eastAsia"/>
          <w:sz w:val="24"/>
          <w:szCs w:val="24"/>
        </w:rPr>
        <w:t>76</w:t>
      </w:r>
      <w:r>
        <w:rPr>
          <w:rFonts w:hint="eastAsia"/>
          <w:sz w:val="24"/>
          <w:szCs w:val="24"/>
        </w:rPr>
        <w:t>号批复要求，</w:t>
      </w:r>
      <w:r>
        <w:rPr>
          <w:rFonts w:hint="eastAsia"/>
          <w:sz w:val="24"/>
          <w:szCs w:val="24"/>
        </w:rPr>
        <w:t>P104</w:t>
      </w:r>
      <w:r>
        <w:rPr>
          <w:rFonts w:hint="eastAsia"/>
          <w:sz w:val="24"/>
          <w:szCs w:val="24"/>
        </w:rPr>
        <w:t>集气站内部设置了地面硫化氢检测报警仪，</w:t>
      </w:r>
      <w:r w:rsidR="00D95D3E" w:rsidRPr="00D95D3E">
        <w:rPr>
          <w:rFonts w:hint="eastAsia"/>
          <w:color w:val="FF0000"/>
          <w:sz w:val="24"/>
          <w:szCs w:val="24"/>
        </w:rPr>
        <w:t>无环保投诉、环保处罚等环境遗留问题。</w:t>
      </w:r>
    </w:p>
    <w:p w:rsidR="00BD5820" w:rsidRDefault="00F64314">
      <w:pPr>
        <w:pStyle w:val="00"/>
        <w:ind w:firstLineChars="0" w:firstLine="0"/>
        <w:jc w:val="center"/>
        <w:rPr>
          <w:b/>
          <w:bCs/>
          <w:sz w:val="24"/>
          <w:szCs w:val="24"/>
        </w:rPr>
      </w:pPr>
      <w:r>
        <w:rPr>
          <w:bCs/>
          <w:noProof/>
          <w:sz w:val="24"/>
          <w:szCs w:val="24"/>
        </w:rPr>
        <w:lastRenderedPageBreak/>
        <w:drawing>
          <wp:inline distT="0" distB="0" distL="0" distR="0">
            <wp:extent cx="4295140" cy="3221355"/>
            <wp:effectExtent l="19050" t="0" r="0" b="0"/>
            <wp:docPr id="39" name="图片 39" descr="C:\Users\HUANG\AppData\Local\Temp\WeChat Files\4b2dc18d17b0665936d2df006a2d4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HUANG\AppData\Local\Temp\WeChat Files\4b2dc18d17b0665936d2df006a2d4ba.jpg"/>
                    <pic:cNvPicPr>
                      <a:picLocks noChangeAspect="1" noChangeArrowheads="1"/>
                    </pic:cNvPicPr>
                  </pic:nvPicPr>
                  <pic:blipFill>
                    <a:blip r:embed="rId39" cstate="print"/>
                    <a:srcRect/>
                    <a:stretch>
                      <a:fillRect/>
                    </a:stretch>
                  </pic:blipFill>
                  <pic:spPr>
                    <a:xfrm>
                      <a:off x="0" y="0"/>
                      <a:ext cx="4300292" cy="3225148"/>
                    </a:xfrm>
                    <a:prstGeom prst="rect">
                      <a:avLst/>
                    </a:prstGeom>
                    <a:noFill/>
                    <a:ln w="9525">
                      <a:noFill/>
                      <a:miter lim="800000"/>
                      <a:headEnd/>
                      <a:tailEnd/>
                    </a:ln>
                  </pic:spPr>
                </pic:pic>
              </a:graphicData>
            </a:graphic>
          </wp:inline>
        </w:drawing>
      </w:r>
      <w:r>
        <w:rPr>
          <w:bCs/>
          <w:sz w:val="24"/>
          <w:szCs w:val="24"/>
        </w:rPr>
        <w:cr/>
      </w:r>
      <w:r>
        <w:rPr>
          <w:rFonts w:hint="eastAsia"/>
          <w:b/>
          <w:bCs/>
          <w:sz w:val="24"/>
          <w:szCs w:val="24"/>
        </w:rPr>
        <w:t>图</w:t>
      </w:r>
      <w:r>
        <w:rPr>
          <w:rFonts w:hint="eastAsia"/>
          <w:b/>
          <w:bCs/>
          <w:sz w:val="24"/>
          <w:szCs w:val="24"/>
        </w:rPr>
        <w:t>2.2-1 P104</w:t>
      </w:r>
      <w:r w:rsidR="00AC670D">
        <w:rPr>
          <w:rFonts w:hint="eastAsia"/>
          <w:b/>
          <w:bCs/>
          <w:sz w:val="24"/>
          <w:szCs w:val="24"/>
        </w:rPr>
        <w:t>集气站</w:t>
      </w:r>
      <w:r>
        <w:rPr>
          <w:rFonts w:hint="eastAsia"/>
          <w:b/>
          <w:bCs/>
          <w:sz w:val="24"/>
          <w:szCs w:val="24"/>
        </w:rPr>
        <w:t>现场照片</w:t>
      </w:r>
    </w:p>
    <w:p w:rsidR="00BD5820" w:rsidRDefault="00F64314">
      <w:pPr>
        <w:pStyle w:val="2"/>
        <w:spacing w:before="120"/>
        <w:rPr>
          <w:rFonts w:cs="Times New Roman"/>
        </w:rPr>
      </w:pPr>
      <w:bookmarkStart w:id="104" w:name="_Toc13177"/>
      <w:r>
        <w:rPr>
          <w:rFonts w:cs="Times New Roman" w:hint="eastAsia"/>
        </w:rPr>
        <w:t>2</w:t>
      </w:r>
      <w:r>
        <w:rPr>
          <w:rFonts w:cs="Times New Roman"/>
        </w:rPr>
        <w:t>.</w:t>
      </w:r>
      <w:r>
        <w:rPr>
          <w:rFonts w:cs="Times New Roman" w:hint="eastAsia"/>
        </w:rPr>
        <w:t>3</w:t>
      </w:r>
      <w:r>
        <w:rPr>
          <w:rFonts w:cs="Times New Roman"/>
        </w:rPr>
        <w:t xml:space="preserve"> </w:t>
      </w:r>
      <w:r>
        <w:rPr>
          <w:rFonts w:cs="Times New Roman" w:hint="eastAsia"/>
        </w:rPr>
        <w:t>P106</w:t>
      </w:r>
      <w:r>
        <w:rPr>
          <w:rFonts w:cs="Times New Roman" w:hint="eastAsia"/>
        </w:rPr>
        <w:t>集气站现状及依托可行性</w:t>
      </w:r>
      <w:bookmarkEnd w:id="104"/>
    </w:p>
    <w:p w:rsidR="00BD5820" w:rsidRDefault="00F64314">
      <w:pPr>
        <w:pStyle w:val="00"/>
        <w:ind w:firstLine="480"/>
        <w:rPr>
          <w:sz w:val="24"/>
          <w:szCs w:val="24"/>
        </w:rPr>
      </w:pPr>
      <w:r>
        <w:rPr>
          <w:rFonts w:hint="eastAsia"/>
          <w:sz w:val="24"/>
          <w:szCs w:val="24"/>
        </w:rPr>
        <w:t>1</w:t>
      </w:r>
      <w:r>
        <w:rPr>
          <w:rFonts w:hint="eastAsia"/>
          <w:sz w:val="24"/>
          <w:szCs w:val="24"/>
        </w:rPr>
        <w:t>、</w:t>
      </w:r>
      <w:r>
        <w:rPr>
          <w:rFonts w:hint="eastAsia"/>
          <w:sz w:val="24"/>
          <w:szCs w:val="24"/>
        </w:rPr>
        <w:t>P106</w:t>
      </w:r>
      <w:r>
        <w:rPr>
          <w:rFonts w:hint="eastAsia"/>
          <w:sz w:val="24"/>
          <w:szCs w:val="24"/>
        </w:rPr>
        <w:t>集气站概况</w:t>
      </w:r>
    </w:p>
    <w:p w:rsidR="00BD5820" w:rsidRDefault="00F64314">
      <w:pPr>
        <w:pStyle w:val="00"/>
        <w:ind w:firstLine="480"/>
        <w:rPr>
          <w:sz w:val="24"/>
          <w:szCs w:val="24"/>
        </w:rPr>
      </w:pPr>
      <w:r>
        <w:rPr>
          <w:rFonts w:hint="eastAsia"/>
          <w:sz w:val="24"/>
          <w:szCs w:val="24"/>
        </w:rPr>
        <w:t>P106</w:t>
      </w:r>
      <w:r>
        <w:rPr>
          <w:rFonts w:hint="eastAsia"/>
          <w:sz w:val="24"/>
          <w:szCs w:val="24"/>
        </w:rPr>
        <w:t>集气站为普光主体区块已建站场，位于</w:t>
      </w:r>
      <w:r>
        <w:rPr>
          <w:rFonts w:hint="eastAsia"/>
          <w:bCs/>
          <w:sz w:val="24"/>
          <w:szCs w:val="24"/>
        </w:rPr>
        <w:t>四川省宣汉县普光镇北斗村罗家塝</w:t>
      </w:r>
      <w:r>
        <w:rPr>
          <w:rFonts w:hint="eastAsia"/>
          <w:sz w:val="24"/>
          <w:szCs w:val="24"/>
        </w:rPr>
        <w:t>，</w:t>
      </w:r>
      <w:r>
        <w:rPr>
          <w:rFonts w:hint="eastAsia"/>
          <w:sz w:val="24"/>
          <w:szCs w:val="24"/>
        </w:rPr>
        <w:t>P106</w:t>
      </w:r>
      <w:r>
        <w:rPr>
          <w:rFonts w:hint="eastAsia"/>
          <w:sz w:val="24"/>
          <w:szCs w:val="24"/>
        </w:rPr>
        <w:t>集气站站场分五个区域布置，主要由井场区、站场装置区、辅助生产站控室区、放空火炬区和污水罐区组成。</w:t>
      </w:r>
    </w:p>
    <w:p w:rsidR="00BD5820" w:rsidRDefault="00F64314">
      <w:pPr>
        <w:pStyle w:val="00"/>
        <w:ind w:firstLine="480"/>
        <w:rPr>
          <w:sz w:val="24"/>
          <w:szCs w:val="24"/>
        </w:rPr>
      </w:pPr>
      <w:r>
        <w:rPr>
          <w:rFonts w:hint="eastAsia"/>
          <w:sz w:val="24"/>
          <w:szCs w:val="24"/>
        </w:rPr>
        <w:t>P106</w:t>
      </w:r>
      <w:r>
        <w:rPr>
          <w:rFonts w:hint="eastAsia"/>
          <w:sz w:val="24"/>
          <w:szCs w:val="24"/>
        </w:rPr>
        <w:t>集气站天然气输送工艺采用加热、节流、保温混输的湿气集输工艺，具有对井口天然气进行集气、加热、节流、单井轮换计量、外输总计量、放空和清管等功能；站场安装有可燃气体、硫化氢气体、火焰监控仪表，站场集输管线安装紧急关断阀、紧急放空阀的紧急关断系统，整个集输系统采用</w:t>
      </w:r>
      <w:r>
        <w:rPr>
          <w:rFonts w:hint="eastAsia"/>
          <w:sz w:val="24"/>
          <w:szCs w:val="24"/>
        </w:rPr>
        <w:t xml:space="preserve"> SCADA </w:t>
      </w:r>
      <w:r>
        <w:rPr>
          <w:rFonts w:hint="eastAsia"/>
          <w:sz w:val="24"/>
          <w:szCs w:val="24"/>
        </w:rPr>
        <w:t>系统进行全过程监控。</w:t>
      </w:r>
      <w:r>
        <w:rPr>
          <w:sz w:val="24"/>
          <w:szCs w:val="24"/>
        </w:rPr>
        <w:cr/>
      </w:r>
      <w:r>
        <w:rPr>
          <w:rFonts w:hint="eastAsia"/>
          <w:sz w:val="24"/>
          <w:szCs w:val="24"/>
        </w:rPr>
        <w:t xml:space="preserve">    2</w:t>
      </w:r>
      <w:r>
        <w:rPr>
          <w:rFonts w:hint="eastAsia"/>
          <w:sz w:val="24"/>
          <w:szCs w:val="24"/>
        </w:rPr>
        <w:t>、原有环境问题</w:t>
      </w:r>
    </w:p>
    <w:p w:rsidR="00BD5820" w:rsidRDefault="00F64314">
      <w:pPr>
        <w:pStyle w:val="00"/>
        <w:ind w:firstLine="480"/>
        <w:rPr>
          <w:bCs/>
          <w:sz w:val="24"/>
          <w:szCs w:val="24"/>
        </w:rPr>
      </w:pPr>
      <w:r>
        <w:rPr>
          <w:rFonts w:hint="eastAsia"/>
          <w:sz w:val="24"/>
          <w:szCs w:val="24"/>
        </w:rPr>
        <w:t>对照</w:t>
      </w:r>
      <w:r>
        <w:rPr>
          <w:rFonts w:hint="eastAsia"/>
          <w:sz w:val="24"/>
          <w:szCs w:val="24"/>
        </w:rPr>
        <w:t xml:space="preserve"> 2007</w:t>
      </w:r>
      <w:r>
        <w:rPr>
          <w:rFonts w:hint="eastAsia"/>
          <w:sz w:val="24"/>
          <w:szCs w:val="24"/>
        </w:rPr>
        <w:t>年</w:t>
      </w:r>
      <w:r>
        <w:rPr>
          <w:rFonts w:hint="eastAsia"/>
          <w:sz w:val="24"/>
          <w:szCs w:val="24"/>
        </w:rPr>
        <w:t xml:space="preserve"> 12</w:t>
      </w:r>
      <w:r>
        <w:rPr>
          <w:rFonts w:hint="eastAsia"/>
          <w:sz w:val="24"/>
          <w:szCs w:val="24"/>
        </w:rPr>
        <w:t>月</w:t>
      </w:r>
      <w:r>
        <w:rPr>
          <w:rFonts w:hint="eastAsia"/>
          <w:sz w:val="24"/>
          <w:szCs w:val="24"/>
        </w:rPr>
        <w:t>14</w:t>
      </w:r>
      <w:r>
        <w:rPr>
          <w:rFonts w:hint="eastAsia"/>
          <w:sz w:val="24"/>
          <w:szCs w:val="24"/>
        </w:rPr>
        <w:t>日原国家环境保护总局《关于中国石化普光气田开发及川气东送管道工程环境影响报告书的批复》（环审〔</w:t>
      </w:r>
      <w:r>
        <w:rPr>
          <w:rFonts w:hint="eastAsia"/>
          <w:sz w:val="24"/>
          <w:szCs w:val="24"/>
        </w:rPr>
        <w:t>2007</w:t>
      </w:r>
      <w:r>
        <w:rPr>
          <w:rFonts w:hint="eastAsia"/>
          <w:sz w:val="24"/>
          <w:szCs w:val="24"/>
        </w:rPr>
        <w:t>〕</w:t>
      </w:r>
      <w:r>
        <w:rPr>
          <w:rFonts w:hint="eastAsia"/>
          <w:sz w:val="24"/>
          <w:szCs w:val="24"/>
        </w:rPr>
        <w:t>76</w:t>
      </w:r>
      <w:r>
        <w:rPr>
          <w:rFonts w:hint="eastAsia"/>
          <w:sz w:val="24"/>
          <w:szCs w:val="24"/>
        </w:rPr>
        <w:t>号）</w:t>
      </w:r>
      <w:r w:rsidR="008A29CC">
        <w:rPr>
          <w:rFonts w:hint="eastAsia"/>
          <w:sz w:val="24"/>
          <w:szCs w:val="24"/>
        </w:rPr>
        <w:t>、</w:t>
      </w:r>
      <w:r w:rsidR="008A29CC" w:rsidRPr="008A29CC">
        <w:rPr>
          <w:rFonts w:hint="eastAsia"/>
          <w:color w:val="FF0000"/>
          <w:sz w:val="24"/>
          <w:szCs w:val="24"/>
        </w:rPr>
        <w:t>《关于中国石化普光气田开发及川气东送管道工程竣工环境保护验收意见的函》（环验</w:t>
      </w:r>
      <w:r w:rsidR="008A29CC" w:rsidRPr="008A29CC">
        <w:rPr>
          <w:rFonts w:hint="eastAsia"/>
          <w:color w:val="FF0000"/>
          <w:sz w:val="24"/>
          <w:szCs w:val="24"/>
        </w:rPr>
        <w:t>[2013]92</w:t>
      </w:r>
      <w:r w:rsidR="008A29CC" w:rsidRPr="008A29CC">
        <w:rPr>
          <w:rFonts w:hint="eastAsia"/>
          <w:color w:val="FF0000"/>
          <w:sz w:val="24"/>
          <w:szCs w:val="24"/>
        </w:rPr>
        <w:t>号）和</w:t>
      </w:r>
      <w:r>
        <w:rPr>
          <w:rFonts w:hint="eastAsia"/>
          <w:sz w:val="24"/>
          <w:szCs w:val="24"/>
        </w:rPr>
        <w:t>根据现场调查，</w:t>
      </w:r>
      <w:r>
        <w:rPr>
          <w:rFonts w:hint="eastAsia"/>
          <w:sz w:val="24"/>
          <w:szCs w:val="24"/>
        </w:rPr>
        <w:t>P106</w:t>
      </w:r>
      <w:r>
        <w:rPr>
          <w:rFonts w:hint="eastAsia"/>
          <w:sz w:val="24"/>
          <w:szCs w:val="24"/>
        </w:rPr>
        <w:t>集气站在营运过程中严格落实了各项污染防治措施，未对周边环境造成明显影响，也未接到周边环保投诉，气田开发工程</w:t>
      </w:r>
      <w:r>
        <w:rPr>
          <w:rFonts w:hint="eastAsia"/>
          <w:sz w:val="24"/>
          <w:szCs w:val="24"/>
        </w:rPr>
        <w:lastRenderedPageBreak/>
        <w:t>严格落实了环审〔</w:t>
      </w:r>
      <w:r>
        <w:rPr>
          <w:rFonts w:hint="eastAsia"/>
          <w:sz w:val="24"/>
          <w:szCs w:val="24"/>
        </w:rPr>
        <w:t>2007</w:t>
      </w:r>
      <w:r>
        <w:rPr>
          <w:rFonts w:hint="eastAsia"/>
          <w:sz w:val="24"/>
          <w:szCs w:val="24"/>
        </w:rPr>
        <w:t>〕</w:t>
      </w:r>
      <w:r>
        <w:rPr>
          <w:rFonts w:hint="eastAsia"/>
          <w:sz w:val="24"/>
          <w:szCs w:val="24"/>
        </w:rPr>
        <w:t>76</w:t>
      </w:r>
      <w:r>
        <w:rPr>
          <w:rFonts w:hint="eastAsia"/>
          <w:sz w:val="24"/>
          <w:szCs w:val="24"/>
        </w:rPr>
        <w:t>号批复要求，</w:t>
      </w:r>
      <w:r>
        <w:rPr>
          <w:rFonts w:hint="eastAsia"/>
          <w:sz w:val="24"/>
          <w:szCs w:val="24"/>
        </w:rPr>
        <w:t>P106</w:t>
      </w:r>
      <w:r>
        <w:rPr>
          <w:rFonts w:hint="eastAsia"/>
          <w:sz w:val="24"/>
          <w:szCs w:val="24"/>
        </w:rPr>
        <w:t>集气站内部设置了地面硫化氢检测报警仪，</w:t>
      </w:r>
      <w:r w:rsidR="00D95D3E" w:rsidRPr="00D95D3E">
        <w:rPr>
          <w:rFonts w:hint="eastAsia"/>
          <w:color w:val="FF0000"/>
          <w:sz w:val="24"/>
          <w:szCs w:val="24"/>
        </w:rPr>
        <w:t>无环保投诉、环保处罚等环境遗留问题。</w:t>
      </w:r>
    </w:p>
    <w:p w:rsidR="00BD5820" w:rsidRDefault="00F64314">
      <w:pPr>
        <w:pStyle w:val="00"/>
        <w:ind w:firstLineChars="0" w:firstLine="0"/>
        <w:jc w:val="center"/>
        <w:rPr>
          <w:b/>
          <w:bCs/>
          <w:sz w:val="24"/>
          <w:szCs w:val="24"/>
        </w:rPr>
      </w:pPr>
      <w:r>
        <w:rPr>
          <w:bCs/>
          <w:noProof/>
          <w:sz w:val="24"/>
          <w:szCs w:val="24"/>
        </w:rPr>
        <w:drawing>
          <wp:inline distT="0" distB="0" distL="0" distR="0">
            <wp:extent cx="4612005" cy="3458845"/>
            <wp:effectExtent l="19050" t="0" r="0" b="0"/>
            <wp:docPr id="40" name="图片 40" descr="C:\Users\HUANG\AppData\Local\Temp\WeChat Files\e2b8b9b90abdd2df800061e7b803a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HUANG\AppData\Local\Temp\WeChat Files\e2b8b9b90abdd2df800061e7b803a4a.jpg"/>
                    <pic:cNvPicPr>
                      <a:picLocks noChangeAspect="1" noChangeArrowheads="1"/>
                    </pic:cNvPicPr>
                  </pic:nvPicPr>
                  <pic:blipFill>
                    <a:blip r:embed="rId40" cstate="print"/>
                    <a:srcRect/>
                    <a:stretch>
                      <a:fillRect/>
                    </a:stretch>
                  </pic:blipFill>
                  <pic:spPr>
                    <a:xfrm>
                      <a:off x="0" y="0"/>
                      <a:ext cx="4615411" cy="3461481"/>
                    </a:xfrm>
                    <a:prstGeom prst="rect">
                      <a:avLst/>
                    </a:prstGeom>
                    <a:noFill/>
                    <a:ln w="9525">
                      <a:noFill/>
                      <a:miter lim="800000"/>
                      <a:headEnd/>
                      <a:tailEnd/>
                    </a:ln>
                  </pic:spPr>
                </pic:pic>
              </a:graphicData>
            </a:graphic>
          </wp:inline>
        </w:drawing>
      </w:r>
      <w:r>
        <w:rPr>
          <w:bCs/>
          <w:sz w:val="24"/>
          <w:szCs w:val="24"/>
        </w:rPr>
        <w:t xml:space="preserve"> </w:t>
      </w:r>
      <w:r>
        <w:rPr>
          <w:bCs/>
          <w:sz w:val="24"/>
          <w:szCs w:val="24"/>
        </w:rPr>
        <w:cr/>
      </w:r>
      <w:r>
        <w:rPr>
          <w:rFonts w:hint="eastAsia"/>
          <w:b/>
          <w:bCs/>
          <w:sz w:val="24"/>
          <w:szCs w:val="24"/>
        </w:rPr>
        <w:t>图</w:t>
      </w:r>
      <w:r>
        <w:rPr>
          <w:rFonts w:hint="eastAsia"/>
          <w:b/>
          <w:bCs/>
          <w:sz w:val="24"/>
          <w:szCs w:val="24"/>
        </w:rPr>
        <w:t>2.</w:t>
      </w:r>
      <w:r w:rsidR="00AC670D">
        <w:rPr>
          <w:rFonts w:hint="eastAsia"/>
          <w:b/>
          <w:bCs/>
          <w:sz w:val="24"/>
          <w:szCs w:val="24"/>
        </w:rPr>
        <w:t>3</w:t>
      </w:r>
      <w:r>
        <w:rPr>
          <w:rFonts w:hint="eastAsia"/>
          <w:b/>
          <w:bCs/>
          <w:sz w:val="24"/>
          <w:szCs w:val="24"/>
        </w:rPr>
        <w:t>-1 P106</w:t>
      </w:r>
      <w:r>
        <w:rPr>
          <w:rFonts w:hint="eastAsia"/>
          <w:b/>
          <w:bCs/>
          <w:sz w:val="24"/>
          <w:szCs w:val="24"/>
        </w:rPr>
        <w:t>集气站现场照片</w:t>
      </w:r>
    </w:p>
    <w:p w:rsidR="00BD5820" w:rsidRDefault="00F64314">
      <w:pPr>
        <w:pStyle w:val="2"/>
        <w:spacing w:before="120"/>
        <w:rPr>
          <w:rFonts w:cs="Times New Roman"/>
        </w:rPr>
      </w:pPr>
      <w:bookmarkStart w:id="105" w:name="_Toc29305"/>
      <w:r>
        <w:rPr>
          <w:rFonts w:cs="Times New Roman" w:hint="eastAsia"/>
        </w:rPr>
        <w:t>2</w:t>
      </w:r>
      <w:r>
        <w:rPr>
          <w:rFonts w:cs="Times New Roman"/>
        </w:rPr>
        <w:t>.</w:t>
      </w:r>
      <w:r>
        <w:rPr>
          <w:rFonts w:cs="Times New Roman" w:hint="eastAsia"/>
        </w:rPr>
        <w:t>4</w:t>
      </w:r>
      <w:r>
        <w:rPr>
          <w:rFonts w:cs="Times New Roman"/>
        </w:rPr>
        <w:t xml:space="preserve"> </w:t>
      </w:r>
      <w:r>
        <w:rPr>
          <w:rFonts w:cs="Times New Roman" w:hint="eastAsia"/>
        </w:rPr>
        <w:t>净化厂东侧料仓现状及依托可行性</w:t>
      </w:r>
      <w:bookmarkEnd w:id="105"/>
    </w:p>
    <w:p w:rsidR="00BD5820" w:rsidRDefault="00F64314">
      <w:pPr>
        <w:pStyle w:val="00"/>
        <w:ind w:firstLine="480"/>
        <w:rPr>
          <w:sz w:val="24"/>
          <w:szCs w:val="24"/>
        </w:rPr>
      </w:pPr>
      <w:r>
        <w:rPr>
          <w:rFonts w:hint="eastAsia"/>
          <w:sz w:val="24"/>
          <w:szCs w:val="24"/>
        </w:rPr>
        <w:t>1</w:t>
      </w:r>
      <w:r>
        <w:rPr>
          <w:rFonts w:hint="eastAsia"/>
          <w:sz w:val="24"/>
          <w:szCs w:val="24"/>
        </w:rPr>
        <w:t>、净化厂东侧料仓概况</w:t>
      </w:r>
    </w:p>
    <w:p w:rsidR="00BD5820" w:rsidRDefault="00F64314">
      <w:pPr>
        <w:pStyle w:val="00"/>
        <w:ind w:firstLine="480"/>
        <w:rPr>
          <w:sz w:val="24"/>
          <w:szCs w:val="24"/>
        </w:rPr>
      </w:pPr>
      <w:r>
        <w:rPr>
          <w:rFonts w:hint="eastAsia"/>
          <w:sz w:val="24"/>
          <w:szCs w:val="24"/>
        </w:rPr>
        <w:t>净化厂东侧料仓为净化厂配套已建料仓，位于</w:t>
      </w:r>
      <w:r>
        <w:rPr>
          <w:rFonts w:hint="eastAsia"/>
          <w:bCs/>
          <w:sz w:val="24"/>
          <w:szCs w:val="24"/>
        </w:rPr>
        <w:t>四川省宣汉县普光镇铜坎村</w:t>
      </w:r>
      <w:r>
        <w:rPr>
          <w:rFonts w:hint="eastAsia"/>
          <w:sz w:val="24"/>
          <w:szCs w:val="24"/>
        </w:rPr>
        <w:t>，主要用于存放废旧阀门、再生催化剂、废旧设备配件、废旧物资等。</w:t>
      </w:r>
    </w:p>
    <w:p w:rsidR="00BD5820" w:rsidRDefault="00F64314">
      <w:pPr>
        <w:pStyle w:val="00"/>
        <w:ind w:firstLine="480"/>
        <w:rPr>
          <w:sz w:val="24"/>
          <w:szCs w:val="24"/>
        </w:rPr>
      </w:pPr>
      <w:r>
        <w:rPr>
          <w:rFonts w:hint="eastAsia"/>
          <w:sz w:val="24"/>
          <w:szCs w:val="24"/>
        </w:rPr>
        <w:t>2</w:t>
      </w:r>
      <w:r>
        <w:rPr>
          <w:rFonts w:hint="eastAsia"/>
          <w:sz w:val="24"/>
          <w:szCs w:val="24"/>
        </w:rPr>
        <w:t>、原有环境问题</w:t>
      </w:r>
    </w:p>
    <w:p w:rsidR="00BD5820" w:rsidRDefault="00F64314">
      <w:pPr>
        <w:pStyle w:val="00"/>
        <w:ind w:firstLine="480"/>
        <w:rPr>
          <w:bCs/>
          <w:sz w:val="24"/>
          <w:szCs w:val="24"/>
        </w:rPr>
      </w:pPr>
      <w:r>
        <w:rPr>
          <w:rFonts w:hint="eastAsia"/>
          <w:sz w:val="24"/>
          <w:szCs w:val="24"/>
        </w:rPr>
        <w:t>对照</w:t>
      </w:r>
      <w:r>
        <w:rPr>
          <w:rFonts w:hint="eastAsia"/>
          <w:sz w:val="24"/>
          <w:szCs w:val="24"/>
        </w:rPr>
        <w:t xml:space="preserve"> 2007</w:t>
      </w:r>
      <w:r>
        <w:rPr>
          <w:rFonts w:hint="eastAsia"/>
          <w:sz w:val="24"/>
          <w:szCs w:val="24"/>
        </w:rPr>
        <w:t>年</w:t>
      </w:r>
      <w:r>
        <w:rPr>
          <w:rFonts w:hint="eastAsia"/>
          <w:sz w:val="24"/>
          <w:szCs w:val="24"/>
        </w:rPr>
        <w:t xml:space="preserve"> 12</w:t>
      </w:r>
      <w:r>
        <w:rPr>
          <w:rFonts w:hint="eastAsia"/>
          <w:sz w:val="24"/>
          <w:szCs w:val="24"/>
        </w:rPr>
        <w:t>月</w:t>
      </w:r>
      <w:r>
        <w:rPr>
          <w:rFonts w:hint="eastAsia"/>
          <w:sz w:val="24"/>
          <w:szCs w:val="24"/>
        </w:rPr>
        <w:t>14</w:t>
      </w:r>
      <w:r>
        <w:rPr>
          <w:rFonts w:hint="eastAsia"/>
          <w:sz w:val="24"/>
          <w:szCs w:val="24"/>
        </w:rPr>
        <w:t>日原国家环境保护总局《关于中国石化普光气田开发及川气东送管道工程环境影响报告书的批复》（环审〔</w:t>
      </w:r>
      <w:r>
        <w:rPr>
          <w:rFonts w:hint="eastAsia"/>
          <w:sz w:val="24"/>
          <w:szCs w:val="24"/>
        </w:rPr>
        <w:t>2007</w:t>
      </w:r>
      <w:r>
        <w:rPr>
          <w:rFonts w:hint="eastAsia"/>
          <w:sz w:val="24"/>
          <w:szCs w:val="24"/>
        </w:rPr>
        <w:t>〕</w:t>
      </w:r>
      <w:r>
        <w:rPr>
          <w:rFonts w:hint="eastAsia"/>
          <w:sz w:val="24"/>
          <w:szCs w:val="24"/>
        </w:rPr>
        <w:t>76</w:t>
      </w:r>
      <w:r>
        <w:rPr>
          <w:rFonts w:hint="eastAsia"/>
          <w:sz w:val="24"/>
          <w:szCs w:val="24"/>
        </w:rPr>
        <w:t>号）</w:t>
      </w:r>
      <w:r w:rsidR="008A29CC">
        <w:rPr>
          <w:rFonts w:hint="eastAsia"/>
          <w:sz w:val="24"/>
          <w:szCs w:val="24"/>
        </w:rPr>
        <w:t>、</w:t>
      </w:r>
      <w:r w:rsidR="008A29CC" w:rsidRPr="008A29CC">
        <w:rPr>
          <w:rFonts w:hint="eastAsia"/>
          <w:color w:val="FF0000"/>
          <w:sz w:val="24"/>
          <w:szCs w:val="24"/>
        </w:rPr>
        <w:t>《关于中国石化普光气田开发及川气东送管道工程竣工环境保护验收意见的函》（环验</w:t>
      </w:r>
      <w:r w:rsidR="008A29CC" w:rsidRPr="008A29CC">
        <w:rPr>
          <w:rFonts w:hint="eastAsia"/>
          <w:color w:val="FF0000"/>
          <w:sz w:val="24"/>
          <w:szCs w:val="24"/>
        </w:rPr>
        <w:t>[2013]92</w:t>
      </w:r>
      <w:r w:rsidR="008A29CC" w:rsidRPr="008A29CC">
        <w:rPr>
          <w:rFonts w:hint="eastAsia"/>
          <w:color w:val="FF0000"/>
          <w:sz w:val="24"/>
          <w:szCs w:val="24"/>
        </w:rPr>
        <w:t>号）和</w:t>
      </w:r>
      <w:r>
        <w:rPr>
          <w:rFonts w:hint="eastAsia"/>
          <w:sz w:val="24"/>
          <w:szCs w:val="24"/>
        </w:rPr>
        <w:t>根据现场调查，净化厂东侧料仓在营运过程中严格落实了各项污染防治措施，未对周边环境造成明显影响，也未接到周边环保投诉，气田开发工程严格落实了环审〔</w:t>
      </w:r>
      <w:r>
        <w:rPr>
          <w:rFonts w:hint="eastAsia"/>
          <w:sz w:val="24"/>
          <w:szCs w:val="24"/>
        </w:rPr>
        <w:t>2007</w:t>
      </w:r>
      <w:r>
        <w:rPr>
          <w:rFonts w:hint="eastAsia"/>
          <w:sz w:val="24"/>
          <w:szCs w:val="24"/>
        </w:rPr>
        <w:t>〕</w:t>
      </w:r>
      <w:r>
        <w:rPr>
          <w:rFonts w:hint="eastAsia"/>
          <w:sz w:val="24"/>
          <w:szCs w:val="24"/>
        </w:rPr>
        <w:t>76</w:t>
      </w:r>
      <w:r>
        <w:rPr>
          <w:rFonts w:hint="eastAsia"/>
          <w:sz w:val="24"/>
          <w:szCs w:val="24"/>
        </w:rPr>
        <w:t>号批复要求，净化厂东侧料仓现有环境问题为各废料目前暂未进行转运处置</w:t>
      </w:r>
      <w:r w:rsidR="00D95D3E">
        <w:rPr>
          <w:rFonts w:hint="eastAsia"/>
          <w:sz w:val="24"/>
          <w:szCs w:val="24"/>
        </w:rPr>
        <w:t>，</w:t>
      </w:r>
      <w:r w:rsidR="00D95D3E" w:rsidRPr="00D95D3E">
        <w:rPr>
          <w:rFonts w:hint="eastAsia"/>
          <w:color w:val="FF0000"/>
          <w:sz w:val="24"/>
          <w:szCs w:val="24"/>
        </w:rPr>
        <w:t>本项目以新带老措施为：项目建设前需将净化厂东侧料仓现有暂存的各废料进行转运处置</w:t>
      </w:r>
      <w:r w:rsidRPr="00D95D3E">
        <w:rPr>
          <w:rFonts w:hint="eastAsia"/>
          <w:color w:val="FF0000"/>
          <w:sz w:val="24"/>
          <w:szCs w:val="24"/>
        </w:rPr>
        <w:t>。</w:t>
      </w:r>
    </w:p>
    <w:p w:rsidR="00BD5820" w:rsidRDefault="00F64314">
      <w:pPr>
        <w:pStyle w:val="00"/>
        <w:ind w:firstLineChars="0" w:firstLine="0"/>
        <w:jc w:val="center"/>
        <w:rPr>
          <w:b/>
          <w:bCs/>
          <w:sz w:val="24"/>
          <w:szCs w:val="24"/>
        </w:rPr>
      </w:pPr>
      <w:r>
        <w:rPr>
          <w:bCs/>
          <w:noProof/>
          <w:sz w:val="24"/>
          <w:szCs w:val="24"/>
        </w:rPr>
        <w:lastRenderedPageBreak/>
        <w:drawing>
          <wp:inline distT="0" distB="0" distL="0" distR="0">
            <wp:extent cx="4457065" cy="3342640"/>
            <wp:effectExtent l="19050" t="0" r="443" b="0"/>
            <wp:docPr id="12" name="图片 41" descr="C:\Users\HUANG\AppData\Local\Temp\WeChat Files\6bbbd87644f2b2d7cf7ae6ffadb7e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1" descr="C:\Users\HUANG\AppData\Local\Temp\WeChat Files\6bbbd87644f2b2d7cf7ae6ffadb7e8f.jpg"/>
                    <pic:cNvPicPr>
                      <a:picLocks noChangeAspect="1" noChangeArrowheads="1"/>
                    </pic:cNvPicPr>
                  </pic:nvPicPr>
                  <pic:blipFill>
                    <a:blip r:embed="rId41" cstate="print"/>
                    <a:srcRect/>
                    <a:stretch>
                      <a:fillRect/>
                    </a:stretch>
                  </pic:blipFill>
                  <pic:spPr>
                    <a:xfrm>
                      <a:off x="0" y="0"/>
                      <a:ext cx="4459779" cy="3344760"/>
                    </a:xfrm>
                    <a:prstGeom prst="rect">
                      <a:avLst/>
                    </a:prstGeom>
                    <a:noFill/>
                    <a:ln w="9525">
                      <a:noFill/>
                      <a:miter lim="800000"/>
                      <a:headEnd/>
                      <a:tailEnd/>
                    </a:ln>
                  </pic:spPr>
                </pic:pic>
              </a:graphicData>
            </a:graphic>
          </wp:inline>
        </w:drawing>
      </w:r>
      <w:r>
        <w:rPr>
          <w:bCs/>
          <w:sz w:val="24"/>
          <w:szCs w:val="24"/>
        </w:rPr>
        <w:cr/>
      </w:r>
      <w:r>
        <w:rPr>
          <w:rFonts w:hint="eastAsia"/>
          <w:b/>
          <w:bCs/>
          <w:sz w:val="24"/>
          <w:szCs w:val="24"/>
        </w:rPr>
        <w:t>图</w:t>
      </w:r>
      <w:r>
        <w:rPr>
          <w:rFonts w:hint="eastAsia"/>
          <w:b/>
          <w:bCs/>
          <w:sz w:val="24"/>
          <w:szCs w:val="24"/>
        </w:rPr>
        <w:t xml:space="preserve">2.4-1 </w:t>
      </w:r>
      <w:r w:rsidR="00AC670D" w:rsidRPr="00AC670D">
        <w:rPr>
          <w:rFonts w:hint="eastAsia"/>
          <w:b/>
          <w:bCs/>
          <w:sz w:val="24"/>
          <w:szCs w:val="24"/>
        </w:rPr>
        <w:t>净化厂东侧料仓</w:t>
      </w:r>
      <w:r>
        <w:rPr>
          <w:rFonts w:hint="eastAsia"/>
          <w:b/>
          <w:bCs/>
          <w:sz w:val="24"/>
          <w:szCs w:val="24"/>
        </w:rPr>
        <w:t>现场照片</w:t>
      </w:r>
    </w:p>
    <w:p w:rsidR="00BD5820" w:rsidRDefault="00F64314">
      <w:pPr>
        <w:pStyle w:val="2"/>
        <w:spacing w:before="120"/>
        <w:rPr>
          <w:rFonts w:cs="Times New Roman"/>
        </w:rPr>
      </w:pPr>
      <w:bookmarkStart w:id="106" w:name="_Toc22490"/>
      <w:r>
        <w:rPr>
          <w:rFonts w:cs="Times New Roman" w:hint="eastAsia"/>
        </w:rPr>
        <w:t>2</w:t>
      </w:r>
      <w:r>
        <w:rPr>
          <w:rFonts w:cs="Times New Roman"/>
        </w:rPr>
        <w:t>.</w:t>
      </w:r>
      <w:r>
        <w:rPr>
          <w:rFonts w:cs="Times New Roman" w:hint="eastAsia"/>
        </w:rPr>
        <w:t>5</w:t>
      </w:r>
      <w:r>
        <w:rPr>
          <w:rFonts w:cs="Times New Roman"/>
        </w:rPr>
        <w:t xml:space="preserve"> </w:t>
      </w:r>
      <w:r>
        <w:rPr>
          <w:rFonts w:cs="Times New Roman"/>
        </w:rPr>
        <w:t>现有</w:t>
      </w:r>
      <w:r>
        <w:rPr>
          <w:rFonts w:cs="Times New Roman" w:hint="eastAsia"/>
        </w:rPr>
        <w:t>环保工程依托可行性</w:t>
      </w:r>
      <w:bookmarkEnd w:id="106"/>
    </w:p>
    <w:p w:rsidR="00BD5820" w:rsidRDefault="00F64314">
      <w:pPr>
        <w:pStyle w:val="00"/>
        <w:ind w:firstLine="480"/>
        <w:rPr>
          <w:sz w:val="24"/>
          <w:szCs w:val="22"/>
        </w:rPr>
      </w:pPr>
      <w:r>
        <w:rPr>
          <w:sz w:val="24"/>
          <w:szCs w:val="22"/>
        </w:rPr>
        <w:t>本项目运营期产生的气田水</w:t>
      </w:r>
      <w:r>
        <w:rPr>
          <w:rFonts w:hint="eastAsia"/>
          <w:sz w:val="24"/>
          <w:szCs w:val="22"/>
        </w:rPr>
        <w:t>分别经普光</w:t>
      </w:r>
      <w:r>
        <w:rPr>
          <w:rFonts w:hint="eastAsia"/>
          <w:sz w:val="24"/>
          <w:szCs w:val="22"/>
        </w:rPr>
        <w:t>3#</w:t>
      </w:r>
      <w:r>
        <w:rPr>
          <w:rFonts w:hint="eastAsia"/>
          <w:sz w:val="24"/>
          <w:szCs w:val="22"/>
        </w:rPr>
        <w:t>水处理站、</w:t>
      </w:r>
      <w:r>
        <w:rPr>
          <w:rFonts w:hint="eastAsia"/>
          <w:sz w:val="24"/>
          <w:szCs w:val="22"/>
        </w:rPr>
        <w:t>1#</w:t>
      </w:r>
      <w:r>
        <w:rPr>
          <w:rFonts w:hint="eastAsia"/>
          <w:sz w:val="24"/>
          <w:szCs w:val="22"/>
        </w:rPr>
        <w:t>污水处理站集中处理，水处理采用新建预处理流程，满足压裂液配制要求，剩余采出水然后进入深度水处理站处理后回用</w:t>
      </w:r>
      <w:r>
        <w:rPr>
          <w:sz w:val="24"/>
          <w:szCs w:val="22"/>
        </w:rPr>
        <w:t>，不外排</w:t>
      </w:r>
      <w:r>
        <w:rPr>
          <w:rFonts w:hint="eastAsia"/>
          <w:sz w:val="24"/>
          <w:szCs w:val="22"/>
        </w:rPr>
        <w:t>。</w:t>
      </w:r>
    </w:p>
    <w:p w:rsidR="00BD5820" w:rsidRDefault="00F64314">
      <w:pPr>
        <w:pStyle w:val="00"/>
        <w:ind w:firstLine="480"/>
        <w:rPr>
          <w:sz w:val="24"/>
          <w:szCs w:val="22"/>
        </w:rPr>
      </w:pPr>
      <w:r>
        <w:rPr>
          <w:rFonts w:hint="eastAsia"/>
          <w:sz w:val="24"/>
          <w:szCs w:val="22"/>
        </w:rPr>
        <w:t>废水依托处理可行性分析：</w:t>
      </w:r>
    </w:p>
    <w:p w:rsidR="00BD5820" w:rsidRDefault="00F64314">
      <w:pPr>
        <w:pStyle w:val="00"/>
        <w:ind w:firstLine="480"/>
        <w:rPr>
          <w:sz w:val="24"/>
          <w:szCs w:val="22"/>
        </w:rPr>
      </w:pPr>
      <w:r>
        <w:rPr>
          <w:rFonts w:hint="eastAsia"/>
          <w:sz w:val="24"/>
          <w:szCs w:val="22"/>
        </w:rPr>
        <w:t>①普光</w:t>
      </w:r>
      <w:r>
        <w:rPr>
          <w:rFonts w:hint="eastAsia"/>
          <w:sz w:val="24"/>
          <w:szCs w:val="22"/>
        </w:rPr>
        <w:t>1#</w:t>
      </w:r>
      <w:r>
        <w:rPr>
          <w:rFonts w:hint="eastAsia"/>
          <w:sz w:val="24"/>
          <w:szCs w:val="22"/>
        </w:rPr>
        <w:t>污水处理站：</w:t>
      </w:r>
    </w:p>
    <w:p w:rsidR="00BD5820" w:rsidRDefault="00F64314">
      <w:pPr>
        <w:pStyle w:val="00"/>
        <w:ind w:firstLine="480"/>
        <w:rPr>
          <w:sz w:val="24"/>
          <w:szCs w:val="22"/>
        </w:rPr>
      </w:pPr>
      <w:r>
        <w:rPr>
          <w:rFonts w:hint="eastAsia"/>
          <w:sz w:val="24"/>
          <w:szCs w:val="22"/>
        </w:rPr>
        <w:t>普光</w:t>
      </w:r>
      <w:r>
        <w:rPr>
          <w:rFonts w:hint="eastAsia"/>
          <w:sz w:val="24"/>
          <w:szCs w:val="22"/>
        </w:rPr>
        <w:t>1#</w:t>
      </w:r>
      <w:r>
        <w:rPr>
          <w:rFonts w:hint="eastAsia"/>
          <w:sz w:val="24"/>
          <w:szCs w:val="22"/>
        </w:rPr>
        <w:t>污水处理站位于天然气净化厂内，属于普光主体工程，普光</w:t>
      </w:r>
      <w:r>
        <w:rPr>
          <w:rFonts w:hint="eastAsia"/>
          <w:sz w:val="24"/>
          <w:szCs w:val="22"/>
        </w:rPr>
        <w:t>1#</w:t>
      </w:r>
      <w:r>
        <w:rPr>
          <w:rFonts w:hint="eastAsia"/>
          <w:sz w:val="24"/>
          <w:szCs w:val="22"/>
        </w:rPr>
        <w:t>污水处理站设计处理能力</w:t>
      </w:r>
      <w:r>
        <w:rPr>
          <w:rFonts w:hint="eastAsia"/>
          <w:sz w:val="24"/>
          <w:szCs w:val="22"/>
        </w:rPr>
        <w:t>800m</w:t>
      </w:r>
      <w:r>
        <w:rPr>
          <w:rFonts w:hint="eastAsia"/>
          <w:sz w:val="24"/>
          <w:szCs w:val="22"/>
          <w:vertAlign w:val="superscript"/>
        </w:rPr>
        <w:t>3</w:t>
      </w:r>
      <w:r>
        <w:rPr>
          <w:rFonts w:hint="eastAsia"/>
          <w:sz w:val="24"/>
          <w:szCs w:val="22"/>
        </w:rPr>
        <w:t>/d</w:t>
      </w:r>
      <w:r>
        <w:rPr>
          <w:rFonts w:hint="eastAsia"/>
          <w:sz w:val="24"/>
          <w:szCs w:val="22"/>
        </w:rPr>
        <w:t>，目前实际处理污水量为</w:t>
      </w:r>
      <w:r w:rsidR="00F1247E">
        <w:rPr>
          <w:rFonts w:hint="eastAsia"/>
          <w:sz w:val="24"/>
          <w:szCs w:val="22"/>
        </w:rPr>
        <w:t>4</w:t>
      </w:r>
      <w:r>
        <w:rPr>
          <w:rFonts w:hint="eastAsia"/>
          <w:sz w:val="24"/>
          <w:szCs w:val="22"/>
        </w:rPr>
        <w:t>00m</w:t>
      </w:r>
      <w:r>
        <w:rPr>
          <w:rFonts w:hint="eastAsia"/>
          <w:sz w:val="24"/>
          <w:szCs w:val="22"/>
          <w:vertAlign w:val="superscript"/>
        </w:rPr>
        <w:t>3</w:t>
      </w:r>
      <w:r>
        <w:rPr>
          <w:rFonts w:hint="eastAsia"/>
          <w:sz w:val="24"/>
          <w:szCs w:val="22"/>
        </w:rPr>
        <w:t>/d</w:t>
      </w:r>
      <w:r>
        <w:rPr>
          <w:rFonts w:hint="eastAsia"/>
          <w:sz w:val="24"/>
          <w:szCs w:val="22"/>
        </w:rPr>
        <w:t>，污水处理系统采用“氧化除硫</w:t>
      </w:r>
      <w:r>
        <w:rPr>
          <w:rFonts w:hint="eastAsia"/>
          <w:sz w:val="24"/>
          <w:szCs w:val="22"/>
        </w:rPr>
        <w:t>+</w:t>
      </w:r>
      <w:r>
        <w:rPr>
          <w:rFonts w:hint="eastAsia"/>
          <w:sz w:val="24"/>
          <w:szCs w:val="22"/>
        </w:rPr>
        <w:t>混凝沉降</w:t>
      </w:r>
      <w:r>
        <w:rPr>
          <w:rFonts w:hint="eastAsia"/>
          <w:sz w:val="24"/>
          <w:szCs w:val="22"/>
        </w:rPr>
        <w:t>+</w:t>
      </w:r>
      <w:r>
        <w:rPr>
          <w:rFonts w:hint="eastAsia"/>
          <w:sz w:val="24"/>
          <w:szCs w:val="22"/>
        </w:rPr>
        <w:t>过滤”工艺。</w:t>
      </w:r>
    </w:p>
    <w:p w:rsidR="00BD5820" w:rsidRDefault="00F64314">
      <w:pPr>
        <w:pStyle w:val="00"/>
        <w:ind w:firstLine="480"/>
        <w:rPr>
          <w:sz w:val="24"/>
          <w:szCs w:val="22"/>
        </w:rPr>
      </w:pPr>
      <w:r>
        <w:rPr>
          <w:rFonts w:hint="eastAsia"/>
          <w:sz w:val="24"/>
          <w:szCs w:val="22"/>
        </w:rPr>
        <w:t>普光气田</w:t>
      </w:r>
      <w:r>
        <w:rPr>
          <w:rFonts w:hint="eastAsia"/>
          <w:sz w:val="24"/>
          <w:szCs w:val="22"/>
        </w:rPr>
        <w:t>2#</w:t>
      </w:r>
      <w:r>
        <w:rPr>
          <w:rFonts w:hint="eastAsia"/>
          <w:sz w:val="24"/>
          <w:szCs w:val="22"/>
        </w:rPr>
        <w:t>增压站最大采出水量为</w:t>
      </w:r>
      <w:r>
        <w:rPr>
          <w:rFonts w:hint="eastAsia"/>
          <w:sz w:val="24"/>
          <w:szCs w:val="22"/>
        </w:rPr>
        <w:t>270m</w:t>
      </w:r>
      <w:r>
        <w:rPr>
          <w:rFonts w:hint="eastAsia"/>
          <w:sz w:val="24"/>
          <w:szCs w:val="22"/>
          <w:vertAlign w:val="superscript"/>
        </w:rPr>
        <w:t>3</w:t>
      </w:r>
      <w:r>
        <w:rPr>
          <w:rFonts w:hint="eastAsia"/>
          <w:sz w:val="24"/>
          <w:szCs w:val="22"/>
        </w:rPr>
        <w:t>/d</w:t>
      </w:r>
      <w:r>
        <w:rPr>
          <w:rFonts w:hint="eastAsia"/>
          <w:sz w:val="24"/>
          <w:szCs w:val="22"/>
        </w:rPr>
        <w:t>，目前普光</w:t>
      </w:r>
      <w:r>
        <w:rPr>
          <w:rFonts w:hint="eastAsia"/>
          <w:sz w:val="24"/>
          <w:szCs w:val="22"/>
        </w:rPr>
        <w:t>1#</w:t>
      </w:r>
      <w:r>
        <w:rPr>
          <w:rFonts w:hint="eastAsia"/>
          <w:sz w:val="24"/>
          <w:szCs w:val="22"/>
        </w:rPr>
        <w:t>污水处理站剩余处理能力为</w:t>
      </w:r>
      <w:r w:rsidR="00F1247E">
        <w:rPr>
          <w:rFonts w:hint="eastAsia"/>
          <w:sz w:val="24"/>
          <w:szCs w:val="22"/>
        </w:rPr>
        <w:t>4</w:t>
      </w:r>
      <w:r>
        <w:rPr>
          <w:rFonts w:hint="eastAsia"/>
          <w:sz w:val="24"/>
          <w:szCs w:val="22"/>
        </w:rPr>
        <w:t>00m</w:t>
      </w:r>
      <w:r>
        <w:rPr>
          <w:rFonts w:hint="eastAsia"/>
          <w:sz w:val="24"/>
          <w:szCs w:val="22"/>
          <w:vertAlign w:val="superscript"/>
        </w:rPr>
        <w:t>3</w:t>
      </w:r>
      <w:r>
        <w:rPr>
          <w:rFonts w:hint="eastAsia"/>
          <w:sz w:val="24"/>
          <w:szCs w:val="22"/>
        </w:rPr>
        <w:t>/d</w:t>
      </w:r>
      <w:r>
        <w:rPr>
          <w:rFonts w:hint="eastAsia"/>
          <w:sz w:val="24"/>
          <w:szCs w:val="22"/>
        </w:rPr>
        <w:t>，因此其有足够的处理能力处理普光气田</w:t>
      </w:r>
      <w:r>
        <w:rPr>
          <w:rFonts w:hint="eastAsia"/>
          <w:sz w:val="24"/>
          <w:szCs w:val="22"/>
        </w:rPr>
        <w:t>2#</w:t>
      </w:r>
      <w:r>
        <w:rPr>
          <w:rFonts w:hint="eastAsia"/>
          <w:sz w:val="24"/>
          <w:szCs w:val="22"/>
        </w:rPr>
        <w:t>增压站采出水。</w:t>
      </w:r>
    </w:p>
    <w:p w:rsidR="00BD5820" w:rsidRDefault="00F64314">
      <w:pPr>
        <w:pStyle w:val="00"/>
        <w:ind w:firstLine="480"/>
        <w:rPr>
          <w:sz w:val="24"/>
          <w:szCs w:val="22"/>
        </w:rPr>
      </w:pPr>
      <w:r>
        <w:rPr>
          <w:rFonts w:asciiTheme="minorEastAsia" w:eastAsiaTheme="minorEastAsia" w:hAnsiTheme="minorEastAsia" w:cstheme="minorEastAsia" w:hint="eastAsia"/>
          <w:sz w:val="24"/>
          <w:szCs w:val="22"/>
        </w:rPr>
        <w:t>②</w:t>
      </w:r>
      <w:r>
        <w:rPr>
          <w:rFonts w:hint="eastAsia"/>
          <w:sz w:val="24"/>
          <w:szCs w:val="22"/>
        </w:rPr>
        <w:t>普光</w:t>
      </w:r>
      <w:r>
        <w:rPr>
          <w:rFonts w:hint="eastAsia"/>
          <w:sz w:val="24"/>
          <w:szCs w:val="22"/>
        </w:rPr>
        <w:t>3#</w:t>
      </w:r>
      <w:r>
        <w:rPr>
          <w:rFonts w:hint="eastAsia"/>
          <w:sz w:val="24"/>
          <w:szCs w:val="22"/>
        </w:rPr>
        <w:t>污水处理站：</w:t>
      </w:r>
    </w:p>
    <w:p w:rsidR="00BD5820" w:rsidRDefault="00F64314">
      <w:pPr>
        <w:pStyle w:val="00"/>
        <w:ind w:firstLine="480"/>
        <w:rPr>
          <w:sz w:val="24"/>
          <w:szCs w:val="22"/>
        </w:rPr>
      </w:pPr>
      <w:r>
        <w:rPr>
          <w:rFonts w:hint="eastAsia"/>
          <w:sz w:val="24"/>
          <w:szCs w:val="22"/>
        </w:rPr>
        <w:t>普光</w:t>
      </w:r>
      <w:r>
        <w:rPr>
          <w:rFonts w:hint="eastAsia"/>
          <w:sz w:val="24"/>
          <w:szCs w:val="22"/>
        </w:rPr>
        <w:t>3#</w:t>
      </w:r>
      <w:r>
        <w:rPr>
          <w:rFonts w:hint="eastAsia"/>
          <w:sz w:val="24"/>
          <w:szCs w:val="22"/>
        </w:rPr>
        <w:t>污水处理站位于普光镇</w:t>
      </w:r>
      <w:r w:rsidR="005E33F1">
        <w:rPr>
          <w:rFonts w:hint="eastAsia"/>
          <w:sz w:val="24"/>
          <w:szCs w:val="22"/>
        </w:rPr>
        <w:t>沙</w:t>
      </w:r>
      <w:r w:rsidR="003C24D8">
        <w:rPr>
          <w:rFonts w:hint="eastAsia"/>
          <w:sz w:val="24"/>
          <w:szCs w:val="22"/>
        </w:rPr>
        <w:t>场</w:t>
      </w:r>
      <w:r>
        <w:rPr>
          <w:rFonts w:hint="eastAsia"/>
          <w:sz w:val="24"/>
          <w:szCs w:val="22"/>
        </w:rPr>
        <w:t>村，属于普光主体工程，普光</w:t>
      </w:r>
      <w:r>
        <w:rPr>
          <w:rFonts w:hint="eastAsia"/>
          <w:sz w:val="24"/>
          <w:szCs w:val="22"/>
        </w:rPr>
        <w:t>3#</w:t>
      </w:r>
      <w:r>
        <w:rPr>
          <w:rFonts w:hint="eastAsia"/>
          <w:sz w:val="24"/>
          <w:szCs w:val="22"/>
        </w:rPr>
        <w:t>污水处理站设计处理能力</w:t>
      </w:r>
      <w:r>
        <w:rPr>
          <w:rFonts w:hint="eastAsia"/>
          <w:sz w:val="24"/>
          <w:szCs w:val="22"/>
        </w:rPr>
        <w:t>700m</w:t>
      </w:r>
      <w:r>
        <w:rPr>
          <w:rFonts w:hint="eastAsia"/>
          <w:sz w:val="24"/>
          <w:szCs w:val="22"/>
          <w:vertAlign w:val="superscript"/>
        </w:rPr>
        <w:t>3</w:t>
      </w:r>
      <w:r>
        <w:rPr>
          <w:rFonts w:hint="eastAsia"/>
          <w:sz w:val="24"/>
          <w:szCs w:val="22"/>
        </w:rPr>
        <w:t>/d</w:t>
      </w:r>
      <w:r>
        <w:rPr>
          <w:rFonts w:hint="eastAsia"/>
          <w:sz w:val="24"/>
          <w:szCs w:val="22"/>
        </w:rPr>
        <w:t>，目前实际处理污水量为</w:t>
      </w:r>
      <w:r w:rsidR="00F1247E">
        <w:rPr>
          <w:rFonts w:hint="eastAsia"/>
          <w:sz w:val="24"/>
          <w:szCs w:val="22"/>
        </w:rPr>
        <w:t>3</w:t>
      </w:r>
      <w:r>
        <w:rPr>
          <w:rFonts w:hint="eastAsia"/>
          <w:sz w:val="24"/>
          <w:szCs w:val="22"/>
        </w:rPr>
        <w:t>00m</w:t>
      </w:r>
      <w:r>
        <w:rPr>
          <w:rFonts w:hint="eastAsia"/>
          <w:sz w:val="24"/>
          <w:szCs w:val="22"/>
          <w:vertAlign w:val="superscript"/>
        </w:rPr>
        <w:t>3</w:t>
      </w:r>
      <w:r>
        <w:rPr>
          <w:rFonts w:hint="eastAsia"/>
          <w:sz w:val="24"/>
          <w:szCs w:val="22"/>
        </w:rPr>
        <w:t>/d</w:t>
      </w:r>
      <w:r>
        <w:rPr>
          <w:rFonts w:hint="eastAsia"/>
          <w:sz w:val="24"/>
          <w:szCs w:val="22"/>
        </w:rPr>
        <w:t>，污水处理系统采用“氧化除硫</w:t>
      </w:r>
      <w:r>
        <w:rPr>
          <w:rFonts w:hint="eastAsia"/>
          <w:sz w:val="24"/>
          <w:szCs w:val="22"/>
        </w:rPr>
        <w:t>+</w:t>
      </w:r>
      <w:r>
        <w:rPr>
          <w:rFonts w:hint="eastAsia"/>
          <w:sz w:val="24"/>
          <w:szCs w:val="22"/>
        </w:rPr>
        <w:t>混凝沉降</w:t>
      </w:r>
      <w:r>
        <w:rPr>
          <w:rFonts w:hint="eastAsia"/>
          <w:sz w:val="24"/>
          <w:szCs w:val="22"/>
        </w:rPr>
        <w:t>+</w:t>
      </w:r>
      <w:r>
        <w:rPr>
          <w:rFonts w:hint="eastAsia"/>
          <w:sz w:val="24"/>
          <w:szCs w:val="22"/>
        </w:rPr>
        <w:t>过滤”工艺。</w:t>
      </w:r>
    </w:p>
    <w:p w:rsidR="00BD5820" w:rsidRDefault="00F64314">
      <w:pPr>
        <w:pStyle w:val="00"/>
        <w:ind w:firstLine="480"/>
        <w:rPr>
          <w:sz w:val="24"/>
          <w:szCs w:val="22"/>
        </w:rPr>
      </w:pPr>
      <w:r>
        <w:rPr>
          <w:rFonts w:hint="eastAsia"/>
          <w:sz w:val="24"/>
          <w:szCs w:val="22"/>
        </w:rPr>
        <w:t>普光气田</w:t>
      </w:r>
      <w:r>
        <w:rPr>
          <w:rFonts w:hint="eastAsia"/>
          <w:sz w:val="24"/>
          <w:szCs w:val="22"/>
        </w:rPr>
        <w:t>1#</w:t>
      </w:r>
      <w:r>
        <w:rPr>
          <w:rFonts w:hint="eastAsia"/>
          <w:sz w:val="24"/>
          <w:szCs w:val="22"/>
        </w:rPr>
        <w:t>增压站最大采出水量为</w:t>
      </w:r>
      <w:r>
        <w:rPr>
          <w:rFonts w:hint="eastAsia"/>
          <w:sz w:val="24"/>
          <w:szCs w:val="22"/>
        </w:rPr>
        <w:t>80m</w:t>
      </w:r>
      <w:r>
        <w:rPr>
          <w:rFonts w:hint="eastAsia"/>
          <w:sz w:val="24"/>
          <w:szCs w:val="22"/>
          <w:vertAlign w:val="superscript"/>
        </w:rPr>
        <w:t>3</w:t>
      </w:r>
      <w:r>
        <w:rPr>
          <w:rFonts w:hint="eastAsia"/>
          <w:sz w:val="24"/>
          <w:szCs w:val="22"/>
        </w:rPr>
        <w:t>/d</w:t>
      </w:r>
      <w:r>
        <w:rPr>
          <w:rFonts w:hint="eastAsia"/>
          <w:sz w:val="24"/>
          <w:szCs w:val="22"/>
        </w:rPr>
        <w:t>，目前普光</w:t>
      </w:r>
      <w:r>
        <w:rPr>
          <w:rFonts w:hint="eastAsia"/>
          <w:sz w:val="24"/>
          <w:szCs w:val="22"/>
        </w:rPr>
        <w:t>3#</w:t>
      </w:r>
      <w:r>
        <w:rPr>
          <w:rFonts w:hint="eastAsia"/>
          <w:sz w:val="24"/>
          <w:szCs w:val="22"/>
        </w:rPr>
        <w:t>污水处理站剩余处理能力为</w:t>
      </w:r>
      <w:r w:rsidR="00F1247E">
        <w:rPr>
          <w:rFonts w:hint="eastAsia"/>
          <w:sz w:val="24"/>
          <w:szCs w:val="22"/>
        </w:rPr>
        <w:t>4</w:t>
      </w:r>
      <w:r>
        <w:rPr>
          <w:rFonts w:hint="eastAsia"/>
          <w:sz w:val="24"/>
          <w:szCs w:val="22"/>
        </w:rPr>
        <w:t>00m</w:t>
      </w:r>
      <w:r>
        <w:rPr>
          <w:rFonts w:hint="eastAsia"/>
          <w:sz w:val="24"/>
          <w:szCs w:val="22"/>
          <w:vertAlign w:val="superscript"/>
        </w:rPr>
        <w:t>3</w:t>
      </w:r>
      <w:r>
        <w:rPr>
          <w:rFonts w:hint="eastAsia"/>
          <w:sz w:val="24"/>
          <w:szCs w:val="22"/>
        </w:rPr>
        <w:t>/d</w:t>
      </w:r>
      <w:r>
        <w:rPr>
          <w:rFonts w:hint="eastAsia"/>
          <w:sz w:val="24"/>
          <w:szCs w:val="22"/>
        </w:rPr>
        <w:t>，因此其有足够的处理能力处理普光气田</w:t>
      </w:r>
      <w:r>
        <w:rPr>
          <w:rFonts w:hint="eastAsia"/>
          <w:sz w:val="24"/>
          <w:szCs w:val="22"/>
        </w:rPr>
        <w:t>1#</w:t>
      </w:r>
      <w:r>
        <w:rPr>
          <w:rFonts w:hint="eastAsia"/>
          <w:sz w:val="24"/>
          <w:szCs w:val="22"/>
        </w:rPr>
        <w:t>增压站采出水。</w:t>
      </w:r>
    </w:p>
    <w:p w:rsidR="00BD5820" w:rsidRDefault="00EA3750">
      <w:pPr>
        <w:pStyle w:val="00"/>
        <w:ind w:firstLine="480"/>
        <w:rPr>
          <w:sz w:val="24"/>
          <w:szCs w:val="22"/>
        </w:rPr>
      </w:pPr>
      <w:r>
        <w:rPr>
          <w:rFonts w:hint="eastAsia"/>
          <w:sz w:val="24"/>
          <w:szCs w:val="22"/>
        </w:rPr>
        <w:lastRenderedPageBreak/>
        <w:fldChar w:fldCharType="begin"/>
      </w:r>
      <w:r w:rsidR="00F64314">
        <w:rPr>
          <w:rFonts w:hint="eastAsia"/>
          <w:sz w:val="24"/>
          <w:szCs w:val="22"/>
        </w:rPr>
        <w:instrText xml:space="preserve"> = 3 \* GB3 \* MERGEFORMAT </w:instrText>
      </w:r>
      <w:r>
        <w:rPr>
          <w:rFonts w:hint="eastAsia"/>
          <w:sz w:val="24"/>
          <w:szCs w:val="22"/>
        </w:rPr>
        <w:fldChar w:fldCharType="separate"/>
      </w:r>
      <w:r w:rsidR="00F64314">
        <w:rPr>
          <w:rFonts w:hint="eastAsia"/>
          <w:sz w:val="24"/>
          <w:szCs w:val="22"/>
        </w:rPr>
        <w:t>③</w:t>
      </w:r>
      <w:r>
        <w:rPr>
          <w:rFonts w:hint="eastAsia"/>
          <w:sz w:val="24"/>
          <w:szCs w:val="22"/>
        </w:rPr>
        <w:fldChar w:fldCharType="end"/>
      </w:r>
      <w:r w:rsidR="00F64314">
        <w:rPr>
          <w:rFonts w:hint="eastAsia"/>
          <w:sz w:val="24"/>
          <w:szCs w:val="22"/>
        </w:rPr>
        <w:t>深度水处理站：</w:t>
      </w:r>
    </w:p>
    <w:p w:rsidR="00BD5820" w:rsidRPr="00F1247E" w:rsidRDefault="00F64314" w:rsidP="00F1247E">
      <w:pPr>
        <w:pStyle w:val="00"/>
        <w:ind w:firstLine="480"/>
        <w:rPr>
          <w:sz w:val="24"/>
          <w:szCs w:val="24"/>
        </w:rPr>
      </w:pPr>
      <w:r>
        <w:rPr>
          <w:rFonts w:hint="eastAsia"/>
          <w:sz w:val="24"/>
          <w:szCs w:val="22"/>
        </w:rPr>
        <w:t>普光气田产出水深度处理站</w:t>
      </w:r>
      <w:r w:rsidR="00277053" w:rsidRPr="00277053">
        <w:rPr>
          <w:rFonts w:hint="eastAsia"/>
          <w:sz w:val="24"/>
          <w:szCs w:val="22"/>
        </w:rPr>
        <w:t>位于天然气净化厂内，属于普光主体工程</w:t>
      </w:r>
      <w:r>
        <w:rPr>
          <w:rFonts w:hint="eastAsia"/>
          <w:sz w:val="24"/>
          <w:szCs w:val="22"/>
        </w:rPr>
        <w:t>，污水处理系统采用“</w:t>
      </w:r>
      <w:r w:rsidR="00F1247E" w:rsidRPr="00277053">
        <w:rPr>
          <w:rFonts w:hint="eastAsia"/>
          <w:sz w:val="24"/>
          <w:szCs w:val="22"/>
        </w:rPr>
        <w:t>预</w:t>
      </w:r>
      <w:r w:rsidR="00F1247E" w:rsidRPr="00F1247E">
        <w:rPr>
          <w:rFonts w:hint="eastAsia"/>
          <w:sz w:val="24"/>
          <w:szCs w:val="22"/>
        </w:rPr>
        <w:t>处理（除硬</w:t>
      </w:r>
      <w:r w:rsidR="00F1247E" w:rsidRPr="00F1247E">
        <w:rPr>
          <w:sz w:val="24"/>
          <w:szCs w:val="22"/>
        </w:rPr>
        <w:t>+</w:t>
      </w:r>
      <w:r w:rsidR="00F1247E" w:rsidRPr="00F1247E">
        <w:rPr>
          <w:rFonts w:hint="eastAsia"/>
          <w:sz w:val="24"/>
          <w:szCs w:val="22"/>
        </w:rPr>
        <w:t>均质</w:t>
      </w:r>
      <w:r w:rsidR="00F1247E" w:rsidRPr="00F1247E">
        <w:rPr>
          <w:sz w:val="24"/>
          <w:szCs w:val="22"/>
        </w:rPr>
        <w:t>+</w:t>
      </w:r>
      <w:r w:rsidR="00F1247E" w:rsidRPr="00F1247E">
        <w:rPr>
          <w:rFonts w:hint="eastAsia"/>
          <w:sz w:val="24"/>
          <w:szCs w:val="22"/>
        </w:rPr>
        <w:t>生化</w:t>
      </w:r>
      <w:r w:rsidR="00F1247E" w:rsidRPr="00F1247E">
        <w:rPr>
          <w:sz w:val="24"/>
          <w:szCs w:val="22"/>
        </w:rPr>
        <w:t>+</w:t>
      </w:r>
      <w:r w:rsidR="00F1247E" w:rsidRPr="00F1247E">
        <w:rPr>
          <w:rFonts w:hint="eastAsia"/>
          <w:sz w:val="24"/>
          <w:szCs w:val="22"/>
        </w:rPr>
        <w:t>高级氧化）</w:t>
      </w:r>
      <w:r w:rsidR="00F1247E" w:rsidRPr="00F1247E">
        <w:rPr>
          <w:sz w:val="24"/>
          <w:szCs w:val="22"/>
        </w:rPr>
        <w:t>+</w:t>
      </w:r>
      <w:r w:rsidR="00F1247E" w:rsidRPr="00F1247E">
        <w:rPr>
          <w:rFonts w:hint="eastAsia"/>
          <w:sz w:val="24"/>
          <w:szCs w:val="22"/>
        </w:rPr>
        <w:t>（膜浓缩</w:t>
      </w:r>
      <w:r w:rsidR="00F1247E" w:rsidRPr="00F1247E">
        <w:rPr>
          <w:sz w:val="24"/>
          <w:szCs w:val="22"/>
        </w:rPr>
        <w:t>+MVR</w:t>
      </w:r>
      <w:r w:rsidR="00F1247E" w:rsidRPr="00F1247E">
        <w:rPr>
          <w:rFonts w:hint="eastAsia"/>
          <w:sz w:val="24"/>
          <w:szCs w:val="22"/>
        </w:rPr>
        <w:t>）</w:t>
      </w:r>
      <w:r>
        <w:rPr>
          <w:rFonts w:hint="eastAsia"/>
          <w:sz w:val="24"/>
          <w:szCs w:val="22"/>
        </w:rPr>
        <w:t>”，设计处理能力</w:t>
      </w:r>
      <w:r>
        <w:rPr>
          <w:rFonts w:hint="eastAsia"/>
          <w:sz w:val="24"/>
          <w:szCs w:val="22"/>
        </w:rPr>
        <w:t>1000m</w:t>
      </w:r>
      <w:r>
        <w:rPr>
          <w:rFonts w:hint="eastAsia"/>
          <w:sz w:val="24"/>
          <w:szCs w:val="22"/>
          <w:vertAlign w:val="superscript"/>
        </w:rPr>
        <w:t>3</w:t>
      </w:r>
      <w:r>
        <w:rPr>
          <w:rFonts w:hint="eastAsia"/>
          <w:sz w:val="24"/>
          <w:szCs w:val="22"/>
        </w:rPr>
        <w:t>/d</w:t>
      </w:r>
      <w:r>
        <w:rPr>
          <w:rFonts w:hint="eastAsia"/>
          <w:sz w:val="24"/>
          <w:szCs w:val="22"/>
        </w:rPr>
        <w:t>，</w:t>
      </w:r>
      <w:r w:rsidR="00F1247E">
        <w:rPr>
          <w:rFonts w:hint="eastAsia"/>
          <w:sz w:val="24"/>
          <w:szCs w:val="22"/>
        </w:rPr>
        <w:t>目前实际处理污水量为</w:t>
      </w:r>
      <w:r w:rsidR="00F1247E">
        <w:rPr>
          <w:rFonts w:hint="eastAsia"/>
          <w:sz w:val="24"/>
          <w:szCs w:val="22"/>
        </w:rPr>
        <w:t>430m</w:t>
      </w:r>
      <w:r w:rsidR="00F1247E">
        <w:rPr>
          <w:rFonts w:hint="eastAsia"/>
          <w:sz w:val="24"/>
          <w:szCs w:val="22"/>
          <w:vertAlign w:val="superscript"/>
        </w:rPr>
        <w:t>3</w:t>
      </w:r>
      <w:r w:rsidR="00F1247E">
        <w:rPr>
          <w:rFonts w:hint="eastAsia"/>
          <w:sz w:val="24"/>
          <w:szCs w:val="22"/>
        </w:rPr>
        <w:t>/d</w:t>
      </w:r>
      <w:r w:rsidR="00F1247E">
        <w:rPr>
          <w:rFonts w:hint="eastAsia"/>
          <w:sz w:val="24"/>
          <w:szCs w:val="22"/>
        </w:rPr>
        <w:t>，</w:t>
      </w:r>
      <w:r w:rsidR="00F1247E" w:rsidRPr="00F1247E">
        <w:rPr>
          <w:sz w:val="24"/>
          <w:szCs w:val="24"/>
        </w:rPr>
        <w:t>深度处理后污水水质达到《水务管理技术要求第</w:t>
      </w:r>
      <w:r w:rsidR="00F1247E" w:rsidRPr="00F1247E">
        <w:rPr>
          <w:sz w:val="24"/>
          <w:szCs w:val="24"/>
        </w:rPr>
        <w:t>2</w:t>
      </w:r>
      <w:r w:rsidR="00F1247E" w:rsidRPr="00F1247E">
        <w:rPr>
          <w:sz w:val="24"/>
          <w:szCs w:val="24"/>
        </w:rPr>
        <w:t>部分：循环水》</w:t>
      </w:r>
      <w:r w:rsidR="00F1247E">
        <w:rPr>
          <w:rFonts w:hint="eastAsia"/>
          <w:sz w:val="24"/>
          <w:szCs w:val="24"/>
        </w:rPr>
        <w:t>（</w:t>
      </w:r>
      <w:r w:rsidR="00F1247E" w:rsidRPr="00F1247E">
        <w:rPr>
          <w:sz w:val="24"/>
          <w:szCs w:val="24"/>
        </w:rPr>
        <w:t>Q/SH0628.2-2014</w:t>
      </w:r>
      <w:r w:rsidR="00F1247E">
        <w:rPr>
          <w:rFonts w:hint="eastAsia"/>
          <w:sz w:val="24"/>
          <w:szCs w:val="24"/>
        </w:rPr>
        <w:t>）</w:t>
      </w:r>
      <w:r w:rsidR="00F1247E" w:rsidRPr="00F1247E">
        <w:rPr>
          <w:sz w:val="24"/>
          <w:szCs w:val="24"/>
        </w:rPr>
        <w:t>中污水回用于循环冷却水补充水水质要求，作为普光天然气净化厂循环冷却水回用；浓缩水水质达到《碎屑岩油藏注水水质推荐指标》（</w:t>
      </w:r>
      <w:r w:rsidR="00F1247E" w:rsidRPr="00F1247E">
        <w:rPr>
          <w:sz w:val="24"/>
          <w:szCs w:val="24"/>
        </w:rPr>
        <w:t>SY/T5329-2012</w:t>
      </w:r>
      <w:r w:rsidR="00F1247E" w:rsidRPr="00F1247E">
        <w:rPr>
          <w:sz w:val="24"/>
          <w:szCs w:val="24"/>
        </w:rPr>
        <w:t>）回注水水质要求，优先输送至普光</w:t>
      </w:r>
      <w:r w:rsidR="00F1247E" w:rsidRPr="00F1247E">
        <w:rPr>
          <w:sz w:val="24"/>
          <w:szCs w:val="24"/>
        </w:rPr>
        <w:t>11</w:t>
      </w:r>
      <w:r w:rsidR="00F1247E" w:rsidRPr="00F1247E">
        <w:rPr>
          <w:sz w:val="24"/>
          <w:szCs w:val="24"/>
        </w:rPr>
        <w:t>井回注，当普光</w:t>
      </w:r>
      <w:r w:rsidR="00F1247E" w:rsidRPr="00F1247E">
        <w:rPr>
          <w:sz w:val="24"/>
          <w:szCs w:val="24"/>
        </w:rPr>
        <w:t>11</w:t>
      </w:r>
      <w:r w:rsidR="00F1247E" w:rsidRPr="00F1247E">
        <w:rPr>
          <w:sz w:val="24"/>
          <w:szCs w:val="24"/>
        </w:rPr>
        <w:t>井回注能力不足时，通过</w:t>
      </w:r>
      <w:r w:rsidR="00F1247E">
        <w:rPr>
          <w:sz w:val="24"/>
          <w:szCs w:val="24"/>
        </w:rPr>
        <w:t>罐</w:t>
      </w:r>
      <w:r w:rsidR="00F1247E" w:rsidRPr="00F1247E">
        <w:rPr>
          <w:sz w:val="24"/>
          <w:szCs w:val="24"/>
        </w:rPr>
        <w:t>车</w:t>
      </w:r>
      <w:r w:rsidR="00F1247E">
        <w:rPr>
          <w:rFonts w:hint="eastAsia"/>
          <w:sz w:val="24"/>
          <w:szCs w:val="24"/>
        </w:rPr>
        <w:t>拉运</w:t>
      </w:r>
      <w:r w:rsidR="00F1247E" w:rsidRPr="00F1247E">
        <w:rPr>
          <w:sz w:val="24"/>
          <w:szCs w:val="24"/>
        </w:rPr>
        <w:t>至毛开</w:t>
      </w:r>
      <w:r w:rsidR="00F1247E" w:rsidRPr="00F1247E">
        <w:rPr>
          <w:sz w:val="24"/>
          <w:szCs w:val="24"/>
        </w:rPr>
        <w:t xml:space="preserve">1 </w:t>
      </w:r>
      <w:r w:rsidR="00F1247E" w:rsidRPr="00F1247E">
        <w:rPr>
          <w:sz w:val="24"/>
          <w:szCs w:val="24"/>
        </w:rPr>
        <w:t>井、普光</w:t>
      </w:r>
      <w:r w:rsidR="00F1247E" w:rsidRPr="00F1247E">
        <w:rPr>
          <w:sz w:val="24"/>
          <w:szCs w:val="24"/>
        </w:rPr>
        <w:t xml:space="preserve">7 </w:t>
      </w:r>
      <w:r w:rsidR="00F1247E" w:rsidRPr="00F1247E">
        <w:rPr>
          <w:sz w:val="24"/>
          <w:szCs w:val="24"/>
        </w:rPr>
        <w:t>井回注。</w:t>
      </w:r>
    </w:p>
    <w:p w:rsidR="00BD5820" w:rsidRDefault="00F64314">
      <w:pPr>
        <w:pStyle w:val="00"/>
        <w:ind w:firstLine="480"/>
        <w:rPr>
          <w:sz w:val="24"/>
          <w:szCs w:val="22"/>
        </w:rPr>
      </w:pPr>
      <w:r>
        <w:rPr>
          <w:rFonts w:hint="eastAsia"/>
          <w:sz w:val="24"/>
          <w:szCs w:val="22"/>
        </w:rPr>
        <w:t>普光气田</w:t>
      </w:r>
      <w:r>
        <w:rPr>
          <w:rFonts w:hint="eastAsia"/>
          <w:sz w:val="24"/>
          <w:szCs w:val="22"/>
        </w:rPr>
        <w:t>1#</w:t>
      </w:r>
      <w:r>
        <w:rPr>
          <w:rFonts w:hint="eastAsia"/>
          <w:sz w:val="24"/>
          <w:szCs w:val="22"/>
        </w:rPr>
        <w:t>增压站、普光气田</w:t>
      </w:r>
      <w:r>
        <w:rPr>
          <w:rFonts w:hint="eastAsia"/>
          <w:sz w:val="24"/>
          <w:szCs w:val="22"/>
        </w:rPr>
        <w:t>2#</w:t>
      </w:r>
      <w:r>
        <w:rPr>
          <w:rFonts w:hint="eastAsia"/>
          <w:sz w:val="24"/>
          <w:szCs w:val="22"/>
        </w:rPr>
        <w:t>增压站采出水经别经普光</w:t>
      </w:r>
      <w:r>
        <w:rPr>
          <w:rFonts w:hint="eastAsia"/>
          <w:sz w:val="24"/>
          <w:szCs w:val="22"/>
        </w:rPr>
        <w:t>3#</w:t>
      </w:r>
      <w:r>
        <w:rPr>
          <w:rFonts w:hint="eastAsia"/>
          <w:sz w:val="24"/>
          <w:szCs w:val="22"/>
        </w:rPr>
        <w:t>水处理站、</w:t>
      </w:r>
      <w:r>
        <w:rPr>
          <w:rFonts w:hint="eastAsia"/>
          <w:sz w:val="24"/>
          <w:szCs w:val="22"/>
        </w:rPr>
        <w:t>1#</w:t>
      </w:r>
      <w:r>
        <w:rPr>
          <w:rFonts w:hint="eastAsia"/>
          <w:sz w:val="24"/>
          <w:szCs w:val="22"/>
        </w:rPr>
        <w:t>污水处理站集中处理后，大部分用于压裂液配制要求，剩余采出水（约</w:t>
      </w:r>
      <w:r>
        <w:rPr>
          <w:rFonts w:hint="eastAsia"/>
          <w:sz w:val="24"/>
          <w:szCs w:val="22"/>
        </w:rPr>
        <w:t>50m</w:t>
      </w:r>
      <w:r>
        <w:rPr>
          <w:rFonts w:hint="eastAsia"/>
          <w:sz w:val="24"/>
          <w:szCs w:val="22"/>
          <w:vertAlign w:val="superscript"/>
        </w:rPr>
        <w:t>3</w:t>
      </w:r>
      <w:r>
        <w:rPr>
          <w:rFonts w:hint="eastAsia"/>
          <w:sz w:val="24"/>
          <w:szCs w:val="22"/>
        </w:rPr>
        <w:t>/d</w:t>
      </w:r>
      <w:r>
        <w:rPr>
          <w:rFonts w:hint="eastAsia"/>
          <w:sz w:val="24"/>
          <w:szCs w:val="22"/>
        </w:rPr>
        <w:t>）再进入普光气田产出水深度处理站处理，普光气田产出水深度处理站剩余处理能力为</w:t>
      </w:r>
      <w:r w:rsidR="00F1247E">
        <w:rPr>
          <w:rFonts w:hint="eastAsia"/>
          <w:sz w:val="24"/>
          <w:szCs w:val="22"/>
        </w:rPr>
        <w:t>57</w:t>
      </w:r>
      <w:r>
        <w:rPr>
          <w:rFonts w:hint="eastAsia"/>
          <w:sz w:val="24"/>
          <w:szCs w:val="22"/>
        </w:rPr>
        <w:t>0m</w:t>
      </w:r>
      <w:r>
        <w:rPr>
          <w:rFonts w:hint="eastAsia"/>
          <w:sz w:val="24"/>
          <w:szCs w:val="22"/>
          <w:vertAlign w:val="superscript"/>
        </w:rPr>
        <w:t>3</w:t>
      </w:r>
      <w:r>
        <w:rPr>
          <w:rFonts w:hint="eastAsia"/>
          <w:sz w:val="24"/>
          <w:szCs w:val="22"/>
        </w:rPr>
        <w:t>/d</w:t>
      </w:r>
      <w:r>
        <w:rPr>
          <w:rFonts w:hint="eastAsia"/>
          <w:sz w:val="24"/>
          <w:szCs w:val="22"/>
        </w:rPr>
        <w:t>，因此其有足够的处理能力处理普光气田</w:t>
      </w:r>
      <w:r>
        <w:rPr>
          <w:rFonts w:hint="eastAsia"/>
          <w:sz w:val="24"/>
          <w:szCs w:val="22"/>
        </w:rPr>
        <w:t>1#</w:t>
      </w:r>
      <w:r>
        <w:rPr>
          <w:rFonts w:hint="eastAsia"/>
          <w:sz w:val="24"/>
          <w:szCs w:val="22"/>
        </w:rPr>
        <w:t>增压站、普光气田</w:t>
      </w:r>
      <w:r>
        <w:rPr>
          <w:rFonts w:hint="eastAsia"/>
          <w:sz w:val="24"/>
          <w:szCs w:val="22"/>
        </w:rPr>
        <w:t>2#</w:t>
      </w:r>
      <w:r>
        <w:rPr>
          <w:rFonts w:hint="eastAsia"/>
          <w:sz w:val="24"/>
          <w:szCs w:val="22"/>
        </w:rPr>
        <w:t>增压站采出水。</w:t>
      </w:r>
    </w:p>
    <w:p w:rsidR="00BD5820" w:rsidRDefault="00BD5820">
      <w:pPr>
        <w:pStyle w:val="00"/>
        <w:ind w:firstLine="480"/>
        <w:rPr>
          <w:sz w:val="24"/>
          <w:szCs w:val="22"/>
        </w:rPr>
      </w:pPr>
    </w:p>
    <w:p w:rsidR="00BD5820" w:rsidRDefault="00BD5820">
      <w:pPr>
        <w:pStyle w:val="1L"/>
      </w:pPr>
    </w:p>
    <w:p w:rsidR="00BD5820" w:rsidRDefault="00BD5820">
      <w:pPr>
        <w:pStyle w:val="10"/>
        <w:rPr>
          <w:rFonts w:cs="Times New Roman"/>
        </w:rPr>
        <w:sectPr w:rsidR="00BD5820">
          <w:headerReference w:type="even" r:id="rId42"/>
          <w:headerReference w:type="default" r:id="rId43"/>
          <w:footerReference w:type="even" r:id="rId44"/>
          <w:headerReference w:type="first" r:id="rId45"/>
          <w:footerReference w:type="first" r:id="rId46"/>
          <w:pgSz w:w="11910" w:h="16840"/>
          <w:pgMar w:top="1440" w:right="1800" w:bottom="1440" w:left="1800" w:header="885" w:footer="1097" w:gutter="0"/>
          <w:pgNumType w:chapStyle="2"/>
          <w:cols w:space="720"/>
          <w:docGrid w:linePitch="326"/>
        </w:sectPr>
      </w:pPr>
    </w:p>
    <w:p w:rsidR="00BD5820" w:rsidRDefault="00F64314">
      <w:pPr>
        <w:pStyle w:val="1"/>
        <w:spacing w:before="0" w:beforeAutospacing="0" w:after="0" w:afterAutospacing="0"/>
        <w:rPr>
          <w:rFonts w:eastAsia="宋体"/>
        </w:rPr>
      </w:pPr>
      <w:bookmarkStart w:id="107" w:name="_Toc19815947"/>
      <w:bookmarkStart w:id="108" w:name="_Toc12288392"/>
      <w:bookmarkStart w:id="109" w:name="_Toc3845"/>
      <w:r>
        <w:rPr>
          <w:rFonts w:eastAsia="宋体"/>
        </w:rPr>
        <w:lastRenderedPageBreak/>
        <w:t xml:space="preserve">3 </w:t>
      </w:r>
      <w:r>
        <w:rPr>
          <w:rFonts w:eastAsia="宋体"/>
        </w:rPr>
        <w:t>项目</w:t>
      </w:r>
      <w:bookmarkEnd w:id="107"/>
      <w:bookmarkEnd w:id="108"/>
      <w:r>
        <w:rPr>
          <w:rFonts w:eastAsia="宋体"/>
        </w:rPr>
        <w:t>概况</w:t>
      </w:r>
      <w:bookmarkEnd w:id="109"/>
    </w:p>
    <w:p w:rsidR="00BD5820" w:rsidRDefault="00F64314">
      <w:pPr>
        <w:pStyle w:val="2"/>
        <w:spacing w:before="120"/>
        <w:rPr>
          <w:rFonts w:cs="Times New Roman"/>
        </w:rPr>
      </w:pPr>
      <w:bookmarkStart w:id="110" w:name="_Toc19815948"/>
      <w:bookmarkStart w:id="111" w:name="_Toc12288393"/>
      <w:bookmarkStart w:id="112" w:name="_Toc2123"/>
      <w:r>
        <w:rPr>
          <w:rFonts w:cs="Times New Roman"/>
        </w:rPr>
        <w:t xml:space="preserve">3.1 </w:t>
      </w:r>
      <w:bookmarkEnd w:id="110"/>
      <w:bookmarkEnd w:id="111"/>
      <w:r>
        <w:rPr>
          <w:rFonts w:cs="Times New Roman"/>
        </w:rPr>
        <w:t>基本情况</w:t>
      </w:r>
      <w:bookmarkEnd w:id="112"/>
    </w:p>
    <w:p w:rsidR="00BD5820" w:rsidRDefault="00F64314">
      <w:pPr>
        <w:pStyle w:val="affa"/>
        <w:ind w:firstLine="480"/>
      </w:pPr>
      <w:bookmarkStart w:id="113" w:name="_Hlk81419011"/>
      <w:r>
        <w:t>项目名称：普光气田主体湿气增压工程</w:t>
      </w:r>
    </w:p>
    <w:bookmarkEnd w:id="113"/>
    <w:p w:rsidR="00BD5820" w:rsidRDefault="00F64314">
      <w:pPr>
        <w:pStyle w:val="affa"/>
        <w:ind w:firstLine="480"/>
      </w:pPr>
      <w:r>
        <w:t>建设单位：中国石油化工股份有限公司中原油田普光分公司</w:t>
      </w:r>
    </w:p>
    <w:p w:rsidR="00BD5820" w:rsidRDefault="00F64314">
      <w:pPr>
        <w:pStyle w:val="affa"/>
        <w:ind w:firstLine="480"/>
      </w:pPr>
      <w:bookmarkStart w:id="114" w:name="_Hlk81419008"/>
      <w:r>
        <w:t>建设地点：</w:t>
      </w:r>
      <w:r>
        <w:rPr>
          <w:rFonts w:hint="eastAsia"/>
          <w:bCs/>
        </w:rPr>
        <w:t>普光气田</w:t>
      </w:r>
      <w:r>
        <w:rPr>
          <w:bCs/>
        </w:rPr>
        <w:t>1#</w:t>
      </w:r>
      <w:r>
        <w:rPr>
          <w:rFonts w:hint="eastAsia"/>
          <w:bCs/>
        </w:rPr>
        <w:t>增压站位于</w:t>
      </w:r>
      <w:r>
        <w:rPr>
          <w:bCs/>
        </w:rPr>
        <w:t>P102</w:t>
      </w:r>
      <w:r>
        <w:rPr>
          <w:rFonts w:hint="eastAsia"/>
          <w:bCs/>
        </w:rPr>
        <w:t>集气站东侧（四川省宣汉县普光镇北斗村岳家坡），普光气田</w:t>
      </w:r>
      <w:r>
        <w:rPr>
          <w:rFonts w:hint="eastAsia"/>
          <w:bCs/>
        </w:rPr>
        <w:t>2</w:t>
      </w:r>
      <w:r>
        <w:rPr>
          <w:bCs/>
        </w:rPr>
        <w:t>#</w:t>
      </w:r>
      <w:r>
        <w:rPr>
          <w:rFonts w:hint="eastAsia"/>
          <w:bCs/>
        </w:rPr>
        <w:t>增压站位于净化厂外</w:t>
      </w:r>
      <w:r>
        <w:rPr>
          <w:bCs/>
        </w:rPr>
        <w:t xml:space="preserve">SEI </w:t>
      </w:r>
      <w:r>
        <w:rPr>
          <w:rFonts w:hint="eastAsia"/>
          <w:bCs/>
        </w:rPr>
        <w:t>临时料仓独立建设（四川省宣汉县普光镇铜坎村</w:t>
      </w:r>
      <w:r w:rsidR="00F97A71" w:rsidRPr="00F97A71">
        <w:rPr>
          <w:rFonts w:hint="eastAsia"/>
          <w:bCs/>
          <w:color w:val="FF0000"/>
        </w:rPr>
        <w:t>，不新增占地</w:t>
      </w:r>
      <w:r>
        <w:rPr>
          <w:rFonts w:hint="eastAsia"/>
          <w:bCs/>
        </w:rPr>
        <w:t>），</w:t>
      </w:r>
      <w:r>
        <w:rPr>
          <w:bCs/>
        </w:rPr>
        <w:t>P106-P104-</w:t>
      </w:r>
      <w:r>
        <w:rPr>
          <w:rFonts w:hint="eastAsia"/>
          <w:bCs/>
        </w:rPr>
        <w:t>1</w:t>
      </w:r>
      <w:r>
        <w:rPr>
          <w:bCs/>
        </w:rPr>
        <w:t>#</w:t>
      </w:r>
      <w:r>
        <w:rPr>
          <w:rFonts w:hint="eastAsia"/>
          <w:bCs/>
        </w:rPr>
        <w:t>增压站集输管道</w:t>
      </w:r>
      <w:r>
        <w:rPr>
          <w:rFonts w:hint="eastAsia"/>
          <w:bCs/>
        </w:rPr>
        <w:t>4.1km</w:t>
      </w:r>
      <w:r>
        <w:rPr>
          <w:rFonts w:hint="eastAsia"/>
          <w:bCs/>
        </w:rPr>
        <w:t>位于四川省宣汉县普光镇北斗村。</w:t>
      </w:r>
    </w:p>
    <w:p w:rsidR="00BD5820" w:rsidRDefault="00F64314">
      <w:pPr>
        <w:pStyle w:val="affa"/>
        <w:ind w:firstLine="480"/>
      </w:pPr>
      <w:r>
        <w:t>项目性质：新建</w:t>
      </w:r>
    </w:p>
    <w:bookmarkEnd w:id="114"/>
    <w:p w:rsidR="00BD5820" w:rsidRDefault="00F64314">
      <w:pPr>
        <w:pStyle w:val="affa"/>
        <w:ind w:firstLine="480"/>
      </w:pPr>
      <w:r>
        <w:t>建设规模：</w:t>
      </w:r>
      <w:r>
        <w:rPr>
          <w:rFonts w:hint="eastAsia"/>
        </w:rPr>
        <w:t>依托普光气田主体现有集输系统，新建</w:t>
      </w:r>
      <w:r>
        <w:t>2</w:t>
      </w:r>
      <w:r>
        <w:rPr>
          <w:rFonts w:hint="eastAsia"/>
        </w:rPr>
        <w:t>座增压站，其中：</w:t>
      </w:r>
      <w:r>
        <w:t>1#</w:t>
      </w:r>
      <w:r>
        <w:rPr>
          <w:rFonts w:hint="eastAsia"/>
        </w:rPr>
        <w:t>增压站依托</w:t>
      </w:r>
      <w:r>
        <w:t>P102</w:t>
      </w:r>
      <w:r>
        <w:rPr>
          <w:rFonts w:hint="eastAsia"/>
        </w:rPr>
        <w:t>集气站改造扩建，站内建设高含硫压缩机组</w:t>
      </w:r>
      <w:r>
        <w:t>3</w:t>
      </w:r>
      <w:r>
        <w:rPr>
          <w:rFonts w:hint="eastAsia"/>
        </w:rPr>
        <w:t>套（每套</w:t>
      </w:r>
      <w:r>
        <w:t>50</w:t>
      </w:r>
      <w:r>
        <w:rPr>
          <w:rFonts w:hint="eastAsia"/>
        </w:rPr>
        <w:t>万方</w:t>
      </w:r>
      <w:r>
        <w:t>/</w:t>
      </w:r>
      <w:r>
        <w:rPr>
          <w:rFonts w:hint="eastAsia"/>
        </w:rPr>
        <w:t>天），主要对</w:t>
      </w:r>
      <w:r>
        <w:t>1#</w:t>
      </w:r>
      <w:r>
        <w:rPr>
          <w:rFonts w:hint="eastAsia"/>
        </w:rPr>
        <w:t>线集气站所辖气井来气增压，站外配套新建集输管线</w:t>
      </w:r>
      <w:r>
        <w:t>4.1</w:t>
      </w:r>
      <w:r>
        <w:rPr>
          <w:rFonts w:hint="eastAsia"/>
        </w:rPr>
        <w:t>千米；</w:t>
      </w:r>
      <w:r>
        <w:t>2#</w:t>
      </w:r>
      <w:r>
        <w:rPr>
          <w:rFonts w:hint="eastAsia"/>
        </w:rPr>
        <w:t>增压站依托净化厂东侧料仓改造扩建，站内建设高含硫压缩机组</w:t>
      </w:r>
      <w:r>
        <w:t>4</w:t>
      </w:r>
      <w:r>
        <w:rPr>
          <w:rFonts w:hint="eastAsia"/>
        </w:rPr>
        <w:t>套（每套</w:t>
      </w:r>
      <w:r>
        <w:t>150</w:t>
      </w:r>
      <w:r>
        <w:rPr>
          <w:rFonts w:hint="eastAsia"/>
        </w:rPr>
        <w:t>万方</w:t>
      </w:r>
      <w:r>
        <w:t>/</w:t>
      </w:r>
      <w:r>
        <w:rPr>
          <w:rFonts w:hint="eastAsia"/>
        </w:rPr>
        <w:t>天），主要对</w:t>
      </w:r>
      <w:r>
        <w:t>2#</w:t>
      </w:r>
      <w:r>
        <w:rPr>
          <w:rFonts w:hint="eastAsia"/>
        </w:rPr>
        <w:t>线和</w:t>
      </w:r>
      <w:r>
        <w:t>3#</w:t>
      </w:r>
      <w:r>
        <w:rPr>
          <w:rFonts w:hint="eastAsia"/>
        </w:rPr>
        <w:t>线集气站所辖气井来气增压。</w:t>
      </w:r>
    </w:p>
    <w:p w:rsidR="00BD5820" w:rsidRDefault="00F64314">
      <w:pPr>
        <w:pStyle w:val="affa"/>
        <w:ind w:firstLine="480"/>
      </w:pPr>
      <w:r>
        <w:t>项目投资：</w:t>
      </w:r>
      <w:r>
        <w:rPr>
          <w:rFonts w:hint="eastAsia"/>
        </w:rPr>
        <w:t>本</w:t>
      </w:r>
      <w:r>
        <w:t>项目总投资</w:t>
      </w:r>
      <w:r>
        <w:rPr>
          <w:rFonts w:hint="eastAsia"/>
        </w:rPr>
        <w:t>85368</w:t>
      </w:r>
      <w:r>
        <w:t>万元，其中环保投资</w:t>
      </w:r>
      <w:r>
        <w:rPr>
          <w:rFonts w:hint="eastAsia"/>
        </w:rPr>
        <w:t>150</w:t>
      </w:r>
      <w:r>
        <w:rPr>
          <w:rFonts w:hint="eastAsia"/>
        </w:rPr>
        <w:t>万元</w:t>
      </w:r>
      <w:r>
        <w:t>，占项目总投资的</w:t>
      </w:r>
      <w:r>
        <w:rPr>
          <w:rFonts w:hint="eastAsia"/>
        </w:rPr>
        <w:t>0.18%</w:t>
      </w:r>
      <w:r>
        <w:t>。</w:t>
      </w:r>
    </w:p>
    <w:p w:rsidR="00BD5820" w:rsidRDefault="00F64314">
      <w:pPr>
        <w:pStyle w:val="2"/>
        <w:spacing w:before="120"/>
        <w:rPr>
          <w:rFonts w:cs="Times New Roman"/>
        </w:rPr>
      </w:pPr>
      <w:bookmarkStart w:id="115" w:name="bookmark12"/>
      <w:bookmarkStart w:id="116" w:name="bookmark11"/>
      <w:bookmarkStart w:id="117" w:name="_Toc19815950"/>
      <w:bookmarkStart w:id="118" w:name="_Toc12288395"/>
      <w:bookmarkStart w:id="119" w:name="_Toc530"/>
      <w:bookmarkEnd w:id="115"/>
      <w:bookmarkEnd w:id="116"/>
      <w:r>
        <w:rPr>
          <w:rFonts w:cs="Times New Roman"/>
        </w:rPr>
        <w:t xml:space="preserve">3.2 </w:t>
      </w:r>
      <w:r>
        <w:rPr>
          <w:rFonts w:cs="Times New Roman"/>
        </w:rPr>
        <w:t>工程规模及项目组成</w:t>
      </w:r>
      <w:bookmarkEnd w:id="117"/>
      <w:bookmarkEnd w:id="118"/>
      <w:bookmarkEnd w:id="119"/>
    </w:p>
    <w:p w:rsidR="00BD5820" w:rsidRDefault="00F64314">
      <w:pPr>
        <w:pStyle w:val="3"/>
        <w:rPr>
          <w:rFonts w:eastAsia="宋体"/>
        </w:rPr>
      </w:pPr>
      <w:bookmarkStart w:id="120" w:name="_Toc12288396"/>
      <w:bookmarkStart w:id="121" w:name="_Toc19815951"/>
      <w:r>
        <w:rPr>
          <w:rFonts w:eastAsia="宋体"/>
        </w:rPr>
        <w:t xml:space="preserve">3.2.1 </w:t>
      </w:r>
      <w:r>
        <w:rPr>
          <w:rFonts w:eastAsia="宋体"/>
        </w:rPr>
        <w:t>工程规模</w:t>
      </w:r>
      <w:bookmarkEnd w:id="120"/>
      <w:bookmarkEnd w:id="121"/>
    </w:p>
    <w:p w:rsidR="00BD5820" w:rsidRDefault="00F64314">
      <w:pPr>
        <w:pStyle w:val="affa"/>
        <w:ind w:firstLine="480"/>
      </w:pPr>
      <w:bookmarkStart w:id="122" w:name="_Hlk26520136"/>
      <w:r>
        <w:t>本项目</w:t>
      </w:r>
      <w:r>
        <w:rPr>
          <w:rFonts w:hint="eastAsia"/>
        </w:rPr>
        <w:t>依托普光气田主体现有集输系统，新建</w:t>
      </w:r>
      <w:r>
        <w:t>2</w:t>
      </w:r>
      <w:r>
        <w:rPr>
          <w:rFonts w:hint="eastAsia"/>
        </w:rPr>
        <w:t>座增压站，其中：</w:t>
      </w:r>
      <w:r>
        <w:t>1#</w:t>
      </w:r>
      <w:r>
        <w:rPr>
          <w:rFonts w:hint="eastAsia"/>
        </w:rPr>
        <w:t>增压站依托</w:t>
      </w:r>
      <w:r>
        <w:t>P102</w:t>
      </w:r>
      <w:r>
        <w:rPr>
          <w:rFonts w:hint="eastAsia"/>
        </w:rPr>
        <w:t>集气站改造扩建，站内建设高含硫压缩机组</w:t>
      </w:r>
      <w:r>
        <w:t>3</w:t>
      </w:r>
      <w:r>
        <w:rPr>
          <w:rFonts w:hint="eastAsia"/>
        </w:rPr>
        <w:t>套（每套</w:t>
      </w:r>
      <w:r>
        <w:t>50</w:t>
      </w:r>
      <w:r>
        <w:rPr>
          <w:rFonts w:hint="eastAsia"/>
        </w:rPr>
        <w:t>万方</w:t>
      </w:r>
      <w:r>
        <w:t>/</w:t>
      </w:r>
      <w:r>
        <w:rPr>
          <w:rFonts w:hint="eastAsia"/>
        </w:rPr>
        <w:t>天），主要对</w:t>
      </w:r>
      <w:r>
        <w:t>1#</w:t>
      </w:r>
      <w:r>
        <w:rPr>
          <w:rFonts w:hint="eastAsia"/>
        </w:rPr>
        <w:t>线集气站所辖气井来气增压，站外配套新建集输管线</w:t>
      </w:r>
      <w:r>
        <w:t>4.1</w:t>
      </w:r>
      <w:r>
        <w:rPr>
          <w:rFonts w:hint="eastAsia"/>
        </w:rPr>
        <w:t>千米；</w:t>
      </w:r>
      <w:r>
        <w:t>2#</w:t>
      </w:r>
      <w:r>
        <w:rPr>
          <w:rFonts w:hint="eastAsia"/>
        </w:rPr>
        <w:t>增压站依托净化厂东侧料仓改造扩建，站内建设高含硫压缩机组</w:t>
      </w:r>
      <w:r>
        <w:t>4</w:t>
      </w:r>
      <w:r>
        <w:rPr>
          <w:rFonts w:hint="eastAsia"/>
        </w:rPr>
        <w:t>套（每套</w:t>
      </w:r>
      <w:r>
        <w:t>150</w:t>
      </w:r>
      <w:r>
        <w:rPr>
          <w:rFonts w:hint="eastAsia"/>
        </w:rPr>
        <w:t>万方</w:t>
      </w:r>
      <w:r>
        <w:t>/</w:t>
      </w:r>
      <w:r>
        <w:rPr>
          <w:rFonts w:hint="eastAsia"/>
        </w:rPr>
        <w:t>天），主要对</w:t>
      </w:r>
      <w:r>
        <w:t>2#</w:t>
      </w:r>
      <w:r>
        <w:rPr>
          <w:rFonts w:hint="eastAsia"/>
        </w:rPr>
        <w:t>线和</w:t>
      </w:r>
      <w:r>
        <w:t>3#</w:t>
      </w:r>
      <w:r>
        <w:rPr>
          <w:rFonts w:hint="eastAsia"/>
        </w:rPr>
        <w:t>线集气站所辖气井来气增压。</w:t>
      </w:r>
    </w:p>
    <w:p w:rsidR="00BD5820" w:rsidRDefault="00F64314">
      <w:pPr>
        <w:pStyle w:val="3"/>
        <w:rPr>
          <w:rFonts w:eastAsia="宋体"/>
        </w:rPr>
      </w:pPr>
      <w:bookmarkStart w:id="123" w:name="_Toc19815952"/>
      <w:bookmarkStart w:id="124" w:name="_Toc12288397"/>
      <w:bookmarkEnd w:id="122"/>
      <w:r>
        <w:rPr>
          <w:rFonts w:eastAsia="宋体"/>
        </w:rPr>
        <w:t xml:space="preserve">3.2.2 </w:t>
      </w:r>
      <w:r>
        <w:rPr>
          <w:rFonts w:eastAsia="宋体"/>
        </w:rPr>
        <w:t>项目组成</w:t>
      </w:r>
      <w:bookmarkEnd w:id="123"/>
      <w:bookmarkEnd w:id="124"/>
    </w:p>
    <w:p w:rsidR="00BD5820" w:rsidRDefault="00F64314">
      <w:pPr>
        <w:pStyle w:val="affa"/>
        <w:ind w:firstLine="480"/>
      </w:pPr>
      <w:r>
        <w:t>本项目为天然气</w:t>
      </w:r>
      <w:r>
        <w:rPr>
          <w:rFonts w:hint="eastAsia"/>
        </w:rPr>
        <w:t>湿气增压</w:t>
      </w:r>
      <w:r>
        <w:t>和内部集输工程，工程建设内容主要分为</w:t>
      </w:r>
      <w:bookmarkStart w:id="125" w:name="OLE_LINK111"/>
      <w:bookmarkStart w:id="126" w:name="OLE_LINK112"/>
      <w:r>
        <w:rPr>
          <w:rFonts w:hint="eastAsia"/>
          <w:bCs/>
        </w:rPr>
        <w:t>普光气田</w:t>
      </w:r>
      <w:r>
        <w:rPr>
          <w:bCs/>
        </w:rPr>
        <w:t>1#</w:t>
      </w:r>
      <w:r>
        <w:rPr>
          <w:rFonts w:hint="eastAsia"/>
          <w:bCs/>
        </w:rPr>
        <w:t>增压站</w:t>
      </w:r>
      <w:r>
        <w:rPr>
          <w:rFonts w:hint="eastAsia"/>
        </w:rPr>
        <w:t>、</w:t>
      </w:r>
      <w:r>
        <w:rPr>
          <w:rFonts w:hint="eastAsia"/>
          <w:bCs/>
        </w:rPr>
        <w:t>普光气田</w:t>
      </w:r>
      <w:r>
        <w:rPr>
          <w:rFonts w:hint="eastAsia"/>
          <w:bCs/>
        </w:rPr>
        <w:t>2</w:t>
      </w:r>
      <w:r>
        <w:rPr>
          <w:bCs/>
        </w:rPr>
        <w:t>#</w:t>
      </w:r>
      <w:r>
        <w:rPr>
          <w:rFonts w:hint="eastAsia"/>
          <w:bCs/>
        </w:rPr>
        <w:t>增压站</w:t>
      </w:r>
      <w:r>
        <w:rPr>
          <w:rFonts w:hint="eastAsia"/>
        </w:rPr>
        <w:t>和地面集输工程</w:t>
      </w:r>
      <w:bookmarkEnd w:id="125"/>
      <w:bookmarkEnd w:id="126"/>
      <w:r>
        <w:t>。本项目的项目组成详见表</w:t>
      </w:r>
      <w:r>
        <w:t>3.2-1</w:t>
      </w:r>
      <w:r>
        <w:t>。</w:t>
      </w:r>
    </w:p>
    <w:p w:rsidR="00BD5820" w:rsidRDefault="00F64314">
      <w:pPr>
        <w:pStyle w:val="10"/>
        <w:rPr>
          <w:rFonts w:cs="Times New Roman"/>
        </w:rPr>
      </w:pPr>
      <w:r>
        <w:rPr>
          <w:rFonts w:cs="Times New Roman"/>
        </w:rPr>
        <w:t>表</w:t>
      </w:r>
      <w:r>
        <w:rPr>
          <w:rFonts w:cs="Times New Roman"/>
        </w:rPr>
        <w:t xml:space="preserve">3.2-1  </w:t>
      </w:r>
      <w:r>
        <w:rPr>
          <w:rFonts w:cs="Times New Roman"/>
        </w:rPr>
        <w:t>项目组成及主要环境问题</w:t>
      </w:r>
    </w:p>
    <w:tbl>
      <w:tblPr>
        <w:tblW w:w="5400" w:type="pct"/>
        <w:jc w:val="center"/>
        <w:tblBorders>
          <w:top w:val="single" w:sz="12" w:space="0" w:color="000000"/>
          <w:bottom w:val="single" w:sz="12" w:space="0" w:color="000000"/>
          <w:insideH w:val="single" w:sz="2" w:space="0" w:color="000000"/>
          <w:insideV w:val="single" w:sz="2" w:space="0" w:color="000000"/>
        </w:tblBorders>
        <w:tblCellMar>
          <w:left w:w="0" w:type="dxa"/>
          <w:right w:w="0" w:type="dxa"/>
        </w:tblCellMar>
        <w:tblLook w:val="04A0"/>
      </w:tblPr>
      <w:tblGrid>
        <w:gridCol w:w="482"/>
        <w:gridCol w:w="869"/>
        <w:gridCol w:w="634"/>
        <w:gridCol w:w="5037"/>
        <w:gridCol w:w="1108"/>
        <w:gridCol w:w="845"/>
      </w:tblGrid>
      <w:tr w:rsidR="00BD5820" w:rsidTr="001F394E">
        <w:trPr>
          <w:trHeight w:val="303"/>
          <w:jc w:val="center"/>
        </w:trPr>
        <w:tc>
          <w:tcPr>
            <w:tcW w:w="269" w:type="pct"/>
            <w:vMerge w:val="restart"/>
            <w:vAlign w:val="center"/>
          </w:tcPr>
          <w:p w:rsidR="00BD5820" w:rsidRDefault="00F64314">
            <w:pPr>
              <w:pStyle w:val="aff2"/>
              <w:rPr>
                <w:b/>
                <w:bCs/>
              </w:rPr>
            </w:pPr>
            <w:r>
              <w:rPr>
                <w:b/>
                <w:bCs/>
              </w:rPr>
              <w:t>名称</w:t>
            </w:r>
          </w:p>
        </w:tc>
        <w:tc>
          <w:tcPr>
            <w:tcW w:w="3643" w:type="pct"/>
            <w:gridSpan w:val="3"/>
            <w:vMerge w:val="restart"/>
            <w:vAlign w:val="center"/>
          </w:tcPr>
          <w:p w:rsidR="00BD5820" w:rsidRDefault="00F64314">
            <w:pPr>
              <w:pStyle w:val="aff2"/>
              <w:rPr>
                <w:b/>
                <w:bCs/>
              </w:rPr>
            </w:pPr>
            <w:r>
              <w:rPr>
                <w:b/>
                <w:bCs/>
              </w:rPr>
              <w:t>建设内容及规模项目</w:t>
            </w:r>
          </w:p>
        </w:tc>
        <w:tc>
          <w:tcPr>
            <w:tcW w:w="1088" w:type="pct"/>
            <w:gridSpan w:val="2"/>
            <w:vAlign w:val="center"/>
          </w:tcPr>
          <w:p w:rsidR="00BD5820" w:rsidRDefault="00F64314">
            <w:pPr>
              <w:pStyle w:val="aff2"/>
              <w:rPr>
                <w:b/>
                <w:bCs/>
              </w:rPr>
            </w:pPr>
            <w:r>
              <w:rPr>
                <w:b/>
                <w:bCs/>
              </w:rPr>
              <w:t>可能产生的环境影响</w:t>
            </w:r>
          </w:p>
        </w:tc>
      </w:tr>
      <w:tr w:rsidR="00BD5820" w:rsidTr="001F394E">
        <w:trPr>
          <w:trHeight w:val="280"/>
          <w:jc w:val="center"/>
        </w:trPr>
        <w:tc>
          <w:tcPr>
            <w:tcW w:w="269" w:type="pct"/>
            <w:vMerge/>
            <w:vAlign w:val="center"/>
          </w:tcPr>
          <w:p w:rsidR="00BD5820" w:rsidRDefault="00BD5820">
            <w:pPr>
              <w:pStyle w:val="aff2"/>
              <w:rPr>
                <w:b/>
                <w:bCs/>
              </w:rPr>
            </w:pPr>
          </w:p>
        </w:tc>
        <w:tc>
          <w:tcPr>
            <w:tcW w:w="3643" w:type="pct"/>
            <w:gridSpan w:val="3"/>
            <w:vMerge/>
            <w:vAlign w:val="center"/>
          </w:tcPr>
          <w:p w:rsidR="00BD5820" w:rsidRDefault="00BD5820">
            <w:pPr>
              <w:pStyle w:val="aff2"/>
              <w:rPr>
                <w:b/>
                <w:bCs/>
              </w:rPr>
            </w:pPr>
          </w:p>
        </w:tc>
        <w:tc>
          <w:tcPr>
            <w:tcW w:w="617" w:type="pct"/>
            <w:vAlign w:val="center"/>
          </w:tcPr>
          <w:p w:rsidR="00BD5820" w:rsidRDefault="00F64314">
            <w:pPr>
              <w:pStyle w:val="aff2"/>
              <w:rPr>
                <w:b/>
                <w:bCs/>
              </w:rPr>
            </w:pPr>
            <w:r>
              <w:rPr>
                <w:b/>
                <w:bCs/>
              </w:rPr>
              <w:t>施工期</w:t>
            </w:r>
          </w:p>
        </w:tc>
        <w:tc>
          <w:tcPr>
            <w:tcW w:w="471" w:type="pct"/>
            <w:vAlign w:val="center"/>
          </w:tcPr>
          <w:p w:rsidR="00BD5820" w:rsidRDefault="00F64314">
            <w:pPr>
              <w:pStyle w:val="aff2"/>
              <w:rPr>
                <w:b/>
                <w:bCs/>
              </w:rPr>
            </w:pPr>
            <w:r>
              <w:rPr>
                <w:b/>
                <w:bCs/>
              </w:rPr>
              <w:t>运营期</w:t>
            </w:r>
          </w:p>
        </w:tc>
      </w:tr>
      <w:tr w:rsidR="00BD5820" w:rsidTr="001F394E">
        <w:trPr>
          <w:trHeight w:val="1162"/>
          <w:jc w:val="center"/>
        </w:trPr>
        <w:tc>
          <w:tcPr>
            <w:tcW w:w="269" w:type="pct"/>
            <w:vMerge w:val="restart"/>
            <w:vAlign w:val="center"/>
          </w:tcPr>
          <w:p w:rsidR="00BD5820" w:rsidRDefault="00F64314">
            <w:pPr>
              <w:pStyle w:val="aff2"/>
            </w:pPr>
            <w:r>
              <w:lastRenderedPageBreak/>
              <w:t>主体工程</w:t>
            </w:r>
          </w:p>
        </w:tc>
        <w:tc>
          <w:tcPr>
            <w:tcW w:w="484" w:type="pct"/>
            <w:vAlign w:val="center"/>
          </w:tcPr>
          <w:p w:rsidR="00BD5820" w:rsidRDefault="00F64314">
            <w:pPr>
              <w:pStyle w:val="aff2"/>
              <w:rPr>
                <w:szCs w:val="21"/>
              </w:rPr>
            </w:pPr>
            <w:r>
              <w:rPr>
                <w:rFonts w:hint="eastAsia"/>
                <w:szCs w:val="21"/>
              </w:rPr>
              <w:t>普光气田</w:t>
            </w:r>
            <w:r>
              <w:rPr>
                <w:rFonts w:hint="eastAsia"/>
                <w:szCs w:val="21"/>
              </w:rPr>
              <w:t>1#</w:t>
            </w:r>
            <w:r>
              <w:rPr>
                <w:rFonts w:hint="eastAsia"/>
                <w:szCs w:val="21"/>
              </w:rPr>
              <w:t>增压站</w:t>
            </w:r>
          </w:p>
        </w:tc>
        <w:tc>
          <w:tcPr>
            <w:tcW w:w="3159" w:type="pct"/>
            <w:gridSpan w:val="2"/>
            <w:vAlign w:val="center"/>
          </w:tcPr>
          <w:p w:rsidR="00BD5820" w:rsidRDefault="00F64314">
            <w:pPr>
              <w:pStyle w:val="aff2"/>
              <w:rPr>
                <w:szCs w:val="21"/>
              </w:rPr>
            </w:pPr>
            <w:r>
              <w:rPr>
                <w:rFonts w:hint="eastAsia"/>
                <w:szCs w:val="21"/>
              </w:rPr>
              <w:t>依托</w:t>
            </w:r>
            <w:r>
              <w:rPr>
                <w:rFonts w:hint="eastAsia"/>
                <w:szCs w:val="21"/>
              </w:rPr>
              <w:t>P102</w:t>
            </w:r>
            <w:r>
              <w:rPr>
                <w:rFonts w:hint="eastAsia"/>
                <w:szCs w:val="21"/>
              </w:rPr>
              <w:t>集气站改造扩建，站内建设高含硫压缩机组</w:t>
            </w:r>
            <w:r>
              <w:rPr>
                <w:rFonts w:hint="eastAsia"/>
                <w:szCs w:val="21"/>
              </w:rPr>
              <w:t>3</w:t>
            </w:r>
            <w:r>
              <w:rPr>
                <w:rFonts w:hint="eastAsia"/>
                <w:szCs w:val="21"/>
              </w:rPr>
              <w:t>套（每套</w:t>
            </w:r>
            <w:r>
              <w:rPr>
                <w:rFonts w:hint="eastAsia"/>
                <w:szCs w:val="21"/>
              </w:rPr>
              <w:t>50</w:t>
            </w:r>
            <w:r>
              <w:rPr>
                <w:rFonts w:hint="eastAsia"/>
                <w:szCs w:val="21"/>
              </w:rPr>
              <w:t>万方</w:t>
            </w:r>
            <w:r>
              <w:rPr>
                <w:rFonts w:hint="eastAsia"/>
                <w:szCs w:val="21"/>
              </w:rPr>
              <w:t>/</w:t>
            </w:r>
            <w:r>
              <w:rPr>
                <w:rFonts w:hint="eastAsia"/>
                <w:szCs w:val="21"/>
              </w:rPr>
              <w:t>天），主要对</w:t>
            </w:r>
            <w:r>
              <w:rPr>
                <w:rFonts w:hint="eastAsia"/>
                <w:szCs w:val="21"/>
              </w:rPr>
              <w:t>1#</w:t>
            </w:r>
            <w:r>
              <w:rPr>
                <w:rFonts w:hint="eastAsia"/>
                <w:szCs w:val="21"/>
              </w:rPr>
              <w:t>线集气站所辖气井来气增压。</w:t>
            </w:r>
          </w:p>
        </w:tc>
        <w:tc>
          <w:tcPr>
            <w:tcW w:w="617" w:type="pct"/>
            <w:tcBorders>
              <w:bottom w:val="single" w:sz="4" w:space="0" w:color="auto"/>
            </w:tcBorders>
            <w:vAlign w:val="center"/>
          </w:tcPr>
          <w:p w:rsidR="00BD5820" w:rsidRDefault="00F64314">
            <w:pPr>
              <w:pStyle w:val="aff2"/>
            </w:pPr>
            <w:r>
              <w:t>占用土地</w:t>
            </w:r>
          </w:p>
          <w:p w:rsidR="00BD5820" w:rsidRDefault="00F64314">
            <w:pPr>
              <w:pStyle w:val="aff2"/>
            </w:pPr>
            <w:r>
              <w:t>施工扬尘</w:t>
            </w:r>
          </w:p>
          <w:p w:rsidR="00BD5820" w:rsidRDefault="00F64314">
            <w:pPr>
              <w:pStyle w:val="aff2"/>
            </w:pPr>
            <w:r>
              <w:rPr>
                <w:rFonts w:hint="eastAsia"/>
              </w:rPr>
              <w:t>食堂油烟</w:t>
            </w:r>
          </w:p>
          <w:p w:rsidR="00BD5820" w:rsidRDefault="00F64314">
            <w:pPr>
              <w:pStyle w:val="aff2"/>
            </w:pPr>
            <w:r>
              <w:t>施工废水</w:t>
            </w:r>
          </w:p>
          <w:p w:rsidR="00BD5820" w:rsidRDefault="00F64314">
            <w:pPr>
              <w:pStyle w:val="aff2"/>
            </w:pPr>
            <w:r>
              <w:t>生活污水</w:t>
            </w:r>
          </w:p>
          <w:p w:rsidR="00BD5820" w:rsidRDefault="00F64314">
            <w:pPr>
              <w:pStyle w:val="aff2"/>
            </w:pPr>
            <w:r>
              <w:t>施工噪声</w:t>
            </w:r>
          </w:p>
          <w:p w:rsidR="00BD5820" w:rsidRDefault="00F64314">
            <w:pPr>
              <w:pStyle w:val="aff2"/>
            </w:pPr>
            <w:r>
              <w:t>生活垃圾</w:t>
            </w:r>
          </w:p>
          <w:p w:rsidR="00BD5820" w:rsidRDefault="00F64314">
            <w:pPr>
              <w:pStyle w:val="aff2"/>
            </w:pPr>
            <w:r>
              <w:t>水土流失</w:t>
            </w:r>
          </w:p>
          <w:p w:rsidR="00BD5820" w:rsidRDefault="00F64314">
            <w:pPr>
              <w:pStyle w:val="aff2"/>
            </w:pPr>
            <w:r>
              <w:t>弃渣</w:t>
            </w:r>
          </w:p>
          <w:p w:rsidR="00BD5820" w:rsidRDefault="00F64314">
            <w:pPr>
              <w:pStyle w:val="aff2"/>
            </w:pPr>
            <w:r>
              <w:t>损坏植被</w:t>
            </w:r>
          </w:p>
        </w:tc>
        <w:tc>
          <w:tcPr>
            <w:tcW w:w="471" w:type="pct"/>
            <w:tcBorders>
              <w:bottom w:val="single" w:sz="4" w:space="0" w:color="auto"/>
            </w:tcBorders>
            <w:vAlign w:val="center"/>
          </w:tcPr>
          <w:p w:rsidR="00BD5820" w:rsidRDefault="00F64314">
            <w:pPr>
              <w:pStyle w:val="aff2"/>
            </w:pPr>
            <w:r>
              <w:rPr>
                <w:rFonts w:hint="eastAsia"/>
              </w:rPr>
              <w:t>放空废气</w:t>
            </w:r>
          </w:p>
          <w:p w:rsidR="00BD5820" w:rsidRDefault="00F64314">
            <w:pPr>
              <w:pStyle w:val="aff2"/>
            </w:pPr>
            <w:r>
              <w:rPr>
                <w:rFonts w:hint="eastAsia"/>
              </w:rPr>
              <w:t>噪声</w:t>
            </w:r>
          </w:p>
          <w:p w:rsidR="00BD5820" w:rsidRDefault="00F64314">
            <w:pPr>
              <w:pStyle w:val="aff2"/>
            </w:pPr>
            <w:r>
              <w:rPr>
                <w:rFonts w:hint="eastAsia"/>
              </w:rPr>
              <w:t>废润滑油</w:t>
            </w:r>
          </w:p>
          <w:p w:rsidR="00BD5820" w:rsidRDefault="00F64314">
            <w:pPr>
              <w:pStyle w:val="aff2"/>
            </w:pPr>
            <w:r>
              <w:rPr>
                <w:rFonts w:hint="eastAsia"/>
              </w:rPr>
              <w:t>污泥</w:t>
            </w:r>
          </w:p>
          <w:p w:rsidR="00BD5820" w:rsidRDefault="00F64314">
            <w:pPr>
              <w:pStyle w:val="aff2"/>
            </w:pPr>
            <w:r>
              <w:rPr>
                <w:rFonts w:hint="eastAsia"/>
              </w:rPr>
              <w:t>清管废物</w:t>
            </w:r>
          </w:p>
          <w:p w:rsidR="00BD5820" w:rsidRDefault="00F64314">
            <w:pPr>
              <w:pStyle w:val="aff2"/>
            </w:pPr>
            <w:r>
              <w:rPr>
                <w:rFonts w:hint="eastAsia"/>
              </w:rPr>
              <w:t>环境风险</w:t>
            </w:r>
          </w:p>
        </w:tc>
      </w:tr>
      <w:tr w:rsidR="00BD5820" w:rsidTr="001F394E">
        <w:trPr>
          <w:trHeight w:val="560"/>
          <w:jc w:val="center"/>
        </w:trPr>
        <w:tc>
          <w:tcPr>
            <w:tcW w:w="269" w:type="pct"/>
            <w:vMerge/>
            <w:vAlign w:val="center"/>
          </w:tcPr>
          <w:p w:rsidR="00BD5820" w:rsidRDefault="00BD5820">
            <w:pPr>
              <w:pStyle w:val="aff2"/>
            </w:pPr>
          </w:p>
        </w:tc>
        <w:tc>
          <w:tcPr>
            <w:tcW w:w="484" w:type="pct"/>
            <w:vAlign w:val="center"/>
          </w:tcPr>
          <w:p w:rsidR="00BD5820" w:rsidRDefault="00F64314">
            <w:pPr>
              <w:pStyle w:val="aff2"/>
              <w:rPr>
                <w:szCs w:val="21"/>
              </w:rPr>
            </w:pPr>
            <w:r>
              <w:rPr>
                <w:rFonts w:hint="eastAsia"/>
                <w:szCs w:val="21"/>
              </w:rPr>
              <w:t>普光气田</w:t>
            </w:r>
            <w:r>
              <w:rPr>
                <w:rFonts w:hint="eastAsia"/>
                <w:szCs w:val="21"/>
              </w:rPr>
              <w:t>2#</w:t>
            </w:r>
            <w:r>
              <w:rPr>
                <w:rFonts w:hint="eastAsia"/>
                <w:szCs w:val="21"/>
              </w:rPr>
              <w:t>增压站</w:t>
            </w:r>
          </w:p>
        </w:tc>
        <w:tc>
          <w:tcPr>
            <w:tcW w:w="3159" w:type="pct"/>
            <w:gridSpan w:val="2"/>
            <w:vAlign w:val="center"/>
          </w:tcPr>
          <w:p w:rsidR="00BD5820" w:rsidRDefault="00F64314">
            <w:pPr>
              <w:pStyle w:val="aff2"/>
              <w:rPr>
                <w:szCs w:val="21"/>
              </w:rPr>
            </w:pPr>
            <w:r>
              <w:rPr>
                <w:rFonts w:hint="eastAsia"/>
                <w:szCs w:val="21"/>
              </w:rPr>
              <w:t>2#</w:t>
            </w:r>
            <w:r>
              <w:rPr>
                <w:rFonts w:hint="eastAsia"/>
                <w:szCs w:val="21"/>
              </w:rPr>
              <w:t>增压站依托净化厂东侧料仓改造扩建，站内建设高含硫压缩机组</w:t>
            </w:r>
            <w:r>
              <w:rPr>
                <w:rFonts w:hint="eastAsia"/>
                <w:szCs w:val="21"/>
              </w:rPr>
              <w:t>4</w:t>
            </w:r>
            <w:r>
              <w:rPr>
                <w:rFonts w:hint="eastAsia"/>
                <w:szCs w:val="21"/>
              </w:rPr>
              <w:t>套（每套</w:t>
            </w:r>
            <w:r>
              <w:rPr>
                <w:rFonts w:hint="eastAsia"/>
                <w:szCs w:val="21"/>
              </w:rPr>
              <w:t>150</w:t>
            </w:r>
            <w:r>
              <w:rPr>
                <w:rFonts w:hint="eastAsia"/>
                <w:szCs w:val="21"/>
              </w:rPr>
              <w:t>万方</w:t>
            </w:r>
            <w:r>
              <w:rPr>
                <w:rFonts w:hint="eastAsia"/>
                <w:szCs w:val="21"/>
              </w:rPr>
              <w:t>/</w:t>
            </w:r>
            <w:r>
              <w:rPr>
                <w:rFonts w:hint="eastAsia"/>
                <w:szCs w:val="21"/>
              </w:rPr>
              <w:t>天），主要对</w:t>
            </w:r>
            <w:r>
              <w:rPr>
                <w:rFonts w:hint="eastAsia"/>
                <w:szCs w:val="21"/>
              </w:rPr>
              <w:t>2#</w:t>
            </w:r>
            <w:r>
              <w:rPr>
                <w:rFonts w:hint="eastAsia"/>
                <w:szCs w:val="21"/>
              </w:rPr>
              <w:t>线和</w:t>
            </w:r>
            <w:r>
              <w:rPr>
                <w:rFonts w:hint="eastAsia"/>
                <w:szCs w:val="21"/>
              </w:rPr>
              <w:t>3#</w:t>
            </w:r>
            <w:r>
              <w:rPr>
                <w:rFonts w:hint="eastAsia"/>
                <w:szCs w:val="21"/>
              </w:rPr>
              <w:t>线集气站所辖气井来气增压。</w:t>
            </w:r>
          </w:p>
        </w:tc>
        <w:tc>
          <w:tcPr>
            <w:tcW w:w="617" w:type="pct"/>
            <w:tcBorders>
              <w:top w:val="single" w:sz="4" w:space="0" w:color="auto"/>
              <w:bottom w:val="single" w:sz="4" w:space="0" w:color="auto"/>
            </w:tcBorders>
            <w:vAlign w:val="center"/>
          </w:tcPr>
          <w:p w:rsidR="00BD5820" w:rsidRDefault="00F64314">
            <w:pPr>
              <w:pStyle w:val="aff2"/>
            </w:pPr>
            <w:r>
              <w:t>占用土地</w:t>
            </w:r>
          </w:p>
          <w:p w:rsidR="00BD5820" w:rsidRDefault="00F64314">
            <w:pPr>
              <w:pStyle w:val="aff2"/>
            </w:pPr>
            <w:r>
              <w:t>施工扬尘</w:t>
            </w:r>
          </w:p>
          <w:p w:rsidR="00BD5820" w:rsidRDefault="00F64314">
            <w:pPr>
              <w:pStyle w:val="aff2"/>
            </w:pPr>
            <w:r>
              <w:rPr>
                <w:rFonts w:hint="eastAsia"/>
              </w:rPr>
              <w:t>食堂油烟</w:t>
            </w:r>
          </w:p>
          <w:p w:rsidR="00BD5820" w:rsidRDefault="00F64314">
            <w:pPr>
              <w:pStyle w:val="aff2"/>
            </w:pPr>
            <w:r>
              <w:t>施工废水</w:t>
            </w:r>
          </w:p>
          <w:p w:rsidR="00BD5820" w:rsidRDefault="00F64314">
            <w:pPr>
              <w:pStyle w:val="aff2"/>
            </w:pPr>
            <w:r>
              <w:t>生活污水</w:t>
            </w:r>
          </w:p>
          <w:p w:rsidR="00BD5820" w:rsidRDefault="00F64314">
            <w:pPr>
              <w:pStyle w:val="aff2"/>
            </w:pPr>
            <w:r>
              <w:t>施工噪声</w:t>
            </w:r>
          </w:p>
          <w:p w:rsidR="00BD5820" w:rsidRDefault="00F64314">
            <w:pPr>
              <w:pStyle w:val="aff2"/>
            </w:pPr>
            <w:r>
              <w:t>生活垃圾</w:t>
            </w:r>
          </w:p>
          <w:p w:rsidR="00BD5820" w:rsidRDefault="00F64314">
            <w:pPr>
              <w:pStyle w:val="aff2"/>
            </w:pPr>
            <w:r>
              <w:t>水土流失</w:t>
            </w:r>
          </w:p>
          <w:p w:rsidR="00BD5820" w:rsidRDefault="00F64314">
            <w:pPr>
              <w:pStyle w:val="aff2"/>
            </w:pPr>
            <w:r>
              <w:t>弃渣</w:t>
            </w:r>
          </w:p>
        </w:tc>
        <w:tc>
          <w:tcPr>
            <w:tcW w:w="471" w:type="pct"/>
            <w:tcBorders>
              <w:top w:val="single" w:sz="4" w:space="0" w:color="auto"/>
              <w:bottom w:val="single" w:sz="4" w:space="0" w:color="auto"/>
            </w:tcBorders>
            <w:vAlign w:val="center"/>
          </w:tcPr>
          <w:p w:rsidR="00BD5820" w:rsidRDefault="00F64314">
            <w:pPr>
              <w:pStyle w:val="aff2"/>
            </w:pPr>
            <w:r>
              <w:rPr>
                <w:rFonts w:hint="eastAsia"/>
              </w:rPr>
              <w:t>放空废气</w:t>
            </w:r>
          </w:p>
          <w:p w:rsidR="00BD5820" w:rsidRDefault="00F64314">
            <w:pPr>
              <w:pStyle w:val="aff2"/>
            </w:pPr>
            <w:r>
              <w:rPr>
                <w:rFonts w:hint="eastAsia"/>
              </w:rPr>
              <w:t>噪声</w:t>
            </w:r>
          </w:p>
          <w:p w:rsidR="00BD5820" w:rsidRDefault="00F64314">
            <w:pPr>
              <w:pStyle w:val="aff2"/>
            </w:pPr>
            <w:r>
              <w:rPr>
                <w:rFonts w:hint="eastAsia"/>
              </w:rPr>
              <w:t>废润滑油</w:t>
            </w:r>
          </w:p>
          <w:p w:rsidR="00BD5820" w:rsidRDefault="00F64314">
            <w:pPr>
              <w:pStyle w:val="aff2"/>
            </w:pPr>
            <w:r>
              <w:rPr>
                <w:rFonts w:hint="eastAsia"/>
              </w:rPr>
              <w:t>污泥</w:t>
            </w:r>
          </w:p>
          <w:p w:rsidR="00BD5820" w:rsidRDefault="00F64314">
            <w:pPr>
              <w:pStyle w:val="aff2"/>
            </w:pPr>
            <w:r>
              <w:rPr>
                <w:rFonts w:hint="eastAsia"/>
              </w:rPr>
              <w:t>清管废物</w:t>
            </w:r>
          </w:p>
          <w:p w:rsidR="00BD5820" w:rsidRDefault="00F64314">
            <w:pPr>
              <w:pStyle w:val="aff2"/>
            </w:pPr>
            <w:r>
              <w:rPr>
                <w:rFonts w:hint="eastAsia"/>
              </w:rPr>
              <w:t>环境风险</w:t>
            </w:r>
          </w:p>
        </w:tc>
      </w:tr>
      <w:tr w:rsidR="00BD5820" w:rsidTr="001F394E">
        <w:trPr>
          <w:trHeight w:val="421"/>
          <w:jc w:val="center"/>
        </w:trPr>
        <w:tc>
          <w:tcPr>
            <w:tcW w:w="269" w:type="pct"/>
            <w:vMerge/>
            <w:vAlign w:val="center"/>
          </w:tcPr>
          <w:p w:rsidR="00BD5820" w:rsidRDefault="00BD5820">
            <w:pPr>
              <w:pStyle w:val="aff2"/>
            </w:pPr>
          </w:p>
        </w:tc>
        <w:tc>
          <w:tcPr>
            <w:tcW w:w="484" w:type="pct"/>
            <w:vAlign w:val="center"/>
          </w:tcPr>
          <w:p w:rsidR="00BD5820" w:rsidRDefault="00F64314">
            <w:pPr>
              <w:pStyle w:val="aff2"/>
            </w:pPr>
            <w:r>
              <w:rPr>
                <w:rFonts w:hint="eastAsia"/>
              </w:rPr>
              <w:t>地面集输工程</w:t>
            </w:r>
          </w:p>
        </w:tc>
        <w:tc>
          <w:tcPr>
            <w:tcW w:w="3159" w:type="pct"/>
            <w:gridSpan w:val="2"/>
            <w:vAlign w:val="center"/>
          </w:tcPr>
          <w:p w:rsidR="00BD5820" w:rsidRDefault="00F64314">
            <w:pPr>
              <w:pStyle w:val="aff2"/>
            </w:pPr>
            <w:r>
              <w:rPr>
                <w:rFonts w:hint="eastAsia"/>
              </w:rPr>
              <w:t>新建</w:t>
            </w:r>
            <w:r>
              <w:rPr>
                <w:rFonts w:hint="eastAsia"/>
              </w:rPr>
              <w:t>P106-P104-1#</w:t>
            </w:r>
            <w:r>
              <w:rPr>
                <w:rFonts w:hint="eastAsia"/>
              </w:rPr>
              <w:t>增压站集输管道</w:t>
            </w:r>
            <w:r>
              <w:rPr>
                <w:rFonts w:hint="eastAsia"/>
              </w:rPr>
              <w:t>4.1km</w:t>
            </w:r>
            <w:r>
              <w:t>。</w:t>
            </w:r>
          </w:p>
        </w:tc>
        <w:tc>
          <w:tcPr>
            <w:tcW w:w="617" w:type="pct"/>
            <w:tcBorders>
              <w:top w:val="single" w:sz="4" w:space="0" w:color="auto"/>
            </w:tcBorders>
            <w:vAlign w:val="center"/>
          </w:tcPr>
          <w:p w:rsidR="00BD5820" w:rsidRDefault="00F64314">
            <w:pPr>
              <w:pStyle w:val="aff2"/>
            </w:pPr>
            <w:r>
              <w:t>占用土地</w:t>
            </w:r>
          </w:p>
          <w:p w:rsidR="00BD5820" w:rsidRDefault="00F64314">
            <w:pPr>
              <w:pStyle w:val="aff2"/>
            </w:pPr>
            <w:r>
              <w:t>施工扬尘</w:t>
            </w:r>
          </w:p>
          <w:p w:rsidR="00BD5820" w:rsidRDefault="00F64314">
            <w:pPr>
              <w:pStyle w:val="aff2"/>
            </w:pPr>
            <w:r>
              <w:rPr>
                <w:rFonts w:hint="eastAsia"/>
              </w:rPr>
              <w:t>食堂油烟</w:t>
            </w:r>
          </w:p>
          <w:p w:rsidR="00BD5820" w:rsidRDefault="00F64314">
            <w:pPr>
              <w:pStyle w:val="aff2"/>
            </w:pPr>
            <w:r>
              <w:t>施工废水</w:t>
            </w:r>
          </w:p>
          <w:p w:rsidR="00BD5820" w:rsidRDefault="00F64314">
            <w:pPr>
              <w:pStyle w:val="aff2"/>
            </w:pPr>
            <w:r>
              <w:t>生活污水</w:t>
            </w:r>
          </w:p>
          <w:p w:rsidR="00BD5820" w:rsidRDefault="00F64314">
            <w:pPr>
              <w:pStyle w:val="aff2"/>
            </w:pPr>
            <w:r>
              <w:t>施工噪声</w:t>
            </w:r>
          </w:p>
          <w:p w:rsidR="00BD5820" w:rsidRDefault="00F64314">
            <w:pPr>
              <w:pStyle w:val="aff2"/>
            </w:pPr>
            <w:r>
              <w:t>生活垃圾</w:t>
            </w:r>
          </w:p>
          <w:p w:rsidR="00BD5820" w:rsidRDefault="00F64314">
            <w:pPr>
              <w:pStyle w:val="aff2"/>
            </w:pPr>
            <w:r>
              <w:t>水土流失</w:t>
            </w:r>
          </w:p>
          <w:p w:rsidR="00BD5820" w:rsidRDefault="00F64314">
            <w:pPr>
              <w:pStyle w:val="aff2"/>
            </w:pPr>
            <w:r>
              <w:t>弃渣</w:t>
            </w:r>
          </w:p>
        </w:tc>
        <w:tc>
          <w:tcPr>
            <w:tcW w:w="471" w:type="pct"/>
            <w:tcBorders>
              <w:top w:val="single" w:sz="4" w:space="0" w:color="auto"/>
            </w:tcBorders>
            <w:vAlign w:val="center"/>
          </w:tcPr>
          <w:p w:rsidR="00BD5820" w:rsidRDefault="00F64314">
            <w:pPr>
              <w:pStyle w:val="aff2"/>
            </w:pPr>
            <w:r>
              <w:t>噪声</w:t>
            </w:r>
          </w:p>
          <w:p w:rsidR="00BD5820" w:rsidRDefault="00F64314">
            <w:pPr>
              <w:pStyle w:val="aff2"/>
            </w:pPr>
            <w:r>
              <w:rPr>
                <w:rFonts w:hint="eastAsia"/>
              </w:rPr>
              <w:t>气田水</w:t>
            </w:r>
          </w:p>
          <w:p w:rsidR="00BD5820" w:rsidRDefault="00F64314">
            <w:pPr>
              <w:pStyle w:val="aff2"/>
            </w:pPr>
            <w:r>
              <w:t>环境风险</w:t>
            </w:r>
          </w:p>
          <w:p w:rsidR="00BD5820" w:rsidRDefault="00F64314">
            <w:pPr>
              <w:pStyle w:val="aff2"/>
            </w:pPr>
            <w:r>
              <w:t>废气</w:t>
            </w:r>
          </w:p>
        </w:tc>
      </w:tr>
      <w:tr w:rsidR="00BD5820" w:rsidTr="001F394E">
        <w:trPr>
          <w:trHeight w:val="18"/>
          <w:jc w:val="center"/>
        </w:trPr>
        <w:tc>
          <w:tcPr>
            <w:tcW w:w="269" w:type="pct"/>
            <w:vMerge w:val="restart"/>
            <w:vAlign w:val="center"/>
          </w:tcPr>
          <w:p w:rsidR="00BD5820" w:rsidRDefault="00F64314">
            <w:pPr>
              <w:pStyle w:val="aff2"/>
            </w:pPr>
            <w:r>
              <w:t>辅助工程</w:t>
            </w:r>
          </w:p>
        </w:tc>
        <w:tc>
          <w:tcPr>
            <w:tcW w:w="484" w:type="pct"/>
            <w:vAlign w:val="center"/>
          </w:tcPr>
          <w:p w:rsidR="00BD5820" w:rsidRDefault="00F64314">
            <w:pPr>
              <w:pStyle w:val="aff2"/>
            </w:pPr>
            <w:r>
              <w:t>管道防腐</w:t>
            </w:r>
          </w:p>
        </w:tc>
        <w:tc>
          <w:tcPr>
            <w:tcW w:w="3159" w:type="pct"/>
            <w:gridSpan w:val="2"/>
            <w:vAlign w:val="center"/>
          </w:tcPr>
          <w:p w:rsidR="00BD5820" w:rsidRDefault="00F64314">
            <w:pPr>
              <w:pStyle w:val="aff2"/>
            </w:pPr>
            <w:r>
              <w:t>埋地酸气管线防腐保温采用</w:t>
            </w:r>
            <w:r>
              <w:t>“</w:t>
            </w:r>
            <w:r>
              <w:t>管中管</w:t>
            </w:r>
            <w:r>
              <w:t>”</w:t>
            </w:r>
            <w:r>
              <w:t>成型工艺，保温层采用硬质聚氨脂泡沫聚乙烯防腐保温层（保温层厚</w:t>
            </w:r>
            <w:r>
              <w:t>40mm</w:t>
            </w:r>
            <w:r>
              <w:t>），防腐层采用环氧粉末；防护层采用聚乙烯层，酸气管道补口采用现场发泡，补口防腐采用无溶剂液体环氧涂料</w:t>
            </w:r>
            <w:r>
              <w:t>+</w:t>
            </w:r>
            <w:r>
              <w:t>粘弹体胶带</w:t>
            </w:r>
            <w:r>
              <w:t>+</w:t>
            </w:r>
            <w:r>
              <w:t>聚乙烯袖套管</w:t>
            </w:r>
            <w:r>
              <w:t>+</w:t>
            </w:r>
            <w:r>
              <w:t>粘弹体胶带</w:t>
            </w:r>
            <w:r>
              <w:t>+</w:t>
            </w:r>
            <w:r>
              <w:t>辐射交联聚乙烯热收缩带；燃料气管线采用机械强度高，耐磨耐冲击，耐化学介质腐蚀，抗植物根茎穿透，吸水性低，使用寿命长，电绝缘性好，使用寿命长的加强级三层</w:t>
            </w:r>
            <w:r>
              <w:t>PE</w:t>
            </w:r>
            <w:r>
              <w:t>防腐层，管道补口采用辐射交联聚乙烯热收缩套。</w:t>
            </w:r>
          </w:p>
        </w:tc>
        <w:tc>
          <w:tcPr>
            <w:tcW w:w="617" w:type="pct"/>
            <w:vMerge w:val="restart"/>
            <w:vAlign w:val="center"/>
          </w:tcPr>
          <w:p w:rsidR="00BD5820" w:rsidRDefault="00F64314">
            <w:pPr>
              <w:pStyle w:val="aff2"/>
            </w:pPr>
            <w:r>
              <w:t>噪声</w:t>
            </w:r>
          </w:p>
          <w:p w:rsidR="00BD5820" w:rsidRDefault="00F64314">
            <w:pPr>
              <w:pStyle w:val="aff2"/>
            </w:pPr>
            <w:r>
              <w:t>水土流失</w:t>
            </w:r>
          </w:p>
          <w:p w:rsidR="00BD5820" w:rsidRDefault="00F64314">
            <w:pPr>
              <w:pStyle w:val="aff2"/>
            </w:pPr>
            <w:r>
              <w:t>植物破坏</w:t>
            </w:r>
          </w:p>
        </w:tc>
        <w:tc>
          <w:tcPr>
            <w:tcW w:w="471" w:type="pct"/>
            <w:tcBorders>
              <w:bottom w:val="single" w:sz="2" w:space="0" w:color="000000"/>
            </w:tcBorders>
            <w:vAlign w:val="center"/>
          </w:tcPr>
          <w:p w:rsidR="00BD5820" w:rsidRDefault="00F64314">
            <w:pPr>
              <w:pStyle w:val="aff2"/>
            </w:pPr>
            <w:r>
              <w:t>/</w:t>
            </w:r>
          </w:p>
        </w:tc>
      </w:tr>
      <w:tr w:rsidR="00BD5820" w:rsidTr="001F394E">
        <w:trPr>
          <w:trHeight w:val="18"/>
          <w:jc w:val="center"/>
        </w:trPr>
        <w:tc>
          <w:tcPr>
            <w:tcW w:w="269" w:type="pct"/>
            <w:vMerge/>
            <w:vAlign w:val="center"/>
          </w:tcPr>
          <w:p w:rsidR="00BD5820" w:rsidRDefault="00BD5820">
            <w:pPr>
              <w:pStyle w:val="aff2"/>
            </w:pPr>
          </w:p>
        </w:tc>
        <w:tc>
          <w:tcPr>
            <w:tcW w:w="484" w:type="pct"/>
            <w:vAlign w:val="center"/>
          </w:tcPr>
          <w:p w:rsidR="00BD5820" w:rsidRDefault="00F64314">
            <w:pPr>
              <w:pStyle w:val="aff2"/>
            </w:pPr>
            <w:r>
              <w:t>管道阴极保护</w:t>
            </w:r>
          </w:p>
        </w:tc>
        <w:tc>
          <w:tcPr>
            <w:tcW w:w="3159" w:type="pct"/>
            <w:gridSpan w:val="2"/>
            <w:vAlign w:val="center"/>
          </w:tcPr>
          <w:p w:rsidR="00BD5820" w:rsidRDefault="00F64314">
            <w:pPr>
              <w:pStyle w:val="aff2"/>
            </w:pPr>
            <w:r>
              <w:rPr>
                <w:rFonts w:hint="eastAsia"/>
              </w:rPr>
              <w:t>本项目</w:t>
            </w:r>
            <w:r w:rsidR="001F394E" w:rsidRPr="001F394E">
              <w:rPr>
                <w:rFonts w:hint="eastAsia"/>
                <w:color w:val="FF0000"/>
              </w:rPr>
              <w:t>普光气田</w:t>
            </w:r>
            <w:r w:rsidR="001F394E" w:rsidRPr="001F394E">
              <w:rPr>
                <w:rFonts w:hint="eastAsia"/>
                <w:color w:val="FF0000"/>
              </w:rPr>
              <w:t>1#</w:t>
            </w:r>
            <w:r w:rsidR="001F394E" w:rsidRPr="001F394E">
              <w:rPr>
                <w:rFonts w:hint="eastAsia"/>
                <w:color w:val="FF0000"/>
              </w:rPr>
              <w:t>增压站</w:t>
            </w:r>
            <w:r>
              <w:t>新建阴极保护站</w:t>
            </w:r>
            <w:r>
              <w:t>1</w:t>
            </w:r>
            <w:r>
              <w:t>座。实施强制电流阴极保护。</w:t>
            </w:r>
          </w:p>
        </w:tc>
        <w:tc>
          <w:tcPr>
            <w:tcW w:w="617" w:type="pct"/>
            <w:vMerge/>
            <w:vAlign w:val="center"/>
          </w:tcPr>
          <w:p w:rsidR="00BD5820" w:rsidRDefault="00BD5820">
            <w:pPr>
              <w:pStyle w:val="aff2"/>
            </w:pPr>
          </w:p>
        </w:tc>
        <w:tc>
          <w:tcPr>
            <w:tcW w:w="471" w:type="pct"/>
            <w:tcBorders>
              <w:top w:val="single" w:sz="2" w:space="0" w:color="000000"/>
              <w:bottom w:val="single" w:sz="2" w:space="0" w:color="000000"/>
            </w:tcBorders>
            <w:vAlign w:val="center"/>
          </w:tcPr>
          <w:p w:rsidR="00BD5820" w:rsidRDefault="00F64314">
            <w:pPr>
              <w:pStyle w:val="aff2"/>
            </w:pPr>
            <w:r>
              <w:t>/</w:t>
            </w:r>
          </w:p>
        </w:tc>
      </w:tr>
      <w:tr w:rsidR="00BD5820" w:rsidTr="001F394E">
        <w:trPr>
          <w:trHeight w:val="18"/>
          <w:jc w:val="center"/>
        </w:trPr>
        <w:tc>
          <w:tcPr>
            <w:tcW w:w="269" w:type="pct"/>
            <w:vMerge/>
            <w:vAlign w:val="center"/>
          </w:tcPr>
          <w:p w:rsidR="00BD5820" w:rsidRDefault="00BD5820">
            <w:pPr>
              <w:pStyle w:val="aff2"/>
            </w:pPr>
          </w:p>
        </w:tc>
        <w:tc>
          <w:tcPr>
            <w:tcW w:w="484" w:type="pct"/>
            <w:vAlign w:val="center"/>
          </w:tcPr>
          <w:p w:rsidR="00BD5820" w:rsidRDefault="00F64314">
            <w:pPr>
              <w:pStyle w:val="aff2"/>
            </w:pPr>
            <w:r>
              <w:t>探伤检测</w:t>
            </w:r>
          </w:p>
        </w:tc>
        <w:tc>
          <w:tcPr>
            <w:tcW w:w="3159" w:type="pct"/>
            <w:gridSpan w:val="2"/>
            <w:vAlign w:val="center"/>
          </w:tcPr>
          <w:p w:rsidR="00BD5820" w:rsidRDefault="00F64314">
            <w:pPr>
              <w:pStyle w:val="aff2"/>
            </w:pPr>
            <w:r>
              <w:t>管道焊缝进行</w:t>
            </w:r>
            <w:r>
              <w:t>100%</w:t>
            </w:r>
            <w:r>
              <w:t>超声波探伤检测，检测合格后，再采取</w:t>
            </w:r>
            <w:r>
              <w:t>100%</w:t>
            </w:r>
            <w:r>
              <w:t>的射线探伤复检。工程探伤检验由专业队伍开展，应按照《工业</w:t>
            </w:r>
            <w:r>
              <w:t>X</w:t>
            </w:r>
            <w:r>
              <w:t>射线探伤放射防护要求》（</w:t>
            </w:r>
            <w:r>
              <w:t>GBZ117-2015</w:t>
            </w:r>
            <w:r>
              <w:t>）对管道探伤射线复验进行。不在本次评价范围内。</w:t>
            </w:r>
          </w:p>
        </w:tc>
        <w:tc>
          <w:tcPr>
            <w:tcW w:w="617" w:type="pct"/>
            <w:vMerge/>
            <w:vAlign w:val="center"/>
          </w:tcPr>
          <w:p w:rsidR="00BD5820" w:rsidRDefault="00BD5820">
            <w:pPr>
              <w:pStyle w:val="aff2"/>
            </w:pPr>
          </w:p>
        </w:tc>
        <w:tc>
          <w:tcPr>
            <w:tcW w:w="471" w:type="pct"/>
            <w:tcBorders>
              <w:top w:val="single" w:sz="2" w:space="0" w:color="000000"/>
              <w:bottom w:val="single" w:sz="2" w:space="0" w:color="000000"/>
            </w:tcBorders>
            <w:vAlign w:val="center"/>
          </w:tcPr>
          <w:p w:rsidR="00BD5820" w:rsidRDefault="00F64314">
            <w:pPr>
              <w:pStyle w:val="aff2"/>
            </w:pPr>
            <w:r>
              <w:t>/</w:t>
            </w:r>
          </w:p>
        </w:tc>
      </w:tr>
      <w:tr w:rsidR="00BD5820" w:rsidTr="001F394E">
        <w:trPr>
          <w:trHeight w:val="18"/>
          <w:jc w:val="center"/>
        </w:trPr>
        <w:tc>
          <w:tcPr>
            <w:tcW w:w="269" w:type="pct"/>
            <w:vMerge/>
            <w:vAlign w:val="center"/>
          </w:tcPr>
          <w:p w:rsidR="00BD5820" w:rsidRDefault="00BD5820">
            <w:pPr>
              <w:pStyle w:val="aff2"/>
            </w:pPr>
          </w:p>
        </w:tc>
        <w:tc>
          <w:tcPr>
            <w:tcW w:w="484" w:type="pct"/>
            <w:vAlign w:val="center"/>
          </w:tcPr>
          <w:p w:rsidR="00BD5820" w:rsidRDefault="00F64314">
            <w:pPr>
              <w:pStyle w:val="aff2"/>
            </w:pPr>
            <w:r>
              <w:t>通讯工程</w:t>
            </w:r>
          </w:p>
        </w:tc>
        <w:tc>
          <w:tcPr>
            <w:tcW w:w="3159" w:type="pct"/>
            <w:gridSpan w:val="2"/>
            <w:vAlign w:val="center"/>
          </w:tcPr>
          <w:p w:rsidR="00BD5820" w:rsidRDefault="00F64314">
            <w:pPr>
              <w:snapToGrid w:val="0"/>
              <w:spacing w:line="240" w:lineRule="auto"/>
              <w:ind w:firstLineChars="0" w:firstLine="0"/>
              <w:jc w:val="center"/>
              <w:rPr>
                <w:rFonts w:ascii="Times New Roman" w:cs="Times New Roman"/>
                <w:kern w:val="2"/>
                <w:sz w:val="21"/>
              </w:rPr>
            </w:pPr>
            <w:r>
              <w:rPr>
                <w:rFonts w:ascii="Times New Roman" w:cs="Times New Roman"/>
                <w:kern w:val="2"/>
                <w:sz w:val="21"/>
              </w:rPr>
              <w:t>含光缆线路、光传输系统、工业以太网、站场广播对讲系统（</w:t>
            </w:r>
            <w:r>
              <w:rPr>
                <w:rFonts w:ascii="Times New Roman" w:cs="Times New Roman"/>
                <w:kern w:val="2"/>
                <w:sz w:val="21"/>
              </w:rPr>
              <w:t>PA/GA</w:t>
            </w:r>
            <w:r>
              <w:rPr>
                <w:rFonts w:ascii="Times New Roman" w:cs="Times New Roman"/>
                <w:kern w:val="2"/>
                <w:sz w:val="21"/>
              </w:rPr>
              <w:t>）、工业电视监控系统、周界报警系统、办公网及语音系统、气象系统、紧急疏散广播系统扩容、通信基站。</w:t>
            </w:r>
          </w:p>
        </w:tc>
        <w:tc>
          <w:tcPr>
            <w:tcW w:w="617" w:type="pct"/>
            <w:vMerge/>
            <w:vAlign w:val="center"/>
          </w:tcPr>
          <w:p w:rsidR="00BD5820" w:rsidRDefault="00BD5820">
            <w:pPr>
              <w:pStyle w:val="aff2"/>
            </w:pPr>
          </w:p>
        </w:tc>
        <w:tc>
          <w:tcPr>
            <w:tcW w:w="471" w:type="pct"/>
            <w:tcBorders>
              <w:top w:val="single" w:sz="2" w:space="0" w:color="000000"/>
              <w:bottom w:val="single" w:sz="2" w:space="0" w:color="000000"/>
            </w:tcBorders>
            <w:vAlign w:val="center"/>
          </w:tcPr>
          <w:p w:rsidR="00BD5820" w:rsidRDefault="00F64314">
            <w:pPr>
              <w:pStyle w:val="aff2"/>
            </w:pPr>
            <w:r>
              <w:t>/</w:t>
            </w:r>
          </w:p>
        </w:tc>
      </w:tr>
      <w:tr w:rsidR="00BD5820" w:rsidTr="001F394E">
        <w:trPr>
          <w:trHeight w:val="115"/>
          <w:jc w:val="center"/>
        </w:trPr>
        <w:tc>
          <w:tcPr>
            <w:tcW w:w="269" w:type="pct"/>
            <w:vMerge/>
            <w:vAlign w:val="center"/>
          </w:tcPr>
          <w:p w:rsidR="00BD5820" w:rsidRDefault="00BD5820">
            <w:pPr>
              <w:pStyle w:val="aff2"/>
            </w:pPr>
          </w:p>
        </w:tc>
        <w:tc>
          <w:tcPr>
            <w:tcW w:w="484" w:type="pct"/>
            <w:vAlign w:val="center"/>
          </w:tcPr>
          <w:p w:rsidR="00BD5820" w:rsidRDefault="00F64314">
            <w:pPr>
              <w:pStyle w:val="aff2"/>
            </w:pPr>
            <w:r>
              <w:t>自动控制</w:t>
            </w:r>
          </w:p>
        </w:tc>
        <w:tc>
          <w:tcPr>
            <w:tcW w:w="3159" w:type="pct"/>
            <w:gridSpan w:val="2"/>
            <w:tcBorders>
              <w:bottom w:val="single" w:sz="2" w:space="0" w:color="000000"/>
            </w:tcBorders>
            <w:vAlign w:val="center"/>
          </w:tcPr>
          <w:p w:rsidR="00BD5820" w:rsidRDefault="00F64314">
            <w:pPr>
              <w:snapToGrid w:val="0"/>
              <w:spacing w:line="240" w:lineRule="auto"/>
              <w:ind w:firstLineChars="0" w:firstLine="0"/>
              <w:jc w:val="center"/>
              <w:rPr>
                <w:rFonts w:ascii="Times New Roman" w:cs="Times New Roman"/>
                <w:kern w:val="2"/>
                <w:sz w:val="21"/>
              </w:rPr>
            </w:pPr>
            <w:r>
              <w:rPr>
                <w:rFonts w:ascii="Times New Roman" w:cs="Times New Roman"/>
                <w:kern w:val="2"/>
                <w:sz w:val="21"/>
              </w:rPr>
              <w:t>过程控制系统（</w:t>
            </w:r>
            <w:r>
              <w:rPr>
                <w:rFonts w:ascii="Times New Roman" w:cs="Times New Roman"/>
                <w:kern w:val="2"/>
                <w:sz w:val="21"/>
              </w:rPr>
              <w:t>PCS</w:t>
            </w:r>
            <w:r>
              <w:rPr>
                <w:rFonts w:ascii="Times New Roman" w:cs="Times New Roman"/>
                <w:kern w:val="2"/>
                <w:sz w:val="21"/>
              </w:rPr>
              <w:t>）和安全仪表系统（</w:t>
            </w:r>
            <w:r>
              <w:rPr>
                <w:rFonts w:ascii="Times New Roman" w:cs="Times New Roman"/>
                <w:kern w:val="2"/>
                <w:sz w:val="21"/>
              </w:rPr>
              <w:t>SIS</w:t>
            </w:r>
            <w:r>
              <w:rPr>
                <w:rFonts w:ascii="Times New Roman" w:cs="Times New Roman"/>
                <w:kern w:val="2"/>
                <w:sz w:val="21"/>
              </w:rPr>
              <w:t>）</w:t>
            </w:r>
          </w:p>
        </w:tc>
        <w:tc>
          <w:tcPr>
            <w:tcW w:w="617" w:type="pct"/>
            <w:vMerge/>
            <w:vAlign w:val="center"/>
          </w:tcPr>
          <w:p w:rsidR="00BD5820" w:rsidRDefault="00BD5820">
            <w:pPr>
              <w:ind w:firstLine="480"/>
              <w:rPr>
                <w:rFonts w:ascii="Times New Roman" w:cs="Times New Roman"/>
              </w:rPr>
            </w:pPr>
          </w:p>
        </w:tc>
        <w:tc>
          <w:tcPr>
            <w:tcW w:w="471" w:type="pct"/>
            <w:tcBorders>
              <w:top w:val="single" w:sz="2" w:space="0" w:color="000000"/>
              <w:bottom w:val="single" w:sz="2" w:space="0" w:color="000000"/>
            </w:tcBorders>
            <w:vAlign w:val="center"/>
          </w:tcPr>
          <w:p w:rsidR="00BD5820" w:rsidRDefault="00F64314">
            <w:pPr>
              <w:ind w:firstLineChars="150" w:firstLine="360"/>
              <w:rPr>
                <w:rFonts w:ascii="Times New Roman" w:cs="Times New Roman"/>
              </w:rPr>
            </w:pPr>
            <w:r>
              <w:rPr>
                <w:rFonts w:ascii="Times New Roman" w:cs="Times New Roman"/>
              </w:rPr>
              <w:t>/</w:t>
            </w:r>
          </w:p>
        </w:tc>
      </w:tr>
      <w:tr w:rsidR="00BD5820" w:rsidTr="001F394E">
        <w:trPr>
          <w:trHeight w:val="116"/>
          <w:jc w:val="center"/>
        </w:trPr>
        <w:tc>
          <w:tcPr>
            <w:tcW w:w="269" w:type="pct"/>
            <w:vMerge/>
            <w:vAlign w:val="center"/>
          </w:tcPr>
          <w:p w:rsidR="00BD5820" w:rsidRDefault="00BD5820">
            <w:pPr>
              <w:pStyle w:val="aff2"/>
            </w:pPr>
          </w:p>
        </w:tc>
        <w:tc>
          <w:tcPr>
            <w:tcW w:w="484" w:type="pct"/>
            <w:vAlign w:val="center"/>
          </w:tcPr>
          <w:p w:rsidR="00BD5820" w:rsidRDefault="00F64314">
            <w:pPr>
              <w:pStyle w:val="aff2"/>
            </w:pPr>
            <w:r>
              <w:t>给排水工程</w:t>
            </w:r>
          </w:p>
        </w:tc>
        <w:tc>
          <w:tcPr>
            <w:tcW w:w="3159" w:type="pct"/>
            <w:gridSpan w:val="2"/>
            <w:tcBorders>
              <w:top w:val="single" w:sz="2" w:space="0" w:color="000000"/>
              <w:bottom w:val="single" w:sz="2" w:space="0" w:color="000000"/>
            </w:tcBorders>
            <w:vAlign w:val="center"/>
          </w:tcPr>
          <w:p w:rsidR="00BD5820" w:rsidRDefault="00F64314">
            <w:pPr>
              <w:snapToGrid w:val="0"/>
              <w:spacing w:line="240" w:lineRule="auto"/>
              <w:ind w:firstLineChars="0" w:firstLine="0"/>
              <w:jc w:val="center"/>
              <w:rPr>
                <w:rFonts w:ascii="Times New Roman" w:cs="Times New Roman"/>
                <w:kern w:val="2"/>
                <w:sz w:val="21"/>
              </w:rPr>
            </w:pPr>
            <w:r>
              <w:rPr>
                <w:rFonts w:ascii="Times New Roman" w:cs="Times New Roman" w:hint="eastAsia"/>
                <w:kern w:val="2"/>
                <w:sz w:val="21"/>
              </w:rPr>
              <w:t>站场</w:t>
            </w:r>
            <w:r>
              <w:rPr>
                <w:rFonts w:ascii="Times New Roman" w:cs="Times New Roman"/>
                <w:kern w:val="2"/>
                <w:sz w:val="21"/>
              </w:rPr>
              <w:t>生活、生产用水采用罐车拉水的方式，车拉水卸至站场高架水箱，由水箱供给单井站生产生活用水；</w:t>
            </w:r>
            <w:r>
              <w:rPr>
                <w:rFonts w:ascii="Times New Roman" w:cs="Times New Roman" w:hint="eastAsia"/>
                <w:kern w:val="2"/>
                <w:sz w:val="21"/>
              </w:rPr>
              <w:t>施工期</w:t>
            </w:r>
            <w:r>
              <w:rPr>
                <w:rFonts w:hint="eastAsia"/>
                <w:spacing w:val="-8"/>
                <w:sz w:val="21"/>
                <w:szCs w:val="21"/>
              </w:rPr>
              <w:t>入厕生活污水依托</w:t>
            </w:r>
            <w:r>
              <w:rPr>
                <w:spacing w:val="-8"/>
                <w:sz w:val="21"/>
                <w:szCs w:val="21"/>
              </w:rPr>
              <w:t>经</w:t>
            </w:r>
            <w:r>
              <w:rPr>
                <w:bCs/>
                <w:spacing w:val="-8"/>
                <w:sz w:val="21"/>
                <w:szCs w:val="21"/>
              </w:rPr>
              <w:t>生态环保厕所收集处理</w:t>
            </w:r>
            <w:r>
              <w:rPr>
                <w:sz w:val="21"/>
                <w:szCs w:val="21"/>
              </w:rPr>
              <w:t>后，用作周边农肥，不外排</w:t>
            </w:r>
            <w:r>
              <w:rPr>
                <w:rFonts w:hint="eastAsia"/>
                <w:sz w:val="21"/>
                <w:szCs w:val="21"/>
              </w:rPr>
              <w:t>；员工洗澡、食堂废水经单独收集后拉运至普光镇场镇污水处理厂</w:t>
            </w:r>
            <w:r>
              <w:rPr>
                <w:rFonts w:hint="eastAsia"/>
                <w:sz w:val="21"/>
                <w:szCs w:val="21"/>
              </w:rPr>
              <w:lastRenderedPageBreak/>
              <w:t>处理</w:t>
            </w:r>
            <w:r>
              <w:rPr>
                <w:rFonts w:ascii="Times New Roman" w:cs="Times New Roman"/>
                <w:kern w:val="2"/>
                <w:sz w:val="21"/>
              </w:rPr>
              <w:t>；雨水依托站内排水沟散排。</w:t>
            </w:r>
          </w:p>
        </w:tc>
        <w:tc>
          <w:tcPr>
            <w:tcW w:w="617" w:type="pct"/>
            <w:vMerge/>
            <w:vAlign w:val="center"/>
          </w:tcPr>
          <w:p w:rsidR="00BD5820" w:rsidRDefault="00BD5820">
            <w:pPr>
              <w:ind w:firstLine="480"/>
              <w:rPr>
                <w:rFonts w:ascii="Times New Roman" w:cs="Times New Roman"/>
              </w:rPr>
            </w:pPr>
          </w:p>
        </w:tc>
        <w:tc>
          <w:tcPr>
            <w:tcW w:w="471" w:type="pct"/>
            <w:tcBorders>
              <w:top w:val="single" w:sz="2" w:space="0" w:color="000000"/>
              <w:bottom w:val="single" w:sz="2" w:space="0" w:color="000000"/>
            </w:tcBorders>
            <w:vAlign w:val="center"/>
          </w:tcPr>
          <w:p w:rsidR="00BD5820" w:rsidRDefault="00F64314">
            <w:pPr>
              <w:pStyle w:val="aff2"/>
            </w:pPr>
            <w:r>
              <w:t>/</w:t>
            </w:r>
          </w:p>
        </w:tc>
      </w:tr>
      <w:tr w:rsidR="00BD5820" w:rsidTr="001F394E">
        <w:trPr>
          <w:trHeight w:val="116"/>
          <w:jc w:val="center"/>
        </w:trPr>
        <w:tc>
          <w:tcPr>
            <w:tcW w:w="269" w:type="pct"/>
            <w:vMerge/>
            <w:vAlign w:val="center"/>
          </w:tcPr>
          <w:p w:rsidR="00BD5820" w:rsidRDefault="00BD5820">
            <w:pPr>
              <w:pStyle w:val="aff2"/>
            </w:pPr>
          </w:p>
        </w:tc>
        <w:tc>
          <w:tcPr>
            <w:tcW w:w="484" w:type="pct"/>
            <w:vAlign w:val="center"/>
          </w:tcPr>
          <w:p w:rsidR="00BD5820" w:rsidRDefault="00F64314">
            <w:pPr>
              <w:pStyle w:val="aff2"/>
            </w:pPr>
            <w:r>
              <w:t>供配电</w:t>
            </w:r>
          </w:p>
        </w:tc>
        <w:tc>
          <w:tcPr>
            <w:tcW w:w="3159" w:type="pct"/>
            <w:gridSpan w:val="2"/>
            <w:tcBorders>
              <w:top w:val="single" w:sz="2" w:space="0" w:color="000000"/>
              <w:bottom w:val="single" w:sz="2" w:space="0" w:color="000000"/>
            </w:tcBorders>
            <w:vAlign w:val="center"/>
          </w:tcPr>
          <w:p w:rsidR="00BD5820" w:rsidRDefault="00F64314">
            <w:pPr>
              <w:snapToGrid w:val="0"/>
              <w:spacing w:line="240" w:lineRule="auto"/>
              <w:ind w:firstLineChars="0" w:firstLine="0"/>
              <w:jc w:val="center"/>
              <w:rPr>
                <w:rFonts w:ascii="Times New Roman" w:cs="Times New Roman"/>
                <w:kern w:val="2"/>
                <w:sz w:val="21"/>
              </w:rPr>
            </w:pPr>
            <w:r>
              <w:rPr>
                <w:rFonts w:ascii="Times New Roman" w:cs="Times New Roman"/>
                <w:kern w:val="2"/>
                <w:sz w:val="21"/>
              </w:rPr>
              <w:t>站内</w:t>
            </w:r>
            <w:r>
              <w:rPr>
                <w:rFonts w:ascii="Times New Roman" w:cs="Times New Roman" w:hint="eastAsia"/>
                <w:kern w:val="2"/>
                <w:sz w:val="21"/>
              </w:rPr>
              <w:t>分别</w:t>
            </w:r>
            <w:r>
              <w:rPr>
                <w:rFonts w:ascii="Times New Roman" w:cs="Times New Roman"/>
                <w:kern w:val="2"/>
                <w:sz w:val="21"/>
              </w:rPr>
              <w:t>设电力小屋</w:t>
            </w:r>
            <w:r>
              <w:rPr>
                <w:rFonts w:ascii="Times New Roman" w:cs="Times New Roman"/>
                <w:kern w:val="2"/>
                <w:sz w:val="21"/>
              </w:rPr>
              <w:t>1</w:t>
            </w:r>
            <w:r>
              <w:rPr>
                <w:rFonts w:ascii="Times New Roman" w:cs="Times New Roman"/>
                <w:kern w:val="2"/>
                <w:sz w:val="21"/>
              </w:rPr>
              <w:t>座，内设</w:t>
            </w:r>
            <w:r>
              <w:rPr>
                <w:rFonts w:ascii="Times New Roman" w:cs="Times New Roman"/>
                <w:kern w:val="2"/>
                <w:sz w:val="21"/>
              </w:rPr>
              <w:t>35kV</w:t>
            </w:r>
            <w:r>
              <w:rPr>
                <w:rFonts w:ascii="Times New Roman" w:cs="Times New Roman"/>
                <w:kern w:val="2"/>
                <w:sz w:val="21"/>
              </w:rPr>
              <w:t>高压开关柜、干式变压器柜、低压配电柜和</w:t>
            </w:r>
            <w:r>
              <w:rPr>
                <w:rFonts w:ascii="Times New Roman" w:cs="Times New Roman"/>
                <w:kern w:val="2"/>
                <w:sz w:val="21"/>
              </w:rPr>
              <w:t>UPS</w:t>
            </w:r>
            <w:r>
              <w:rPr>
                <w:rFonts w:ascii="Times New Roman" w:cs="Times New Roman"/>
                <w:kern w:val="2"/>
                <w:sz w:val="21"/>
              </w:rPr>
              <w:t>装置。</w:t>
            </w:r>
          </w:p>
        </w:tc>
        <w:tc>
          <w:tcPr>
            <w:tcW w:w="617" w:type="pct"/>
            <w:vMerge/>
            <w:vAlign w:val="center"/>
          </w:tcPr>
          <w:p w:rsidR="00BD5820" w:rsidRDefault="00BD5820">
            <w:pPr>
              <w:ind w:firstLine="480"/>
              <w:rPr>
                <w:rFonts w:ascii="Times New Roman" w:cs="Times New Roman"/>
              </w:rPr>
            </w:pPr>
          </w:p>
        </w:tc>
        <w:tc>
          <w:tcPr>
            <w:tcW w:w="471" w:type="pct"/>
            <w:tcBorders>
              <w:top w:val="single" w:sz="2" w:space="0" w:color="000000"/>
              <w:bottom w:val="single" w:sz="2" w:space="0" w:color="000000"/>
            </w:tcBorders>
            <w:vAlign w:val="center"/>
          </w:tcPr>
          <w:p w:rsidR="00BD5820" w:rsidRDefault="00F64314">
            <w:pPr>
              <w:pStyle w:val="aff2"/>
            </w:pPr>
            <w:r>
              <w:t>/</w:t>
            </w:r>
          </w:p>
        </w:tc>
      </w:tr>
      <w:tr w:rsidR="00BD5820" w:rsidTr="001F394E">
        <w:trPr>
          <w:trHeight w:val="116"/>
          <w:jc w:val="center"/>
        </w:trPr>
        <w:tc>
          <w:tcPr>
            <w:tcW w:w="269" w:type="pct"/>
            <w:vMerge/>
            <w:vAlign w:val="center"/>
          </w:tcPr>
          <w:p w:rsidR="00BD5820" w:rsidRDefault="00BD5820">
            <w:pPr>
              <w:pStyle w:val="aff2"/>
            </w:pPr>
          </w:p>
        </w:tc>
        <w:tc>
          <w:tcPr>
            <w:tcW w:w="484" w:type="pct"/>
            <w:vAlign w:val="center"/>
          </w:tcPr>
          <w:p w:rsidR="00BD5820" w:rsidRDefault="00F64314">
            <w:pPr>
              <w:pStyle w:val="aff2"/>
            </w:pPr>
            <w:r>
              <w:rPr>
                <w:szCs w:val="21"/>
              </w:rPr>
              <w:t>管道标识</w:t>
            </w:r>
          </w:p>
        </w:tc>
        <w:tc>
          <w:tcPr>
            <w:tcW w:w="3159" w:type="pct"/>
            <w:gridSpan w:val="2"/>
            <w:tcBorders>
              <w:top w:val="single" w:sz="2" w:space="0" w:color="000000"/>
              <w:bottom w:val="single" w:sz="2" w:space="0" w:color="000000"/>
            </w:tcBorders>
            <w:vAlign w:val="center"/>
          </w:tcPr>
          <w:p w:rsidR="00BD5820" w:rsidRDefault="00F64314">
            <w:pPr>
              <w:snapToGrid w:val="0"/>
              <w:spacing w:line="240" w:lineRule="auto"/>
              <w:ind w:firstLineChars="0" w:firstLine="0"/>
              <w:jc w:val="center"/>
              <w:rPr>
                <w:rFonts w:ascii="Times New Roman" w:cs="Times New Roman"/>
                <w:kern w:val="2"/>
                <w:sz w:val="21"/>
                <w:szCs w:val="21"/>
              </w:rPr>
            </w:pPr>
            <w:r>
              <w:rPr>
                <w:sz w:val="21"/>
                <w:szCs w:val="21"/>
              </w:rPr>
              <w:t>管道标志桩、警示牌、警示带</w:t>
            </w:r>
          </w:p>
        </w:tc>
        <w:tc>
          <w:tcPr>
            <w:tcW w:w="617" w:type="pct"/>
            <w:vMerge/>
            <w:vAlign w:val="center"/>
          </w:tcPr>
          <w:p w:rsidR="00BD5820" w:rsidRDefault="00BD5820">
            <w:pPr>
              <w:ind w:firstLine="480"/>
              <w:rPr>
                <w:rFonts w:ascii="Times New Roman" w:cs="Times New Roman"/>
              </w:rPr>
            </w:pPr>
          </w:p>
        </w:tc>
        <w:tc>
          <w:tcPr>
            <w:tcW w:w="471" w:type="pct"/>
            <w:tcBorders>
              <w:top w:val="single" w:sz="2" w:space="0" w:color="000000"/>
              <w:bottom w:val="single" w:sz="2" w:space="0" w:color="000000"/>
            </w:tcBorders>
            <w:vAlign w:val="center"/>
          </w:tcPr>
          <w:p w:rsidR="00BD5820" w:rsidRDefault="00F64314">
            <w:pPr>
              <w:pStyle w:val="aff2"/>
            </w:pPr>
            <w:r>
              <w:t>/</w:t>
            </w:r>
          </w:p>
        </w:tc>
      </w:tr>
      <w:tr w:rsidR="00BD5820" w:rsidTr="001F394E">
        <w:trPr>
          <w:trHeight w:val="18"/>
          <w:jc w:val="center"/>
        </w:trPr>
        <w:tc>
          <w:tcPr>
            <w:tcW w:w="269" w:type="pct"/>
            <w:vMerge/>
            <w:vAlign w:val="center"/>
          </w:tcPr>
          <w:p w:rsidR="00BD5820" w:rsidRDefault="00BD5820">
            <w:pPr>
              <w:pStyle w:val="aff2"/>
            </w:pPr>
          </w:p>
        </w:tc>
        <w:tc>
          <w:tcPr>
            <w:tcW w:w="484" w:type="pct"/>
            <w:vAlign w:val="center"/>
          </w:tcPr>
          <w:p w:rsidR="00BD5820" w:rsidRDefault="00F64314">
            <w:pPr>
              <w:pStyle w:val="aff2"/>
            </w:pPr>
            <w:r>
              <w:rPr>
                <w:rFonts w:hint="eastAsia"/>
              </w:rPr>
              <w:t>进场道路</w:t>
            </w:r>
          </w:p>
        </w:tc>
        <w:tc>
          <w:tcPr>
            <w:tcW w:w="3159" w:type="pct"/>
            <w:gridSpan w:val="2"/>
            <w:tcBorders>
              <w:top w:val="single" w:sz="2" w:space="0" w:color="000000"/>
            </w:tcBorders>
            <w:vAlign w:val="center"/>
          </w:tcPr>
          <w:p w:rsidR="00BD5820" w:rsidRDefault="00F64314">
            <w:pPr>
              <w:pStyle w:val="aff2"/>
            </w:pPr>
            <w:r>
              <w:rPr>
                <w:rFonts w:hint="eastAsia"/>
                <w:szCs w:val="21"/>
              </w:rPr>
              <w:t>普光气田</w:t>
            </w:r>
            <w:r>
              <w:rPr>
                <w:rFonts w:hint="eastAsia"/>
                <w:szCs w:val="21"/>
              </w:rPr>
              <w:t>1#</w:t>
            </w:r>
            <w:r>
              <w:rPr>
                <w:rFonts w:hint="eastAsia"/>
                <w:szCs w:val="21"/>
              </w:rPr>
              <w:t>增压站新建进场道路</w:t>
            </w:r>
            <w:r>
              <w:rPr>
                <w:rFonts w:hint="eastAsia"/>
                <w:szCs w:val="21"/>
              </w:rPr>
              <w:t>200m</w:t>
            </w:r>
            <w:r>
              <w:rPr>
                <w:rFonts w:hint="eastAsia"/>
                <w:szCs w:val="21"/>
              </w:rPr>
              <w:t>，</w:t>
            </w:r>
            <w:r>
              <w:rPr>
                <w:rFonts w:hint="eastAsia"/>
              </w:rPr>
              <w:t>宽</w:t>
            </w:r>
            <w:r>
              <w:rPr>
                <w:rFonts w:hint="eastAsia"/>
              </w:rPr>
              <w:t>4m</w:t>
            </w:r>
            <w:r>
              <w:rPr>
                <w:rFonts w:hint="eastAsia"/>
                <w:szCs w:val="21"/>
              </w:rPr>
              <w:t>，</w:t>
            </w:r>
            <w:r>
              <w:rPr>
                <w:rFonts w:hint="eastAsia"/>
              </w:rPr>
              <w:t>位于站场西侧</w:t>
            </w:r>
            <w:r>
              <w:rPr>
                <w:rFonts w:hint="eastAsia"/>
                <w:szCs w:val="21"/>
              </w:rPr>
              <w:t>普光气田</w:t>
            </w:r>
            <w:r>
              <w:rPr>
                <w:rFonts w:hint="eastAsia"/>
                <w:szCs w:val="21"/>
              </w:rPr>
              <w:t>2#</w:t>
            </w:r>
            <w:r>
              <w:rPr>
                <w:rFonts w:hint="eastAsia"/>
                <w:szCs w:val="21"/>
              </w:rPr>
              <w:t>增压站</w:t>
            </w:r>
            <w:r>
              <w:rPr>
                <w:rFonts w:hint="eastAsia"/>
              </w:rPr>
              <w:t>依托现有进场道路</w:t>
            </w:r>
            <w:r>
              <w:rPr>
                <w:rFonts w:hint="eastAsia"/>
              </w:rPr>
              <w:t>200m</w:t>
            </w:r>
            <w:r>
              <w:rPr>
                <w:rFonts w:hint="eastAsia"/>
              </w:rPr>
              <w:t>，宽</w:t>
            </w:r>
            <w:r>
              <w:rPr>
                <w:rFonts w:hint="eastAsia"/>
              </w:rPr>
              <w:t>4m</w:t>
            </w:r>
            <w:r>
              <w:rPr>
                <w:rFonts w:hint="eastAsia"/>
              </w:rPr>
              <w:t>，位于站场西北侧</w:t>
            </w:r>
          </w:p>
        </w:tc>
        <w:tc>
          <w:tcPr>
            <w:tcW w:w="617" w:type="pct"/>
            <w:vMerge/>
            <w:vAlign w:val="center"/>
          </w:tcPr>
          <w:p w:rsidR="00BD5820" w:rsidRDefault="00BD5820">
            <w:pPr>
              <w:pStyle w:val="aff2"/>
            </w:pPr>
          </w:p>
        </w:tc>
        <w:tc>
          <w:tcPr>
            <w:tcW w:w="471" w:type="pct"/>
            <w:tcBorders>
              <w:top w:val="single" w:sz="2" w:space="0" w:color="000000"/>
            </w:tcBorders>
            <w:vAlign w:val="center"/>
          </w:tcPr>
          <w:p w:rsidR="00BD5820" w:rsidRDefault="00F64314">
            <w:pPr>
              <w:pStyle w:val="aff2"/>
            </w:pPr>
            <w:r>
              <w:t>/</w:t>
            </w:r>
          </w:p>
        </w:tc>
      </w:tr>
      <w:tr w:rsidR="00BD5820" w:rsidTr="001F394E">
        <w:trPr>
          <w:trHeight w:val="18"/>
          <w:jc w:val="center"/>
        </w:trPr>
        <w:tc>
          <w:tcPr>
            <w:tcW w:w="269" w:type="pct"/>
            <w:vAlign w:val="center"/>
          </w:tcPr>
          <w:p w:rsidR="00BD5820" w:rsidRDefault="00F64314">
            <w:pPr>
              <w:pStyle w:val="aff2"/>
            </w:pPr>
            <w:r>
              <w:rPr>
                <w:rFonts w:hint="eastAsia"/>
              </w:rPr>
              <w:t>仓储工程</w:t>
            </w:r>
          </w:p>
        </w:tc>
        <w:tc>
          <w:tcPr>
            <w:tcW w:w="484" w:type="pct"/>
            <w:vAlign w:val="center"/>
          </w:tcPr>
          <w:p w:rsidR="00BD5820" w:rsidRDefault="00F64314">
            <w:pPr>
              <w:pStyle w:val="aff2"/>
            </w:pPr>
            <w:r>
              <w:rPr>
                <w:bCs/>
              </w:rPr>
              <w:t>润滑油储罐</w:t>
            </w:r>
          </w:p>
        </w:tc>
        <w:tc>
          <w:tcPr>
            <w:tcW w:w="3159" w:type="pct"/>
            <w:gridSpan w:val="2"/>
            <w:tcBorders>
              <w:top w:val="single" w:sz="2" w:space="0" w:color="000000"/>
            </w:tcBorders>
            <w:vAlign w:val="center"/>
          </w:tcPr>
          <w:p w:rsidR="00BD5820" w:rsidRDefault="00F64314">
            <w:pPr>
              <w:pStyle w:val="aff2"/>
            </w:pPr>
            <w:r>
              <w:rPr>
                <w:rFonts w:hint="eastAsia"/>
              </w:rPr>
              <w:t>2</w:t>
            </w:r>
            <w:r>
              <w:rPr>
                <w:rFonts w:hint="eastAsia"/>
              </w:rPr>
              <w:t>座</w:t>
            </w:r>
            <w:r>
              <w:t>润滑油罐，</w:t>
            </w:r>
            <w:r>
              <w:rPr>
                <w:rFonts w:hint="eastAsia"/>
              </w:rPr>
              <w:t>D1000</w:t>
            </w:r>
            <w:r>
              <w:rPr>
                <w:rFonts w:hint="eastAsia"/>
              </w:rPr>
              <w:t>×</w:t>
            </w:r>
            <w:r>
              <w:rPr>
                <w:rFonts w:hint="eastAsia"/>
              </w:rPr>
              <w:t>2400</w:t>
            </w:r>
            <w:r>
              <w:rPr>
                <w:rFonts w:hint="eastAsia"/>
              </w:rPr>
              <w:t>×</w:t>
            </w:r>
            <w:r>
              <w:rPr>
                <w:rFonts w:hint="eastAsia"/>
              </w:rPr>
              <w:t>6</w:t>
            </w:r>
            <w:r>
              <w:rPr>
                <w:rFonts w:hint="eastAsia"/>
              </w:rPr>
              <w:t>，分别位于</w:t>
            </w:r>
            <w:r>
              <w:rPr>
                <w:rFonts w:hint="eastAsia"/>
                <w:szCs w:val="21"/>
              </w:rPr>
              <w:t>普光气田</w:t>
            </w:r>
            <w:r>
              <w:rPr>
                <w:rFonts w:hint="eastAsia"/>
                <w:szCs w:val="21"/>
              </w:rPr>
              <w:t>1#</w:t>
            </w:r>
            <w:r>
              <w:rPr>
                <w:rFonts w:hint="eastAsia"/>
                <w:szCs w:val="21"/>
              </w:rPr>
              <w:t>增压站内和普光气田</w:t>
            </w:r>
            <w:r>
              <w:rPr>
                <w:rFonts w:hint="eastAsia"/>
                <w:szCs w:val="21"/>
              </w:rPr>
              <w:t>2#</w:t>
            </w:r>
            <w:r>
              <w:rPr>
                <w:rFonts w:hint="eastAsia"/>
                <w:szCs w:val="21"/>
              </w:rPr>
              <w:t>增压站内</w:t>
            </w:r>
          </w:p>
        </w:tc>
        <w:tc>
          <w:tcPr>
            <w:tcW w:w="617" w:type="pct"/>
            <w:vAlign w:val="center"/>
          </w:tcPr>
          <w:p w:rsidR="00BD5820" w:rsidRDefault="00F64314">
            <w:pPr>
              <w:pStyle w:val="aff2"/>
            </w:pPr>
            <w:r>
              <w:t>噪声</w:t>
            </w:r>
          </w:p>
          <w:p w:rsidR="00BD5820" w:rsidRDefault="00F64314">
            <w:pPr>
              <w:pStyle w:val="aff2"/>
            </w:pPr>
            <w:r>
              <w:t>水土流失</w:t>
            </w:r>
          </w:p>
          <w:p w:rsidR="00BD5820" w:rsidRDefault="00F64314">
            <w:pPr>
              <w:pStyle w:val="aff2"/>
            </w:pPr>
            <w:r>
              <w:t>植物破坏</w:t>
            </w:r>
          </w:p>
        </w:tc>
        <w:tc>
          <w:tcPr>
            <w:tcW w:w="471" w:type="pct"/>
            <w:tcBorders>
              <w:top w:val="single" w:sz="2" w:space="0" w:color="000000"/>
            </w:tcBorders>
            <w:vAlign w:val="center"/>
          </w:tcPr>
          <w:p w:rsidR="00BD5820" w:rsidRDefault="00F64314">
            <w:pPr>
              <w:pStyle w:val="aff2"/>
            </w:pPr>
            <w:r>
              <w:rPr>
                <w:rFonts w:hint="eastAsia"/>
              </w:rPr>
              <w:t>废油</w:t>
            </w:r>
          </w:p>
          <w:p w:rsidR="00BD5820" w:rsidRDefault="00F64314">
            <w:pPr>
              <w:pStyle w:val="aff2"/>
            </w:pPr>
            <w:r>
              <w:rPr>
                <w:rFonts w:hint="eastAsia"/>
              </w:rPr>
              <w:t>环境风险</w:t>
            </w:r>
          </w:p>
        </w:tc>
      </w:tr>
      <w:tr w:rsidR="00BD5820" w:rsidTr="001F394E">
        <w:trPr>
          <w:trHeight w:val="18"/>
          <w:jc w:val="center"/>
        </w:trPr>
        <w:tc>
          <w:tcPr>
            <w:tcW w:w="269" w:type="pct"/>
            <w:vAlign w:val="center"/>
          </w:tcPr>
          <w:p w:rsidR="00BD5820" w:rsidRDefault="00F64314">
            <w:pPr>
              <w:pStyle w:val="aff2"/>
            </w:pPr>
            <w:r>
              <w:t>办公工程</w:t>
            </w:r>
          </w:p>
        </w:tc>
        <w:tc>
          <w:tcPr>
            <w:tcW w:w="484" w:type="pct"/>
            <w:vAlign w:val="center"/>
          </w:tcPr>
          <w:p w:rsidR="00BD5820" w:rsidRDefault="00F64314">
            <w:pPr>
              <w:pStyle w:val="aff2"/>
            </w:pPr>
            <w:r>
              <w:rPr>
                <w:rFonts w:hint="eastAsia"/>
              </w:rPr>
              <w:t>值班室</w:t>
            </w:r>
          </w:p>
        </w:tc>
        <w:tc>
          <w:tcPr>
            <w:tcW w:w="3159" w:type="pct"/>
            <w:gridSpan w:val="2"/>
            <w:tcBorders>
              <w:top w:val="single" w:sz="2" w:space="0" w:color="000000"/>
            </w:tcBorders>
            <w:vAlign w:val="center"/>
          </w:tcPr>
          <w:p w:rsidR="00BD5820" w:rsidRDefault="00F64314">
            <w:pPr>
              <w:pStyle w:val="aff2"/>
            </w:pPr>
            <w:r>
              <w:rPr>
                <w:rFonts w:hint="eastAsia"/>
              </w:rPr>
              <w:t>分别位于</w:t>
            </w:r>
            <w:r>
              <w:rPr>
                <w:rFonts w:hint="eastAsia"/>
              </w:rPr>
              <w:t>P102</w:t>
            </w:r>
            <w:r>
              <w:rPr>
                <w:rFonts w:hint="eastAsia"/>
              </w:rPr>
              <w:t>集气站场东侧内和净化厂内，项目运营期依托</w:t>
            </w:r>
            <w:r>
              <w:rPr>
                <w:rFonts w:hint="eastAsia"/>
              </w:rPr>
              <w:t>P102</w:t>
            </w:r>
            <w:r>
              <w:rPr>
                <w:rFonts w:hint="eastAsia"/>
              </w:rPr>
              <w:t>集气站和净化厂。</w:t>
            </w:r>
          </w:p>
        </w:tc>
        <w:tc>
          <w:tcPr>
            <w:tcW w:w="617" w:type="pct"/>
            <w:vAlign w:val="center"/>
          </w:tcPr>
          <w:p w:rsidR="00BD5820" w:rsidRDefault="00F64314">
            <w:pPr>
              <w:pStyle w:val="aff2"/>
            </w:pPr>
            <w:r>
              <w:t>/</w:t>
            </w:r>
          </w:p>
        </w:tc>
        <w:tc>
          <w:tcPr>
            <w:tcW w:w="471" w:type="pct"/>
            <w:tcBorders>
              <w:top w:val="single" w:sz="2" w:space="0" w:color="000000"/>
            </w:tcBorders>
            <w:vAlign w:val="center"/>
          </w:tcPr>
          <w:p w:rsidR="00BD5820" w:rsidRDefault="00F64314">
            <w:pPr>
              <w:pStyle w:val="aff2"/>
            </w:pPr>
            <w:r>
              <w:t>/</w:t>
            </w:r>
          </w:p>
        </w:tc>
      </w:tr>
      <w:tr w:rsidR="00BD5820" w:rsidTr="001F394E">
        <w:trPr>
          <w:trHeight w:val="378"/>
          <w:jc w:val="center"/>
        </w:trPr>
        <w:tc>
          <w:tcPr>
            <w:tcW w:w="269" w:type="pct"/>
            <w:vMerge w:val="restart"/>
            <w:vAlign w:val="center"/>
          </w:tcPr>
          <w:p w:rsidR="00BD5820" w:rsidRDefault="00F64314">
            <w:pPr>
              <w:pStyle w:val="aff2"/>
            </w:pPr>
            <w:r>
              <w:t>临时工程</w:t>
            </w:r>
          </w:p>
        </w:tc>
        <w:tc>
          <w:tcPr>
            <w:tcW w:w="484" w:type="pct"/>
            <w:vAlign w:val="center"/>
          </w:tcPr>
          <w:p w:rsidR="00BD5820" w:rsidRDefault="00F64314">
            <w:pPr>
              <w:pStyle w:val="aff2"/>
            </w:pPr>
            <w:r>
              <w:t>水土保持</w:t>
            </w:r>
          </w:p>
        </w:tc>
        <w:tc>
          <w:tcPr>
            <w:tcW w:w="3159" w:type="pct"/>
            <w:gridSpan w:val="2"/>
            <w:vAlign w:val="center"/>
          </w:tcPr>
          <w:p w:rsidR="00BD5820" w:rsidRDefault="00F64314">
            <w:pPr>
              <w:pStyle w:val="aff2"/>
            </w:pPr>
            <w:r>
              <w:t>做好护坡、堡坎和排水设施。</w:t>
            </w:r>
          </w:p>
        </w:tc>
        <w:tc>
          <w:tcPr>
            <w:tcW w:w="617" w:type="pct"/>
            <w:vMerge w:val="restart"/>
            <w:vAlign w:val="center"/>
          </w:tcPr>
          <w:p w:rsidR="00BD5820" w:rsidRDefault="00F64314">
            <w:pPr>
              <w:pStyle w:val="aff2"/>
            </w:pPr>
            <w:r>
              <w:t>水土流失</w:t>
            </w:r>
          </w:p>
          <w:p w:rsidR="00BD5820" w:rsidRDefault="00F64314">
            <w:pPr>
              <w:pStyle w:val="aff2"/>
            </w:pPr>
            <w:r>
              <w:t>植物破坏</w:t>
            </w:r>
          </w:p>
        </w:tc>
        <w:tc>
          <w:tcPr>
            <w:tcW w:w="471" w:type="pct"/>
            <w:vMerge w:val="restart"/>
            <w:vAlign w:val="center"/>
          </w:tcPr>
          <w:p w:rsidR="00BD5820" w:rsidRDefault="00F64314">
            <w:pPr>
              <w:pStyle w:val="aff2"/>
            </w:pPr>
            <w:r>
              <w:t>/</w:t>
            </w:r>
          </w:p>
        </w:tc>
      </w:tr>
      <w:tr w:rsidR="00BD5820" w:rsidTr="001F394E">
        <w:trPr>
          <w:trHeight w:val="378"/>
          <w:jc w:val="center"/>
        </w:trPr>
        <w:tc>
          <w:tcPr>
            <w:tcW w:w="269" w:type="pct"/>
            <w:vMerge/>
            <w:vAlign w:val="center"/>
          </w:tcPr>
          <w:p w:rsidR="00BD5820" w:rsidRDefault="00BD5820">
            <w:pPr>
              <w:pStyle w:val="aff2"/>
            </w:pPr>
          </w:p>
        </w:tc>
        <w:tc>
          <w:tcPr>
            <w:tcW w:w="484" w:type="pct"/>
            <w:vAlign w:val="center"/>
          </w:tcPr>
          <w:p w:rsidR="00BD5820" w:rsidRDefault="00F64314">
            <w:pPr>
              <w:pStyle w:val="aff2"/>
            </w:pPr>
            <w:r>
              <w:t>弃</w:t>
            </w:r>
            <w:r>
              <w:rPr>
                <w:rFonts w:hint="eastAsia"/>
              </w:rPr>
              <w:t>土</w:t>
            </w:r>
            <w:r>
              <w:t>场</w:t>
            </w:r>
          </w:p>
        </w:tc>
        <w:tc>
          <w:tcPr>
            <w:tcW w:w="3159" w:type="pct"/>
            <w:gridSpan w:val="2"/>
            <w:vAlign w:val="center"/>
          </w:tcPr>
          <w:p w:rsidR="00BD5820" w:rsidRDefault="00F64314">
            <w:pPr>
              <w:pStyle w:val="aff2"/>
            </w:pPr>
            <w:r>
              <w:t>项目</w:t>
            </w:r>
            <w:r>
              <w:rPr>
                <w:rFonts w:hint="eastAsia"/>
              </w:rPr>
              <w:t>不设弃土场</w:t>
            </w:r>
          </w:p>
        </w:tc>
        <w:tc>
          <w:tcPr>
            <w:tcW w:w="617" w:type="pct"/>
            <w:vMerge/>
            <w:vAlign w:val="center"/>
          </w:tcPr>
          <w:p w:rsidR="00BD5820" w:rsidRDefault="00BD5820">
            <w:pPr>
              <w:pStyle w:val="aff2"/>
            </w:pPr>
          </w:p>
        </w:tc>
        <w:tc>
          <w:tcPr>
            <w:tcW w:w="471" w:type="pct"/>
            <w:vMerge/>
            <w:vAlign w:val="center"/>
          </w:tcPr>
          <w:p w:rsidR="00BD5820" w:rsidRDefault="00BD5820">
            <w:pPr>
              <w:pStyle w:val="aff2"/>
            </w:pPr>
          </w:p>
        </w:tc>
      </w:tr>
      <w:tr w:rsidR="00BD5820" w:rsidTr="001F394E">
        <w:trPr>
          <w:trHeight w:val="378"/>
          <w:jc w:val="center"/>
        </w:trPr>
        <w:tc>
          <w:tcPr>
            <w:tcW w:w="269" w:type="pct"/>
            <w:vMerge/>
            <w:vAlign w:val="center"/>
          </w:tcPr>
          <w:p w:rsidR="00BD5820" w:rsidRDefault="00BD5820">
            <w:pPr>
              <w:pStyle w:val="aff2"/>
            </w:pPr>
          </w:p>
        </w:tc>
        <w:tc>
          <w:tcPr>
            <w:tcW w:w="484" w:type="pct"/>
            <w:vAlign w:val="center"/>
          </w:tcPr>
          <w:p w:rsidR="00BD5820" w:rsidRDefault="00F64314">
            <w:pPr>
              <w:pStyle w:val="aff2"/>
            </w:pPr>
            <w:r>
              <w:t>表土堆场</w:t>
            </w:r>
          </w:p>
        </w:tc>
        <w:tc>
          <w:tcPr>
            <w:tcW w:w="3159" w:type="pct"/>
            <w:gridSpan w:val="2"/>
            <w:vAlign w:val="center"/>
          </w:tcPr>
          <w:p w:rsidR="00BD5820" w:rsidRDefault="00F64314">
            <w:pPr>
              <w:pStyle w:val="aff2"/>
            </w:pPr>
            <w:r>
              <w:rPr>
                <w:rFonts w:hint="eastAsia"/>
              </w:rPr>
              <w:t>设置专门的表土堆场对表土进行暂存，表土堆场</w:t>
            </w:r>
            <w:r>
              <w:t>位于</w:t>
            </w:r>
            <w:r>
              <w:rPr>
                <w:rFonts w:hint="eastAsia"/>
              </w:rPr>
              <w:t>北斗</w:t>
            </w:r>
            <w:r>
              <w:t>村</w:t>
            </w:r>
            <w:r>
              <w:rPr>
                <w:rFonts w:hint="eastAsia"/>
              </w:rPr>
              <w:t>，施工结束后表土全部回用于绿化、复耕盖土等。</w:t>
            </w:r>
          </w:p>
        </w:tc>
        <w:tc>
          <w:tcPr>
            <w:tcW w:w="617" w:type="pct"/>
            <w:vMerge/>
            <w:vAlign w:val="center"/>
          </w:tcPr>
          <w:p w:rsidR="00BD5820" w:rsidRDefault="00BD5820">
            <w:pPr>
              <w:pStyle w:val="aff2"/>
            </w:pPr>
          </w:p>
        </w:tc>
        <w:tc>
          <w:tcPr>
            <w:tcW w:w="471" w:type="pct"/>
            <w:vMerge/>
            <w:vAlign w:val="center"/>
          </w:tcPr>
          <w:p w:rsidR="00BD5820" w:rsidRDefault="00BD5820">
            <w:pPr>
              <w:pStyle w:val="aff2"/>
            </w:pPr>
          </w:p>
        </w:tc>
      </w:tr>
      <w:tr w:rsidR="00BD5820" w:rsidTr="001F394E">
        <w:trPr>
          <w:trHeight w:val="378"/>
          <w:jc w:val="center"/>
        </w:trPr>
        <w:tc>
          <w:tcPr>
            <w:tcW w:w="269" w:type="pct"/>
            <w:vMerge/>
            <w:vAlign w:val="center"/>
          </w:tcPr>
          <w:p w:rsidR="00BD5820" w:rsidRDefault="00BD5820">
            <w:pPr>
              <w:pStyle w:val="aff2"/>
            </w:pPr>
          </w:p>
        </w:tc>
        <w:tc>
          <w:tcPr>
            <w:tcW w:w="484" w:type="pct"/>
            <w:vAlign w:val="center"/>
          </w:tcPr>
          <w:p w:rsidR="00BD5820" w:rsidRDefault="00F64314">
            <w:pPr>
              <w:pStyle w:val="aff2"/>
            </w:pPr>
            <w:r>
              <w:t>原料堆场</w:t>
            </w:r>
          </w:p>
        </w:tc>
        <w:tc>
          <w:tcPr>
            <w:tcW w:w="3159" w:type="pct"/>
            <w:gridSpan w:val="2"/>
            <w:vAlign w:val="center"/>
          </w:tcPr>
          <w:p w:rsidR="00BD5820" w:rsidRDefault="00F64314">
            <w:pPr>
              <w:pStyle w:val="aff2"/>
            </w:pPr>
            <w:r>
              <w:t>设置</w:t>
            </w:r>
            <w:r>
              <w:rPr>
                <w:rFonts w:hint="eastAsia"/>
              </w:rPr>
              <w:t>2</w:t>
            </w:r>
            <w:r>
              <w:t>个堆管场</w:t>
            </w:r>
            <w:r>
              <w:rPr>
                <w:rFonts w:hint="eastAsia"/>
              </w:rPr>
              <w:t>，均</w:t>
            </w:r>
            <w:r>
              <w:t>位于</w:t>
            </w:r>
            <w:r>
              <w:rPr>
                <w:rFonts w:hint="eastAsia"/>
              </w:rPr>
              <w:t>北斗</w:t>
            </w:r>
            <w:r>
              <w:t>村，占地</w:t>
            </w:r>
            <w:r>
              <w:rPr>
                <w:rFonts w:hint="eastAsia"/>
              </w:rPr>
              <w:t>面积分别为</w:t>
            </w:r>
            <w:r>
              <w:rPr>
                <w:rFonts w:hint="eastAsia"/>
              </w:rPr>
              <w:t>360</w:t>
            </w:r>
            <w:r>
              <w:t>m</w:t>
            </w:r>
            <w:r>
              <w:rPr>
                <w:vertAlign w:val="superscript"/>
              </w:rPr>
              <w:t>2</w:t>
            </w:r>
            <w:r>
              <w:rPr>
                <w:rFonts w:hint="eastAsia"/>
              </w:rPr>
              <w:t>和</w:t>
            </w:r>
            <w:r>
              <w:rPr>
                <w:rFonts w:hint="eastAsia"/>
              </w:rPr>
              <w:t>860</w:t>
            </w:r>
            <w:r>
              <w:t>m</w:t>
            </w:r>
            <w:r>
              <w:rPr>
                <w:vertAlign w:val="superscript"/>
              </w:rPr>
              <w:t>2</w:t>
            </w:r>
            <w:r>
              <w:t>，临时堆放管道。</w:t>
            </w:r>
          </w:p>
        </w:tc>
        <w:tc>
          <w:tcPr>
            <w:tcW w:w="617" w:type="pct"/>
            <w:vMerge/>
            <w:vAlign w:val="center"/>
          </w:tcPr>
          <w:p w:rsidR="00BD5820" w:rsidRDefault="00BD5820">
            <w:pPr>
              <w:pStyle w:val="aff2"/>
            </w:pPr>
          </w:p>
        </w:tc>
        <w:tc>
          <w:tcPr>
            <w:tcW w:w="471" w:type="pct"/>
            <w:vMerge/>
            <w:vAlign w:val="center"/>
          </w:tcPr>
          <w:p w:rsidR="00BD5820" w:rsidRDefault="00BD5820">
            <w:pPr>
              <w:pStyle w:val="aff2"/>
            </w:pPr>
          </w:p>
        </w:tc>
      </w:tr>
      <w:tr w:rsidR="00BD5820" w:rsidTr="001F394E">
        <w:trPr>
          <w:trHeight w:val="378"/>
          <w:jc w:val="center"/>
        </w:trPr>
        <w:tc>
          <w:tcPr>
            <w:tcW w:w="269" w:type="pct"/>
            <w:vMerge/>
            <w:vAlign w:val="center"/>
          </w:tcPr>
          <w:p w:rsidR="00BD5820" w:rsidRDefault="00BD5820">
            <w:pPr>
              <w:pStyle w:val="aff2"/>
            </w:pPr>
          </w:p>
        </w:tc>
        <w:tc>
          <w:tcPr>
            <w:tcW w:w="484" w:type="pct"/>
            <w:vAlign w:val="center"/>
          </w:tcPr>
          <w:p w:rsidR="00BD5820" w:rsidRDefault="00F64314">
            <w:pPr>
              <w:pStyle w:val="aff2"/>
            </w:pPr>
            <w:r>
              <w:t>道路工程</w:t>
            </w:r>
          </w:p>
        </w:tc>
        <w:tc>
          <w:tcPr>
            <w:tcW w:w="3159" w:type="pct"/>
            <w:gridSpan w:val="2"/>
            <w:vAlign w:val="center"/>
          </w:tcPr>
          <w:p w:rsidR="00BD5820" w:rsidRDefault="00F64314">
            <w:pPr>
              <w:pStyle w:val="aff2"/>
            </w:pPr>
            <w:r>
              <w:t>充分利用现有道路，局部困难路段修建施工便道，通过挖填路基，建必要的护坡挡土墙、边沟等。新建</w:t>
            </w:r>
            <w:r>
              <w:rPr>
                <w:rFonts w:hint="eastAsia"/>
              </w:rPr>
              <w:t>2</w:t>
            </w:r>
            <w:r>
              <w:rPr>
                <w:rFonts w:hint="eastAsia"/>
              </w:rPr>
              <w:t>处</w:t>
            </w:r>
            <w:r>
              <w:t>施工便道</w:t>
            </w:r>
            <w:r>
              <w:rPr>
                <w:rFonts w:hint="eastAsia"/>
              </w:rPr>
              <w:t>，长度分别为</w:t>
            </w:r>
            <w:r>
              <w:rPr>
                <w:rFonts w:hint="eastAsia"/>
              </w:rPr>
              <w:t>105</w:t>
            </w:r>
            <w:r>
              <w:t>m</w:t>
            </w:r>
            <w:r>
              <w:rPr>
                <w:rFonts w:hint="eastAsia"/>
              </w:rPr>
              <w:t>和</w:t>
            </w:r>
            <w:r>
              <w:rPr>
                <w:rFonts w:hint="eastAsia"/>
              </w:rPr>
              <w:t>200m</w:t>
            </w:r>
            <w:r>
              <w:t>，宽度约为</w:t>
            </w:r>
            <w:r>
              <w:rPr>
                <w:rFonts w:hint="eastAsia"/>
              </w:rPr>
              <w:t>8</w:t>
            </w:r>
            <w:r>
              <w:t>m</w:t>
            </w:r>
            <w:r>
              <w:t>。</w:t>
            </w:r>
          </w:p>
        </w:tc>
        <w:tc>
          <w:tcPr>
            <w:tcW w:w="617" w:type="pct"/>
            <w:vMerge/>
            <w:vAlign w:val="center"/>
          </w:tcPr>
          <w:p w:rsidR="00BD5820" w:rsidRDefault="00BD5820">
            <w:pPr>
              <w:pStyle w:val="aff2"/>
            </w:pPr>
          </w:p>
        </w:tc>
        <w:tc>
          <w:tcPr>
            <w:tcW w:w="471" w:type="pct"/>
            <w:vMerge/>
            <w:vAlign w:val="center"/>
          </w:tcPr>
          <w:p w:rsidR="00BD5820" w:rsidRDefault="00BD5820">
            <w:pPr>
              <w:pStyle w:val="aff2"/>
            </w:pPr>
          </w:p>
        </w:tc>
      </w:tr>
      <w:tr w:rsidR="00BD5820" w:rsidTr="001F394E">
        <w:trPr>
          <w:trHeight w:val="378"/>
          <w:jc w:val="center"/>
        </w:trPr>
        <w:tc>
          <w:tcPr>
            <w:tcW w:w="269" w:type="pct"/>
            <w:vMerge/>
            <w:vAlign w:val="center"/>
          </w:tcPr>
          <w:p w:rsidR="00BD5820" w:rsidRDefault="00BD5820">
            <w:pPr>
              <w:pStyle w:val="aff2"/>
            </w:pPr>
          </w:p>
        </w:tc>
        <w:tc>
          <w:tcPr>
            <w:tcW w:w="484" w:type="pct"/>
            <w:vAlign w:val="center"/>
          </w:tcPr>
          <w:p w:rsidR="00BD5820" w:rsidRDefault="00F64314">
            <w:pPr>
              <w:pStyle w:val="aff2"/>
            </w:pPr>
            <w:r>
              <w:t>施工营地</w:t>
            </w:r>
          </w:p>
        </w:tc>
        <w:tc>
          <w:tcPr>
            <w:tcW w:w="3159" w:type="pct"/>
            <w:gridSpan w:val="2"/>
            <w:vAlign w:val="center"/>
          </w:tcPr>
          <w:p w:rsidR="00BD5820" w:rsidRDefault="00F64314">
            <w:pPr>
              <w:pStyle w:val="aff2"/>
            </w:pPr>
            <w:r>
              <w:t>不设营地，站场施工</w:t>
            </w:r>
            <w:r>
              <w:rPr>
                <w:rFonts w:hint="eastAsia"/>
              </w:rPr>
              <w:t>和管道</w:t>
            </w:r>
            <w:r>
              <w:t>员工生活租用附近居民房。</w:t>
            </w:r>
          </w:p>
        </w:tc>
        <w:tc>
          <w:tcPr>
            <w:tcW w:w="617" w:type="pct"/>
            <w:vMerge/>
            <w:vAlign w:val="center"/>
          </w:tcPr>
          <w:p w:rsidR="00BD5820" w:rsidRDefault="00BD5820">
            <w:pPr>
              <w:pStyle w:val="aff2"/>
            </w:pPr>
          </w:p>
        </w:tc>
        <w:tc>
          <w:tcPr>
            <w:tcW w:w="471" w:type="pct"/>
            <w:vMerge/>
            <w:vAlign w:val="center"/>
          </w:tcPr>
          <w:p w:rsidR="00BD5820" w:rsidRDefault="00BD5820">
            <w:pPr>
              <w:pStyle w:val="aff2"/>
            </w:pPr>
          </w:p>
        </w:tc>
      </w:tr>
      <w:tr w:rsidR="00BD5820" w:rsidTr="001F394E">
        <w:trPr>
          <w:trHeight w:val="18"/>
          <w:jc w:val="center"/>
        </w:trPr>
        <w:tc>
          <w:tcPr>
            <w:tcW w:w="269" w:type="pct"/>
            <w:vMerge w:val="restart"/>
            <w:vAlign w:val="center"/>
          </w:tcPr>
          <w:p w:rsidR="00BD5820" w:rsidRDefault="00F64314">
            <w:pPr>
              <w:pStyle w:val="aff2"/>
            </w:pPr>
            <w:r>
              <w:t>环保工程</w:t>
            </w:r>
          </w:p>
        </w:tc>
        <w:tc>
          <w:tcPr>
            <w:tcW w:w="484" w:type="pct"/>
            <w:vAlign w:val="center"/>
          </w:tcPr>
          <w:p w:rsidR="00BD5820" w:rsidRDefault="00F64314">
            <w:pPr>
              <w:pStyle w:val="aff2"/>
            </w:pPr>
            <w:r>
              <w:rPr>
                <w:szCs w:val="21"/>
              </w:rPr>
              <w:t>风险防范措施</w:t>
            </w:r>
          </w:p>
        </w:tc>
        <w:tc>
          <w:tcPr>
            <w:tcW w:w="3159" w:type="pct"/>
            <w:gridSpan w:val="2"/>
            <w:vAlign w:val="center"/>
          </w:tcPr>
          <w:p w:rsidR="00BD5820" w:rsidRDefault="00F64314">
            <w:pPr>
              <w:pStyle w:val="aff2"/>
            </w:pPr>
            <w:r>
              <w:rPr>
                <w:rFonts w:hint="eastAsia"/>
                <w:szCs w:val="21"/>
              </w:rPr>
              <w:t>加强天然气管线</w:t>
            </w:r>
            <w:r>
              <w:rPr>
                <w:szCs w:val="21"/>
              </w:rPr>
              <w:t>巡线和维护</w:t>
            </w:r>
            <w:r>
              <w:rPr>
                <w:rFonts w:hint="eastAsia"/>
                <w:szCs w:val="21"/>
              </w:rPr>
              <w:t>；</w:t>
            </w:r>
            <w:r>
              <w:rPr>
                <w:szCs w:val="21"/>
              </w:rPr>
              <w:t>制定天然气泄漏应急救援预案并定期演练</w:t>
            </w:r>
            <w:r>
              <w:rPr>
                <w:rFonts w:hint="eastAsia"/>
                <w:szCs w:val="21"/>
              </w:rPr>
              <w:t>；事</w:t>
            </w:r>
            <w:r>
              <w:rPr>
                <w:szCs w:val="21"/>
              </w:rPr>
              <w:t>故状态下管线及站场内天然气</w:t>
            </w:r>
            <w:r>
              <w:rPr>
                <w:rFonts w:hint="eastAsia"/>
                <w:szCs w:val="21"/>
              </w:rPr>
              <w:t>依托</w:t>
            </w:r>
            <w:r>
              <w:rPr>
                <w:szCs w:val="21"/>
              </w:rPr>
              <w:t>放</w:t>
            </w:r>
            <w:r>
              <w:rPr>
                <w:rFonts w:hint="eastAsia"/>
                <w:szCs w:val="21"/>
              </w:rPr>
              <w:t>空系统燃烧</w:t>
            </w:r>
            <w:r>
              <w:rPr>
                <w:szCs w:val="21"/>
              </w:rPr>
              <w:t>排放</w:t>
            </w:r>
            <w:r>
              <w:rPr>
                <w:rFonts w:hint="eastAsia"/>
                <w:szCs w:val="21"/>
              </w:rPr>
              <w:t>；润滑油储罐、</w:t>
            </w:r>
            <w:r>
              <w:rPr>
                <w:szCs w:val="21"/>
              </w:rPr>
              <w:t>污水罐四周设置防渗围堰</w:t>
            </w:r>
            <w:r>
              <w:rPr>
                <w:rFonts w:hint="eastAsia"/>
                <w:szCs w:val="21"/>
              </w:rPr>
              <w:t>。</w:t>
            </w:r>
          </w:p>
        </w:tc>
        <w:tc>
          <w:tcPr>
            <w:tcW w:w="617" w:type="pct"/>
            <w:vAlign w:val="center"/>
          </w:tcPr>
          <w:p w:rsidR="00BD5820" w:rsidRDefault="00F64314">
            <w:pPr>
              <w:pStyle w:val="aff2"/>
            </w:pPr>
            <w:r>
              <w:t>/</w:t>
            </w:r>
          </w:p>
        </w:tc>
        <w:tc>
          <w:tcPr>
            <w:tcW w:w="471" w:type="pct"/>
            <w:vAlign w:val="center"/>
          </w:tcPr>
          <w:p w:rsidR="00BD5820" w:rsidRDefault="00F64314">
            <w:pPr>
              <w:pStyle w:val="aff2"/>
            </w:pPr>
            <w:r>
              <w:t>/</w:t>
            </w:r>
          </w:p>
        </w:tc>
      </w:tr>
      <w:tr w:rsidR="00BD5820" w:rsidTr="001F394E">
        <w:trPr>
          <w:trHeight w:val="18"/>
          <w:jc w:val="center"/>
        </w:trPr>
        <w:tc>
          <w:tcPr>
            <w:tcW w:w="269" w:type="pct"/>
            <w:vMerge/>
            <w:vAlign w:val="center"/>
          </w:tcPr>
          <w:p w:rsidR="00BD5820" w:rsidRDefault="00BD5820">
            <w:pPr>
              <w:pStyle w:val="aff2"/>
            </w:pPr>
          </w:p>
        </w:tc>
        <w:tc>
          <w:tcPr>
            <w:tcW w:w="484" w:type="pct"/>
            <w:vMerge w:val="restart"/>
            <w:vAlign w:val="center"/>
          </w:tcPr>
          <w:p w:rsidR="00BD5820" w:rsidRDefault="00F64314">
            <w:pPr>
              <w:pStyle w:val="aff2"/>
            </w:pPr>
            <w:r>
              <w:t>施工期</w:t>
            </w:r>
          </w:p>
        </w:tc>
        <w:tc>
          <w:tcPr>
            <w:tcW w:w="353" w:type="pct"/>
            <w:vMerge w:val="restart"/>
            <w:vAlign w:val="center"/>
          </w:tcPr>
          <w:p w:rsidR="00BD5820" w:rsidRDefault="00F64314">
            <w:pPr>
              <w:pStyle w:val="aff2"/>
            </w:pPr>
            <w:r>
              <w:rPr>
                <w:szCs w:val="21"/>
              </w:rPr>
              <w:t>废气</w:t>
            </w:r>
          </w:p>
        </w:tc>
        <w:tc>
          <w:tcPr>
            <w:tcW w:w="2806" w:type="pct"/>
            <w:vAlign w:val="center"/>
          </w:tcPr>
          <w:p w:rsidR="00BD5820" w:rsidRDefault="00F64314">
            <w:pPr>
              <w:pStyle w:val="aff2"/>
            </w:pPr>
            <w:r>
              <w:rPr>
                <w:szCs w:val="21"/>
              </w:rPr>
              <w:t>采取覆盖防尘布、洒水降尘、道路洒水、车辆清洗，大风天气停止土方开挖作业</w:t>
            </w:r>
            <w:r>
              <w:rPr>
                <w:rFonts w:hint="eastAsia"/>
                <w:szCs w:val="21"/>
              </w:rPr>
              <w:t>，</w:t>
            </w:r>
            <w:r>
              <w:rPr>
                <w:szCs w:val="21"/>
              </w:rPr>
              <w:t>使用尾气达标机械车辆</w:t>
            </w:r>
            <w:r>
              <w:rPr>
                <w:rFonts w:hint="eastAsia"/>
                <w:szCs w:val="21"/>
              </w:rPr>
              <w:t>等措施</w:t>
            </w:r>
            <w:r>
              <w:rPr>
                <w:szCs w:val="21"/>
              </w:rPr>
              <w:t>。</w:t>
            </w:r>
          </w:p>
        </w:tc>
        <w:tc>
          <w:tcPr>
            <w:tcW w:w="617" w:type="pct"/>
            <w:vAlign w:val="center"/>
          </w:tcPr>
          <w:p w:rsidR="00BD5820" w:rsidRDefault="00F64314">
            <w:pPr>
              <w:pStyle w:val="aff2"/>
            </w:pPr>
            <w:r>
              <w:rPr>
                <w:rFonts w:hint="eastAsia"/>
                <w:szCs w:val="21"/>
              </w:rPr>
              <w:t>扬尘、</w:t>
            </w:r>
            <w:r>
              <w:rPr>
                <w:szCs w:val="21"/>
              </w:rPr>
              <w:t>燃烧废气</w:t>
            </w:r>
          </w:p>
        </w:tc>
        <w:tc>
          <w:tcPr>
            <w:tcW w:w="471" w:type="pct"/>
            <w:vAlign w:val="center"/>
          </w:tcPr>
          <w:p w:rsidR="00BD5820" w:rsidRDefault="00F64314">
            <w:pPr>
              <w:pStyle w:val="aff2"/>
            </w:pPr>
            <w:r>
              <w:rPr>
                <w:szCs w:val="21"/>
              </w:rPr>
              <w:t>/</w:t>
            </w:r>
          </w:p>
        </w:tc>
      </w:tr>
      <w:tr w:rsidR="00BD5820" w:rsidTr="001F394E">
        <w:trPr>
          <w:trHeight w:val="18"/>
          <w:jc w:val="center"/>
        </w:trPr>
        <w:tc>
          <w:tcPr>
            <w:tcW w:w="269" w:type="pct"/>
            <w:vMerge/>
            <w:vAlign w:val="center"/>
          </w:tcPr>
          <w:p w:rsidR="00BD5820" w:rsidRDefault="00BD5820">
            <w:pPr>
              <w:pStyle w:val="aff2"/>
            </w:pPr>
          </w:p>
        </w:tc>
        <w:tc>
          <w:tcPr>
            <w:tcW w:w="484" w:type="pct"/>
            <w:vMerge/>
            <w:vAlign w:val="center"/>
          </w:tcPr>
          <w:p w:rsidR="00BD5820" w:rsidRDefault="00BD5820">
            <w:pPr>
              <w:pStyle w:val="aff2"/>
            </w:pPr>
          </w:p>
        </w:tc>
        <w:tc>
          <w:tcPr>
            <w:tcW w:w="353" w:type="pct"/>
            <w:vMerge/>
            <w:vAlign w:val="center"/>
          </w:tcPr>
          <w:p w:rsidR="00BD5820" w:rsidRDefault="00BD5820">
            <w:pPr>
              <w:pStyle w:val="aff2"/>
              <w:rPr>
                <w:szCs w:val="21"/>
              </w:rPr>
            </w:pPr>
          </w:p>
        </w:tc>
        <w:tc>
          <w:tcPr>
            <w:tcW w:w="2806" w:type="pct"/>
            <w:vAlign w:val="center"/>
          </w:tcPr>
          <w:p w:rsidR="00BD5820" w:rsidRDefault="00F64314">
            <w:pPr>
              <w:pStyle w:val="aff2"/>
              <w:rPr>
                <w:szCs w:val="21"/>
              </w:rPr>
            </w:pPr>
            <w:r>
              <w:rPr>
                <w:rFonts w:hint="eastAsia"/>
                <w:szCs w:val="21"/>
              </w:rPr>
              <w:t>食堂油烟</w:t>
            </w:r>
            <w:r w:rsidRPr="001F394E">
              <w:rPr>
                <w:rFonts w:hint="eastAsia"/>
                <w:color w:val="FF0000"/>
                <w:szCs w:val="21"/>
              </w:rPr>
              <w:t>经</w:t>
            </w:r>
            <w:r w:rsidR="001F394E" w:rsidRPr="001F394E">
              <w:rPr>
                <w:rFonts w:hint="eastAsia"/>
                <w:color w:val="FF0000"/>
                <w:szCs w:val="21"/>
              </w:rPr>
              <w:t>新建</w:t>
            </w:r>
            <w:r>
              <w:rPr>
                <w:rFonts w:hint="eastAsia"/>
                <w:szCs w:val="21"/>
              </w:rPr>
              <w:t>油烟净化器处理后通过专用管道超屋顶排放</w:t>
            </w:r>
          </w:p>
        </w:tc>
        <w:tc>
          <w:tcPr>
            <w:tcW w:w="617" w:type="pct"/>
            <w:vAlign w:val="center"/>
          </w:tcPr>
          <w:p w:rsidR="00BD5820" w:rsidRDefault="00F64314">
            <w:pPr>
              <w:pStyle w:val="aff2"/>
              <w:rPr>
                <w:szCs w:val="21"/>
              </w:rPr>
            </w:pPr>
            <w:r>
              <w:rPr>
                <w:rFonts w:hint="eastAsia"/>
                <w:szCs w:val="21"/>
              </w:rPr>
              <w:t>食堂油烟</w:t>
            </w:r>
          </w:p>
        </w:tc>
        <w:tc>
          <w:tcPr>
            <w:tcW w:w="471" w:type="pct"/>
            <w:vAlign w:val="center"/>
          </w:tcPr>
          <w:p w:rsidR="00BD5820" w:rsidRDefault="00F64314">
            <w:pPr>
              <w:pStyle w:val="aff2"/>
              <w:rPr>
                <w:szCs w:val="21"/>
              </w:rPr>
            </w:pPr>
            <w:r>
              <w:rPr>
                <w:szCs w:val="21"/>
              </w:rPr>
              <w:t>/</w:t>
            </w:r>
          </w:p>
        </w:tc>
      </w:tr>
      <w:tr w:rsidR="00BD5820" w:rsidTr="001F394E">
        <w:trPr>
          <w:trHeight w:val="18"/>
          <w:jc w:val="center"/>
        </w:trPr>
        <w:tc>
          <w:tcPr>
            <w:tcW w:w="269" w:type="pct"/>
            <w:vMerge/>
            <w:vAlign w:val="center"/>
          </w:tcPr>
          <w:p w:rsidR="00BD5820" w:rsidRDefault="00BD5820">
            <w:pPr>
              <w:pStyle w:val="aff2"/>
            </w:pPr>
          </w:p>
        </w:tc>
        <w:tc>
          <w:tcPr>
            <w:tcW w:w="484" w:type="pct"/>
            <w:vMerge/>
            <w:vAlign w:val="center"/>
          </w:tcPr>
          <w:p w:rsidR="00BD5820" w:rsidRDefault="00BD5820">
            <w:pPr>
              <w:pStyle w:val="aff2"/>
            </w:pPr>
          </w:p>
        </w:tc>
        <w:tc>
          <w:tcPr>
            <w:tcW w:w="353" w:type="pct"/>
            <w:vAlign w:val="center"/>
          </w:tcPr>
          <w:p w:rsidR="00BD5820" w:rsidRDefault="00F64314">
            <w:pPr>
              <w:pStyle w:val="aff2"/>
            </w:pPr>
            <w:r>
              <w:rPr>
                <w:szCs w:val="21"/>
              </w:rPr>
              <w:t>废水</w:t>
            </w:r>
          </w:p>
        </w:tc>
        <w:tc>
          <w:tcPr>
            <w:tcW w:w="2806" w:type="pct"/>
            <w:vAlign w:val="center"/>
          </w:tcPr>
          <w:p w:rsidR="00BD5820" w:rsidRDefault="00F64314">
            <w:pPr>
              <w:pStyle w:val="aff2"/>
            </w:pPr>
            <w:r>
              <w:rPr>
                <w:spacing w:val="-8"/>
                <w:szCs w:val="21"/>
              </w:rPr>
              <w:t>施工期管线施工人员生活污水依托租用附近居民房收集处理</w:t>
            </w:r>
            <w:r>
              <w:rPr>
                <w:rFonts w:hint="eastAsia"/>
                <w:spacing w:val="-8"/>
                <w:szCs w:val="21"/>
              </w:rPr>
              <w:t>，站场</w:t>
            </w:r>
            <w:r>
              <w:rPr>
                <w:spacing w:val="-8"/>
                <w:szCs w:val="21"/>
              </w:rPr>
              <w:t>施工</w:t>
            </w:r>
            <w:r>
              <w:rPr>
                <w:rFonts w:hint="eastAsia"/>
                <w:spacing w:val="-8"/>
                <w:szCs w:val="21"/>
              </w:rPr>
              <w:t>入厕生活污水依托</w:t>
            </w:r>
            <w:r>
              <w:rPr>
                <w:spacing w:val="-8"/>
                <w:szCs w:val="21"/>
              </w:rPr>
              <w:t>经</w:t>
            </w:r>
            <w:r>
              <w:rPr>
                <w:bCs/>
                <w:spacing w:val="-8"/>
                <w:szCs w:val="21"/>
              </w:rPr>
              <w:t>生态环保厕所收集处理</w:t>
            </w:r>
            <w:r>
              <w:t>后，用作周边农肥，不外排</w:t>
            </w:r>
            <w:r>
              <w:rPr>
                <w:rFonts w:hint="eastAsia"/>
              </w:rPr>
              <w:t>；员工洗澡、食堂废水经单独收集后拉运至普光镇场镇污水处理厂处理</w:t>
            </w:r>
            <w:r>
              <w:rPr>
                <w:spacing w:val="-8"/>
                <w:szCs w:val="21"/>
              </w:rPr>
              <w:t>；</w:t>
            </w:r>
            <w:r>
              <w:rPr>
                <w:rFonts w:hint="eastAsia"/>
                <w:spacing w:val="-8"/>
                <w:szCs w:val="21"/>
              </w:rPr>
              <w:t>施工机械、车辆清洗废水经沉淀池</w:t>
            </w:r>
            <w:r>
              <w:rPr>
                <w:szCs w:val="21"/>
              </w:rPr>
              <w:t>（</w:t>
            </w:r>
            <w:r>
              <w:rPr>
                <w:szCs w:val="21"/>
              </w:rPr>
              <w:t>2m</w:t>
            </w:r>
            <w:r>
              <w:rPr>
                <w:szCs w:val="21"/>
                <w:vertAlign w:val="superscript"/>
              </w:rPr>
              <w:t>3</w:t>
            </w:r>
            <w:r>
              <w:rPr>
                <w:szCs w:val="21"/>
              </w:rPr>
              <w:t>）</w:t>
            </w:r>
            <w:r>
              <w:rPr>
                <w:rFonts w:hint="eastAsia"/>
                <w:spacing w:val="-8"/>
                <w:szCs w:val="21"/>
              </w:rPr>
              <w:t>沉淀后循环使用，不外排；清管试压废水经沉淀池沉淀后回用作绿化用水</w:t>
            </w:r>
            <w:r>
              <w:t>。</w:t>
            </w:r>
          </w:p>
        </w:tc>
        <w:tc>
          <w:tcPr>
            <w:tcW w:w="617" w:type="pct"/>
            <w:vAlign w:val="center"/>
          </w:tcPr>
          <w:p w:rsidR="00BD5820" w:rsidRDefault="00F64314">
            <w:pPr>
              <w:pStyle w:val="aff2"/>
            </w:pPr>
            <w:r>
              <w:rPr>
                <w:szCs w:val="21"/>
              </w:rPr>
              <w:t>/</w:t>
            </w:r>
          </w:p>
        </w:tc>
        <w:tc>
          <w:tcPr>
            <w:tcW w:w="471" w:type="pct"/>
            <w:vAlign w:val="center"/>
          </w:tcPr>
          <w:p w:rsidR="00BD5820" w:rsidRDefault="00F64314">
            <w:pPr>
              <w:pStyle w:val="aff2"/>
            </w:pPr>
            <w:r>
              <w:rPr>
                <w:szCs w:val="21"/>
              </w:rPr>
              <w:t>/</w:t>
            </w:r>
          </w:p>
        </w:tc>
      </w:tr>
      <w:tr w:rsidR="00BD5820" w:rsidTr="001F394E">
        <w:trPr>
          <w:trHeight w:val="18"/>
          <w:jc w:val="center"/>
        </w:trPr>
        <w:tc>
          <w:tcPr>
            <w:tcW w:w="269" w:type="pct"/>
            <w:vMerge/>
            <w:vAlign w:val="center"/>
          </w:tcPr>
          <w:p w:rsidR="00BD5820" w:rsidRDefault="00BD5820">
            <w:pPr>
              <w:pStyle w:val="aff2"/>
            </w:pPr>
          </w:p>
        </w:tc>
        <w:tc>
          <w:tcPr>
            <w:tcW w:w="484" w:type="pct"/>
            <w:vMerge/>
            <w:vAlign w:val="center"/>
          </w:tcPr>
          <w:p w:rsidR="00BD5820" w:rsidRDefault="00BD5820">
            <w:pPr>
              <w:pStyle w:val="aff2"/>
            </w:pPr>
          </w:p>
        </w:tc>
        <w:tc>
          <w:tcPr>
            <w:tcW w:w="353" w:type="pct"/>
            <w:vAlign w:val="center"/>
          </w:tcPr>
          <w:p w:rsidR="00BD5820" w:rsidRDefault="00F64314">
            <w:pPr>
              <w:pStyle w:val="aff2"/>
              <w:rPr>
                <w:szCs w:val="21"/>
              </w:rPr>
            </w:pPr>
            <w:r>
              <w:rPr>
                <w:szCs w:val="21"/>
              </w:rPr>
              <w:t>噪声</w:t>
            </w:r>
          </w:p>
        </w:tc>
        <w:tc>
          <w:tcPr>
            <w:tcW w:w="2806" w:type="pct"/>
            <w:vAlign w:val="center"/>
          </w:tcPr>
          <w:p w:rsidR="00BD5820" w:rsidRDefault="00F64314">
            <w:pPr>
              <w:pStyle w:val="aff2"/>
              <w:rPr>
                <w:spacing w:val="-8"/>
                <w:szCs w:val="21"/>
              </w:rPr>
            </w:pPr>
            <w:r>
              <w:rPr>
                <w:szCs w:val="21"/>
              </w:rPr>
              <w:t>采取合理安排作业时间，合理布置施工机械等措施</w:t>
            </w:r>
            <w:r>
              <w:rPr>
                <w:rFonts w:hint="eastAsia"/>
                <w:szCs w:val="21"/>
              </w:rPr>
              <w:t>，</w:t>
            </w:r>
            <w:r>
              <w:t>施工沿线居民集中点设挡声板</w:t>
            </w:r>
            <w:r>
              <w:rPr>
                <w:szCs w:val="21"/>
              </w:rPr>
              <w:t>。</w:t>
            </w:r>
          </w:p>
        </w:tc>
        <w:tc>
          <w:tcPr>
            <w:tcW w:w="617" w:type="pct"/>
            <w:vAlign w:val="center"/>
          </w:tcPr>
          <w:p w:rsidR="00BD5820" w:rsidRDefault="00F64314">
            <w:pPr>
              <w:pStyle w:val="aff2"/>
              <w:rPr>
                <w:szCs w:val="21"/>
              </w:rPr>
            </w:pPr>
            <w:r>
              <w:rPr>
                <w:szCs w:val="21"/>
              </w:rPr>
              <w:t>/</w:t>
            </w:r>
          </w:p>
        </w:tc>
        <w:tc>
          <w:tcPr>
            <w:tcW w:w="471" w:type="pct"/>
            <w:vAlign w:val="center"/>
          </w:tcPr>
          <w:p w:rsidR="00BD5820" w:rsidRDefault="00F64314">
            <w:pPr>
              <w:pStyle w:val="aff2"/>
              <w:rPr>
                <w:szCs w:val="21"/>
              </w:rPr>
            </w:pPr>
            <w:r>
              <w:rPr>
                <w:szCs w:val="21"/>
              </w:rPr>
              <w:t>/</w:t>
            </w:r>
          </w:p>
        </w:tc>
      </w:tr>
      <w:tr w:rsidR="00BD5820" w:rsidTr="001F394E">
        <w:trPr>
          <w:trHeight w:val="18"/>
          <w:jc w:val="center"/>
        </w:trPr>
        <w:tc>
          <w:tcPr>
            <w:tcW w:w="269" w:type="pct"/>
            <w:vMerge/>
            <w:vAlign w:val="center"/>
          </w:tcPr>
          <w:p w:rsidR="00BD5820" w:rsidRDefault="00BD5820">
            <w:pPr>
              <w:pStyle w:val="aff2"/>
            </w:pPr>
          </w:p>
        </w:tc>
        <w:tc>
          <w:tcPr>
            <w:tcW w:w="484" w:type="pct"/>
            <w:vMerge/>
            <w:vAlign w:val="center"/>
          </w:tcPr>
          <w:p w:rsidR="00BD5820" w:rsidRDefault="00BD5820">
            <w:pPr>
              <w:pStyle w:val="aff2"/>
            </w:pPr>
          </w:p>
        </w:tc>
        <w:tc>
          <w:tcPr>
            <w:tcW w:w="353" w:type="pct"/>
            <w:vAlign w:val="center"/>
          </w:tcPr>
          <w:p w:rsidR="00BD5820" w:rsidRDefault="00F64314">
            <w:pPr>
              <w:pStyle w:val="aff2"/>
              <w:rPr>
                <w:szCs w:val="21"/>
              </w:rPr>
            </w:pPr>
            <w:r>
              <w:rPr>
                <w:szCs w:val="21"/>
              </w:rPr>
              <w:t>固体废物</w:t>
            </w:r>
          </w:p>
        </w:tc>
        <w:tc>
          <w:tcPr>
            <w:tcW w:w="2806" w:type="pct"/>
            <w:vAlign w:val="center"/>
          </w:tcPr>
          <w:p w:rsidR="00BD5820" w:rsidRDefault="00F64314" w:rsidP="001F394E">
            <w:pPr>
              <w:pStyle w:val="aff2"/>
              <w:rPr>
                <w:szCs w:val="21"/>
              </w:rPr>
            </w:pPr>
            <w:r>
              <w:rPr>
                <w:szCs w:val="21"/>
              </w:rPr>
              <w:t>管道沿线开挖土石方经回填后，少量土方管道沿线平整消耗，基本实现挖填平衡，管道沿线无弃方产生</w:t>
            </w:r>
            <w:r>
              <w:rPr>
                <w:rFonts w:hint="eastAsia"/>
                <w:szCs w:val="21"/>
              </w:rPr>
              <w:t>；</w:t>
            </w:r>
            <w:r>
              <w:rPr>
                <w:szCs w:val="21"/>
              </w:rPr>
              <w:t>施工人员生活垃圾交环卫处置。施工期废气焊条、废油漆桶及现场连接处防腐废料严格要求施工单位妥善处置</w:t>
            </w:r>
            <w:r w:rsidR="001F394E">
              <w:rPr>
                <w:rFonts w:hint="eastAsia"/>
                <w:szCs w:val="21"/>
              </w:rPr>
              <w:t>。</w:t>
            </w:r>
            <w:r w:rsidR="001F394E">
              <w:rPr>
                <w:szCs w:val="21"/>
              </w:rPr>
              <w:t xml:space="preserve"> </w:t>
            </w:r>
          </w:p>
        </w:tc>
        <w:tc>
          <w:tcPr>
            <w:tcW w:w="617" w:type="pct"/>
            <w:vAlign w:val="center"/>
          </w:tcPr>
          <w:p w:rsidR="00BD5820" w:rsidRDefault="00F64314">
            <w:pPr>
              <w:pStyle w:val="aff2"/>
              <w:rPr>
                <w:szCs w:val="21"/>
              </w:rPr>
            </w:pPr>
            <w:r>
              <w:rPr>
                <w:szCs w:val="21"/>
              </w:rPr>
              <w:t>/</w:t>
            </w:r>
          </w:p>
        </w:tc>
        <w:tc>
          <w:tcPr>
            <w:tcW w:w="471" w:type="pct"/>
            <w:vAlign w:val="center"/>
          </w:tcPr>
          <w:p w:rsidR="00BD5820" w:rsidRDefault="00F64314">
            <w:pPr>
              <w:pStyle w:val="aff2"/>
              <w:rPr>
                <w:szCs w:val="21"/>
              </w:rPr>
            </w:pPr>
            <w:r>
              <w:rPr>
                <w:szCs w:val="21"/>
              </w:rPr>
              <w:t>/</w:t>
            </w:r>
          </w:p>
        </w:tc>
      </w:tr>
      <w:tr w:rsidR="00BD5820" w:rsidTr="001F394E">
        <w:trPr>
          <w:trHeight w:val="18"/>
          <w:jc w:val="center"/>
        </w:trPr>
        <w:tc>
          <w:tcPr>
            <w:tcW w:w="269" w:type="pct"/>
            <w:vMerge/>
            <w:vAlign w:val="center"/>
          </w:tcPr>
          <w:p w:rsidR="00BD5820" w:rsidRDefault="00BD5820">
            <w:pPr>
              <w:pStyle w:val="aff2"/>
            </w:pPr>
          </w:p>
        </w:tc>
        <w:tc>
          <w:tcPr>
            <w:tcW w:w="484" w:type="pct"/>
            <w:vMerge/>
            <w:vAlign w:val="center"/>
          </w:tcPr>
          <w:p w:rsidR="00BD5820" w:rsidRDefault="00BD5820">
            <w:pPr>
              <w:pStyle w:val="aff2"/>
            </w:pPr>
          </w:p>
        </w:tc>
        <w:tc>
          <w:tcPr>
            <w:tcW w:w="353" w:type="pct"/>
            <w:vAlign w:val="center"/>
          </w:tcPr>
          <w:p w:rsidR="00BD5820" w:rsidRDefault="00F64314">
            <w:pPr>
              <w:pStyle w:val="afff1"/>
            </w:pPr>
            <w:r>
              <w:rPr>
                <w:rFonts w:hint="eastAsia"/>
              </w:rPr>
              <w:t>生态</w:t>
            </w:r>
            <w:r>
              <w:t>保护</w:t>
            </w:r>
          </w:p>
        </w:tc>
        <w:tc>
          <w:tcPr>
            <w:tcW w:w="2806" w:type="pct"/>
            <w:vAlign w:val="center"/>
          </w:tcPr>
          <w:p w:rsidR="00BD5820" w:rsidRDefault="00F64314">
            <w:pPr>
              <w:pStyle w:val="afff1"/>
            </w:pPr>
            <w:r>
              <w:rPr>
                <w:rFonts w:hint="eastAsia"/>
              </w:rPr>
              <w:t>站场施工：站场、进场道路及临时堆土区分区采取相应的</w:t>
            </w:r>
            <w:r>
              <w:t>表土剥离、截排水沟、排污沟、</w:t>
            </w:r>
            <w:r>
              <w:rPr>
                <w:rFonts w:hint="eastAsia"/>
              </w:rPr>
              <w:t>站场</w:t>
            </w:r>
            <w:r>
              <w:t>边沟、植草等措施，覆土、土地整治及临时措施</w:t>
            </w:r>
            <w:r>
              <w:rPr>
                <w:rFonts w:hint="eastAsia"/>
              </w:rPr>
              <w:t>。</w:t>
            </w:r>
          </w:p>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管线施工</w:t>
            </w:r>
            <w:r>
              <w:rPr>
                <w:rFonts w:ascii="Times New Roman" w:cs="Times New Roman" w:hint="eastAsia"/>
                <w:kern w:val="2"/>
                <w:sz w:val="21"/>
                <w:szCs w:val="21"/>
              </w:rPr>
              <w:t>：</w:t>
            </w:r>
            <w:r>
              <w:rPr>
                <w:rFonts w:ascii="Times New Roman" w:cs="Times New Roman"/>
                <w:kern w:val="2"/>
                <w:sz w:val="21"/>
                <w:szCs w:val="21"/>
              </w:rPr>
              <w:t>（</w:t>
            </w:r>
            <w:r>
              <w:rPr>
                <w:rFonts w:ascii="Times New Roman" w:cs="Times New Roman"/>
                <w:kern w:val="2"/>
                <w:sz w:val="21"/>
                <w:szCs w:val="21"/>
              </w:rPr>
              <w:t>1</w:t>
            </w:r>
            <w:r>
              <w:rPr>
                <w:rFonts w:ascii="Times New Roman" w:cs="Times New Roman"/>
                <w:kern w:val="2"/>
                <w:sz w:val="21"/>
                <w:szCs w:val="21"/>
              </w:rPr>
              <w:t>）尽量避开雨季施工；分段施工，做到随挖、随运、随铺、随压，尽量不留疏松地面，减少风蚀导致的水土流失。</w:t>
            </w:r>
          </w:p>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w:t>
            </w:r>
            <w:r>
              <w:rPr>
                <w:rFonts w:ascii="Times New Roman" w:cs="Times New Roman"/>
                <w:kern w:val="2"/>
                <w:sz w:val="21"/>
                <w:szCs w:val="21"/>
              </w:rPr>
              <w:t>2</w:t>
            </w:r>
            <w:r>
              <w:rPr>
                <w:rFonts w:ascii="Times New Roman" w:cs="Times New Roman"/>
                <w:kern w:val="2"/>
                <w:sz w:val="21"/>
                <w:szCs w:val="21"/>
              </w:rPr>
              <w:t>）划定施工作业带范围和路线，不随意扩大。并严格</w:t>
            </w:r>
            <w:r>
              <w:rPr>
                <w:rFonts w:ascii="Times New Roman" w:cs="Times New Roman"/>
                <w:kern w:val="2"/>
                <w:sz w:val="21"/>
                <w:szCs w:val="21"/>
              </w:rPr>
              <w:lastRenderedPageBreak/>
              <w:t>控制机械和车辆的作业范围，尽可能减少对土壤和农作物的破坏以及由此引发的水土流失。</w:t>
            </w:r>
          </w:p>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w:t>
            </w:r>
            <w:r>
              <w:rPr>
                <w:rFonts w:ascii="Times New Roman" w:cs="Times New Roman"/>
                <w:kern w:val="2"/>
                <w:sz w:val="21"/>
                <w:szCs w:val="21"/>
              </w:rPr>
              <w:t>3</w:t>
            </w:r>
            <w:r>
              <w:rPr>
                <w:rFonts w:ascii="Times New Roman" w:cs="Times New Roman"/>
                <w:kern w:val="2"/>
                <w:sz w:val="21"/>
                <w:szCs w:val="21"/>
              </w:rPr>
              <w:t>）提高工程施工效率，缩短施工工期。</w:t>
            </w:r>
          </w:p>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w:t>
            </w:r>
            <w:r>
              <w:rPr>
                <w:rFonts w:ascii="Times New Roman" w:cs="Times New Roman"/>
                <w:kern w:val="2"/>
                <w:sz w:val="21"/>
                <w:szCs w:val="21"/>
              </w:rPr>
              <w:t>4</w:t>
            </w:r>
            <w:r>
              <w:rPr>
                <w:rFonts w:ascii="Times New Roman" w:cs="Times New Roman"/>
                <w:kern w:val="2"/>
                <w:sz w:val="21"/>
                <w:szCs w:val="21"/>
              </w:rPr>
              <w:t>）施工时将禁止材料的随意堆放，划定统一的堆料场，防止对植物破坏范围扩大。</w:t>
            </w:r>
          </w:p>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w:t>
            </w:r>
            <w:r>
              <w:rPr>
                <w:rFonts w:ascii="Times New Roman" w:cs="Times New Roman" w:hint="eastAsia"/>
                <w:kern w:val="2"/>
                <w:sz w:val="21"/>
                <w:szCs w:val="21"/>
              </w:rPr>
              <w:t>5</w:t>
            </w:r>
            <w:r>
              <w:rPr>
                <w:rFonts w:ascii="Times New Roman" w:cs="Times New Roman"/>
                <w:kern w:val="2"/>
                <w:sz w:val="21"/>
                <w:szCs w:val="21"/>
              </w:rPr>
              <w:t>）施工破坏的植被地带，施工结束后，及时恢复植被，减少水土流失。对于穿越的林地，管线敷设后，土方回填不仅遵循设计规范要求，还将遵循下石上土、下粗上细、肥沃的在上贫瘠的在下的原则。回填后管线两侧</w:t>
            </w:r>
            <w:r>
              <w:rPr>
                <w:rFonts w:ascii="Times New Roman" w:cs="Times New Roman"/>
                <w:kern w:val="2"/>
                <w:sz w:val="21"/>
                <w:szCs w:val="21"/>
              </w:rPr>
              <w:t>5m</w:t>
            </w:r>
            <w:r>
              <w:rPr>
                <w:rFonts w:ascii="Times New Roman" w:cs="Times New Roman"/>
                <w:kern w:val="2"/>
                <w:sz w:val="21"/>
                <w:szCs w:val="21"/>
              </w:rPr>
              <w:t>范围内栽种根系不发达、生长性强的植被。对于耕地，施工结束后，遵循上述相同的原则，进行复耕。</w:t>
            </w:r>
          </w:p>
          <w:p w:rsidR="00BD5820" w:rsidRDefault="00F64314">
            <w:pPr>
              <w:pStyle w:val="afff1"/>
            </w:pPr>
            <w:r>
              <w:rPr>
                <w:szCs w:val="21"/>
              </w:rPr>
              <w:t>（</w:t>
            </w:r>
            <w:r>
              <w:rPr>
                <w:rFonts w:hint="eastAsia"/>
                <w:szCs w:val="21"/>
              </w:rPr>
              <w:t>6</w:t>
            </w:r>
            <w:r>
              <w:rPr>
                <w:szCs w:val="21"/>
              </w:rPr>
              <w:t>）水土保持和水工保护措施相结合，工程措施和生物措施相互结合，分区进行布局</w:t>
            </w:r>
            <w:r>
              <w:t>。</w:t>
            </w:r>
          </w:p>
        </w:tc>
        <w:tc>
          <w:tcPr>
            <w:tcW w:w="617" w:type="pct"/>
            <w:vAlign w:val="center"/>
          </w:tcPr>
          <w:p w:rsidR="00BD5820" w:rsidRDefault="00F64314">
            <w:pPr>
              <w:pStyle w:val="afff1"/>
            </w:pPr>
            <w:r>
              <w:lastRenderedPageBreak/>
              <w:t>水土流失</w:t>
            </w:r>
          </w:p>
          <w:p w:rsidR="00BD5820" w:rsidRDefault="00F64314">
            <w:pPr>
              <w:pStyle w:val="afff1"/>
            </w:pPr>
            <w:r>
              <w:t>植物破坏</w:t>
            </w:r>
          </w:p>
        </w:tc>
        <w:tc>
          <w:tcPr>
            <w:tcW w:w="471" w:type="pct"/>
            <w:vAlign w:val="center"/>
          </w:tcPr>
          <w:p w:rsidR="00BD5820" w:rsidRDefault="00F64314">
            <w:pPr>
              <w:pStyle w:val="afff1"/>
            </w:pPr>
            <w:r>
              <w:t>恢复地貌</w:t>
            </w:r>
          </w:p>
        </w:tc>
      </w:tr>
      <w:tr w:rsidR="00BD5820" w:rsidTr="001F394E">
        <w:trPr>
          <w:trHeight w:val="18"/>
          <w:jc w:val="center"/>
        </w:trPr>
        <w:tc>
          <w:tcPr>
            <w:tcW w:w="269" w:type="pct"/>
            <w:vMerge/>
            <w:vAlign w:val="center"/>
          </w:tcPr>
          <w:p w:rsidR="00BD5820" w:rsidRDefault="00BD5820">
            <w:pPr>
              <w:pStyle w:val="aff2"/>
            </w:pPr>
          </w:p>
        </w:tc>
        <w:tc>
          <w:tcPr>
            <w:tcW w:w="484" w:type="pct"/>
            <w:vMerge w:val="restart"/>
            <w:vAlign w:val="center"/>
          </w:tcPr>
          <w:p w:rsidR="00BD5820" w:rsidRDefault="00F64314">
            <w:pPr>
              <w:pStyle w:val="aff2"/>
            </w:pPr>
            <w:r>
              <w:t>运营期</w:t>
            </w:r>
          </w:p>
        </w:tc>
        <w:tc>
          <w:tcPr>
            <w:tcW w:w="353" w:type="pct"/>
            <w:vMerge w:val="restart"/>
            <w:vAlign w:val="center"/>
          </w:tcPr>
          <w:p w:rsidR="00BD5820" w:rsidRDefault="00F64314">
            <w:pPr>
              <w:pStyle w:val="afff1"/>
            </w:pPr>
            <w:r>
              <w:t>废气</w:t>
            </w:r>
          </w:p>
        </w:tc>
        <w:tc>
          <w:tcPr>
            <w:tcW w:w="2806" w:type="pct"/>
            <w:vAlign w:val="center"/>
          </w:tcPr>
          <w:p w:rsidR="00BD5820" w:rsidRDefault="00F64314">
            <w:pPr>
              <w:pStyle w:val="afff1"/>
            </w:pPr>
            <w:r>
              <w:rPr>
                <w:rFonts w:hint="eastAsia"/>
              </w:rPr>
              <w:t>正常工况下无废气排放</w:t>
            </w:r>
          </w:p>
        </w:tc>
        <w:tc>
          <w:tcPr>
            <w:tcW w:w="617" w:type="pct"/>
            <w:vAlign w:val="center"/>
          </w:tcPr>
          <w:p w:rsidR="00BD5820" w:rsidRDefault="00F64314">
            <w:pPr>
              <w:pStyle w:val="afff1"/>
            </w:pPr>
            <w:r>
              <w:t>/</w:t>
            </w:r>
          </w:p>
        </w:tc>
        <w:tc>
          <w:tcPr>
            <w:tcW w:w="471" w:type="pct"/>
            <w:vAlign w:val="center"/>
          </w:tcPr>
          <w:p w:rsidR="00BD5820" w:rsidRDefault="00F64314">
            <w:pPr>
              <w:pStyle w:val="afff1"/>
            </w:pPr>
            <w:r>
              <w:t>/</w:t>
            </w:r>
          </w:p>
        </w:tc>
      </w:tr>
      <w:tr w:rsidR="00BD5820" w:rsidTr="001F394E">
        <w:trPr>
          <w:trHeight w:val="18"/>
          <w:jc w:val="center"/>
        </w:trPr>
        <w:tc>
          <w:tcPr>
            <w:tcW w:w="269" w:type="pct"/>
            <w:vMerge/>
            <w:vAlign w:val="center"/>
          </w:tcPr>
          <w:p w:rsidR="00BD5820" w:rsidRDefault="00BD5820">
            <w:pPr>
              <w:pStyle w:val="aff2"/>
            </w:pPr>
          </w:p>
        </w:tc>
        <w:tc>
          <w:tcPr>
            <w:tcW w:w="484" w:type="pct"/>
            <w:vMerge/>
            <w:vAlign w:val="center"/>
          </w:tcPr>
          <w:p w:rsidR="00BD5820" w:rsidRDefault="00BD5820">
            <w:pPr>
              <w:pStyle w:val="aff2"/>
            </w:pPr>
          </w:p>
        </w:tc>
        <w:tc>
          <w:tcPr>
            <w:tcW w:w="353" w:type="pct"/>
            <w:vMerge/>
            <w:vAlign w:val="center"/>
          </w:tcPr>
          <w:p w:rsidR="00BD5820" w:rsidRDefault="00BD5820">
            <w:pPr>
              <w:pStyle w:val="afff1"/>
            </w:pPr>
          </w:p>
        </w:tc>
        <w:tc>
          <w:tcPr>
            <w:tcW w:w="2806" w:type="pct"/>
            <w:vAlign w:val="center"/>
          </w:tcPr>
          <w:p w:rsidR="00BD5820" w:rsidRDefault="00F64314">
            <w:pPr>
              <w:pStyle w:val="afff1"/>
            </w:pPr>
            <w:r>
              <w:t>事故</w:t>
            </w:r>
            <w:r>
              <w:t>/</w:t>
            </w:r>
            <w:r>
              <w:t>检修放空废气：</w:t>
            </w:r>
            <w:r>
              <w:t>P102</w:t>
            </w:r>
            <w:r>
              <w:t>集气站</w:t>
            </w:r>
            <w:r w:rsidR="001F394E" w:rsidRPr="001F394E">
              <w:rPr>
                <w:color w:val="FF0000"/>
              </w:rPr>
              <w:t>和普光净化厂</w:t>
            </w:r>
            <w:r>
              <w:rPr>
                <w:rFonts w:hint="eastAsia"/>
              </w:rPr>
              <w:t>设有</w:t>
            </w:r>
            <w:r>
              <w:t>放空火炬区，用于集气站或管线在事故或检修状态下产生的废气的点火放空，废气</w:t>
            </w:r>
            <w:r w:rsidR="001F394E" w:rsidRPr="001F394E">
              <w:rPr>
                <w:color w:val="FF0000"/>
              </w:rPr>
              <w:t>分别</w:t>
            </w:r>
            <w:r>
              <w:t>经放空火炬（</w:t>
            </w:r>
            <w:r>
              <w:rPr>
                <w:rFonts w:hint="eastAsia"/>
              </w:rPr>
              <w:t>85</w:t>
            </w:r>
            <w:r>
              <w:t>m</w:t>
            </w:r>
            <w:r>
              <w:t>）排放。</w:t>
            </w:r>
          </w:p>
        </w:tc>
        <w:tc>
          <w:tcPr>
            <w:tcW w:w="617" w:type="pct"/>
            <w:vAlign w:val="center"/>
          </w:tcPr>
          <w:p w:rsidR="00BD5820" w:rsidRDefault="00F64314">
            <w:pPr>
              <w:pStyle w:val="afff1"/>
            </w:pPr>
            <w:r>
              <w:t>/</w:t>
            </w:r>
          </w:p>
        </w:tc>
        <w:tc>
          <w:tcPr>
            <w:tcW w:w="471" w:type="pct"/>
            <w:vAlign w:val="center"/>
          </w:tcPr>
          <w:p w:rsidR="00BD5820" w:rsidRDefault="00F64314">
            <w:pPr>
              <w:pStyle w:val="afff1"/>
            </w:pPr>
            <w:r>
              <w:t>/</w:t>
            </w:r>
          </w:p>
        </w:tc>
      </w:tr>
      <w:tr w:rsidR="00BD5820" w:rsidTr="001F394E">
        <w:trPr>
          <w:trHeight w:val="18"/>
          <w:jc w:val="center"/>
        </w:trPr>
        <w:tc>
          <w:tcPr>
            <w:tcW w:w="269" w:type="pct"/>
            <w:vMerge/>
            <w:vAlign w:val="center"/>
          </w:tcPr>
          <w:p w:rsidR="00BD5820" w:rsidRDefault="00BD5820">
            <w:pPr>
              <w:pStyle w:val="aff2"/>
            </w:pPr>
          </w:p>
        </w:tc>
        <w:tc>
          <w:tcPr>
            <w:tcW w:w="484" w:type="pct"/>
            <w:vMerge/>
            <w:vAlign w:val="center"/>
          </w:tcPr>
          <w:p w:rsidR="00BD5820" w:rsidRDefault="00BD5820">
            <w:pPr>
              <w:pStyle w:val="aff2"/>
            </w:pPr>
          </w:p>
        </w:tc>
        <w:tc>
          <w:tcPr>
            <w:tcW w:w="353" w:type="pct"/>
            <w:vAlign w:val="center"/>
          </w:tcPr>
          <w:p w:rsidR="00BD5820" w:rsidRDefault="00F64314">
            <w:pPr>
              <w:pStyle w:val="afff1"/>
            </w:pPr>
            <w:r>
              <w:t>废水</w:t>
            </w:r>
          </w:p>
        </w:tc>
        <w:tc>
          <w:tcPr>
            <w:tcW w:w="2806" w:type="pct"/>
            <w:vAlign w:val="center"/>
          </w:tcPr>
          <w:p w:rsidR="00BD5820" w:rsidRDefault="00F64314">
            <w:pPr>
              <w:pStyle w:val="afff1"/>
            </w:pPr>
            <w:r>
              <w:rPr>
                <w:rFonts w:hint="eastAsia"/>
              </w:rPr>
              <w:t>本项目运营期产生的气田水分别经普光</w:t>
            </w:r>
            <w:r>
              <w:rPr>
                <w:rFonts w:hint="eastAsia"/>
              </w:rPr>
              <w:t>3#</w:t>
            </w:r>
            <w:r>
              <w:rPr>
                <w:rFonts w:hint="eastAsia"/>
              </w:rPr>
              <w:t>水处理站、</w:t>
            </w:r>
            <w:r>
              <w:rPr>
                <w:rFonts w:hint="eastAsia"/>
              </w:rPr>
              <w:t>1#</w:t>
            </w:r>
            <w:r>
              <w:rPr>
                <w:rFonts w:hint="eastAsia"/>
              </w:rPr>
              <w:t>污水处理站集中处理，水处理采用新建预处理流程，满足压裂液配制要求，剩余采出水然后进入深度水处理站处理后回用，不外排。</w:t>
            </w:r>
          </w:p>
        </w:tc>
        <w:tc>
          <w:tcPr>
            <w:tcW w:w="617" w:type="pct"/>
            <w:vAlign w:val="center"/>
          </w:tcPr>
          <w:p w:rsidR="00BD5820" w:rsidRDefault="00F64314">
            <w:pPr>
              <w:pStyle w:val="afff1"/>
            </w:pPr>
            <w:r>
              <w:t>/</w:t>
            </w:r>
          </w:p>
        </w:tc>
        <w:tc>
          <w:tcPr>
            <w:tcW w:w="471" w:type="pct"/>
            <w:vAlign w:val="center"/>
          </w:tcPr>
          <w:p w:rsidR="00BD5820" w:rsidRDefault="00F64314">
            <w:pPr>
              <w:pStyle w:val="afff1"/>
            </w:pPr>
            <w:r>
              <w:t>/</w:t>
            </w:r>
          </w:p>
        </w:tc>
      </w:tr>
      <w:tr w:rsidR="00BD5820" w:rsidTr="001F394E">
        <w:trPr>
          <w:trHeight w:val="18"/>
          <w:jc w:val="center"/>
        </w:trPr>
        <w:tc>
          <w:tcPr>
            <w:tcW w:w="269" w:type="pct"/>
            <w:vMerge/>
            <w:vAlign w:val="center"/>
          </w:tcPr>
          <w:p w:rsidR="00BD5820" w:rsidRDefault="00BD5820">
            <w:pPr>
              <w:pStyle w:val="aff2"/>
            </w:pPr>
          </w:p>
        </w:tc>
        <w:tc>
          <w:tcPr>
            <w:tcW w:w="484" w:type="pct"/>
            <w:vMerge/>
            <w:vAlign w:val="center"/>
          </w:tcPr>
          <w:p w:rsidR="00BD5820" w:rsidRDefault="00BD5820">
            <w:pPr>
              <w:pStyle w:val="aff2"/>
            </w:pPr>
          </w:p>
        </w:tc>
        <w:tc>
          <w:tcPr>
            <w:tcW w:w="353" w:type="pct"/>
            <w:vAlign w:val="center"/>
          </w:tcPr>
          <w:p w:rsidR="00BD5820" w:rsidRDefault="00F64314">
            <w:pPr>
              <w:pStyle w:val="afff1"/>
            </w:pPr>
            <w:r>
              <w:t>噪声</w:t>
            </w:r>
          </w:p>
        </w:tc>
        <w:tc>
          <w:tcPr>
            <w:tcW w:w="2806" w:type="pct"/>
            <w:vAlign w:val="center"/>
          </w:tcPr>
          <w:p w:rsidR="00BD5820" w:rsidRDefault="00F64314">
            <w:pPr>
              <w:pStyle w:val="afff1"/>
            </w:pPr>
            <w:r>
              <w:rPr>
                <w:szCs w:val="21"/>
              </w:rPr>
              <w:t>低噪声设备；管线地埋敷设。</w:t>
            </w:r>
          </w:p>
        </w:tc>
        <w:tc>
          <w:tcPr>
            <w:tcW w:w="617" w:type="pct"/>
            <w:vAlign w:val="center"/>
          </w:tcPr>
          <w:p w:rsidR="00BD5820" w:rsidRDefault="00F64314">
            <w:pPr>
              <w:pStyle w:val="afff1"/>
            </w:pPr>
            <w:r>
              <w:t>/</w:t>
            </w:r>
          </w:p>
        </w:tc>
        <w:tc>
          <w:tcPr>
            <w:tcW w:w="471" w:type="pct"/>
            <w:vAlign w:val="center"/>
          </w:tcPr>
          <w:p w:rsidR="00BD5820" w:rsidRDefault="00F64314">
            <w:pPr>
              <w:pStyle w:val="afff1"/>
            </w:pPr>
            <w:r>
              <w:t>/</w:t>
            </w:r>
          </w:p>
        </w:tc>
      </w:tr>
      <w:tr w:rsidR="001F394E" w:rsidTr="001F394E">
        <w:trPr>
          <w:trHeight w:val="18"/>
          <w:jc w:val="center"/>
        </w:trPr>
        <w:tc>
          <w:tcPr>
            <w:tcW w:w="269" w:type="pct"/>
            <w:vMerge/>
            <w:vAlign w:val="center"/>
          </w:tcPr>
          <w:p w:rsidR="001F394E" w:rsidRDefault="001F394E">
            <w:pPr>
              <w:pStyle w:val="aff2"/>
            </w:pPr>
          </w:p>
        </w:tc>
        <w:tc>
          <w:tcPr>
            <w:tcW w:w="484" w:type="pct"/>
            <w:vMerge/>
            <w:vAlign w:val="center"/>
          </w:tcPr>
          <w:p w:rsidR="001F394E" w:rsidRDefault="001F394E">
            <w:pPr>
              <w:pStyle w:val="aff2"/>
            </w:pPr>
          </w:p>
        </w:tc>
        <w:tc>
          <w:tcPr>
            <w:tcW w:w="353" w:type="pct"/>
            <w:vAlign w:val="center"/>
          </w:tcPr>
          <w:p w:rsidR="001F394E" w:rsidRPr="001F394E" w:rsidRDefault="001F394E">
            <w:pPr>
              <w:pStyle w:val="afff1"/>
              <w:rPr>
                <w:color w:val="FF0000"/>
              </w:rPr>
            </w:pPr>
            <w:r w:rsidRPr="001F394E">
              <w:rPr>
                <w:color w:val="FF0000"/>
                <w:szCs w:val="21"/>
              </w:rPr>
              <w:t>固体废物</w:t>
            </w:r>
          </w:p>
        </w:tc>
        <w:tc>
          <w:tcPr>
            <w:tcW w:w="2806" w:type="pct"/>
            <w:vAlign w:val="center"/>
          </w:tcPr>
          <w:p w:rsidR="001F394E" w:rsidRPr="001F394E" w:rsidRDefault="001F394E">
            <w:pPr>
              <w:pStyle w:val="afff1"/>
              <w:rPr>
                <w:color w:val="FF0000"/>
                <w:szCs w:val="21"/>
              </w:rPr>
            </w:pPr>
            <w:r w:rsidRPr="001F394E">
              <w:rPr>
                <w:rFonts w:hint="eastAsia"/>
                <w:color w:val="FF0000"/>
                <w:szCs w:val="21"/>
              </w:rPr>
              <w:t>废润滑油、过滤分离器及污水罐底部产生的污泥暂存于危废暂存间</w:t>
            </w:r>
            <w:r w:rsidR="001006E1">
              <w:rPr>
                <w:rFonts w:hint="eastAsia"/>
                <w:color w:val="FF0000"/>
                <w:szCs w:val="21"/>
              </w:rPr>
              <w:t>（</w:t>
            </w:r>
            <w:r w:rsidR="001006E1" w:rsidRPr="001F394E">
              <w:rPr>
                <w:rFonts w:hint="eastAsia"/>
                <w:color w:val="FF0000"/>
                <w:szCs w:val="21"/>
              </w:rPr>
              <w:t>普光气田</w:t>
            </w:r>
            <w:r w:rsidR="001006E1" w:rsidRPr="001F394E">
              <w:rPr>
                <w:rFonts w:hint="eastAsia"/>
                <w:color w:val="FF0000"/>
                <w:szCs w:val="21"/>
              </w:rPr>
              <w:t>1#</w:t>
            </w:r>
            <w:r w:rsidR="001006E1" w:rsidRPr="001F394E">
              <w:rPr>
                <w:rFonts w:hint="eastAsia"/>
                <w:color w:val="FF0000"/>
                <w:szCs w:val="21"/>
              </w:rPr>
              <w:t>增压站、普光气田</w:t>
            </w:r>
            <w:r w:rsidR="001006E1" w:rsidRPr="001F394E">
              <w:rPr>
                <w:rFonts w:hint="eastAsia"/>
                <w:color w:val="FF0000"/>
                <w:szCs w:val="21"/>
              </w:rPr>
              <w:t>2#</w:t>
            </w:r>
            <w:r w:rsidR="001006E1" w:rsidRPr="001F394E">
              <w:rPr>
                <w:rFonts w:hint="eastAsia"/>
                <w:color w:val="FF0000"/>
                <w:szCs w:val="21"/>
              </w:rPr>
              <w:t>增压站</w:t>
            </w:r>
            <w:r w:rsidR="001006E1">
              <w:rPr>
                <w:rFonts w:hint="eastAsia"/>
                <w:color w:val="FF0000"/>
                <w:szCs w:val="21"/>
              </w:rPr>
              <w:t>均设置</w:t>
            </w:r>
            <w:r w:rsidR="001006E1">
              <w:rPr>
                <w:rFonts w:hint="eastAsia"/>
                <w:color w:val="FF0000"/>
                <w:szCs w:val="21"/>
              </w:rPr>
              <w:t>1</w:t>
            </w:r>
            <w:r w:rsidR="001006E1">
              <w:rPr>
                <w:rFonts w:hint="eastAsia"/>
                <w:color w:val="FF0000"/>
                <w:szCs w:val="21"/>
              </w:rPr>
              <w:t>个危废暂存间，面积约</w:t>
            </w:r>
            <w:r w:rsidR="001006E1">
              <w:rPr>
                <w:rFonts w:hint="eastAsia"/>
                <w:color w:val="FF0000"/>
                <w:szCs w:val="21"/>
              </w:rPr>
              <w:t>5m</w:t>
            </w:r>
            <w:r w:rsidR="001006E1" w:rsidRPr="001006E1">
              <w:rPr>
                <w:rFonts w:hint="eastAsia"/>
                <w:color w:val="FF0000"/>
                <w:szCs w:val="21"/>
                <w:vertAlign w:val="superscript"/>
              </w:rPr>
              <w:t>2</w:t>
            </w:r>
            <w:r w:rsidR="001006E1">
              <w:rPr>
                <w:rFonts w:hint="eastAsia"/>
                <w:color w:val="FF0000"/>
                <w:szCs w:val="21"/>
              </w:rPr>
              <w:t>）</w:t>
            </w:r>
            <w:r w:rsidRPr="001F394E">
              <w:rPr>
                <w:rFonts w:hint="eastAsia"/>
                <w:color w:val="FF0000"/>
                <w:szCs w:val="21"/>
              </w:rPr>
              <w:t>，及时清运至企业净化厂危险废物贮存仓库（与普光气田</w:t>
            </w:r>
            <w:r w:rsidRPr="001F394E">
              <w:rPr>
                <w:rFonts w:hint="eastAsia"/>
                <w:color w:val="FF0000"/>
                <w:szCs w:val="21"/>
              </w:rPr>
              <w:t>1#</w:t>
            </w:r>
            <w:r w:rsidRPr="001F394E">
              <w:rPr>
                <w:rFonts w:hint="eastAsia"/>
                <w:color w:val="FF0000"/>
                <w:szCs w:val="21"/>
              </w:rPr>
              <w:t>增压站、普光气田</w:t>
            </w:r>
            <w:r w:rsidRPr="001F394E">
              <w:rPr>
                <w:rFonts w:hint="eastAsia"/>
                <w:color w:val="FF0000"/>
                <w:szCs w:val="21"/>
              </w:rPr>
              <w:t>2#</w:t>
            </w:r>
            <w:r w:rsidRPr="001F394E">
              <w:rPr>
                <w:rFonts w:hint="eastAsia"/>
                <w:color w:val="FF0000"/>
                <w:szCs w:val="21"/>
              </w:rPr>
              <w:t>增压站运距分别为</w:t>
            </w:r>
            <w:r w:rsidRPr="001F394E">
              <w:rPr>
                <w:rFonts w:hint="eastAsia"/>
                <w:color w:val="FF0000"/>
                <w:szCs w:val="21"/>
              </w:rPr>
              <w:t>12km</w:t>
            </w:r>
            <w:r w:rsidRPr="001F394E">
              <w:rPr>
                <w:rFonts w:hint="eastAsia"/>
                <w:color w:val="FF0000"/>
                <w:szCs w:val="21"/>
              </w:rPr>
              <w:t>和</w:t>
            </w:r>
            <w:r w:rsidRPr="001F394E">
              <w:rPr>
                <w:rFonts w:hint="eastAsia"/>
                <w:color w:val="FF0000"/>
                <w:szCs w:val="21"/>
              </w:rPr>
              <w:t>1.6km</w:t>
            </w:r>
            <w:r w:rsidRPr="001F394E">
              <w:rPr>
                <w:rFonts w:hint="eastAsia"/>
                <w:color w:val="FF0000"/>
                <w:szCs w:val="21"/>
              </w:rPr>
              <w:t>），定期委托有资质单位进行处理</w:t>
            </w:r>
            <w:r w:rsidRPr="001F394E">
              <w:rPr>
                <w:color w:val="FF0000"/>
                <w:szCs w:val="21"/>
              </w:rPr>
              <w:t>。</w:t>
            </w:r>
          </w:p>
        </w:tc>
        <w:tc>
          <w:tcPr>
            <w:tcW w:w="617" w:type="pct"/>
            <w:vAlign w:val="center"/>
          </w:tcPr>
          <w:p w:rsidR="001F394E" w:rsidRDefault="001F394E" w:rsidP="004841B2">
            <w:pPr>
              <w:pStyle w:val="afff1"/>
            </w:pPr>
            <w:r>
              <w:t>/</w:t>
            </w:r>
          </w:p>
        </w:tc>
        <w:tc>
          <w:tcPr>
            <w:tcW w:w="471" w:type="pct"/>
            <w:vAlign w:val="center"/>
          </w:tcPr>
          <w:p w:rsidR="001F394E" w:rsidRDefault="001F394E" w:rsidP="004841B2">
            <w:pPr>
              <w:pStyle w:val="afff1"/>
            </w:pPr>
            <w:r>
              <w:t>/</w:t>
            </w:r>
          </w:p>
        </w:tc>
      </w:tr>
      <w:tr w:rsidR="001F394E" w:rsidTr="001F394E">
        <w:trPr>
          <w:trHeight w:val="64"/>
          <w:jc w:val="center"/>
        </w:trPr>
        <w:tc>
          <w:tcPr>
            <w:tcW w:w="269" w:type="pct"/>
            <w:vMerge/>
            <w:vAlign w:val="center"/>
          </w:tcPr>
          <w:p w:rsidR="001F394E" w:rsidRDefault="001F394E">
            <w:pPr>
              <w:pStyle w:val="aff2"/>
            </w:pPr>
          </w:p>
        </w:tc>
        <w:tc>
          <w:tcPr>
            <w:tcW w:w="484" w:type="pct"/>
            <w:vMerge/>
            <w:vAlign w:val="center"/>
          </w:tcPr>
          <w:p w:rsidR="001F394E" w:rsidRDefault="001F394E">
            <w:pPr>
              <w:pStyle w:val="aff2"/>
            </w:pPr>
          </w:p>
        </w:tc>
        <w:tc>
          <w:tcPr>
            <w:tcW w:w="353" w:type="pct"/>
            <w:vAlign w:val="center"/>
          </w:tcPr>
          <w:p w:rsidR="001F394E" w:rsidRDefault="001F394E">
            <w:pPr>
              <w:pStyle w:val="afff1"/>
            </w:pPr>
            <w:r>
              <w:t>地下水</w:t>
            </w:r>
          </w:p>
        </w:tc>
        <w:tc>
          <w:tcPr>
            <w:tcW w:w="2806" w:type="pct"/>
            <w:vAlign w:val="center"/>
          </w:tcPr>
          <w:p w:rsidR="001F394E" w:rsidRDefault="001F394E">
            <w:pPr>
              <w:pStyle w:val="afff1"/>
            </w:pPr>
            <w:r>
              <w:t>管道采用外防腐层和强制电流阴极保护联合方式</w:t>
            </w:r>
            <w:r>
              <w:rPr>
                <w:rFonts w:hint="eastAsia"/>
              </w:rPr>
              <w:t>；润滑油储罐、</w:t>
            </w:r>
            <w:r>
              <w:t>污水罐：四周设置防渗围堰</w:t>
            </w:r>
            <w:r>
              <w:rPr>
                <w:rFonts w:hint="eastAsia"/>
              </w:rPr>
              <w:t>。</w:t>
            </w:r>
          </w:p>
        </w:tc>
        <w:tc>
          <w:tcPr>
            <w:tcW w:w="617" w:type="pct"/>
            <w:vAlign w:val="center"/>
          </w:tcPr>
          <w:p w:rsidR="001F394E" w:rsidRDefault="001F394E">
            <w:pPr>
              <w:pStyle w:val="afff1"/>
            </w:pPr>
            <w:r>
              <w:t>/</w:t>
            </w:r>
          </w:p>
        </w:tc>
        <w:tc>
          <w:tcPr>
            <w:tcW w:w="471" w:type="pct"/>
            <w:vAlign w:val="center"/>
          </w:tcPr>
          <w:p w:rsidR="001F394E" w:rsidRDefault="001F394E">
            <w:pPr>
              <w:pStyle w:val="afff1"/>
            </w:pPr>
            <w:r>
              <w:t>/</w:t>
            </w:r>
          </w:p>
        </w:tc>
      </w:tr>
      <w:tr w:rsidR="001F394E" w:rsidTr="001F394E">
        <w:trPr>
          <w:trHeight w:val="18"/>
          <w:jc w:val="center"/>
        </w:trPr>
        <w:tc>
          <w:tcPr>
            <w:tcW w:w="269" w:type="pct"/>
            <w:vMerge/>
            <w:vAlign w:val="center"/>
          </w:tcPr>
          <w:p w:rsidR="001F394E" w:rsidRDefault="001F394E">
            <w:pPr>
              <w:pStyle w:val="aff2"/>
            </w:pPr>
          </w:p>
        </w:tc>
        <w:tc>
          <w:tcPr>
            <w:tcW w:w="484" w:type="pct"/>
            <w:vMerge/>
            <w:vAlign w:val="center"/>
          </w:tcPr>
          <w:p w:rsidR="001F394E" w:rsidRDefault="001F394E">
            <w:pPr>
              <w:pStyle w:val="aff2"/>
            </w:pPr>
          </w:p>
        </w:tc>
        <w:tc>
          <w:tcPr>
            <w:tcW w:w="353" w:type="pct"/>
            <w:vAlign w:val="center"/>
          </w:tcPr>
          <w:p w:rsidR="001F394E" w:rsidRDefault="001F394E">
            <w:pPr>
              <w:pStyle w:val="afff1"/>
            </w:pPr>
            <w:r>
              <w:t>风险</w:t>
            </w:r>
          </w:p>
        </w:tc>
        <w:tc>
          <w:tcPr>
            <w:tcW w:w="2806" w:type="pct"/>
            <w:vAlign w:val="center"/>
          </w:tcPr>
          <w:p w:rsidR="001F394E" w:rsidRDefault="001F394E">
            <w:pPr>
              <w:pStyle w:val="afff1"/>
            </w:pPr>
            <w:r>
              <w:t>事故放空：事故状态下管线及站场内天然气</w:t>
            </w:r>
            <w:r w:rsidRPr="001F394E">
              <w:rPr>
                <w:color w:val="FF0000"/>
              </w:rPr>
              <w:t>依托</w:t>
            </w:r>
            <w:r w:rsidRPr="001F394E">
              <w:rPr>
                <w:color w:val="FF0000"/>
              </w:rPr>
              <w:t>P102</w:t>
            </w:r>
            <w:r w:rsidRPr="001F394E">
              <w:rPr>
                <w:color w:val="FF0000"/>
              </w:rPr>
              <w:t>集气站和普光净化厂</w:t>
            </w:r>
            <w:r>
              <w:t>放</w:t>
            </w:r>
            <w:r>
              <w:rPr>
                <w:rFonts w:hint="eastAsia"/>
              </w:rPr>
              <w:t>空系统燃烧</w:t>
            </w:r>
            <w:r>
              <w:t>排放。</w:t>
            </w:r>
          </w:p>
          <w:p w:rsidR="001F394E" w:rsidRDefault="001F394E">
            <w:pPr>
              <w:pStyle w:val="afff1"/>
            </w:pPr>
            <w:r>
              <w:rPr>
                <w:rFonts w:hint="eastAsia"/>
              </w:rPr>
              <w:t>润滑油储罐、</w:t>
            </w:r>
            <w:r>
              <w:t>污水罐：四周设置防渗围堰。</w:t>
            </w:r>
          </w:p>
        </w:tc>
        <w:tc>
          <w:tcPr>
            <w:tcW w:w="617" w:type="pct"/>
            <w:vAlign w:val="center"/>
          </w:tcPr>
          <w:p w:rsidR="001F394E" w:rsidRDefault="001F394E">
            <w:pPr>
              <w:pStyle w:val="afff1"/>
            </w:pPr>
            <w:r>
              <w:t>/</w:t>
            </w:r>
          </w:p>
        </w:tc>
        <w:tc>
          <w:tcPr>
            <w:tcW w:w="471" w:type="pct"/>
            <w:vAlign w:val="center"/>
          </w:tcPr>
          <w:p w:rsidR="001F394E" w:rsidRDefault="001F394E">
            <w:pPr>
              <w:pStyle w:val="afff1"/>
            </w:pPr>
            <w:r>
              <w:t>/</w:t>
            </w:r>
          </w:p>
        </w:tc>
      </w:tr>
      <w:tr w:rsidR="001F394E" w:rsidTr="001F394E">
        <w:trPr>
          <w:trHeight w:val="18"/>
          <w:jc w:val="center"/>
        </w:trPr>
        <w:tc>
          <w:tcPr>
            <w:tcW w:w="269" w:type="pct"/>
            <w:vMerge/>
            <w:vAlign w:val="center"/>
          </w:tcPr>
          <w:p w:rsidR="001F394E" w:rsidRDefault="001F394E">
            <w:pPr>
              <w:pStyle w:val="aff2"/>
            </w:pPr>
          </w:p>
        </w:tc>
        <w:tc>
          <w:tcPr>
            <w:tcW w:w="484" w:type="pct"/>
            <w:vMerge/>
            <w:vAlign w:val="center"/>
          </w:tcPr>
          <w:p w:rsidR="001F394E" w:rsidRDefault="001F394E">
            <w:pPr>
              <w:pStyle w:val="aff2"/>
            </w:pPr>
          </w:p>
        </w:tc>
        <w:tc>
          <w:tcPr>
            <w:tcW w:w="353" w:type="pct"/>
            <w:vMerge w:val="restart"/>
            <w:vAlign w:val="center"/>
          </w:tcPr>
          <w:p w:rsidR="001F394E" w:rsidRDefault="001F394E">
            <w:pPr>
              <w:pStyle w:val="aff2"/>
            </w:pPr>
            <w:r>
              <w:t>生态</w:t>
            </w:r>
          </w:p>
          <w:p w:rsidR="001F394E" w:rsidRDefault="001F394E">
            <w:pPr>
              <w:pStyle w:val="afff1"/>
            </w:pPr>
            <w:r>
              <w:t>保护</w:t>
            </w:r>
          </w:p>
        </w:tc>
        <w:tc>
          <w:tcPr>
            <w:tcW w:w="2806" w:type="pct"/>
            <w:vAlign w:val="center"/>
          </w:tcPr>
          <w:p w:rsidR="001F394E" w:rsidRDefault="001F394E">
            <w:pPr>
              <w:pStyle w:val="afff1"/>
            </w:pPr>
            <w:r>
              <w:t>项目管沟及其施工作业带全线采取水土保持措施，包括工程措施、植物措施、管理措施，做好护坡、堡坎和排水设施。</w:t>
            </w:r>
          </w:p>
        </w:tc>
        <w:tc>
          <w:tcPr>
            <w:tcW w:w="617" w:type="pct"/>
            <w:vAlign w:val="center"/>
          </w:tcPr>
          <w:p w:rsidR="001F394E" w:rsidRDefault="001F394E">
            <w:pPr>
              <w:pStyle w:val="afff1"/>
            </w:pPr>
            <w:r>
              <w:t>/</w:t>
            </w:r>
          </w:p>
        </w:tc>
        <w:tc>
          <w:tcPr>
            <w:tcW w:w="471" w:type="pct"/>
            <w:vAlign w:val="center"/>
          </w:tcPr>
          <w:p w:rsidR="001F394E" w:rsidRDefault="001F394E">
            <w:pPr>
              <w:pStyle w:val="afff1"/>
            </w:pPr>
            <w:r>
              <w:t>/</w:t>
            </w:r>
          </w:p>
        </w:tc>
      </w:tr>
      <w:tr w:rsidR="001F394E" w:rsidTr="001F394E">
        <w:trPr>
          <w:trHeight w:val="18"/>
          <w:jc w:val="center"/>
        </w:trPr>
        <w:tc>
          <w:tcPr>
            <w:tcW w:w="269" w:type="pct"/>
            <w:vMerge/>
            <w:vAlign w:val="center"/>
          </w:tcPr>
          <w:p w:rsidR="001F394E" w:rsidRDefault="001F394E">
            <w:pPr>
              <w:pStyle w:val="aff2"/>
            </w:pPr>
          </w:p>
        </w:tc>
        <w:tc>
          <w:tcPr>
            <w:tcW w:w="484" w:type="pct"/>
            <w:vMerge/>
            <w:vAlign w:val="center"/>
          </w:tcPr>
          <w:p w:rsidR="001F394E" w:rsidRDefault="001F394E">
            <w:pPr>
              <w:pStyle w:val="aff2"/>
            </w:pPr>
          </w:p>
        </w:tc>
        <w:tc>
          <w:tcPr>
            <w:tcW w:w="353" w:type="pct"/>
            <w:vMerge/>
            <w:vAlign w:val="center"/>
          </w:tcPr>
          <w:p w:rsidR="001F394E" w:rsidRDefault="001F394E">
            <w:pPr>
              <w:pStyle w:val="aff2"/>
            </w:pPr>
          </w:p>
        </w:tc>
        <w:tc>
          <w:tcPr>
            <w:tcW w:w="2806" w:type="pct"/>
            <w:vAlign w:val="center"/>
          </w:tcPr>
          <w:p w:rsidR="001F394E" w:rsidRDefault="001F394E">
            <w:pPr>
              <w:pStyle w:val="afff1"/>
            </w:pPr>
            <w:r>
              <w:t>站场周边修建排水沟，进行绿化建设；管线通过陡坡地段，设置护坡、堡坎等。</w:t>
            </w:r>
          </w:p>
        </w:tc>
        <w:tc>
          <w:tcPr>
            <w:tcW w:w="617" w:type="pct"/>
            <w:vAlign w:val="center"/>
          </w:tcPr>
          <w:p w:rsidR="001F394E" w:rsidRDefault="001F394E">
            <w:pPr>
              <w:pStyle w:val="afff1"/>
            </w:pPr>
            <w:r>
              <w:t>/</w:t>
            </w:r>
          </w:p>
        </w:tc>
        <w:tc>
          <w:tcPr>
            <w:tcW w:w="471" w:type="pct"/>
            <w:vAlign w:val="center"/>
          </w:tcPr>
          <w:p w:rsidR="001F394E" w:rsidRDefault="001F394E">
            <w:pPr>
              <w:pStyle w:val="afff1"/>
            </w:pPr>
            <w:r>
              <w:t>/</w:t>
            </w:r>
          </w:p>
        </w:tc>
      </w:tr>
    </w:tbl>
    <w:p w:rsidR="00BD5820" w:rsidRDefault="00F64314">
      <w:pPr>
        <w:pStyle w:val="10"/>
        <w:rPr>
          <w:rFonts w:cs="Times New Roman"/>
        </w:rPr>
      </w:pPr>
      <w:bookmarkStart w:id="127" w:name="bookmark13"/>
      <w:bookmarkEnd w:id="127"/>
      <w:r>
        <w:rPr>
          <w:rFonts w:cs="Times New Roman"/>
        </w:rPr>
        <w:t>表</w:t>
      </w:r>
      <w:r>
        <w:rPr>
          <w:rFonts w:cs="Times New Roman"/>
        </w:rPr>
        <w:t>3.2-</w:t>
      </w:r>
      <w:r>
        <w:rPr>
          <w:rFonts w:cs="Times New Roman" w:hint="eastAsia"/>
        </w:rPr>
        <w:t>2</w:t>
      </w:r>
      <w:r>
        <w:rPr>
          <w:rFonts w:cs="Times New Roman"/>
        </w:rPr>
        <w:t xml:space="preserve">  </w:t>
      </w:r>
      <w:r>
        <w:rPr>
          <w:rFonts w:cs="Times New Roman"/>
        </w:rPr>
        <w:t>项目</w:t>
      </w:r>
      <w:r>
        <w:rPr>
          <w:rFonts w:cs="Times New Roman" w:hint="eastAsia"/>
        </w:rPr>
        <w:t>依托可行性</w:t>
      </w:r>
    </w:p>
    <w:tbl>
      <w:tblPr>
        <w:tblW w:w="5400" w:type="pct"/>
        <w:jc w:val="center"/>
        <w:tblBorders>
          <w:top w:val="single" w:sz="12" w:space="0" w:color="000000"/>
          <w:bottom w:val="single" w:sz="12" w:space="0" w:color="000000"/>
          <w:insideH w:val="single" w:sz="2" w:space="0" w:color="000000"/>
          <w:insideV w:val="single" w:sz="2" w:space="0" w:color="000000"/>
        </w:tblBorders>
        <w:tblCellMar>
          <w:left w:w="0" w:type="dxa"/>
          <w:right w:w="0" w:type="dxa"/>
        </w:tblCellMar>
        <w:tblLook w:val="04A0"/>
      </w:tblPr>
      <w:tblGrid>
        <w:gridCol w:w="483"/>
        <w:gridCol w:w="1145"/>
        <w:gridCol w:w="2145"/>
        <w:gridCol w:w="2637"/>
        <w:gridCol w:w="2565"/>
      </w:tblGrid>
      <w:tr w:rsidR="00BD5820">
        <w:trPr>
          <w:trHeight w:val="288"/>
          <w:jc w:val="center"/>
        </w:trPr>
        <w:tc>
          <w:tcPr>
            <w:tcW w:w="269" w:type="pct"/>
            <w:tcBorders>
              <w:tl2br w:val="nil"/>
              <w:tr2bl w:val="nil"/>
            </w:tcBorders>
            <w:vAlign w:val="center"/>
          </w:tcPr>
          <w:p w:rsidR="00BD5820" w:rsidRDefault="00F64314">
            <w:pPr>
              <w:pStyle w:val="aff2"/>
              <w:rPr>
                <w:b/>
                <w:bCs/>
              </w:rPr>
            </w:pPr>
            <w:r>
              <w:rPr>
                <w:rFonts w:hint="eastAsia"/>
                <w:b/>
                <w:bCs/>
              </w:rPr>
              <w:t>名称</w:t>
            </w:r>
          </w:p>
        </w:tc>
        <w:tc>
          <w:tcPr>
            <w:tcW w:w="1833" w:type="pct"/>
            <w:gridSpan w:val="2"/>
            <w:tcBorders>
              <w:tl2br w:val="nil"/>
              <w:tr2bl w:val="nil"/>
            </w:tcBorders>
            <w:vAlign w:val="center"/>
          </w:tcPr>
          <w:p w:rsidR="00BD5820" w:rsidRDefault="00F64314">
            <w:pPr>
              <w:pStyle w:val="aff2"/>
              <w:rPr>
                <w:b/>
                <w:bCs/>
              </w:rPr>
            </w:pPr>
            <w:r>
              <w:rPr>
                <w:rFonts w:hint="eastAsia"/>
                <w:b/>
                <w:bCs/>
              </w:rPr>
              <w:t>现有建设情况</w:t>
            </w:r>
          </w:p>
        </w:tc>
        <w:tc>
          <w:tcPr>
            <w:tcW w:w="1468" w:type="pct"/>
            <w:tcBorders>
              <w:tl2br w:val="nil"/>
              <w:tr2bl w:val="nil"/>
            </w:tcBorders>
            <w:vAlign w:val="center"/>
          </w:tcPr>
          <w:p w:rsidR="00BD5820" w:rsidRDefault="00F64314">
            <w:pPr>
              <w:pStyle w:val="aff2"/>
              <w:rPr>
                <w:b/>
                <w:bCs/>
              </w:rPr>
            </w:pPr>
            <w:r>
              <w:rPr>
                <w:rFonts w:hint="eastAsia"/>
                <w:b/>
                <w:bCs/>
              </w:rPr>
              <w:t>本项目依托情况</w:t>
            </w:r>
          </w:p>
        </w:tc>
        <w:tc>
          <w:tcPr>
            <w:tcW w:w="1428" w:type="pct"/>
            <w:tcBorders>
              <w:tl2br w:val="nil"/>
              <w:tr2bl w:val="nil"/>
            </w:tcBorders>
            <w:vAlign w:val="center"/>
          </w:tcPr>
          <w:p w:rsidR="00BD5820" w:rsidRDefault="00F64314">
            <w:pPr>
              <w:pStyle w:val="aff2"/>
              <w:rPr>
                <w:b/>
                <w:bCs/>
              </w:rPr>
            </w:pPr>
            <w:r>
              <w:rPr>
                <w:rFonts w:hint="eastAsia"/>
                <w:b/>
                <w:bCs/>
              </w:rPr>
              <w:t>依托可行性</w:t>
            </w:r>
          </w:p>
        </w:tc>
      </w:tr>
      <w:tr w:rsidR="00BD5820" w:rsidTr="005A638B">
        <w:trPr>
          <w:trHeight w:val="863"/>
          <w:jc w:val="center"/>
        </w:trPr>
        <w:tc>
          <w:tcPr>
            <w:tcW w:w="269" w:type="pct"/>
            <w:vMerge w:val="restart"/>
            <w:tcBorders>
              <w:tl2br w:val="nil"/>
              <w:tr2bl w:val="nil"/>
            </w:tcBorders>
            <w:vAlign w:val="center"/>
          </w:tcPr>
          <w:p w:rsidR="00BD5820" w:rsidRDefault="00F64314">
            <w:pPr>
              <w:pStyle w:val="aff2"/>
            </w:pPr>
            <w:r>
              <w:rPr>
                <w:rFonts w:hint="eastAsia"/>
              </w:rPr>
              <w:t>主体工程</w:t>
            </w:r>
          </w:p>
        </w:tc>
        <w:tc>
          <w:tcPr>
            <w:tcW w:w="638" w:type="pct"/>
            <w:tcBorders>
              <w:tl2br w:val="nil"/>
              <w:tr2bl w:val="nil"/>
            </w:tcBorders>
            <w:vAlign w:val="center"/>
          </w:tcPr>
          <w:p w:rsidR="00BD5820" w:rsidRDefault="00F64314">
            <w:pPr>
              <w:pStyle w:val="aff2"/>
              <w:rPr>
                <w:szCs w:val="21"/>
              </w:rPr>
            </w:pPr>
            <w:r>
              <w:rPr>
                <w:rFonts w:hint="eastAsia"/>
                <w:szCs w:val="21"/>
              </w:rPr>
              <w:t>普光气田</w:t>
            </w:r>
            <w:r>
              <w:rPr>
                <w:rFonts w:hint="eastAsia"/>
                <w:szCs w:val="21"/>
              </w:rPr>
              <w:t>1#</w:t>
            </w:r>
            <w:r>
              <w:rPr>
                <w:rFonts w:hint="eastAsia"/>
                <w:szCs w:val="21"/>
              </w:rPr>
              <w:t>增压站</w:t>
            </w:r>
          </w:p>
        </w:tc>
        <w:tc>
          <w:tcPr>
            <w:tcW w:w="1195" w:type="pct"/>
            <w:tcBorders>
              <w:tl2br w:val="nil"/>
              <w:tr2bl w:val="nil"/>
            </w:tcBorders>
            <w:vAlign w:val="center"/>
          </w:tcPr>
          <w:p w:rsidR="00BD5820" w:rsidRDefault="00F64314">
            <w:pPr>
              <w:pStyle w:val="aff2"/>
              <w:rPr>
                <w:szCs w:val="21"/>
              </w:rPr>
            </w:pPr>
            <w:r>
              <w:rPr>
                <w:rFonts w:hint="eastAsia"/>
              </w:rPr>
              <w:t>P102</w:t>
            </w:r>
            <w:r>
              <w:rPr>
                <w:rFonts w:hint="eastAsia"/>
              </w:rPr>
              <w:t>集气站</w:t>
            </w:r>
            <w:r>
              <w:rPr>
                <w:rFonts w:hint="eastAsia"/>
                <w:bCs/>
              </w:rPr>
              <w:t>已建放空火炬等设施。</w:t>
            </w:r>
          </w:p>
        </w:tc>
        <w:tc>
          <w:tcPr>
            <w:tcW w:w="1468" w:type="pct"/>
            <w:tcBorders>
              <w:tl2br w:val="nil"/>
              <w:tr2bl w:val="nil"/>
            </w:tcBorders>
            <w:vAlign w:val="center"/>
          </w:tcPr>
          <w:p w:rsidR="00BD5820" w:rsidRDefault="00F64314">
            <w:pPr>
              <w:pStyle w:val="aff2"/>
            </w:pPr>
            <w:r>
              <w:rPr>
                <w:rFonts w:hint="eastAsia"/>
              </w:rPr>
              <w:t>利用</w:t>
            </w:r>
            <w:r>
              <w:rPr>
                <w:rFonts w:hint="eastAsia"/>
              </w:rPr>
              <w:t>P102</w:t>
            </w:r>
            <w:r>
              <w:rPr>
                <w:rFonts w:hint="eastAsia"/>
              </w:rPr>
              <w:t>集气站</w:t>
            </w:r>
            <w:r>
              <w:rPr>
                <w:rFonts w:hint="eastAsia"/>
                <w:bCs/>
              </w:rPr>
              <w:t>已建放空火炬等设施</w:t>
            </w:r>
            <w:r>
              <w:rPr>
                <w:rFonts w:hint="eastAsia"/>
              </w:rPr>
              <w:t>。</w:t>
            </w:r>
          </w:p>
        </w:tc>
        <w:tc>
          <w:tcPr>
            <w:tcW w:w="1428" w:type="pct"/>
            <w:tcBorders>
              <w:tl2br w:val="nil"/>
              <w:tr2bl w:val="nil"/>
            </w:tcBorders>
            <w:vAlign w:val="center"/>
          </w:tcPr>
          <w:p w:rsidR="00BD5820" w:rsidRDefault="00F64314">
            <w:pPr>
              <w:pStyle w:val="aff2"/>
            </w:pPr>
            <w:r>
              <w:rPr>
                <w:rFonts w:hint="eastAsia"/>
                <w:bCs/>
              </w:rPr>
              <w:t>本项目可依托</w:t>
            </w:r>
            <w:r>
              <w:rPr>
                <w:rFonts w:hint="eastAsia"/>
              </w:rPr>
              <w:t>P102</w:t>
            </w:r>
            <w:r>
              <w:rPr>
                <w:rFonts w:hint="eastAsia"/>
              </w:rPr>
              <w:t>集气站</w:t>
            </w:r>
            <w:r>
              <w:rPr>
                <w:rFonts w:hint="eastAsia"/>
                <w:bCs/>
              </w:rPr>
              <w:t>放空火炬等设施</w:t>
            </w:r>
          </w:p>
        </w:tc>
      </w:tr>
      <w:tr w:rsidR="005A638B" w:rsidTr="005A638B">
        <w:trPr>
          <w:trHeight w:val="422"/>
          <w:jc w:val="center"/>
        </w:trPr>
        <w:tc>
          <w:tcPr>
            <w:tcW w:w="269" w:type="pct"/>
            <w:vMerge/>
            <w:tcBorders>
              <w:tl2br w:val="nil"/>
              <w:tr2bl w:val="nil"/>
            </w:tcBorders>
            <w:vAlign w:val="center"/>
          </w:tcPr>
          <w:p w:rsidR="005A638B" w:rsidRDefault="005A638B">
            <w:pPr>
              <w:pStyle w:val="aff2"/>
            </w:pPr>
          </w:p>
        </w:tc>
        <w:tc>
          <w:tcPr>
            <w:tcW w:w="638" w:type="pct"/>
            <w:tcBorders>
              <w:tl2br w:val="nil"/>
              <w:tr2bl w:val="nil"/>
            </w:tcBorders>
            <w:vAlign w:val="center"/>
          </w:tcPr>
          <w:p w:rsidR="005A638B" w:rsidRPr="005A638B" w:rsidRDefault="005A638B">
            <w:pPr>
              <w:pStyle w:val="aff2"/>
              <w:rPr>
                <w:color w:val="FF0000"/>
                <w:szCs w:val="21"/>
              </w:rPr>
            </w:pPr>
            <w:r w:rsidRPr="005A638B">
              <w:rPr>
                <w:rFonts w:hint="eastAsia"/>
                <w:color w:val="FF0000"/>
                <w:szCs w:val="21"/>
              </w:rPr>
              <w:t>普光气田</w:t>
            </w:r>
            <w:r w:rsidRPr="005A638B">
              <w:rPr>
                <w:rFonts w:hint="eastAsia"/>
                <w:color w:val="FF0000"/>
                <w:szCs w:val="21"/>
              </w:rPr>
              <w:t>2#</w:t>
            </w:r>
            <w:r w:rsidRPr="005A638B">
              <w:rPr>
                <w:rFonts w:hint="eastAsia"/>
                <w:color w:val="FF0000"/>
                <w:szCs w:val="21"/>
              </w:rPr>
              <w:t>增压站</w:t>
            </w:r>
          </w:p>
        </w:tc>
        <w:tc>
          <w:tcPr>
            <w:tcW w:w="1195" w:type="pct"/>
            <w:tcBorders>
              <w:tl2br w:val="nil"/>
              <w:tr2bl w:val="nil"/>
            </w:tcBorders>
            <w:vAlign w:val="center"/>
          </w:tcPr>
          <w:p w:rsidR="005A638B" w:rsidRPr="005A638B" w:rsidRDefault="005A638B">
            <w:pPr>
              <w:pStyle w:val="aff2"/>
              <w:rPr>
                <w:color w:val="FF0000"/>
              </w:rPr>
            </w:pPr>
            <w:r w:rsidRPr="005A638B">
              <w:rPr>
                <w:rFonts w:hint="eastAsia"/>
                <w:color w:val="FF0000"/>
              </w:rPr>
              <w:t>净化厂已建放空火炬等设施</w:t>
            </w:r>
          </w:p>
        </w:tc>
        <w:tc>
          <w:tcPr>
            <w:tcW w:w="1468" w:type="pct"/>
            <w:tcBorders>
              <w:tl2br w:val="nil"/>
              <w:tr2bl w:val="nil"/>
            </w:tcBorders>
            <w:vAlign w:val="center"/>
          </w:tcPr>
          <w:p w:rsidR="005A638B" w:rsidRPr="005A638B" w:rsidRDefault="005A638B">
            <w:pPr>
              <w:pStyle w:val="aff2"/>
              <w:rPr>
                <w:color w:val="FF0000"/>
              </w:rPr>
            </w:pPr>
            <w:r w:rsidRPr="005A638B">
              <w:rPr>
                <w:rFonts w:hint="eastAsia"/>
                <w:color w:val="FF0000"/>
              </w:rPr>
              <w:t>利用净化厂已建放空火炬等设施</w:t>
            </w:r>
          </w:p>
        </w:tc>
        <w:tc>
          <w:tcPr>
            <w:tcW w:w="1428" w:type="pct"/>
            <w:tcBorders>
              <w:tl2br w:val="nil"/>
              <w:tr2bl w:val="nil"/>
            </w:tcBorders>
            <w:vAlign w:val="center"/>
          </w:tcPr>
          <w:p w:rsidR="005A638B" w:rsidRPr="005A638B" w:rsidRDefault="005A638B">
            <w:pPr>
              <w:pStyle w:val="aff2"/>
              <w:rPr>
                <w:bCs/>
                <w:color w:val="FF0000"/>
              </w:rPr>
            </w:pPr>
            <w:r w:rsidRPr="005A638B">
              <w:rPr>
                <w:rFonts w:hint="eastAsia"/>
                <w:bCs/>
                <w:color w:val="FF0000"/>
              </w:rPr>
              <w:t>本项目可依托净化厂放空火炬等设施</w:t>
            </w:r>
          </w:p>
        </w:tc>
      </w:tr>
      <w:tr w:rsidR="00BD5820">
        <w:trPr>
          <w:trHeight w:val="1162"/>
          <w:jc w:val="center"/>
        </w:trPr>
        <w:tc>
          <w:tcPr>
            <w:tcW w:w="269" w:type="pct"/>
            <w:vMerge/>
            <w:tcBorders>
              <w:tl2br w:val="nil"/>
              <w:tr2bl w:val="nil"/>
            </w:tcBorders>
            <w:vAlign w:val="center"/>
          </w:tcPr>
          <w:p w:rsidR="00BD5820" w:rsidRDefault="00BD5820">
            <w:pPr>
              <w:pStyle w:val="aff2"/>
            </w:pPr>
          </w:p>
        </w:tc>
        <w:tc>
          <w:tcPr>
            <w:tcW w:w="638" w:type="pct"/>
            <w:tcBorders>
              <w:tl2br w:val="nil"/>
              <w:tr2bl w:val="nil"/>
            </w:tcBorders>
            <w:vAlign w:val="center"/>
          </w:tcPr>
          <w:p w:rsidR="00BD5820" w:rsidRDefault="00F64314">
            <w:pPr>
              <w:pStyle w:val="aff2"/>
            </w:pPr>
            <w:r>
              <w:rPr>
                <w:rFonts w:hint="eastAsia"/>
              </w:rPr>
              <w:t>地面集输工程</w:t>
            </w:r>
          </w:p>
        </w:tc>
        <w:tc>
          <w:tcPr>
            <w:tcW w:w="1195" w:type="pct"/>
            <w:tcBorders>
              <w:tl2br w:val="nil"/>
              <w:tr2bl w:val="nil"/>
            </w:tcBorders>
            <w:vAlign w:val="center"/>
          </w:tcPr>
          <w:p w:rsidR="00BD5820" w:rsidRDefault="00F64314">
            <w:pPr>
              <w:pStyle w:val="aff2"/>
            </w:pPr>
            <w:r>
              <w:rPr>
                <w:rFonts w:hint="eastAsia"/>
                <w:bCs/>
              </w:rPr>
              <w:t>现有</w:t>
            </w:r>
            <w:r>
              <w:rPr>
                <w:bCs/>
              </w:rPr>
              <w:t>P102</w:t>
            </w:r>
            <w:r>
              <w:rPr>
                <w:bCs/>
              </w:rPr>
              <w:t>集气站</w:t>
            </w:r>
            <w:r>
              <w:rPr>
                <w:rFonts w:hint="eastAsia"/>
                <w:bCs/>
              </w:rPr>
              <w:t>、</w:t>
            </w:r>
            <w:r>
              <w:rPr>
                <w:bCs/>
              </w:rPr>
              <w:t>P10</w:t>
            </w:r>
            <w:r>
              <w:rPr>
                <w:rFonts w:hint="eastAsia"/>
                <w:bCs/>
              </w:rPr>
              <w:t>4</w:t>
            </w:r>
            <w:r>
              <w:rPr>
                <w:bCs/>
              </w:rPr>
              <w:t>集气站</w:t>
            </w:r>
            <w:r>
              <w:rPr>
                <w:rFonts w:hint="eastAsia"/>
                <w:bCs/>
              </w:rPr>
              <w:t>、</w:t>
            </w:r>
            <w:r>
              <w:rPr>
                <w:bCs/>
              </w:rPr>
              <w:t>P10</w:t>
            </w:r>
            <w:r>
              <w:rPr>
                <w:rFonts w:hint="eastAsia"/>
                <w:bCs/>
              </w:rPr>
              <w:t>6</w:t>
            </w:r>
            <w:r>
              <w:rPr>
                <w:bCs/>
              </w:rPr>
              <w:t>集气站</w:t>
            </w:r>
            <w:r>
              <w:rPr>
                <w:rFonts w:hint="eastAsia"/>
                <w:bCs/>
              </w:rPr>
              <w:t>已建设有</w:t>
            </w:r>
            <w:r>
              <w:rPr>
                <w:bCs/>
              </w:rPr>
              <w:t>临时分酸、加热、节流流程</w:t>
            </w:r>
          </w:p>
        </w:tc>
        <w:tc>
          <w:tcPr>
            <w:tcW w:w="1468" w:type="pct"/>
            <w:tcBorders>
              <w:tl2br w:val="nil"/>
              <w:tr2bl w:val="nil"/>
            </w:tcBorders>
            <w:vAlign w:val="center"/>
          </w:tcPr>
          <w:p w:rsidR="00BD5820" w:rsidRDefault="00F64314">
            <w:pPr>
              <w:pStyle w:val="aff2"/>
            </w:pPr>
            <w:r>
              <w:rPr>
                <w:rFonts w:hint="eastAsia"/>
                <w:bCs/>
              </w:rPr>
              <w:t>利用现有</w:t>
            </w:r>
            <w:r>
              <w:rPr>
                <w:bCs/>
              </w:rPr>
              <w:t>P102</w:t>
            </w:r>
            <w:r>
              <w:rPr>
                <w:bCs/>
              </w:rPr>
              <w:t>集气站</w:t>
            </w:r>
            <w:r>
              <w:rPr>
                <w:rFonts w:hint="eastAsia"/>
                <w:bCs/>
              </w:rPr>
              <w:t>、</w:t>
            </w:r>
            <w:r>
              <w:rPr>
                <w:bCs/>
              </w:rPr>
              <w:t>P10</w:t>
            </w:r>
            <w:r>
              <w:rPr>
                <w:rFonts w:hint="eastAsia"/>
                <w:bCs/>
              </w:rPr>
              <w:t>4</w:t>
            </w:r>
            <w:r>
              <w:rPr>
                <w:bCs/>
              </w:rPr>
              <w:t>集气站</w:t>
            </w:r>
            <w:r>
              <w:rPr>
                <w:rFonts w:hint="eastAsia"/>
                <w:bCs/>
              </w:rPr>
              <w:t>、</w:t>
            </w:r>
            <w:r>
              <w:rPr>
                <w:bCs/>
              </w:rPr>
              <w:t>P10</w:t>
            </w:r>
            <w:r>
              <w:rPr>
                <w:rFonts w:hint="eastAsia"/>
                <w:bCs/>
              </w:rPr>
              <w:t>6</w:t>
            </w:r>
            <w:r>
              <w:rPr>
                <w:bCs/>
              </w:rPr>
              <w:t>集气站</w:t>
            </w:r>
            <w:r>
              <w:rPr>
                <w:rFonts w:hint="eastAsia"/>
                <w:bCs/>
              </w:rPr>
              <w:t>已建设有</w:t>
            </w:r>
            <w:r>
              <w:rPr>
                <w:bCs/>
              </w:rPr>
              <w:t>临时分酸、加热、节流流程</w:t>
            </w:r>
          </w:p>
        </w:tc>
        <w:tc>
          <w:tcPr>
            <w:tcW w:w="1428" w:type="pct"/>
            <w:tcBorders>
              <w:tl2br w:val="nil"/>
              <w:tr2bl w:val="nil"/>
            </w:tcBorders>
            <w:vAlign w:val="center"/>
          </w:tcPr>
          <w:p w:rsidR="00BD5820" w:rsidRDefault="00F64314">
            <w:pPr>
              <w:pStyle w:val="aff2"/>
            </w:pPr>
            <w:r>
              <w:rPr>
                <w:rFonts w:hint="eastAsia"/>
              </w:rPr>
              <w:t>本项目</w:t>
            </w:r>
            <w:r>
              <w:rPr>
                <w:bCs/>
              </w:rPr>
              <w:t>临时分酸、加热、节流流程</w:t>
            </w:r>
            <w:r>
              <w:rPr>
                <w:rFonts w:hint="eastAsia"/>
                <w:bCs/>
              </w:rPr>
              <w:t>可依托</w:t>
            </w:r>
            <w:r>
              <w:rPr>
                <w:bCs/>
              </w:rPr>
              <w:t>P102</w:t>
            </w:r>
            <w:r>
              <w:rPr>
                <w:bCs/>
              </w:rPr>
              <w:t>集气站</w:t>
            </w:r>
            <w:r>
              <w:rPr>
                <w:rFonts w:hint="eastAsia"/>
                <w:bCs/>
              </w:rPr>
              <w:t>、</w:t>
            </w:r>
            <w:r>
              <w:rPr>
                <w:bCs/>
              </w:rPr>
              <w:t>P10</w:t>
            </w:r>
            <w:r>
              <w:rPr>
                <w:rFonts w:hint="eastAsia"/>
                <w:bCs/>
              </w:rPr>
              <w:t>4</w:t>
            </w:r>
            <w:r>
              <w:rPr>
                <w:bCs/>
              </w:rPr>
              <w:t>集气站</w:t>
            </w:r>
            <w:r>
              <w:rPr>
                <w:rFonts w:hint="eastAsia"/>
                <w:bCs/>
              </w:rPr>
              <w:t>、</w:t>
            </w:r>
            <w:r>
              <w:rPr>
                <w:bCs/>
              </w:rPr>
              <w:t>P10</w:t>
            </w:r>
            <w:r>
              <w:rPr>
                <w:rFonts w:hint="eastAsia"/>
                <w:bCs/>
              </w:rPr>
              <w:t>6</w:t>
            </w:r>
            <w:r>
              <w:rPr>
                <w:bCs/>
              </w:rPr>
              <w:t>集气站</w:t>
            </w:r>
            <w:r>
              <w:rPr>
                <w:rFonts w:hint="eastAsia"/>
              </w:rPr>
              <w:t>。</w:t>
            </w:r>
          </w:p>
        </w:tc>
      </w:tr>
      <w:tr w:rsidR="00BD5820">
        <w:trPr>
          <w:trHeight w:val="18"/>
          <w:jc w:val="center"/>
        </w:trPr>
        <w:tc>
          <w:tcPr>
            <w:tcW w:w="269" w:type="pct"/>
            <w:vMerge w:val="restart"/>
            <w:tcBorders>
              <w:tl2br w:val="nil"/>
              <w:tr2bl w:val="nil"/>
            </w:tcBorders>
            <w:vAlign w:val="center"/>
          </w:tcPr>
          <w:p w:rsidR="00BD5820" w:rsidRDefault="00F64314">
            <w:pPr>
              <w:pStyle w:val="aff2"/>
            </w:pPr>
            <w:r>
              <w:lastRenderedPageBreak/>
              <w:t>辅助工程</w:t>
            </w:r>
          </w:p>
        </w:tc>
        <w:tc>
          <w:tcPr>
            <w:tcW w:w="638" w:type="pct"/>
            <w:tcBorders>
              <w:tl2br w:val="nil"/>
              <w:tr2bl w:val="nil"/>
            </w:tcBorders>
            <w:vAlign w:val="center"/>
          </w:tcPr>
          <w:p w:rsidR="00BD5820" w:rsidRDefault="00F64314">
            <w:pPr>
              <w:pStyle w:val="aff2"/>
              <w:rPr>
                <w:szCs w:val="21"/>
              </w:rPr>
            </w:pPr>
            <w:r>
              <w:rPr>
                <w:szCs w:val="21"/>
              </w:rPr>
              <w:t>燃气返输管线</w:t>
            </w:r>
          </w:p>
        </w:tc>
        <w:tc>
          <w:tcPr>
            <w:tcW w:w="1195" w:type="pct"/>
            <w:tcBorders>
              <w:tl2br w:val="nil"/>
              <w:tr2bl w:val="nil"/>
            </w:tcBorders>
            <w:vAlign w:val="center"/>
          </w:tcPr>
          <w:p w:rsidR="00BD5820" w:rsidRDefault="00F64314">
            <w:pPr>
              <w:snapToGrid w:val="0"/>
              <w:spacing w:line="240" w:lineRule="auto"/>
              <w:ind w:firstLineChars="0" w:firstLine="0"/>
              <w:jc w:val="center"/>
              <w:rPr>
                <w:rFonts w:ascii="Times New Roman" w:cs="Times New Roman"/>
                <w:kern w:val="2"/>
                <w:sz w:val="21"/>
                <w:szCs w:val="21"/>
              </w:rPr>
            </w:pPr>
            <w:r>
              <w:rPr>
                <w:rFonts w:ascii="Times New Roman" w:cs="Times New Roman" w:hint="eastAsia"/>
                <w:sz w:val="21"/>
                <w:szCs w:val="21"/>
              </w:rPr>
              <w:t>现有</w:t>
            </w:r>
            <w:r>
              <w:rPr>
                <w:rFonts w:ascii="Times New Roman" w:cs="Times New Roman" w:hint="eastAsia"/>
                <w:sz w:val="21"/>
                <w:szCs w:val="21"/>
              </w:rPr>
              <w:t>P102</w:t>
            </w:r>
            <w:r>
              <w:rPr>
                <w:rFonts w:ascii="Times New Roman" w:cs="Times New Roman" w:hint="eastAsia"/>
                <w:sz w:val="21"/>
                <w:szCs w:val="21"/>
              </w:rPr>
              <w:t>集气站、</w:t>
            </w:r>
            <w:r>
              <w:rPr>
                <w:rFonts w:ascii="Times New Roman" w:cs="Times New Roman" w:hint="eastAsia"/>
                <w:sz w:val="21"/>
                <w:szCs w:val="21"/>
              </w:rPr>
              <w:t>P104</w:t>
            </w:r>
            <w:r>
              <w:rPr>
                <w:rFonts w:ascii="Times New Roman" w:cs="Times New Roman" w:hint="eastAsia"/>
                <w:sz w:val="21"/>
                <w:szCs w:val="21"/>
              </w:rPr>
              <w:t>集气站、</w:t>
            </w:r>
            <w:r>
              <w:rPr>
                <w:rFonts w:ascii="Times New Roman" w:cs="Times New Roman" w:hint="eastAsia"/>
                <w:sz w:val="21"/>
                <w:szCs w:val="21"/>
              </w:rPr>
              <w:t>P106</w:t>
            </w:r>
            <w:r>
              <w:rPr>
                <w:rFonts w:ascii="Times New Roman" w:cs="Times New Roman" w:hint="eastAsia"/>
                <w:sz w:val="21"/>
                <w:szCs w:val="21"/>
              </w:rPr>
              <w:t>集气站均建设有燃气返输管线从已建燃料气管线</w:t>
            </w:r>
            <w:r>
              <w:rPr>
                <w:rFonts w:ascii="Times New Roman" w:cs="Times New Roman" w:hint="eastAsia"/>
                <w:bCs/>
                <w:sz w:val="21"/>
                <w:szCs w:val="21"/>
              </w:rPr>
              <w:t>φ</w:t>
            </w:r>
            <w:r>
              <w:rPr>
                <w:rFonts w:ascii="Times New Roman" w:cs="Times New Roman"/>
                <w:bCs/>
                <w:sz w:val="21"/>
                <w:szCs w:val="21"/>
              </w:rPr>
              <w:t>60.3</w:t>
            </w:r>
            <w:r>
              <w:rPr>
                <w:rFonts w:ascii="Times New Roman" w:cs="Times New Roman" w:hint="eastAsia"/>
                <w:bCs/>
                <w:sz w:val="21"/>
                <w:szCs w:val="21"/>
              </w:rPr>
              <w:t>×</w:t>
            </w:r>
            <w:r>
              <w:rPr>
                <w:rFonts w:ascii="Times New Roman" w:cs="Times New Roman" w:hint="eastAsia"/>
                <w:bCs/>
                <w:sz w:val="21"/>
                <w:szCs w:val="21"/>
              </w:rPr>
              <w:t>3.91</w:t>
            </w:r>
            <w:r>
              <w:rPr>
                <w:rFonts w:ascii="Times New Roman" w:cs="Times New Roman" w:hint="eastAsia"/>
                <w:bCs/>
                <w:sz w:val="21"/>
                <w:szCs w:val="21"/>
              </w:rPr>
              <w:t>无缝钢管</w:t>
            </w:r>
            <w:r>
              <w:rPr>
                <w:rFonts w:ascii="Times New Roman" w:cs="Times New Roman" w:hint="eastAsia"/>
                <w:sz w:val="21"/>
                <w:szCs w:val="21"/>
              </w:rPr>
              <w:t>，设计压力</w:t>
            </w:r>
            <w:r>
              <w:rPr>
                <w:rFonts w:ascii="Times New Roman" w:cs="Times New Roman" w:hint="eastAsia"/>
                <w:sz w:val="21"/>
                <w:szCs w:val="21"/>
              </w:rPr>
              <w:t>1.6MPa</w:t>
            </w:r>
            <w:r>
              <w:rPr>
                <w:rFonts w:ascii="Times New Roman" w:cs="Times New Roman" w:hint="eastAsia"/>
                <w:sz w:val="21"/>
                <w:szCs w:val="21"/>
              </w:rPr>
              <w:t>，设计温度</w:t>
            </w:r>
            <w:r>
              <w:rPr>
                <w:rFonts w:ascii="Times New Roman" w:cs="Times New Roman" w:hint="eastAsia"/>
                <w:sz w:val="21"/>
                <w:szCs w:val="21"/>
              </w:rPr>
              <w:t xml:space="preserve"> 50</w:t>
            </w:r>
            <w:r>
              <w:rPr>
                <w:rFonts w:ascii="Times New Roman" w:cs="Times New Roman" w:hint="eastAsia"/>
                <w:sz w:val="21"/>
                <w:szCs w:val="21"/>
              </w:rPr>
              <w:t>℃，实际运行压力为</w:t>
            </w:r>
            <w:r>
              <w:rPr>
                <w:rFonts w:ascii="Times New Roman" w:cs="Times New Roman" w:hint="eastAsia"/>
                <w:sz w:val="21"/>
                <w:szCs w:val="21"/>
              </w:rPr>
              <w:t xml:space="preserve"> 0.6~0.8MPa</w:t>
            </w:r>
            <w:r>
              <w:rPr>
                <w:rFonts w:ascii="Times New Roman" w:cs="Times New Roman" w:hint="eastAsia"/>
                <w:sz w:val="21"/>
                <w:szCs w:val="21"/>
              </w:rPr>
              <w:t>，运行温度</w:t>
            </w:r>
            <w:r>
              <w:rPr>
                <w:rFonts w:ascii="Times New Roman" w:cs="Times New Roman" w:hint="eastAsia"/>
                <w:sz w:val="21"/>
                <w:szCs w:val="21"/>
              </w:rPr>
              <w:t xml:space="preserve"> 0~20</w:t>
            </w:r>
            <w:r>
              <w:rPr>
                <w:rFonts w:ascii="Times New Roman" w:cs="Times New Roman" w:hint="eastAsia"/>
                <w:sz w:val="21"/>
                <w:szCs w:val="21"/>
              </w:rPr>
              <w:t>℃</w:t>
            </w:r>
            <w:r>
              <w:rPr>
                <w:rFonts w:ascii="Times New Roman" w:cs="Times New Roman"/>
                <w:sz w:val="21"/>
                <w:szCs w:val="21"/>
              </w:rPr>
              <w:t>。</w:t>
            </w:r>
          </w:p>
        </w:tc>
        <w:tc>
          <w:tcPr>
            <w:tcW w:w="1468" w:type="pct"/>
            <w:tcBorders>
              <w:tl2br w:val="nil"/>
              <w:tr2bl w:val="nil"/>
            </w:tcBorders>
            <w:vAlign w:val="center"/>
          </w:tcPr>
          <w:p w:rsidR="00BD5820" w:rsidRDefault="00F64314">
            <w:pPr>
              <w:pStyle w:val="aff2"/>
            </w:pPr>
            <w:r>
              <w:rPr>
                <w:rFonts w:hint="eastAsia"/>
                <w:szCs w:val="21"/>
              </w:rPr>
              <w:t>依托现有</w:t>
            </w:r>
            <w:r>
              <w:rPr>
                <w:szCs w:val="21"/>
              </w:rPr>
              <w:t>燃气返输管线</w:t>
            </w:r>
          </w:p>
        </w:tc>
        <w:tc>
          <w:tcPr>
            <w:tcW w:w="1428" w:type="pct"/>
            <w:tcBorders>
              <w:tl2br w:val="nil"/>
              <w:tr2bl w:val="nil"/>
            </w:tcBorders>
            <w:vAlign w:val="center"/>
          </w:tcPr>
          <w:p w:rsidR="00BD5820" w:rsidRDefault="00F64314">
            <w:pPr>
              <w:pStyle w:val="aff2"/>
            </w:pPr>
            <w:r>
              <w:rPr>
                <w:rFonts w:hint="eastAsia"/>
              </w:rPr>
              <w:t>可进行依托</w:t>
            </w:r>
          </w:p>
        </w:tc>
      </w:tr>
      <w:tr w:rsidR="00BD5820">
        <w:trPr>
          <w:trHeight w:val="18"/>
          <w:jc w:val="center"/>
        </w:trPr>
        <w:tc>
          <w:tcPr>
            <w:tcW w:w="269" w:type="pct"/>
            <w:vMerge/>
            <w:tcBorders>
              <w:tl2br w:val="nil"/>
              <w:tr2bl w:val="nil"/>
            </w:tcBorders>
            <w:vAlign w:val="center"/>
          </w:tcPr>
          <w:p w:rsidR="00BD5820" w:rsidRDefault="00BD5820">
            <w:pPr>
              <w:pStyle w:val="aff2"/>
            </w:pPr>
          </w:p>
        </w:tc>
        <w:tc>
          <w:tcPr>
            <w:tcW w:w="638" w:type="pct"/>
            <w:tcBorders>
              <w:tl2br w:val="nil"/>
              <w:tr2bl w:val="nil"/>
            </w:tcBorders>
            <w:vAlign w:val="center"/>
          </w:tcPr>
          <w:p w:rsidR="00BD5820" w:rsidRDefault="00F64314">
            <w:pPr>
              <w:pStyle w:val="aff2"/>
            </w:pPr>
            <w:r>
              <w:rPr>
                <w:rFonts w:hint="eastAsia"/>
              </w:rPr>
              <w:t>进场道路</w:t>
            </w:r>
          </w:p>
        </w:tc>
        <w:tc>
          <w:tcPr>
            <w:tcW w:w="1195" w:type="pct"/>
            <w:tcBorders>
              <w:tl2br w:val="nil"/>
              <w:tr2bl w:val="nil"/>
            </w:tcBorders>
            <w:vAlign w:val="center"/>
          </w:tcPr>
          <w:p w:rsidR="00BD5820" w:rsidRDefault="00F64314">
            <w:pPr>
              <w:pStyle w:val="aff2"/>
            </w:pPr>
            <w:r>
              <w:rPr>
                <w:rFonts w:hint="eastAsia"/>
              </w:rPr>
              <w:t>普光气田</w:t>
            </w:r>
            <w:r>
              <w:rPr>
                <w:rFonts w:hint="eastAsia"/>
              </w:rPr>
              <w:t>2#</w:t>
            </w:r>
            <w:r>
              <w:rPr>
                <w:rFonts w:hint="eastAsia"/>
              </w:rPr>
              <w:t>增压站现有进场道路</w:t>
            </w:r>
            <w:r>
              <w:rPr>
                <w:rFonts w:hint="eastAsia"/>
              </w:rPr>
              <w:t>200m</w:t>
            </w:r>
            <w:r>
              <w:rPr>
                <w:rFonts w:hint="eastAsia"/>
              </w:rPr>
              <w:t>，宽</w:t>
            </w:r>
            <w:r>
              <w:rPr>
                <w:rFonts w:hint="eastAsia"/>
              </w:rPr>
              <w:t>4m</w:t>
            </w:r>
            <w:r>
              <w:rPr>
                <w:rFonts w:hint="eastAsia"/>
              </w:rPr>
              <w:t>，位于站场西侧</w:t>
            </w:r>
          </w:p>
        </w:tc>
        <w:tc>
          <w:tcPr>
            <w:tcW w:w="1468" w:type="pct"/>
            <w:tcBorders>
              <w:tl2br w:val="nil"/>
              <w:tr2bl w:val="nil"/>
            </w:tcBorders>
            <w:vAlign w:val="center"/>
          </w:tcPr>
          <w:p w:rsidR="00BD5820" w:rsidRDefault="00F64314">
            <w:pPr>
              <w:pStyle w:val="aff2"/>
            </w:pPr>
            <w:r>
              <w:rPr>
                <w:rFonts w:hint="eastAsia"/>
              </w:rPr>
              <w:t>普光气田</w:t>
            </w:r>
            <w:r>
              <w:rPr>
                <w:rFonts w:hint="eastAsia"/>
              </w:rPr>
              <w:t>2#</w:t>
            </w:r>
            <w:r>
              <w:rPr>
                <w:rFonts w:hint="eastAsia"/>
              </w:rPr>
              <w:t>增压站可依托站场西侧现有进场道路</w:t>
            </w:r>
          </w:p>
        </w:tc>
        <w:tc>
          <w:tcPr>
            <w:tcW w:w="1428" w:type="pct"/>
            <w:tcBorders>
              <w:tl2br w:val="nil"/>
              <w:tr2bl w:val="nil"/>
            </w:tcBorders>
            <w:vAlign w:val="center"/>
          </w:tcPr>
          <w:p w:rsidR="00BD5820" w:rsidRDefault="00F64314">
            <w:pPr>
              <w:pStyle w:val="aff2"/>
            </w:pPr>
            <w:r>
              <w:rPr>
                <w:rFonts w:hint="eastAsia"/>
              </w:rPr>
              <w:t>可进行依托</w:t>
            </w:r>
          </w:p>
        </w:tc>
      </w:tr>
      <w:tr w:rsidR="00BD5820">
        <w:trPr>
          <w:trHeight w:val="18"/>
          <w:jc w:val="center"/>
        </w:trPr>
        <w:tc>
          <w:tcPr>
            <w:tcW w:w="269" w:type="pct"/>
            <w:tcBorders>
              <w:tl2br w:val="nil"/>
              <w:tr2bl w:val="nil"/>
            </w:tcBorders>
            <w:vAlign w:val="center"/>
          </w:tcPr>
          <w:p w:rsidR="00BD5820" w:rsidRDefault="00F64314">
            <w:pPr>
              <w:pStyle w:val="aff2"/>
            </w:pPr>
            <w:r>
              <w:rPr>
                <w:rFonts w:hint="eastAsia"/>
              </w:rPr>
              <w:t>环保工程</w:t>
            </w:r>
          </w:p>
        </w:tc>
        <w:tc>
          <w:tcPr>
            <w:tcW w:w="638" w:type="pct"/>
            <w:tcBorders>
              <w:tl2br w:val="nil"/>
              <w:tr2bl w:val="nil"/>
            </w:tcBorders>
            <w:vAlign w:val="center"/>
          </w:tcPr>
          <w:p w:rsidR="00BD5820" w:rsidRDefault="00F64314">
            <w:pPr>
              <w:pStyle w:val="aff2"/>
            </w:pPr>
            <w:r>
              <w:rPr>
                <w:rFonts w:hint="eastAsia"/>
              </w:rPr>
              <w:t>废气</w:t>
            </w:r>
          </w:p>
        </w:tc>
        <w:tc>
          <w:tcPr>
            <w:tcW w:w="1195" w:type="pct"/>
            <w:tcBorders>
              <w:tl2br w:val="nil"/>
              <w:tr2bl w:val="nil"/>
            </w:tcBorders>
            <w:vAlign w:val="center"/>
          </w:tcPr>
          <w:p w:rsidR="00BD5820" w:rsidRDefault="00F64314">
            <w:pPr>
              <w:pStyle w:val="aff2"/>
            </w:pPr>
            <w:r>
              <w:rPr>
                <w:rFonts w:hint="eastAsia"/>
              </w:rPr>
              <w:t>P102</w:t>
            </w:r>
            <w:r>
              <w:rPr>
                <w:rFonts w:hint="eastAsia"/>
              </w:rPr>
              <w:t>集气站</w:t>
            </w:r>
            <w:r>
              <w:t>在非正常生产时有超压和检修时</w:t>
            </w:r>
            <w:r>
              <w:rPr>
                <w:rFonts w:hint="eastAsia"/>
              </w:rPr>
              <w:t>经</w:t>
            </w:r>
            <w:r>
              <w:t>已建点火放空系统排放点火放空燃烧废气</w:t>
            </w:r>
          </w:p>
        </w:tc>
        <w:tc>
          <w:tcPr>
            <w:tcW w:w="1468" w:type="pct"/>
            <w:tcBorders>
              <w:tl2br w:val="nil"/>
              <w:tr2bl w:val="nil"/>
            </w:tcBorders>
            <w:vAlign w:val="center"/>
          </w:tcPr>
          <w:p w:rsidR="00BD5820" w:rsidRDefault="00F64314">
            <w:pPr>
              <w:pStyle w:val="aff2"/>
            </w:pPr>
            <w:r>
              <w:t>项目</w:t>
            </w:r>
            <w:r>
              <w:rPr>
                <w:rFonts w:hint="eastAsia"/>
              </w:rPr>
              <w:t>运营期</w:t>
            </w:r>
            <w:r>
              <w:t>正常情况下不对大气环境排放污染物，在非正常生产时有超压和检修时依托</w:t>
            </w:r>
            <w:r>
              <w:t>P102</w:t>
            </w:r>
            <w:r>
              <w:rPr>
                <w:rFonts w:hint="eastAsia"/>
              </w:rPr>
              <w:t>集气站</w:t>
            </w:r>
            <w:r>
              <w:t>已建点火放空系统排放点火放空燃烧废气</w:t>
            </w:r>
          </w:p>
        </w:tc>
        <w:tc>
          <w:tcPr>
            <w:tcW w:w="1428" w:type="pct"/>
            <w:tcBorders>
              <w:tl2br w:val="nil"/>
              <w:tr2bl w:val="nil"/>
            </w:tcBorders>
            <w:vAlign w:val="center"/>
          </w:tcPr>
          <w:p w:rsidR="00BD5820" w:rsidRDefault="00F64314">
            <w:pPr>
              <w:pStyle w:val="aff2"/>
            </w:pPr>
            <w:r>
              <w:rPr>
                <w:rFonts w:hint="eastAsia"/>
              </w:rPr>
              <w:t>可进行依托</w:t>
            </w:r>
          </w:p>
        </w:tc>
      </w:tr>
    </w:tbl>
    <w:p w:rsidR="00BD5820" w:rsidRDefault="00F64314">
      <w:pPr>
        <w:pStyle w:val="2"/>
        <w:spacing w:before="120"/>
        <w:rPr>
          <w:rFonts w:cs="Times New Roman"/>
        </w:rPr>
      </w:pPr>
      <w:bookmarkStart w:id="128" w:name="_Toc24100"/>
      <w:r>
        <w:rPr>
          <w:rFonts w:cs="Times New Roman"/>
        </w:rPr>
        <w:t>3.</w:t>
      </w:r>
      <w:bookmarkStart w:id="129" w:name="_Toc19815955"/>
      <w:bookmarkStart w:id="130" w:name="_Toc12288399"/>
      <w:r>
        <w:rPr>
          <w:rFonts w:cs="Times New Roman"/>
        </w:rPr>
        <w:t>3</w:t>
      </w:r>
      <w:bookmarkEnd w:id="129"/>
      <w:r>
        <w:rPr>
          <w:rFonts w:cs="Times New Roman"/>
        </w:rPr>
        <w:t xml:space="preserve"> </w:t>
      </w:r>
      <w:r>
        <w:rPr>
          <w:rFonts w:cs="Times New Roman"/>
        </w:rPr>
        <w:t>输送介质情况</w:t>
      </w:r>
      <w:bookmarkEnd w:id="128"/>
    </w:p>
    <w:p w:rsidR="00BD5820" w:rsidRDefault="00F64314">
      <w:pPr>
        <w:pStyle w:val="affa"/>
        <w:ind w:firstLine="480"/>
      </w:pPr>
      <w:bookmarkStart w:id="131" w:name="_Hlk81422789"/>
      <w:bookmarkEnd w:id="130"/>
      <w:r>
        <w:rPr>
          <w:rFonts w:hint="eastAsia"/>
        </w:rPr>
        <w:t>普光主体原料气中</w:t>
      </w:r>
      <w:r>
        <w:t>甲烷平均含量</w:t>
      </w:r>
      <w:r>
        <w:rPr>
          <w:rFonts w:hint="eastAsia"/>
        </w:rPr>
        <w:t>75.52</w:t>
      </w:r>
      <w:r>
        <w:t>%</w:t>
      </w:r>
      <w:r>
        <w:t>，二氧化碳含量</w:t>
      </w:r>
      <w:r>
        <w:rPr>
          <w:rFonts w:hint="eastAsia"/>
        </w:rPr>
        <w:t>8.64</w:t>
      </w:r>
      <w:r>
        <w:t>%</w:t>
      </w:r>
      <w:r>
        <w:t>，硫化氢平均含量</w:t>
      </w:r>
      <w:r>
        <w:rPr>
          <w:rFonts w:hint="eastAsia"/>
        </w:rPr>
        <w:t>15.16</w:t>
      </w:r>
      <w:r>
        <w:t>%</w:t>
      </w:r>
      <w:r>
        <w:t>，为高含硫、中含二氧化碳酸性天然气</w:t>
      </w:r>
      <w:r>
        <w:rPr>
          <w:rFonts w:hint="eastAsia"/>
        </w:rPr>
        <w:t>，原料天然气</w:t>
      </w:r>
      <w:r>
        <w:t>介质组份</w:t>
      </w:r>
      <w:r>
        <w:rPr>
          <w:rFonts w:hint="eastAsia"/>
        </w:rPr>
        <w:t>详见表</w:t>
      </w:r>
      <w:r>
        <w:rPr>
          <w:rFonts w:hint="eastAsia"/>
        </w:rPr>
        <w:t>3.3-1</w:t>
      </w:r>
      <w:r>
        <w:t>。</w:t>
      </w:r>
    </w:p>
    <w:p w:rsidR="00BD5820" w:rsidRDefault="00F64314">
      <w:pPr>
        <w:pStyle w:val="10"/>
        <w:rPr>
          <w:rFonts w:cs="Times New Roman"/>
        </w:rPr>
      </w:pPr>
      <w:r>
        <w:rPr>
          <w:rFonts w:cs="Times New Roman"/>
        </w:rPr>
        <w:t>表</w:t>
      </w:r>
      <w:r>
        <w:rPr>
          <w:rFonts w:cs="Times New Roman"/>
        </w:rPr>
        <w:t>3.3-1</w:t>
      </w:r>
      <w:r>
        <w:rPr>
          <w:rFonts w:cs="Times New Roman"/>
        </w:rPr>
        <w:t>原料天然气气体组分表</w:t>
      </w:r>
    </w:p>
    <w:tbl>
      <w:tblPr>
        <w:tblW w:w="8957" w:type="dxa"/>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2460"/>
        <w:gridCol w:w="2046"/>
        <w:gridCol w:w="2365"/>
        <w:gridCol w:w="2086"/>
      </w:tblGrid>
      <w:tr w:rsidR="00BD5820">
        <w:trPr>
          <w:trHeight w:val="250"/>
          <w:tblHeader/>
          <w:jc w:val="center"/>
        </w:trPr>
        <w:tc>
          <w:tcPr>
            <w:tcW w:w="2460" w:type="dxa"/>
            <w:vAlign w:val="center"/>
          </w:tcPr>
          <w:p w:rsidR="00BD5820" w:rsidRDefault="00F64314">
            <w:pPr>
              <w:pStyle w:val="afff1"/>
              <w:rPr>
                <w:b/>
                <w:bCs/>
              </w:rPr>
            </w:pPr>
            <w:r>
              <w:rPr>
                <w:b/>
                <w:bCs/>
              </w:rPr>
              <w:t>组分</w:t>
            </w:r>
          </w:p>
        </w:tc>
        <w:tc>
          <w:tcPr>
            <w:tcW w:w="2046" w:type="dxa"/>
            <w:vAlign w:val="center"/>
          </w:tcPr>
          <w:p w:rsidR="00BD5820" w:rsidRDefault="00F64314">
            <w:pPr>
              <w:pStyle w:val="afff1"/>
              <w:rPr>
                <w:b/>
                <w:bCs/>
              </w:rPr>
            </w:pPr>
            <w:r>
              <w:rPr>
                <w:b/>
                <w:bCs/>
              </w:rPr>
              <w:t>摩尔百分数</w:t>
            </w:r>
            <w:r>
              <w:rPr>
                <w:b/>
                <w:bCs/>
              </w:rPr>
              <w:t>%</w:t>
            </w:r>
          </w:p>
        </w:tc>
        <w:tc>
          <w:tcPr>
            <w:tcW w:w="2365" w:type="dxa"/>
            <w:vAlign w:val="center"/>
          </w:tcPr>
          <w:p w:rsidR="00BD5820" w:rsidRDefault="00F64314">
            <w:pPr>
              <w:pStyle w:val="afff1"/>
              <w:rPr>
                <w:b/>
                <w:bCs/>
              </w:rPr>
            </w:pPr>
            <w:r>
              <w:rPr>
                <w:b/>
                <w:bCs/>
              </w:rPr>
              <w:t>组分</w:t>
            </w:r>
          </w:p>
        </w:tc>
        <w:tc>
          <w:tcPr>
            <w:tcW w:w="2086" w:type="dxa"/>
            <w:vAlign w:val="center"/>
          </w:tcPr>
          <w:p w:rsidR="00BD5820" w:rsidRDefault="00F64314">
            <w:pPr>
              <w:pStyle w:val="afff1"/>
              <w:rPr>
                <w:b/>
                <w:bCs/>
              </w:rPr>
            </w:pPr>
            <w:r>
              <w:rPr>
                <w:b/>
                <w:bCs/>
              </w:rPr>
              <w:t>摩尔百分数</w:t>
            </w:r>
            <w:r>
              <w:rPr>
                <w:b/>
                <w:bCs/>
              </w:rPr>
              <w:t>%</w:t>
            </w:r>
          </w:p>
        </w:tc>
      </w:tr>
      <w:tr w:rsidR="00BD5820">
        <w:trPr>
          <w:trHeight w:val="207"/>
          <w:jc w:val="center"/>
        </w:trPr>
        <w:tc>
          <w:tcPr>
            <w:tcW w:w="2460" w:type="dxa"/>
            <w:vAlign w:val="center"/>
          </w:tcPr>
          <w:p w:rsidR="00BD5820" w:rsidRDefault="00F64314">
            <w:pPr>
              <w:pStyle w:val="afff1"/>
            </w:pPr>
            <w:r>
              <w:t>甲烷</w:t>
            </w:r>
            <w:r>
              <w:t xml:space="preserve">   CH</w:t>
            </w:r>
            <w:r>
              <w:rPr>
                <w:vertAlign w:val="subscript"/>
              </w:rPr>
              <w:t xml:space="preserve">4 </w:t>
            </w:r>
          </w:p>
        </w:tc>
        <w:tc>
          <w:tcPr>
            <w:tcW w:w="2046" w:type="dxa"/>
            <w:vAlign w:val="center"/>
          </w:tcPr>
          <w:p w:rsidR="00BD5820" w:rsidRDefault="00F64314">
            <w:pPr>
              <w:pStyle w:val="afff1"/>
            </w:pPr>
            <w:r>
              <w:rPr>
                <w:rFonts w:hint="eastAsia"/>
              </w:rPr>
              <w:t>75.52</w:t>
            </w:r>
          </w:p>
        </w:tc>
        <w:tc>
          <w:tcPr>
            <w:tcW w:w="2365" w:type="dxa"/>
            <w:vAlign w:val="center"/>
          </w:tcPr>
          <w:p w:rsidR="00BD5820" w:rsidRDefault="00F64314">
            <w:pPr>
              <w:pStyle w:val="afff1"/>
            </w:pPr>
            <w:r>
              <w:t>硫化氢</w:t>
            </w:r>
            <w:r>
              <w:t xml:space="preserve">  H</w:t>
            </w:r>
            <w:r>
              <w:rPr>
                <w:vertAlign w:val="subscript"/>
              </w:rPr>
              <w:t>2</w:t>
            </w:r>
            <w:r>
              <w:t>S</w:t>
            </w:r>
          </w:p>
        </w:tc>
        <w:tc>
          <w:tcPr>
            <w:tcW w:w="2086" w:type="dxa"/>
            <w:vAlign w:val="center"/>
          </w:tcPr>
          <w:p w:rsidR="00BD5820" w:rsidRDefault="00F64314">
            <w:pPr>
              <w:pStyle w:val="afff1"/>
            </w:pPr>
            <w:r>
              <w:rPr>
                <w:rFonts w:hint="eastAsia"/>
              </w:rPr>
              <w:t>15.16</w:t>
            </w:r>
          </w:p>
        </w:tc>
      </w:tr>
      <w:tr w:rsidR="00BD5820">
        <w:trPr>
          <w:trHeight w:val="207"/>
          <w:jc w:val="center"/>
        </w:trPr>
        <w:tc>
          <w:tcPr>
            <w:tcW w:w="2460" w:type="dxa"/>
            <w:vAlign w:val="center"/>
          </w:tcPr>
          <w:p w:rsidR="00BD5820" w:rsidRDefault="00F64314">
            <w:pPr>
              <w:pStyle w:val="afff1"/>
            </w:pPr>
            <w:r>
              <w:t>乙烷</w:t>
            </w:r>
            <w:r>
              <w:t xml:space="preserve">  C</w:t>
            </w:r>
            <w:r>
              <w:rPr>
                <w:vertAlign w:val="subscript"/>
              </w:rPr>
              <w:t>2</w:t>
            </w:r>
            <w:r>
              <w:t>H</w:t>
            </w:r>
            <w:r>
              <w:rPr>
                <w:vertAlign w:val="subscript"/>
              </w:rPr>
              <w:t>6</w:t>
            </w:r>
          </w:p>
        </w:tc>
        <w:tc>
          <w:tcPr>
            <w:tcW w:w="2046" w:type="dxa"/>
            <w:vAlign w:val="center"/>
          </w:tcPr>
          <w:p w:rsidR="00BD5820" w:rsidRDefault="00F64314">
            <w:pPr>
              <w:pStyle w:val="afff1"/>
            </w:pPr>
            <w:r>
              <w:rPr>
                <w:szCs w:val="21"/>
              </w:rPr>
              <w:t>0.</w:t>
            </w:r>
            <w:r>
              <w:rPr>
                <w:rFonts w:hint="eastAsia"/>
                <w:szCs w:val="21"/>
              </w:rPr>
              <w:t>025</w:t>
            </w:r>
          </w:p>
        </w:tc>
        <w:tc>
          <w:tcPr>
            <w:tcW w:w="2365" w:type="dxa"/>
            <w:vAlign w:val="center"/>
          </w:tcPr>
          <w:p w:rsidR="00BD5820" w:rsidRDefault="00F64314">
            <w:pPr>
              <w:pStyle w:val="afff1"/>
            </w:pPr>
            <w:r>
              <w:t>二氧化碳</w:t>
            </w:r>
            <w:r>
              <w:t xml:space="preserve">  CO</w:t>
            </w:r>
            <w:r>
              <w:rPr>
                <w:vertAlign w:val="subscript"/>
              </w:rPr>
              <w:t>2</w:t>
            </w:r>
          </w:p>
        </w:tc>
        <w:tc>
          <w:tcPr>
            <w:tcW w:w="2086" w:type="dxa"/>
            <w:vAlign w:val="center"/>
          </w:tcPr>
          <w:p w:rsidR="00BD5820" w:rsidRDefault="00F64314">
            <w:pPr>
              <w:pStyle w:val="afff1"/>
            </w:pPr>
            <w:r>
              <w:rPr>
                <w:rFonts w:hint="eastAsia"/>
              </w:rPr>
              <w:t>8.64</w:t>
            </w:r>
          </w:p>
        </w:tc>
      </w:tr>
      <w:tr w:rsidR="00BD5820">
        <w:trPr>
          <w:trHeight w:val="234"/>
          <w:jc w:val="center"/>
        </w:trPr>
        <w:tc>
          <w:tcPr>
            <w:tcW w:w="2460" w:type="dxa"/>
            <w:vAlign w:val="center"/>
          </w:tcPr>
          <w:p w:rsidR="00BD5820" w:rsidRDefault="00F64314">
            <w:pPr>
              <w:pStyle w:val="afff1"/>
            </w:pPr>
            <w:r>
              <w:t>丙烷</w:t>
            </w:r>
            <w:r>
              <w:t xml:space="preserve">   C</w:t>
            </w:r>
            <w:r>
              <w:rPr>
                <w:vertAlign w:val="subscript"/>
              </w:rPr>
              <w:t>3</w:t>
            </w:r>
            <w:r>
              <w:t>H</w:t>
            </w:r>
            <w:r>
              <w:rPr>
                <w:vertAlign w:val="subscript"/>
              </w:rPr>
              <w:t xml:space="preserve">8 </w:t>
            </w:r>
          </w:p>
        </w:tc>
        <w:tc>
          <w:tcPr>
            <w:tcW w:w="2046" w:type="dxa"/>
            <w:vAlign w:val="center"/>
          </w:tcPr>
          <w:p w:rsidR="00BD5820" w:rsidRDefault="00F64314">
            <w:pPr>
              <w:pStyle w:val="afff1"/>
            </w:pPr>
            <w:r>
              <w:t>0.0</w:t>
            </w:r>
            <w:r>
              <w:rPr>
                <w:rFonts w:hint="eastAsia"/>
              </w:rPr>
              <w:t>0</w:t>
            </w:r>
          </w:p>
        </w:tc>
        <w:tc>
          <w:tcPr>
            <w:tcW w:w="2365" w:type="dxa"/>
            <w:vAlign w:val="center"/>
          </w:tcPr>
          <w:p w:rsidR="00BD5820" w:rsidRDefault="00F64314">
            <w:pPr>
              <w:pStyle w:val="afff1"/>
            </w:pPr>
            <w:r>
              <w:t>氮</w:t>
            </w:r>
            <w:r>
              <w:t xml:space="preserve">  N</w:t>
            </w:r>
            <w:r>
              <w:rPr>
                <w:vertAlign w:val="subscript"/>
              </w:rPr>
              <w:t>2</w:t>
            </w:r>
          </w:p>
        </w:tc>
        <w:tc>
          <w:tcPr>
            <w:tcW w:w="2086" w:type="dxa"/>
            <w:vAlign w:val="center"/>
          </w:tcPr>
          <w:p w:rsidR="00BD5820" w:rsidRDefault="00F64314">
            <w:pPr>
              <w:pStyle w:val="afff1"/>
            </w:pPr>
            <w:r>
              <w:rPr>
                <w:rFonts w:hint="eastAsia"/>
                <w:szCs w:val="21"/>
              </w:rPr>
              <w:t>0.588</w:t>
            </w:r>
          </w:p>
        </w:tc>
      </w:tr>
      <w:tr w:rsidR="00BD5820">
        <w:trPr>
          <w:trHeight w:val="207"/>
          <w:jc w:val="center"/>
        </w:trPr>
        <w:tc>
          <w:tcPr>
            <w:tcW w:w="2460" w:type="dxa"/>
            <w:vAlign w:val="center"/>
          </w:tcPr>
          <w:p w:rsidR="00BD5820" w:rsidRDefault="00F64314">
            <w:pPr>
              <w:pStyle w:val="afff1"/>
            </w:pPr>
            <w:r>
              <w:t>异丁烷</w:t>
            </w:r>
            <w:r>
              <w:t xml:space="preserve">  iC</w:t>
            </w:r>
            <w:r>
              <w:rPr>
                <w:vertAlign w:val="subscript"/>
              </w:rPr>
              <w:t>4</w:t>
            </w:r>
            <w:r>
              <w:t>H</w:t>
            </w:r>
            <w:r>
              <w:rPr>
                <w:vertAlign w:val="subscript"/>
              </w:rPr>
              <w:t>10</w:t>
            </w:r>
          </w:p>
        </w:tc>
        <w:tc>
          <w:tcPr>
            <w:tcW w:w="2046" w:type="dxa"/>
            <w:vAlign w:val="center"/>
          </w:tcPr>
          <w:p w:rsidR="00BD5820" w:rsidRDefault="00F64314">
            <w:pPr>
              <w:pStyle w:val="afff1"/>
            </w:pPr>
            <w:r>
              <w:t>未检出</w:t>
            </w:r>
          </w:p>
        </w:tc>
        <w:tc>
          <w:tcPr>
            <w:tcW w:w="2365" w:type="dxa"/>
            <w:vAlign w:val="center"/>
          </w:tcPr>
          <w:p w:rsidR="00BD5820" w:rsidRDefault="00F64314">
            <w:pPr>
              <w:pStyle w:val="afff1"/>
            </w:pPr>
            <w:r>
              <w:t>氦</w:t>
            </w:r>
            <w:r>
              <w:t xml:space="preserve">  He</w:t>
            </w:r>
          </w:p>
        </w:tc>
        <w:tc>
          <w:tcPr>
            <w:tcW w:w="2086" w:type="dxa"/>
            <w:vAlign w:val="center"/>
          </w:tcPr>
          <w:p w:rsidR="00BD5820" w:rsidRDefault="00F64314">
            <w:pPr>
              <w:pStyle w:val="afff1"/>
            </w:pPr>
            <w:r>
              <w:rPr>
                <w:rFonts w:hint="eastAsia"/>
              </w:rPr>
              <w:t>0.041</w:t>
            </w:r>
          </w:p>
        </w:tc>
      </w:tr>
      <w:tr w:rsidR="00BD5820">
        <w:trPr>
          <w:trHeight w:val="207"/>
          <w:jc w:val="center"/>
        </w:trPr>
        <w:tc>
          <w:tcPr>
            <w:tcW w:w="2460" w:type="dxa"/>
            <w:vAlign w:val="center"/>
          </w:tcPr>
          <w:p w:rsidR="00BD5820" w:rsidRDefault="00F64314">
            <w:pPr>
              <w:pStyle w:val="afff1"/>
            </w:pPr>
            <w:r>
              <w:t>正丁烷</w:t>
            </w:r>
            <w:r>
              <w:t xml:space="preserve">   nC</w:t>
            </w:r>
            <w:r>
              <w:rPr>
                <w:vertAlign w:val="subscript"/>
              </w:rPr>
              <w:t>4</w:t>
            </w:r>
            <w:r>
              <w:t>H</w:t>
            </w:r>
            <w:r>
              <w:rPr>
                <w:vertAlign w:val="subscript"/>
              </w:rPr>
              <w:t>10</w:t>
            </w:r>
          </w:p>
        </w:tc>
        <w:tc>
          <w:tcPr>
            <w:tcW w:w="2046" w:type="dxa"/>
            <w:vAlign w:val="center"/>
          </w:tcPr>
          <w:p w:rsidR="00BD5820" w:rsidRDefault="00F64314">
            <w:pPr>
              <w:pStyle w:val="afff1"/>
            </w:pPr>
            <w:r>
              <w:t>未检出</w:t>
            </w:r>
          </w:p>
        </w:tc>
        <w:tc>
          <w:tcPr>
            <w:tcW w:w="2365" w:type="dxa"/>
            <w:vAlign w:val="center"/>
          </w:tcPr>
          <w:p w:rsidR="00BD5820" w:rsidRDefault="00F64314">
            <w:pPr>
              <w:pStyle w:val="afff1"/>
            </w:pPr>
            <w:r>
              <w:t>氢</w:t>
            </w:r>
            <w:r>
              <w:t xml:space="preserve">  H</w:t>
            </w:r>
            <w:r>
              <w:rPr>
                <w:vertAlign w:val="subscript"/>
              </w:rPr>
              <w:t>2</w:t>
            </w:r>
          </w:p>
        </w:tc>
        <w:tc>
          <w:tcPr>
            <w:tcW w:w="2086" w:type="dxa"/>
            <w:vAlign w:val="center"/>
          </w:tcPr>
          <w:p w:rsidR="00BD5820" w:rsidRDefault="00F64314">
            <w:pPr>
              <w:pStyle w:val="afff1"/>
            </w:pPr>
            <w:r>
              <w:rPr>
                <w:szCs w:val="21"/>
              </w:rPr>
              <w:t>0.0</w:t>
            </w:r>
            <w:r>
              <w:rPr>
                <w:rFonts w:hint="eastAsia"/>
                <w:szCs w:val="21"/>
              </w:rPr>
              <w:t>26</w:t>
            </w:r>
          </w:p>
        </w:tc>
      </w:tr>
      <w:tr w:rsidR="00BD5820">
        <w:trPr>
          <w:trHeight w:val="207"/>
          <w:jc w:val="center"/>
        </w:trPr>
        <w:tc>
          <w:tcPr>
            <w:tcW w:w="2460" w:type="dxa"/>
            <w:vAlign w:val="center"/>
          </w:tcPr>
          <w:p w:rsidR="00BD5820" w:rsidRDefault="00F64314">
            <w:pPr>
              <w:pStyle w:val="afff1"/>
            </w:pPr>
            <w:r>
              <w:t>异戊烷</w:t>
            </w:r>
            <w:r>
              <w:t xml:space="preserve">  iC</w:t>
            </w:r>
            <w:r>
              <w:rPr>
                <w:vertAlign w:val="subscript"/>
              </w:rPr>
              <w:t>5</w:t>
            </w:r>
            <w:r>
              <w:t>H</w:t>
            </w:r>
            <w:r>
              <w:rPr>
                <w:vertAlign w:val="subscript"/>
              </w:rPr>
              <w:t>12</w:t>
            </w:r>
          </w:p>
        </w:tc>
        <w:tc>
          <w:tcPr>
            <w:tcW w:w="2046" w:type="dxa"/>
            <w:vAlign w:val="center"/>
          </w:tcPr>
          <w:p w:rsidR="00BD5820" w:rsidRDefault="00F64314">
            <w:pPr>
              <w:pStyle w:val="afff1"/>
            </w:pPr>
            <w:r>
              <w:t>未检出</w:t>
            </w:r>
          </w:p>
        </w:tc>
        <w:tc>
          <w:tcPr>
            <w:tcW w:w="2365" w:type="dxa"/>
            <w:vAlign w:val="center"/>
          </w:tcPr>
          <w:p w:rsidR="00BD5820" w:rsidRDefault="00F64314">
            <w:pPr>
              <w:pStyle w:val="afff1"/>
            </w:pPr>
            <w:r>
              <w:t>氧</w:t>
            </w:r>
            <w:r>
              <w:t>+</w:t>
            </w:r>
            <w:r>
              <w:t>氩</w:t>
            </w:r>
            <w:r>
              <w:t xml:space="preserve"> O+Ar</w:t>
            </w:r>
          </w:p>
        </w:tc>
        <w:tc>
          <w:tcPr>
            <w:tcW w:w="2086" w:type="dxa"/>
            <w:vAlign w:val="center"/>
          </w:tcPr>
          <w:p w:rsidR="00BD5820" w:rsidRDefault="00F64314">
            <w:pPr>
              <w:pStyle w:val="afff1"/>
            </w:pPr>
            <w:r>
              <w:t>未检出</w:t>
            </w:r>
          </w:p>
        </w:tc>
      </w:tr>
      <w:tr w:rsidR="00BD5820">
        <w:trPr>
          <w:trHeight w:val="207"/>
          <w:jc w:val="center"/>
        </w:trPr>
        <w:tc>
          <w:tcPr>
            <w:tcW w:w="2460" w:type="dxa"/>
            <w:vAlign w:val="center"/>
          </w:tcPr>
          <w:p w:rsidR="00BD5820" w:rsidRDefault="00F64314">
            <w:pPr>
              <w:pStyle w:val="afff1"/>
            </w:pPr>
            <w:r>
              <w:t>水</w:t>
            </w:r>
          </w:p>
        </w:tc>
        <w:tc>
          <w:tcPr>
            <w:tcW w:w="2046" w:type="dxa"/>
            <w:vAlign w:val="center"/>
          </w:tcPr>
          <w:p w:rsidR="00BD5820" w:rsidRDefault="00F64314">
            <w:pPr>
              <w:pStyle w:val="afff1"/>
            </w:pPr>
            <w:r>
              <w:rPr>
                <w:rFonts w:hint="eastAsia"/>
              </w:rPr>
              <w:t>/</w:t>
            </w:r>
          </w:p>
        </w:tc>
        <w:tc>
          <w:tcPr>
            <w:tcW w:w="2365" w:type="dxa"/>
            <w:vAlign w:val="center"/>
          </w:tcPr>
          <w:p w:rsidR="00BD5820" w:rsidRDefault="00BD5820">
            <w:pPr>
              <w:pStyle w:val="afff1"/>
            </w:pPr>
          </w:p>
        </w:tc>
        <w:tc>
          <w:tcPr>
            <w:tcW w:w="2086" w:type="dxa"/>
            <w:vAlign w:val="center"/>
          </w:tcPr>
          <w:p w:rsidR="00BD5820" w:rsidRDefault="00BD5820">
            <w:pPr>
              <w:pStyle w:val="afff1"/>
            </w:pPr>
          </w:p>
        </w:tc>
      </w:tr>
    </w:tbl>
    <w:p w:rsidR="00BD5820" w:rsidRDefault="00F64314">
      <w:pPr>
        <w:pStyle w:val="2"/>
        <w:spacing w:before="120"/>
        <w:rPr>
          <w:rFonts w:cs="Times New Roman"/>
        </w:rPr>
      </w:pPr>
      <w:bookmarkStart w:id="132" w:name="bookmark15"/>
      <w:bookmarkStart w:id="133" w:name="_Toc16173"/>
      <w:bookmarkStart w:id="134" w:name="_Toc19815958"/>
      <w:bookmarkStart w:id="135" w:name="_Toc19815957"/>
      <w:bookmarkStart w:id="136" w:name="_Toc12288401"/>
      <w:bookmarkEnd w:id="131"/>
      <w:bookmarkEnd w:id="132"/>
      <w:r>
        <w:rPr>
          <w:rFonts w:cs="Times New Roman"/>
        </w:rPr>
        <w:t>3.</w:t>
      </w:r>
      <w:r>
        <w:rPr>
          <w:rFonts w:cs="Times New Roman" w:hint="eastAsia"/>
        </w:rPr>
        <w:t>4</w:t>
      </w:r>
      <w:r>
        <w:rPr>
          <w:rFonts w:cs="Times New Roman"/>
        </w:rPr>
        <w:t xml:space="preserve"> </w:t>
      </w:r>
      <w:r>
        <w:rPr>
          <w:rFonts w:cs="Times New Roman"/>
        </w:rPr>
        <w:t>场站工程</w:t>
      </w:r>
      <w:r>
        <w:rPr>
          <w:rFonts w:cs="Times New Roman" w:hint="eastAsia"/>
        </w:rPr>
        <w:t>、管线</w:t>
      </w:r>
      <w:bookmarkEnd w:id="133"/>
    </w:p>
    <w:p w:rsidR="00BD5820" w:rsidRDefault="00F64314">
      <w:pPr>
        <w:pStyle w:val="affa"/>
        <w:ind w:firstLine="480"/>
      </w:pPr>
      <w:r>
        <w:rPr>
          <w:rFonts w:hint="eastAsia"/>
        </w:rPr>
        <w:t>本项目</w:t>
      </w:r>
      <w:r>
        <w:t>站场主要工艺设备表</w:t>
      </w:r>
      <w:r>
        <w:rPr>
          <w:rFonts w:hint="eastAsia"/>
        </w:rPr>
        <w:t>见表</w:t>
      </w:r>
      <w:r>
        <w:rPr>
          <w:rFonts w:hint="eastAsia"/>
        </w:rPr>
        <w:t>3.4-1</w:t>
      </w:r>
      <w:r>
        <w:t>。</w:t>
      </w:r>
    </w:p>
    <w:p w:rsidR="00BD5820" w:rsidRDefault="00F64314">
      <w:pPr>
        <w:pStyle w:val="10"/>
        <w:rPr>
          <w:rFonts w:cs="Times New Roman"/>
        </w:rPr>
      </w:pPr>
      <w:r>
        <w:rPr>
          <w:rFonts w:cs="Times New Roman"/>
        </w:rPr>
        <w:t>表</w:t>
      </w:r>
      <w:r>
        <w:rPr>
          <w:rFonts w:cs="Times New Roman"/>
        </w:rPr>
        <w:t>3.</w:t>
      </w:r>
      <w:r>
        <w:rPr>
          <w:rFonts w:cs="Times New Roman" w:hint="eastAsia"/>
        </w:rPr>
        <w:t>4</w:t>
      </w:r>
      <w:r>
        <w:rPr>
          <w:rFonts w:cs="Times New Roman"/>
        </w:rPr>
        <w:t>-</w:t>
      </w:r>
      <w:r>
        <w:rPr>
          <w:rFonts w:cs="Times New Roman" w:hint="eastAsia"/>
        </w:rPr>
        <w:t>1</w:t>
      </w:r>
      <w:r>
        <w:rPr>
          <w:rFonts w:cs="Times New Roman"/>
        </w:rPr>
        <w:t xml:space="preserve">  </w:t>
      </w:r>
      <w:r>
        <w:rPr>
          <w:rFonts w:cs="Times New Roman" w:hint="eastAsia"/>
        </w:rPr>
        <w:t>本项目</w:t>
      </w:r>
      <w:r>
        <w:rPr>
          <w:rFonts w:cs="Times New Roman"/>
        </w:rPr>
        <w:t>站场主要工艺设备表</w:t>
      </w:r>
    </w:p>
    <w:tbl>
      <w:tblPr>
        <w:tblW w:w="8768" w:type="dxa"/>
        <w:jc w:val="center"/>
        <w:tblBorders>
          <w:top w:val="single" w:sz="12" w:space="0" w:color="000000"/>
          <w:bottom w:val="single" w:sz="12" w:space="0" w:color="000000"/>
          <w:insideH w:val="single" w:sz="8" w:space="0" w:color="000000"/>
          <w:insideV w:val="single" w:sz="8" w:space="0" w:color="000000"/>
        </w:tblBorders>
        <w:tblCellMar>
          <w:left w:w="0" w:type="dxa"/>
          <w:right w:w="0" w:type="dxa"/>
        </w:tblCellMar>
        <w:tblLook w:val="04A0"/>
      </w:tblPr>
      <w:tblGrid>
        <w:gridCol w:w="1001"/>
        <w:gridCol w:w="3039"/>
        <w:gridCol w:w="1329"/>
        <w:gridCol w:w="1330"/>
        <w:gridCol w:w="2069"/>
      </w:tblGrid>
      <w:tr w:rsidR="00BD5820">
        <w:trPr>
          <w:trHeight w:val="278"/>
          <w:jc w:val="center"/>
        </w:trPr>
        <w:tc>
          <w:tcPr>
            <w:tcW w:w="1001" w:type="dxa"/>
            <w:shd w:val="clear" w:color="auto" w:fill="FFFFFF"/>
            <w:tcMar>
              <w:top w:w="15" w:type="dxa"/>
              <w:left w:w="46" w:type="dxa"/>
              <w:bottom w:w="0"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b/>
                <w:bCs/>
                <w:sz w:val="21"/>
                <w:szCs w:val="21"/>
              </w:rPr>
              <w:t>序号</w:t>
            </w:r>
          </w:p>
        </w:tc>
        <w:tc>
          <w:tcPr>
            <w:tcW w:w="3039" w:type="dxa"/>
            <w:shd w:val="clear" w:color="auto" w:fill="FFFFFF"/>
            <w:tcMar>
              <w:top w:w="15" w:type="dxa"/>
              <w:left w:w="46" w:type="dxa"/>
              <w:bottom w:w="0"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b/>
                <w:bCs/>
                <w:sz w:val="21"/>
                <w:szCs w:val="21"/>
              </w:rPr>
              <w:t>名称、型号及规格</w:t>
            </w:r>
          </w:p>
        </w:tc>
        <w:tc>
          <w:tcPr>
            <w:tcW w:w="1329" w:type="dxa"/>
            <w:shd w:val="clear" w:color="auto" w:fill="FFFFFF"/>
            <w:tcMar>
              <w:top w:w="15" w:type="dxa"/>
              <w:left w:w="46" w:type="dxa"/>
              <w:bottom w:w="0"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b/>
                <w:bCs/>
                <w:sz w:val="21"/>
                <w:szCs w:val="21"/>
              </w:rPr>
              <w:t>单位</w:t>
            </w:r>
          </w:p>
        </w:tc>
        <w:tc>
          <w:tcPr>
            <w:tcW w:w="1330" w:type="dxa"/>
            <w:shd w:val="clear" w:color="auto" w:fill="FFFFFF"/>
            <w:tcMar>
              <w:top w:w="15" w:type="dxa"/>
              <w:left w:w="46" w:type="dxa"/>
              <w:bottom w:w="0"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b/>
                <w:bCs/>
                <w:sz w:val="21"/>
                <w:szCs w:val="21"/>
              </w:rPr>
              <w:t>数量</w:t>
            </w:r>
          </w:p>
        </w:tc>
        <w:tc>
          <w:tcPr>
            <w:tcW w:w="2069" w:type="dxa"/>
            <w:shd w:val="clear" w:color="auto" w:fill="FFFFFF"/>
            <w:tcMar>
              <w:top w:w="15" w:type="dxa"/>
              <w:left w:w="46" w:type="dxa"/>
              <w:bottom w:w="0"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b/>
                <w:bCs/>
                <w:sz w:val="21"/>
                <w:szCs w:val="21"/>
              </w:rPr>
              <w:t>备注</w:t>
            </w:r>
          </w:p>
        </w:tc>
      </w:tr>
      <w:tr w:rsidR="00BD5820">
        <w:trPr>
          <w:trHeight w:val="278"/>
          <w:jc w:val="center"/>
        </w:trPr>
        <w:tc>
          <w:tcPr>
            <w:tcW w:w="8768" w:type="dxa"/>
            <w:gridSpan w:val="5"/>
            <w:shd w:val="clear" w:color="auto" w:fill="FFFFFF"/>
            <w:tcMar>
              <w:top w:w="15" w:type="dxa"/>
              <w:left w:w="46" w:type="dxa"/>
              <w:bottom w:w="0" w:type="dxa"/>
              <w:right w:w="46" w:type="dxa"/>
            </w:tcMar>
            <w:vAlign w:val="center"/>
          </w:tcPr>
          <w:p w:rsidR="00BD5820" w:rsidRDefault="00F64314">
            <w:pPr>
              <w:spacing w:line="240" w:lineRule="auto"/>
              <w:ind w:firstLineChars="0" w:firstLine="0"/>
              <w:jc w:val="center"/>
              <w:rPr>
                <w:rFonts w:ascii="Times New Roman" w:cs="Times New Roman"/>
                <w:b/>
                <w:bCs/>
                <w:sz w:val="21"/>
                <w:szCs w:val="21"/>
              </w:rPr>
            </w:pPr>
            <w:r>
              <w:rPr>
                <w:rFonts w:ascii="Times New Roman" w:cs="Times New Roman" w:hint="eastAsia"/>
                <w:b/>
                <w:bCs/>
                <w:sz w:val="21"/>
                <w:szCs w:val="21"/>
              </w:rPr>
              <w:t>普光气田</w:t>
            </w:r>
            <w:r>
              <w:rPr>
                <w:rFonts w:ascii="Times New Roman" w:cs="Times New Roman" w:hint="eastAsia"/>
                <w:b/>
                <w:bCs/>
                <w:sz w:val="21"/>
                <w:szCs w:val="21"/>
              </w:rPr>
              <w:t>1#</w:t>
            </w:r>
            <w:r>
              <w:rPr>
                <w:rFonts w:ascii="Times New Roman" w:cs="Times New Roman" w:hint="eastAsia"/>
                <w:b/>
                <w:bCs/>
                <w:sz w:val="21"/>
                <w:szCs w:val="21"/>
              </w:rPr>
              <w:t>增压站</w:t>
            </w:r>
          </w:p>
        </w:tc>
      </w:tr>
      <w:tr w:rsidR="00BD5820">
        <w:trPr>
          <w:trHeight w:val="220"/>
          <w:jc w:val="center"/>
        </w:trPr>
        <w:tc>
          <w:tcPr>
            <w:tcW w:w="1001"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bCs/>
                <w:sz w:val="21"/>
                <w:szCs w:val="21"/>
              </w:rPr>
              <w:t>1</w:t>
            </w:r>
          </w:p>
        </w:tc>
        <w:tc>
          <w:tcPr>
            <w:tcW w:w="3039"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收球筒</w:t>
            </w:r>
            <w:r>
              <w:rPr>
                <w:rFonts w:ascii="Times New Roman" w:cs="Times New Roman" w:hint="eastAsia"/>
                <w:bCs/>
                <w:sz w:val="21"/>
                <w:szCs w:val="21"/>
              </w:rPr>
              <w:t xml:space="preserve"> DN350/250 </w:t>
            </w:r>
            <w:r>
              <w:rPr>
                <w:rFonts w:ascii="Times New Roman" w:cs="Times New Roman" w:hint="eastAsia"/>
                <w:bCs/>
                <w:sz w:val="21"/>
                <w:szCs w:val="21"/>
              </w:rPr>
              <w:t>设计压力</w:t>
            </w:r>
            <w:r>
              <w:rPr>
                <w:rFonts w:ascii="Times New Roman" w:cs="Times New Roman" w:hint="eastAsia"/>
                <w:bCs/>
                <w:sz w:val="21"/>
                <w:szCs w:val="21"/>
              </w:rPr>
              <w:t>11MPa 16Mn(HIC)</w:t>
            </w:r>
          </w:p>
        </w:tc>
        <w:tc>
          <w:tcPr>
            <w:tcW w:w="1329" w:type="dxa"/>
            <w:shd w:val="clear" w:color="auto" w:fill="FFFFFF"/>
            <w:tcMar>
              <w:top w:w="15" w:type="dxa"/>
              <w:left w:w="46" w:type="dxa"/>
              <w:bottom w:w="0"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台</w:t>
            </w:r>
          </w:p>
        </w:tc>
        <w:tc>
          <w:tcPr>
            <w:tcW w:w="1330" w:type="dxa"/>
            <w:shd w:val="clear" w:color="auto" w:fill="FFFFFF"/>
            <w:tcMar>
              <w:top w:w="15" w:type="dxa"/>
              <w:left w:w="15" w:type="dxa"/>
              <w:bottom w:w="0" w:type="dxa"/>
              <w:right w:w="15"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1</w:t>
            </w:r>
          </w:p>
        </w:tc>
        <w:tc>
          <w:tcPr>
            <w:tcW w:w="2069" w:type="dxa"/>
            <w:shd w:val="clear" w:color="auto" w:fill="FFFFFF"/>
            <w:tcMar>
              <w:top w:w="15" w:type="dxa"/>
              <w:left w:w="46"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bCs/>
                <w:sz w:val="21"/>
                <w:szCs w:val="21"/>
              </w:rPr>
              <w:t>新</w:t>
            </w:r>
            <w:r>
              <w:rPr>
                <w:rFonts w:ascii="Times New Roman" w:cs="Times New Roman" w:hint="eastAsia"/>
                <w:bCs/>
                <w:sz w:val="21"/>
                <w:szCs w:val="21"/>
              </w:rPr>
              <w:t>建</w:t>
            </w:r>
          </w:p>
        </w:tc>
      </w:tr>
      <w:tr w:rsidR="00BD5820">
        <w:trPr>
          <w:trHeight w:val="220"/>
          <w:jc w:val="center"/>
        </w:trPr>
        <w:tc>
          <w:tcPr>
            <w:tcW w:w="1001"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2</w:t>
            </w:r>
          </w:p>
        </w:tc>
        <w:tc>
          <w:tcPr>
            <w:tcW w:w="3039"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往复式增压机组</w:t>
            </w:r>
          </w:p>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（带空冷器）</w:t>
            </w:r>
            <w:r>
              <w:rPr>
                <w:rFonts w:ascii="Times New Roman" w:cs="Times New Roman" w:hint="eastAsia"/>
                <w:bCs/>
                <w:sz w:val="21"/>
                <w:szCs w:val="21"/>
              </w:rPr>
              <w:t xml:space="preserve"> Q= 50</w:t>
            </w:r>
            <w:r>
              <w:rPr>
                <w:rFonts w:ascii="Times New Roman" w:cs="Times New Roman" w:hint="eastAsia"/>
                <w:bCs/>
                <w:sz w:val="21"/>
                <w:szCs w:val="21"/>
              </w:rPr>
              <w:t>×</w:t>
            </w:r>
            <w:r>
              <w:rPr>
                <w:rFonts w:ascii="Times New Roman" w:cs="Times New Roman" w:hint="eastAsia"/>
                <w:bCs/>
                <w:sz w:val="21"/>
                <w:szCs w:val="21"/>
              </w:rPr>
              <w:t>10</w:t>
            </w:r>
            <w:r>
              <w:rPr>
                <w:rFonts w:ascii="Times New Roman" w:cs="Times New Roman" w:hint="eastAsia"/>
                <w:bCs/>
                <w:sz w:val="21"/>
                <w:szCs w:val="21"/>
                <w:vertAlign w:val="superscript"/>
              </w:rPr>
              <w:t>4</w:t>
            </w:r>
            <w:r>
              <w:rPr>
                <w:rFonts w:ascii="Times New Roman" w:cs="Times New Roman" w:hint="eastAsia"/>
                <w:bCs/>
                <w:sz w:val="21"/>
                <w:szCs w:val="21"/>
              </w:rPr>
              <w:t>Nm</w:t>
            </w:r>
            <w:r>
              <w:rPr>
                <w:rFonts w:ascii="Times New Roman" w:cs="Times New Roman" w:hint="eastAsia"/>
                <w:bCs/>
                <w:sz w:val="21"/>
                <w:szCs w:val="21"/>
                <w:vertAlign w:val="superscript"/>
              </w:rPr>
              <w:t>3</w:t>
            </w:r>
            <w:r>
              <w:rPr>
                <w:rFonts w:ascii="Times New Roman" w:cs="Times New Roman" w:hint="eastAsia"/>
                <w:bCs/>
                <w:sz w:val="21"/>
                <w:szCs w:val="21"/>
              </w:rPr>
              <w:t>/d</w:t>
            </w:r>
          </w:p>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设计点压力：</w:t>
            </w:r>
            <w:r>
              <w:rPr>
                <w:rFonts w:ascii="Times New Roman" w:cs="Times New Roman" w:hint="eastAsia"/>
                <w:bCs/>
                <w:sz w:val="21"/>
                <w:szCs w:val="21"/>
              </w:rPr>
              <w:t>P</w:t>
            </w:r>
            <w:r>
              <w:rPr>
                <w:rFonts w:ascii="Times New Roman" w:cs="Times New Roman" w:hint="eastAsia"/>
                <w:bCs/>
                <w:sz w:val="21"/>
                <w:szCs w:val="21"/>
                <w:vertAlign w:val="subscript"/>
              </w:rPr>
              <w:t>入</w:t>
            </w:r>
            <w:r>
              <w:rPr>
                <w:rFonts w:ascii="Times New Roman" w:cs="Times New Roman" w:hint="eastAsia"/>
                <w:bCs/>
                <w:sz w:val="21"/>
                <w:szCs w:val="21"/>
              </w:rPr>
              <w:t>=3.5MPa</w:t>
            </w:r>
            <w:r>
              <w:rPr>
                <w:rFonts w:ascii="Times New Roman" w:cs="Times New Roman" w:hint="eastAsia"/>
                <w:bCs/>
                <w:sz w:val="21"/>
                <w:szCs w:val="21"/>
              </w:rPr>
              <w:t>，</w:t>
            </w:r>
            <w:r>
              <w:rPr>
                <w:rFonts w:ascii="Times New Roman" w:cs="Times New Roman" w:hint="eastAsia"/>
                <w:bCs/>
                <w:sz w:val="21"/>
                <w:szCs w:val="21"/>
              </w:rPr>
              <w:t>P</w:t>
            </w:r>
            <w:r>
              <w:rPr>
                <w:rFonts w:ascii="Times New Roman" w:cs="Times New Roman" w:hint="eastAsia"/>
                <w:bCs/>
                <w:sz w:val="21"/>
                <w:szCs w:val="21"/>
                <w:vertAlign w:val="subscript"/>
              </w:rPr>
              <w:t>出</w:t>
            </w:r>
            <w:r>
              <w:rPr>
                <w:rFonts w:ascii="Times New Roman" w:cs="Times New Roman" w:hint="eastAsia"/>
                <w:bCs/>
                <w:sz w:val="21"/>
                <w:szCs w:val="21"/>
              </w:rPr>
              <w:t>=8.5MPa</w:t>
            </w:r>
          </w:p>
        </w:tc>
        <w:tc>
          <w:tcPr>
            <w:tcW w:w="1329" w:type="dxa"/>
            <w:shd w:val="clear" w:color="auto" w:fill="FFFFFF"/>
            <w:tcMar>
              <w:top w:w="15" w:type="dxa"/>
              <w:left w:w="46" w:type="dxa"/>
              <w:bottom w:w="0"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座</w:t>
            </w:r>
          </w:p>
        </w:tc>
        <w:tc>
          <w:tcPr>
            <w:tcW w:w="1330" w:type="dxa"/>
            <w:shd w:val="clear" w:color="auto" w:fill="FFFFFF"/>
            <w:tcMar>
              <w:top w:w="15" w:type="dxa"/>
              <w:left w:w="15" w:type="dxa"/>
              <w:bottom w:w="0" w:type="dxa"/>
              <w:right w:w="15"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3</w:t>
            </w:r>
          </w:p>
        </w:tc>
        <w:tc>
          <w:tcPr>
            <w:tcW w:w="2069" w:type="dxa"/>
            <w:shd w:val="clear" w:color="auto" w:fill="FFFFFF"/>
            <w:tcMar>
              <w:top w:w="15" w:type="dxa"/>
              <w:left w:w="46"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bCs/>
                <w:sz w:val="21"/>
                <w:szCs w:val="21"/>
              </w:rPr>
              <w:t>新</w:t>
            </w:r>
            <w:r>
              <w:rPr>
                <w:rFonts w:ascii="Times New Roman" w:cs="Times New Roman" w:hint="eastAsia"/>
                <w:bCs/>
                <w:sz w:val="21"/>
                <w:szCs w:val="21"/>
              </w:rPr>
              <w:t>建</w:t>
            </w:r>
          </w:p>
        </w:tc>
      </w:tr>
      <w:tr w:rsidR="00BD5820">
        <w:trPr>
          <w:trHeight w:val="250"/>
          <w:jc w:val="center"/>
        </w:trPr>
        <w:tc>
          <w:tcPr>
            <w:tcW w:w="1001"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3</w:t>
            </w:r>
          </w:p>
        </w:tc>
        <w:tc>
          <w:tcPr>
            <w:tcW w:w="3039"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进站分离撬</w:t>
            </w:r>
            <w:r>
              <w:rPr>
                <w:rFonts w:ascii="Times New Roman" w:cs="Times New Roman" w:hint="eastAsia"/>
                <w:bCs/>
                <w:sz w:val="21"/>
                <w:szCs w:val="21"/>
              </w:rPr>
              <w:t>7m</w:t>
            </w:r>
            <w:r>
              <w:rPr>
                <w:rFonts w:ascii="Times New Roman" w:cs="Times New Roman" w:hint="eastAsia"/>
                <w:bCs/>
                <w:sz w:val="21"/>
                <w:szCs w:val="21"/>
              </w:rPr>
              <w:t>×</w:t>
            </w:r>
            <w:r>
              <w:rPr>
                <w:rFonts w:ascii="Times New Roman" w:cs="Times New Roman" w:hint="eastAsia"/>
                <w:bCs/>
                <w:sz w:val="21"/>
                <w:szCs w:val="21"/>
              </w:rPr>
              <w:t>3m</w:t>
            </w:r>
          </w:p>
        </w:tc>
        <w:tc>
          <w:tcPr>
            <w:tcW w:w="1329" w:type="dxa"/>
            <w:shd w:val="clear" w:color="auto" w:fill="FFFFFF"/>
            <w:tcMar>
              <w:top w:w="15" w:type="dxa"/>
              <w:left w:w="46" w:type="dxa"/>
              <w:bottom w:w="0"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座</w:t>
            </w:r>
          </w:p>
        </w:tc>
        <w:tc>
          <w:tcPr>
            <w:tcW w:w="1330" w:type="dxa"/>
            <w:shd w:val="clear" w:color="auto" w:fill="FFFFFF"/>
            <w:tcMar>
              <w:top w:w="15" w:type="dxa"/>
              <w:left w:w="15" w:type="dxa"/>
              <w:bottom w:w="0" w:type="dxa"/>
              <w:right w:w="15"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2</w:t>
            </w:r>
          </w:p>
        </w:tc>
        <w:tc>
          <w:tcPr>
            <w:tcW w:w="2069" w:type="dxa"/>
            <w:shd w:val="clear" w:color="auto" w:fill="FFFFFF"/>
            <w:tcMar>
              <w:top w:w="15" w:type="dxa"/>
              <w:left w:w="46"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bCs/>
                <w:sz w:val="21"/>
                <w:szCs w:val="21"/>
              </w:rPr>
              <w:t>新</w:t>
            </w:r>
            <w:r>
              <w:rPr>
                <w:rFonts w:ascii="Times New Roman" w:cs="Times New Roman" w:hint="eastAsia"/>
                <w:bCs/>
                <w:sz w:val="21"/>
                <w:szCs w:val="21"/>
              </w:rPr>
              <w:t>建</w:t>
            </w:r>
          </w:p>
        </w:tc>
      </w:tr>
      <w:tr w:rsidR="00BD5820">
        <w:trPr>
          <w:trHeight w:val="220"/>
          <w:jc w:val="center"/>
        </w:trPr>
        <w:tc>
          <w:tcPr>
            <w:tcW w:w="1001"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lastRenderedPageBreak/>
              <w:t>4</w:t>
            </w:r>
          </w:p>
        </w:tc>
        <w:tc>
          <w:tcPr>
            <w:tcW w:w="3039"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hAnsi="宋体" w:hint="eastAsia"/>
                <w:sz w:val="21"/>
              </w:rPr>
              <w:t>重力分离器</w:t>
            </w:r>
            <w:r>
              <w:rPr>
                <w:rFonts w:ascii="Times New Roman" w:cs="Times New Roman" w:hint="eastAsia"/>
                <w:bCs/>
                <w:sz w:val="21"/>
                <w:szCs w:val="21"/>
              </w:rPr>
              <w:t xml:space="preserve"> D1200</w:t>
            </w:r>
            <w:r>
              <w:rPr>
                <w:rFonts w:ascii="Times New Roman" w:cs="Times New Roman" w:hint="eastAsia"/>
                <w:bCs/>
                <w:sz w:val="21"/>
                <w:szCs w:val="21"/>
              </w:rPr>
              <w:t>×</w:t>
            </w:r>
            <w:r>
              <w:rPr>
                <w:rFonts w:ascii="Times New Roman" w:cs="Times New Roman" w:hint="eastAsia"/>
                <w:bCs/>
                <w:sz w:val="21"/>
                <w:szCs w:val="21"/>
              </w:rPr>
              <w:t xml:space="preserve">6000 </w:t>
            </w:r>
            <w:r>
              <w:rPr>
                <w:rFonts w:ascii="Times New Roman" w:cs="Times New Roman" w:hint="eastAsia"/>
                <w:bCs/>
                <w:sz w:val="21"/>
                <w:szCs w:val="21"/>
              </w:rPr>
              <w:t>设计压力</w:t>
            </w:r>
            <w:r>
              <w:rPr>
                <w:rFonts w:ascii="Times New Roman" w:cs="Times New Roman" w:hint="eastAsia"/>
                <w:bCs/>
                <w:sz w:val="21"/>
                <w:szCs w:val="21"/>
              </w:rPr>
              <w:t>11MPa Q345R(HIC)</w:t>
            </w:r>
          </w:p>
        </w:tc>
        <w:tc>
          <w:tcPr>
            <w:tcW w:w="1329" w:type="dxa"/>
            <w:shd w:val="clear" w:color="auto" w:fill="FFFFFF"/>
            <w:tcMar>
              <w:top w:w="15" w:type="dxa"/>
              <w:left w:w="46" w:type="dxa"/>
              <w:bottom w:w="0"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座</w:t>
            </w:r>
          </w:p>
        </w:tc>
        <w:tc>
          <w:tcPr>
            <w:tcW w:w="1330" w:type="dxa"/>
            <w:shd w:val="clear" w:color="auto" w:fill="FFFFFF"/>
            <w:tcMar>
              <w:top w:w="15" w:type="dxa"/>
              <w:left w:w="15" w:type="dxa"/>
              <w:bottom w:w="0" w:type="dxa"/>
              <w:right w:w="15"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2</w:t>
            </w:r>
          </w:p>
        </w:tc>
        <w:tc>
          <w:tcPr>
            <w:tcW w:w="2069" w:type="dxa"/>
            <w:shd w:val="clear" w:color="auto" w:fill="FFFFFF"/>
            <w:tcMar>
              <w:top w:w="15" w:type="dxa"/>
              <w:left w:w="46"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bCs/>
                <w:sz w:val="21"/>
                <w:szCs w:val="21"/>
              </w:rPr>
              <w:t>新</w:t>
            </w:r>
            <w:r>
              <w:rPr>
                <w:rFonts w:ascii="Times New Roman" w:cs="Times New Roman" w:hint="eastAsia"/>
                <w:bCs/>
                <w:sz w:val="21"/>
                <w:szCs w:val="21"/>
              </w:rPr>
              <w:t>建</w:t>
            </w:r>
          </w:p>
        </w:tc>
      </w:tr>
      <w:tr w:rsidR="00BD5820">
        <w:trPr>
          <w:trHeight w:val="220"/>
          <w:jc w:val="center"/>
        </w:trPr>
        <w:tc>
          <w:tcPr>
            <w:tcW w:w="1001"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5</w:t>
            </w:r>
          </w:p>
        </w:tc>
        <w:tc>
          <w:tcPr>
            <w:tcW w:w="3039"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hAnsi="宋体" w:hint="eastAsia"/>
                <w:sz w:val="21"/>
              </w:rPr>
              <w:t>过滤分离撬</w:t>
            </w:r>
            <w:r>
              <w:rPr>
                <w:rFonts w:ascii="Times New Roman" w:cs="Times New Roman" w:hint="eastAsia"/>
                <w:bCs/>
                <w:sz w:val="21"/>
                <w:szCs w:val="21"/>
              </w:rPr>
              <w:t xml:space="preserve"> </w:t>
            </w:r>
            <w:r>
              <w:rPr>
                <w:rFonts w:ascii="TimesNewRomanPSMT" w:eastAsia="TimesNewRomanPSMT" w:hAnsi="TimesNewRomanPSMT"/>
                <w:sz w:val="21"/>
              </w:rPr>
              <w:t>6m</w:t>
            </w:r>
            <w:r>
              <w:rPr>
                <w:rFonts w:hAnsi="宋体"/>
                <w:sz w:val="21"/>
              </w:rPr>
              <w:t>×</w:t>
            </w:r>
            <w:r>
              <w:rPr>
                <w:rFonts w:ascii="TimesNewRomanPSMT" w:eastAsia="TimesNewRomanPSMT" w:hAnsi="TimesNewRomanPSMT"/>
                <w:sz w:val="21"/>
              </w:rPr>
              <w:t>3m</w:t>
            </w:r>
          </w:p>
        </w:tc>
        <w:tc>
          <w:tcPr>
            <w:tcW w:w="1329" w:type="dxa"/>
            <w:shd w:val="clear" w:color="auto" w:fill="FFFFFF"/>
            <w:tcMar>
              <w:top w:w="15" w:type="dxa"/>
              <w:left w:w="46" w:type="dxa"/>
              <w:bottom w:w="0"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座</w:t>
            </w:r>
          </w:p>
        </w:tc>
        <w:tc>
          <w:tcPr>
            <w:tcW w:w="1330" w:type="dxa"/>
            <w:shd w:val="clear" w:color="auto" w:fill="FFFFFF"/>
            <w:tcMar>
              <w:top w:w="15" w:type="dxa"/>
              <w:left w:w="15" w:type="dxa"/>
              <w:bottom w:w="0" w:type="dxa"/>
              <w:right w:w="15"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2</w:t>
            </w:r>
          </w:p>
        </w:tc>
        <w:tc>
          <w:tcPr>
            <w:tcW w:w="2069" w:type="dxa"/>
            <w:shd w:val="clear" w:color="auto" w:fill="FFFFFF"/>
            <w:tcMar>
              <w:top w:w="15" w:type="dxa"/>
              <w:left w:w="46"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bCs/>
                <w:sz w:val="21"/>
                <w:szCs w:val="21"/>
              </w:rPr>
              <w:t>新</w:t>
            </w:r>
            <w:r>
              <w:rPr>
                <w:rFonts w:ascii="Times New Roman" w:cs="Times New Roman" w:hint="eastAsia"/>
                <w:bCs/>
                <w:sz w:val="21"/>
                <w:szCs w:val="21"/>
              </w:rPr>
              <w:t>建</w:t>
            </w:r>
          </w:p>
        </w:tc>
      </w:tr>
      <w:tr w:rsidR="00BD5820">
        <w:trPr>
          <w:trHeight w:val="220"/>
          <w:jc w:val="center"/>
        </w:trPr>
        <w:tc>
          <w:tcPr>
            <w:tcW w:w="1001"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6</w:t>
            </w:r>
          </w:p>
        </w:tc>
        <w:tc>
          <w:tcPr>
            <w:tcW w:w="3039"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hAnsi="宋体" w:hint="eastAsia"/>
                <w:sz w:val="21"/>
              </w:rPr>
              <w:t>过滤分离器</w:t>
            </w:r>
            <w:r>
              <w:rPr>
                <w:rFonts w:ascii="Times New Roman" w:cs="Times New Roman" w:hint="eastAsia"/>
                <w:bCs/>
                <w:sz w:val="21"/>
                <w:szCs w:val="21"/>
              </w:rPr>
              <w:t xml:space="preserve"> </w:t>
            </w:r>
            <w:r>
              <w:rPr>
                <w:rFonts w:ascii="TimesNewRomanPSMT" w:eastAsia="TimesNewRomanPSMT" w:hAnsi="TimesNewRomanPSMT"/>
                <w:sz w:val="21"/>
              </w:rPr>
              <w:t>D900</w:t>
            </w:r>
            <w:r>
              <w:rPr>
                <w:rFonts w:hAnsi="宋体"/>
                <w:sz w:val="21"/>
              </w:rPr>
              <w:t>×</w:t>
            </w:r>
            <w:r>
              <w:rPr>
                <w:rFonts w:ascii="TimesNewRomanPSMT" w:eastAsia="TimesNewRomanPSMT" w:hAnsi="TimesNewRomanPSMT"/>
                <w:sz w:val="21"/>
              </w:rPr>
              <w:t xml:space="preserve">2800 </w:t>
            </w:r>
            <w:r>
              <w:rPr>
                <w:rFonts w:hAnsi="宋体" w:hint="eastAsia"/>
                <w:sz w:val="21"/>
              </w:rPr>
              <w:t>设计压力</w:t>
            </w:r>
            <w:r>
              <w:rPr>
                <w:rFonts w:ascii="TimesNewRomanPSMT" w:eastAsia="TimesNewRomanPSMT" w:hAnsi="TimesNewRomanPSMT"/>
                <w:sz w:val="21"/>
              </w:rPr>
              <w:t>11MPa Q345R(HIC)</w:t>
            </w:r>
          </w:p>
        </w:tc>
        <w:tc>
          <w:tcPr>
            <w:tcW w:w="1329" w:type="dxa"/>
            <w:shd w:val="clear" w:color="auto" w:fill="FFFFFF"/>
            <w:tcMar>
              <w:top w:w="15" w:type="dxa"/>
              <w:left w:w="46" w:type="dxa"/>
              <w:bottom w:w="0"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座</w:t>
            </w:r>
          </w:p>
        </w:tc>
        <w:tc>
          <w:tcPr>
            <w:tcW w:w="1330" w:type="dxa"/>
            <w:shd w:val="clear" w:color="auto" w:fill="FFFFFF"/>
            <w:tcMar>
              <w:top w:w="15" w:type="dxa"/>
              <w:left w:w="15" w:type="dxa"/>
              <w:bottom w:w="0" w:type="dxa"/>
              <w:right w:w="15"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2</w:t>
            </w:r>
          </w:p>
        </w:tc>
        <w:tc>
          <w:tcPr>
            <w:tcW w:w="2069" w:type="dxa"/>
            <w:shd w:val="clear" w:color="auto" w:fill="FFFFFF"/>
            <w:tcMar>
              <w:top w:w="15" w:type="dxa"/>
              <w:left w:w="46"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bCs/>
                <w:sz w:val="21"/>
                <w:szCs w:val="21"/>
              </w:rPr>
              <w:t>新</w:t>
            </w:r>
            <w:r>
              <w:rPr>
                <w:rFonts w:ascii="Times New Roman" w:cs="Times New Roman" w:hint="eastAsia"/>
                <w:bCs/>
                <w:sz w:val="21"/>
                <w:szCs w:val="21"/>
              </w:rPr>
              <w:t>建</w:t>
            </w:r>
          </w:p>
        </w:tc>
      </w:tr>
      <w:tr w:rsidR="00BD5820">
        <w:trPr>
          <w:trHeight w:val="220"/>
          <w:jc w:val="center"/>
        </w:trPr>
        <w:tc>
          <w:tcPr>
            <w:tcW w:w="1001"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7</w:t>
            </w:r>
          </w:p>
        </w:tc>
        <w:tc>
          <w:tcPr>
            <w:tcW w:w="3039"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hAnsi="宋体" w:hint="eastAsia"/>
                <w:sz w:val="21"/>
              </w:rPr>
              <w:t>润滑油撬</w:t>
            </w:r>
            <w:r>
              <w:rPr>
                <w:rFonts w:ascii="TimesNewRomanPSMT" w:eastAsia="TimesNewRomanPSMT" w:hAnsi="TimesNewRomanPSMT"/>
                <w:sz w:val="21"/>
              </w:rPr>
              <w:t>3.5</w:t>
            </w:r>
            <w:r>
              <w:rPr>
                <w:rFonts w:hAnsi="宋体"/>
                <w:sz w:val="21"/>
              </w:rPr>
              <w:t>×</w:t>
            </w:r>
            <w:r>
              <w:rPr>
                <w:rFonts w:ascii="TimesNewRomanPSMT" w:eastAsia="TimesNewRomanPSMT" w:hAnsi="TimesNewRomanPSMT"/>
                <w:sz w:val="21"/>
              </w:rPr>
              <w:t xml:space="preserve">2m </w:t>
            </w:r>
            <w:r>
              <w:rPr>
                <w:rFonts w:hAnsi="宋体" w:hint="eastAsia"/>
                <w:sz w:val="21"/>
              </w:rPr>
              <w:t>重量：</w:t>
            </w:r>
            <w:r>
              <w:rPr>
                <w:rFonts w:ascii="TimesNewRomanPSMT" w:eastAsia="TimesNewRomanPSMT" w:hAnsi="TimesNewRomanPSMT"/>
                <w:sz w:val="21"/>
              </w:rPr>
              <w:t>5t</w:t>
            </w:r>
            <w:r>
              <w:rPr>
                <w:rFonts w:ascii="TimesNewRomanPSMT" w:hAnsi="TimesNewRomanPSMT" w:hint="eastAsia"/>
                <w:sz w:val="21"/>
              </w:rPr>
              <w:t xml:space="preserve"> </w:t>
            </w:r>
          </w:p>
        </w:tc>
        <w:tc>
          <w:tcPr>
            <w:tcW w:w="1329" w:type="dxa"/>
            <w:shd w:val="clear" w:color="auto" w:fill="FFFFFF"/>
            <w:tcMar>
              <w:top w:w="15" w:type="dxa"/>
              <w:left w:w="46" w:type="dxa"/>
              <w:bottom w:w="0"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座</w:t>
            </w:r>
          </w:p>
        </w:tc>
        <w:tc>
          <w:tcPr>
            <w:tcW w:w="1330" w:type="dxa"/>
            <w:shd w:val="clear" w:color="auto" w:fill="FFFFFF"/>
            <w:tcMar>
              <w:top w:w="15" w:type="dxa"/>
              <w:left w:w="15" w:type="dxa"/>
              <w:bottom w:w="0" w:type="dxa"/>
              <w:right w:w="15"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1</w:t>
            </w:r>
          </w:p>
        </w:tc>
        <w:tc>
          <w:tcPr>
            <w:tcW w:w="2069" w:type="dxa"/>
            <w:shd w:val="clear" w:color="auto" w:fill="FFFFFF"/>
            <w:tcMar>
              <w:top w:w="15" w:type="dxa"/>
              <w:left w:w="46"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bCs/>
                <w:sz w:val="21"/>
                <w:szCs w:val="21"/>
              </w:rPr>
              <w:t>新</w:t>
            </w:r>
            <w:r>
              <w:rPr>
                <w:rFonts w:ascii="Times New Roman" w:cs="Times New Roman" w:hint="eastAsia"/>
                <w:bCs/>
                <w:sz w:val="21"/>
                <w:szCs w:val="21"/>
              </w:rPr>
              <w:t>建</w:t>
            </w:r>
          </w:p>
        </w:tc>
      </w:tr>
      <w:tr w:rsidR="00BD5820">
        <w:trPr>
          <w:trHeight w:val="220"/>
          <w:jc w:val="center"/>
        </w:trPr>
        <w:tc>
          <w:tcPr>
            <w:tcW w:w="1001"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8</w:t>
            </w:r>
          </w:p>
        </w:tc>
        <w:tc>
          <w:tcPr>
            <w:tcW w:w="3039"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hAnsi="宋体" w:hint="eastAsia"/>
                <w:sz w:val="21"/>
              </w:rPr>
              <w:t xml:space="preserve">润滑油储罐 </w:t>
            </w:r>
            <w:r>
              <w:rPr>
                <w:rFonts w:ascii="TimesNewRomanPSMT" w:eastAsia="TimesNewRomanPSMT" w:hAnsi="TimesNewRomanPSMT"/>
                <w:sz w:val="21"/>
              </w:rPr>
              <w:t>D1000</w:t>
            </w:r>
            <w:r>
              <w:rPr>
                <w:rFonts w:hAnsi="宋体"/>
                <w:sz w:val="21"/>
              </w:rPr>
              <w:t>×</w:t>
            </w:r>
            <w:r>
              <w:rPr>
                <w:rFonts w:ascii="TimesNewRomanPSMT" w:eastAsia="TimesNewRomanPSMT" w:hAnsi="TimesNewRomanPSMT"/>
                <w:sz w:val="21"/>
              </w:rPr>
              <w:t>2400</w:t>
            </w:r>
            <w:r>
              <w:rPr>
                <w:rFonts w:hAnsi="宋体"/>
                <w:sz w:val="21"/>
              </w:rPr>
              <w:t>×</w:t>
            </w:r>
            <w:r>
              <w:rPr>
                <w:rFonts w:ascii="TimesNewRomanPSMT" w:eastAsia="TimesNewRomanPSMT" w:hAnsi="TimesNewRomanPSMT"/>
                <w:sz w:val="21"/>
              </w:rPr>
              <w:t xml:space="preserve">6 </w:t>
            </w:r>
            <w:r>
              <w:rPr>
                <w:rFonts w:hAnsi="宋体" w:hint="eastAsia"/>
                <w:sz w:val="21"/>
              </w:rPr>
              <w:t>设计压力</w:t>
            </w:r>
            <w:r>
              <w:rPr>
                <w:rFonts w:ascii="TimesNewRomanPSMT" w:eastAsia="TimesNewRomanPSMT" w:hAnsi="TimesNewRomanPSMT"/>
                <w:sz w:val="21"/>
              </w:rPr>
              <w:t>0.68MPa S30408</w:t>
            </w:r>
          </w:p>
        </w:tc>
        <w:tc>
          <w:tcPr>
            <w:tcW w:w="1329" w:type="dxa"/>
            <w:shd w:val="clear" w:color="auto" w:fill="FFFFFF"/>
            <w:tcMar>
              <w:top w:w="15" w:type="dxa"/>
              <w:left w:w="46" w:type="dxa"/>
              <w:bottom w:w="0"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座</w:t>
            </w:r>
          </w:p>
        </w:tc>
        <w:tc>
          <w:tcPr>
            <w:tcW w:w="1330" w:type="dxa"/>
            <w:shd w:val="clear" w:color="auto" w:fill="FFFFFF"/>
            <w:tcMar>
              <w:top w:w="15" w:type="dxa"/>
              <w:left w:w="15" w:type="dxa"/>
              <w:bottom w:w="0" w:type="dxa"/>
              <w:right w:w="15"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1</w:t>
            </w:r>
          </w:p>
        </w:tc>
        <w:tc>
          <w:tcPr>
            <w:tcW w:w="2069" w:type="dxa"/>
            <w:shd w:val="clear" w:color="auto" w:fill="FFFFFF"/>
            <w:tcMar>
              <w:top w:w="15" w:type="dxa"/>
              <w:left w:w="46"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bCs/>
                <w:sz w:val="21"/>
                <w:szCs w:val="21"/>
              </w:rPr>
              <w:t>新</w:t>
            </w:r>
            <w:r>
              <w:rPr>
                <w:rFonts w:ascii="Times New Roman" w:cs="Times New Roman" w:hint="eastAsia"/>
                <w:bCs/>
                <w:sz w:val="21"/>
                <w:szCs w:val="21"/>
              </w:rPr>
              <w:t>建</w:t>
            </w:r>
          </w:p>
        </w:tc>
      </w:tr>
      <w:tr w:rsidR="00BD5820">
        <w:trPr>
          <w:trHeight w:val="220"/>
          <w:jc w:val="center"/>
        </w:trPr>
        <w:tc>
          <w:tcPr>
            <w:tcW w:w="1001"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9</w:t>
            </w:r>
          </w:p>
        </w:tc>
        <w:tc>
          <w:tcPr>
            <w:tcW w:w="3039" w:type="dxa"/>
            <w:shd w:val="clear" w:color="auto" w:fill="FFFFFF"/>
            <w:vAlign w:val="center"/>
          </w:tcPr>
          <w:p w:rsidR="00BD5820" w:rsidRDefault="00F64314">
            <w:pPr>
              <w:spacing w:line="240" w:lineRule="auto"/>
              <w:ind w:firstLineChars="0" w:firstLine="0"/>
              <w:jc w:val="center"/>
              <w:rPr>
                <w:rFonts w:hAnsi="宋体"/>
                <w:sz w:val="21"/>
              </w:rPr>
            </w:pPr>
            <w:r>
              <w:rPr>
                <w:rFonts w:hAnsi="宋体" w:hint="eastAsia"/>
                <w:sz w:val="21"/>
              </w:rPr>
              <w:t>污水缓冲罐撬</w:t>
            </w:r>
            <w:r>
              <w:rPr>
                <w:rFonts w:ascii="TimesNewRomanPSMT" w:eastAsia="TimesNewRomanPSMT" w:hAnsi="TimesNewRomanPSMT"/>
                <w:sz w:val="21"/>
              </w:rPr>
              <w:t>13.16m</w:t>
            </w:r>
            <w:r>
              <w:rPr>
                <w:rFonts w:hAnsi="宋体"/>
                <w:sz w:val="21"/>
              </w:rPr>
              <w:t>×</w:t>
            </w:r>
            <w:r>
              <w:rPr>
                <w:rFonts w:ascii="TimesNewRomanPSMT" w:eastAsia="TimesNewRomanPSMT" w:hAnsi="TimesNewRomanPSMT"/>
                <w:sz w:val="21"/>
              </w:rPr>
              <w:t>4.5m</w:t>
            </w:r>
          </w:p>
        </w:tc>
        <w:tc>
          <w:tcPr>
            <w:tcW w:w="1329" w:type="dxa"/>
            <w:shd w:val="clear" w:color="auto" w:fill="FFFFFF"/>
            <w:tcMar>
              <w:top w:w="15" w:type="dxa"/>
              <w:left w:w="46" w:type="dxa"/>
              <w:bottom w:w="0"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座</w:t>
            </w:r>
          </w:p>
        </w:tc>
        <w:tc>
          <w:tcPr>
            <w:tcW w:w="1330" w:type="dxa"/>
            <w:shd w:val="clear" w:color="auto" w:fill="FFFFFF"/>
            <w:tcMar>
              <w:top w:w="15" w:type="dxa"/>
              <w:left w:w="15" w:type="dxa"/>
              <w:bottom w:w="0" w:type="dxa"/>
              <w:right w:w="15"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1</w:t>
            </w:r>
          </w:p>
        </w:tc>
        <w:tc>
          <w:tcPr>
            <w:tcW w:w="2069" w:type="dxa"/>
            <w:shd w:val="clear" w:color="auto" w:fill="FFFFFF"/>
            <w:tcMar>
              <w:top w:w="15" w:type="dxa"/>
              <w:left w:w="46"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bCs/>
                <w:sz w:val="21"/>
                <w:szCs w:val="21"/>
              </w:rPr>
              <w:t>新</w:t>
            </w:r>
            <w:r>
              <w:rPr>
                <w:rFonts w:ascii="Times New Roman" w:cs="Times New Roman" w:hint="eastAsia"/>
                <w:bCs/>
                <w:sz w:val="21"/>
                <w:szCs w:val="21"/>
              </w:rPr>
              <w:t>建</w:t>
            </w:r>
          </w:p>
        </w:tc>
      </w:tr>
      <w:tr w:rsidR="00BD5820">
        <w:trPr>
          <w:trHeight w:val="90"/>
          <w:jc w:val="center"/>
        </w:trPr>
        <w:tc>
          <w:tcPr>
            <w:tcW w:w="1001"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10</w:t>
            </w:r>
          </w:p>
        </w:tc>
        <w:tc>
          <w:tcPr>
            <w:tcW w:w="3039" w:type="dxa"/>
            <w:shd w:val="clear" w:color="auto" w:fill="FFFFFF"/>
            <w:vAlign w:val="center"/>
          </w:tcPr>
          <w:p w:rsidR="00BD5820" w:rsidRDefault="00F64314">
            <w:pPr>
              <w:spacing w:line="240" w:lineRule="auto"/>
              <w:ind w:firstLineChars="0" w:firstLine="0"/>
              <w:jc w:val="center"/>
              <w:rPr>
                <w:rFonts w:ascii="TimesNewRomanPSMT" w:eastAsia="TimesNewRomanPSMT" w:hAnsi="TimesNewRomanPSMT"/>
                <w:sz w:val="21"/>
              </w:rPr>
            </w:pPr>
            <w:r>
              <w:rPr>
                <w:rFonts w:ascii="TimesNewRomanPSMT" w:eastAsia="TimesNewRomanPSMT" w:hAnsi="TimesNewRomanPSMT" w:hint="eastAsia"/>
                <w:sz w:val="21"/>
              </w:rPr>
              <w:t>污水罐D2800×10000mm×12</w:t>
            </w:r>
          </w:p>
          <w:p w:rsidR="00BD5820" w:rsidRDefault="00F64314">
            <w:pPr>
              <w:spacing w:line="240" w:lineRule="auto"/>
              <w:ind w:firstLineChars="0" w:firstLine="0"/>
              <w:jc w:val="center"/>
              <w:rPr>
                <w:rFonts w:ascii="TimesNewRomanPSMT" w:eastAsia="TimesNewRomanPSMT" w:hAnsi="TimesNewRomanPSMT"/>
                <w:sz w:val="21"/>
              </w:rPr>
            </w:pPr>
            <w:r>
              <w:rPr>
                <w:rFonts w:ascii="TimesNewRomanPSMT" w:eastAsia="TimesNewRomanPSMT" w:hAnsi="TimesNewRomanPSMT" w:hint="eastAsia"/>
                <w:sz w:val="21"/>
              </w:rPr>
              <w:t>Q245R（HIC）设计压力0.48MPa</w:t>
            </w:r>
          </w:p>
        </w:tc>
        <w:tc>
          <w:tcPr>
            <w:tcW w:w="1329" w:type="dxa"/>
            <w:shd w:val="clear" w:color="auto" w:fill="FFFFFF"/>
            <w:tcMar>
              <w:top w:w="15" w:type="dxa"/>
              <w:left w:w="46" w:type="dxa"/>
              <w:bottom w:w="0"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座</w:t>
            </w:r>
          </w:p>
        </w:tc>
        <w:tc>
          <w:tcPr>
            <w:tcW w:w="1330" w:type="dxa"/>
            <w:shd w:val="clear" w:color="auto" w:fill="FFFFFF"/>
            <w:tcMar>
              <w:top w:w="15" w:type="dxa"/>
              <w:left w:w="15" w:type="dxa"/>
              <w:bottom w:w="0" w:type="dxa"/>
              <w:right w:w="15"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1</w:t>
            </w:r>
          </w:p>
        </w:tc>
        <w:tc>
          <w:tcPr>
            <w:tcW w:w="2069" w:type="dxa"/>
            <w:shd w:val="clear" w:color="auto" w:fill="FFFFFF"/>
            <w:tcMar>
              <w:top w:w="15" w:type="dxa"/>
              <w:left w:w="46"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bCs/>
                <w:sz w:val="21"/>
                <w:szCs w:val="21"/>
              </w:rPr>
              <w:t>新</w:t>
            </w:r>
            <w:r>
              <w:rPr>
                <w:rFonts w:ascii="Times New Roman" w:cs="Times New Roman" w:hint="eastAsia"/>
                <w:bCs/>
                <w:sz w:val="21"/>
                <w:szCs w:val="21"/>
              </w:rPr>
              <w:t>建</w:t>
            </w:r>
          </w:p>
        </w:tc>
      </w:tr>
      <w:tr w:rsidR="00BD5820">
        <w:trPr>
          <w:trHeight w:val="220"/>
          <w:jc w:val="center"/>
        </w:trPr>
        <w:tc>
          <w:tcPr>
            <w:tcW w:w="1001"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11</w:t>
            </w:r>
          </w:p>
        </w:tc>
        <w:tc>
          <w:tcPr>
            <w:tcW w:w="3039" w:type="dxa"/>
            <w:shd w:val="clear" w:color="auto" w:fill="FFFFFF"/>
            <w:vAlign w:val="center"/>
          </w:tcPr>
          <w:p w:rsidR="00BD5820" w:rsidRDefault="00F64314">
            <w:pPr>
              <w:spacing w:line="240" w:lineRule="auto"/>
              <w:ind w:firstLineChars="0" w:firstLine="0"/>
              <w:jc w:val="center"/>
              <w:rPr>
                <w:rFonts w:ascii="TimesNewRomanPSMT" w:eastAsia="TimesNewRomanPSMT" w:hAnsi="TimesNewRomanPSMT"/>
                <w:sz w:val="21"/>
              </w:rPr>
            </w:pPr>
            <w:r>
              <w:rPr>
                <w:rFonts w:hAnsi="宋体" w:hint="eastAsia"/>
                <w:sz w:val="21"/>
              </w:rPr>
              <w:t>污水外输泵离心泵 流量</w:t>
            </w:r>
            <w:r>
              <w:rPr>
                <w:rFonts w:ascii="TimesNewRomanPSMT" w:eastAsia="TimesNewRomanPSMT" w:hAnsi="TimesNewRomanPSMT"/>
                <w:sz w:val="21"/>
              </w:rPr>
              <w:t>Q=15m</w:t>
            </w:r>
            <w:r>
              <w:rPr>
                <w:rFonts w:ascii="TimesNewRomanPSMT" w:eastAsia="TimesNewRomanPSMT" w:hAnsi="TimesNewRomanPSMT"/>
                <w:sz w:val="21"/>
                <w:szCs w:val="21"/>
                <w:vertAlign w:val="superscript"/>
              </w:rPr>
              <w:t>3</w:t>
            </w:r>
            <w:r>
              <w:rPr>
                <w:rFonts w:ascii="TimesNewRomanPSMT" w:eastAsia="TimesNewRomanPSMT" w:hAnsi="TimesNewRomanPSMT"/>
                <w:sz w:val="21"/>
              </w:rPr>
              <w:t>/h</w:t>
            </w:r>
            <w:r>
              <w:rPr>
                <w:rFonts w:hAnsi="宋体" w:hint="eastAsia"/>
                <w:sz w:val="21"/>
              </w:rPr>
              <w:t>，扬程</w:t>
            </w:r>
            <w:r>
              <w:rPr>
                <w:rFonts w:ascii="TimesNewRomanPSMT" w:eastAsia="TimesNewRomanPSMT" w:hAnsi="TimesNewRomanPSMT"/>
                <w:sz w:val="21"/>
              </w:rPr>
              <w:t>180m</w:t>
            </w:r>
            <w:r>
              <w:rPr>
                <w:rFonts w:hAnsi="宋体" w:hint="eastAsia"/>
                <w:sz w:val="21"/>
              </w:rPr>
              <w:t>，功率</w:t>
            </w:r>
            <w:r>
              <w:rPr>
                <w:rFonts w:ascii="TimesNewRomanPSMT" w:eastAsia="TimesNewRomanPSMT" w:hAnsi="TimesNewRomanPSMT"/>
                <w:sz w:val="21"/>
              </w:rPr>
              <w:t>37kw</w:t>
            </w:r>
          </w:p>
        </w:tc>
        <w:tc>
          <w:tcPr>
            <w:tcW w:w="1329" w:type="dxa"/>
            <w:shd w:val="clear" w:color="auto" w:fill="FFFFFF"/>
            <w:tcMar>
              <w:top w:w="15" w:type="dxa"/>
              <w:left w:w="46" w:type="dxa"/>
              <w:bottom w:w="0"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台</w:t>
            </w:r>
          </w:p>
        </w:tc>
        <w:tc>
          <w:tcPr>
            <w:tcW w:w="1330" w:type="dxa"/>
            <w:shd w:val="clear" w:color="auto" w:fill="FFFFFF"/>
            <w:tcMar>
              <w:top w:w="15" w:type="dxa"/>
              <w:left w:w="15" w:type="dxa"/>
              <w:bottom w:w="0" w:type="dxa"/>
              <w:right w:w="15"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2</w:t>
            </w:r>
          </w:p>
        </w:tc>
        <w:tc>
          <w:tcPr>
            <w:tcW w:w="2069" w:type="dxa"/>
            <w:shd w:val="clear" w:color="auto" w:fill="FFFFFF"/>
            <w:tcMar>
              <w:top w:w="15" w:type="dxa"/>
              <w:left w:w="46"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bCs/>
                <w:sz w:val="21"/>
                <w:szCs w:val="21"/>
              </w:rPr>
              <w:t>新</w:t>
            </w:r>
            <w:r>
              <w:rPr>
                <w:rFonts w:ascii="Times New Roman" w:cs="Times New Roman" w:hint="eastAsia"/>
                <w:bCs/>
                <w:sz w:val="21"/>
                <w:szCs w:val="21"/>
              </w:rPr>
              <w:t>建</w:t>
            </w:r>
          </w:p>
        </w:tc>
      </w:tr>
      <w:tr w:rsidR="00BD5820">
        <w:trPr>
          <w:trHeight w:val="220"/>
          <w:jc w:val="center"/>
        </w:trPr>
        <w:tc>
          <w:tcPr>
            <w:tcW w:w="1001"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12</w:t>
            </w:r>
          </w:p>
        </w:tc>
        <w:tc>
          <w:tcPr>
            <w:tcW w:w="3039" w:type="dxa"/>
            <w:shd w:val="clear" w:color="auto" w:fill="FFFFFF"/>
            <w:vAlign w:val="center"/>
          </w:tcPr>
          <w:p w:rsidR="00BD5820" w:rsidRDefault="00F64314">
            <w:pPr>
              <w:spacing w:line="240" w:lineRule="auto"/>
              <w:ind w:firstLineChars="0" w:firstLine="0"/>
              <w:jc w:val="center"/>
              <w:rPr>
                <w:rFonts w:hAnsi="宋体"/>
                <w:sz w:val="21"/>
              </w:rPr>
            </w:pPr>
            <w:r>
              <w:rPr>
                <w:rFonts w:hAnsi="宋体" w:hint="eastAsia"/>
                <w:sz w:val="21"/>
              </w:rPr>
              <w:t>空氮撬</w:t>
            </w:r>
            <w:r>
              <w:rPr>
                <w:rFonts w:ascii="TimesNewRomanPSMT" w:eastAsia="TimesNewRomanPSMT" w:hAnsi="TimesNewRomanPSMT"/>
                <w:sz w:val="21"/>
              </w:rPr>
              <w:t xml:space="preserve">8.2m×2.25m </w:t>
            </w:r>
            <w:r>
              <w:rPr>
                <w:rFonts w:hAnsi="宋体" w:hint="eastAsia"/>
                <w:sz w:val="21"/>
              </w:rPr>
              <w:t>重量：</w:t>
            </w:r>
            <w:r>
              <w:rPr>
                <w:rFonts w:ascii="TimesNewRomanPSMT" w:eastAsia="TimesNewRomanPSMT" w:hAnsi="TimesNewRomanPSMT"/>
                <w:sz w:val="21"/>
              </w:rPr>
              <w:t>7.5t</w:t>
            </w:r>
          </w:p>
        </w:tc>
        <w:tc>
          <w:tcPr>
            <w:tcW w:w="1329" w:type="dxa"/>
            <w:shd w:val="clear" w:color="auto" w:fill="FFFFFF"/>
            <w:tcMar>
              <w:top w:w="15" w:type="dxa"/>
              <w:left w:w="46" w:type="dxa"/>
              <w:bottom w:w="0"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座</w:t>
            </w:r>
          </w:p>
        </w:tc>
        <w:tc>
          <w:tcPr>
            <w:tcW w:w="1330" w:type="dxa"/>
            <w:shd w:val="clear" w:color="auto" w:fill="FFFFFF"/>
            <w:tcMar>
              <w:top w:w="15" w:type="dxa"/>
              <w:left w:w="15" w:type="dxa"/>
              <w:bottom w:w="0" w:type="dxa"/>
              <w:right w:w="15"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1</w:t>
            </w:r>
          </w:p>
        </w:tc>
        <w:tc>
          <w:tcPr>
            <w:tcW w:w="2069" w:type="dxa"/>
            <w:shd w:val="clear" w:color="auto" w:fill="FFFFFF"/>
            <w:tcMar>
              <w:top w:w="15" w:type="dxa"/>
              <w:left w:w="46"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bCs/>
                <w:sz w:val="21"/>
                <w:szCs w:val="21"/>
              </w:rPr>
              <w:t>新</w:t>
            </w:r>
            <w:r>
              <w:rPr>
                <w:rFonts w:ascii="Times New Roman" w:cs="Times New Roman" w:hint="eastAsia"/>
                <w:bCs/>
                <w:sz w:val="21"/>
                <w:szCs w:val="21"/>
              </w:rPr>
              <w:t>建</w:t>
            </w:r>
          </w:p>
        </w:tc>
      </w:tr>
      <w:tr w:rsidR="00BD5820">
        <w:trPr>
          <w:trHeight w:val="220"/>
          <w:jc w:val="center"/>
        </w:trPr>
        <w:tc>
          <w:tcPr>
            <w:tcW w:w="1001"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13</w:t>
            </w:r>
          </w:p>
        </w:tc>
        <w:tc>
          <w:tcPr>
            <w:tcW w:w="3039" w:type="dxa"/>
            <w:shd w:val="clear" w:color="auto" w:fill="FFFFFF"/>
            <w:vAlign w:val="center"/>
          </w:tcPr>
          <w:p w:rsidR="00BD5820" w:rsidRDefault="00F64314">
            <w:pPr>
              <w:spacing w:line="240" w:lineRule="auto"/>
              <w:ind w:firstLineChars="0" w:firstLine="0"/>
              <w:jc w:val="center"/>
              <w:rPr>
                <w:rFonts w:hAnsi="宋体"/>
                <w:sz w:val="21"/>
              </w:rPr>
            </w:pPr>
            <w:r>
              <w:rPr>
                <w:rFonts w:hAnsi="宋体" w:hint="eastAsia"/>
                <w:sz w:val="21"/>
              </w:rPr>
              <w:t>空压机</w:t>
            </w:r>
            <w:r>
              <w:rPr>
                <w:rFonts w:ascii="TimesNewRomanPSMT" w:eastAsia="TimesNewRomanPSMT" w:hAnsi="TimesNewRomanPSMT"/>
                <w:sz w:val="21"/>
              </w:rPr>
              <w:t>Q=10Nm</w:t>
            </w:r>
            <w:r>
              <w:rPr>
                <w:rFonts w:ascii="TimesNewRomanPSMT" w:eastAsia="TimesNewRomanPSMT" w:hAnsi="TimesNewRomanPSMT"/>
                <w:sz w:val="21"/>
                <w:szCs w:val="21"/>
                <w:vertAlign w:val="superscript"/>
              </w:rPr>
              <w:t>3</w:t>
            </w:r>
            <w:r>
              <w:rPr>
                <w:rFonts w:ascii="TimesNewRomanPSMT" w:eastAsia="TimesNewRomanPSMT" w:hAnsi="TimesNewRomanPSMT"/>
                <w:sz w:val="21"/>
              </w:rPr>
              <w:t>/min</w:t>
            </w:r>
          </w:p>
        </w:tc>
        <w:tc>
          <w:tcPr>
            <w:tcW w:w="1329" w:type="dxa"/>
            <w:shd w:val="clear" w:color="auto" w:fill="FFFFFF"/>
            <w:tcMar>
              <w:top w:w="15" w:type="dxa"/>
              <w:left w:w="46" w:type="dxa"/>
              <w:bottom w:w="0"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台</w:t>
            </w:r>
          </w:p>
        </w:tc>
        <w:tc>
          <w:tcPr>
            <w:tcW w:w="1330" w:type="dxa"/>
            <w:shd w:val="clear" w:color="auto" w:fill="FFFFFF"/>
            <w:tcMar>
              <w:top w:w="15" w:type="dxa"/>
              <w:left w:w="15" w:type="dxa"/>
              <w:bottom w:w="0" w:type="dxa"/>
              <w:right w:w="15"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2</w:t>
            </w:r>
          </w:p>
        </w:tc>
        <w:tc>
          <w:tcPr>
            <w:tcW w:w="2069" w:type="dxa"/>
            <w:shd w:val="clear" w:color="auto" w:fill="FFFFFF"/>
            <w:tcMar>
              <w:top w:w="15" w:type="dxa"/>
              <w:left w:w="46"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bCs/>
                <w:sz w:val="21"/>
                <w:szCs w:val="21"/>
              </w:rPr>
              <w:t>新</w:t>
            </w:r>
            <w:r>
              <w:rPr>
                <w:rFonts w:ascii="Times New Roman" w:cs="Times New Roman" w:hint="eastAsia"/>
                <w:bCs/>
                <w:sz w:val="21"/>
                <w:szCs w:val="21"/>
              </w:rPr>
              <w:t>建</w:t>
            </w:r>
          </w:p>
        </w:tc>
      </w:tr>
      <w:tr w:rsidR="00BD5820">
        <w:trPr>
          <w:trHeight w:val="220"/>
          <w:jc w:val="center"/>
        </w:trPr>
        <w:tc>
          <w:tcPr>
            <w:tcW w:w="1001"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14</w:t>
            </w:r>
          </w:p>
        </w:tc>
        <w:tc>
          <w:tcPr>
            <w:tcW w:w="3039" w:type="dxa"/>
            <w:shd w:val="clear" w:color="auto" w:fill="FFFFFF"/>
            <w:vAlign w:val="center"/>
          </w:tcPr>
          <w:p w:rsidR="00BD5820" w:rsidRDefault="00F64314">
            <w:pPr>
              <w:spacing w:line="240" w:lineRule="auto"/>
              <w:ind w:firstLineChars="0" w:firstLine="0"/>
              <w:jc w:val="center"/>
              <w:rPr>
                <w:rFonts w:hAnsi="宋体"/>
                <w:sz w:val="21"/>
              </w:rPr>
            </w:pPr>
            <w:r>
              <w:rPr>
                <w:rFonts w:hAnsi="宋体" w:hint="eastAsia"/>
                <w:sz w:val="21"/>
              </w:rPr>
              <w:t>干燥机</w:t>
            </w:r>
            <w:r>
              <w:rPr>
                <w:rFonts w:ascii="TimesNewRomanPSMT" w:eastAsia="TimesNewRomanPSMT" w:hAnsi="TimesNewRomanPSMT"/>
                <w:sz w:val="21"/>
              </w:rPr>
              <w:t>Q=10Nm</w:t>
            </w:r>
            <w:r>
              <w:rPr>
                <w:rFonts w:ascii="TimesNewRomanPSMT" w:eastAsia="TimesNewRomanPSMT" w:hAnsi="TimesNewRomanPSMT"/>
                <w:sz w:val="21"/>
                <w:szCs w:val="21"/>
                <w:vertAlign w:val="superscript"/>
              </w:rPr>
              <w:t>3</w:t>
            </w:r>
            <w:r>
              <w:rPr>
                <w:rFonts w:ascii="TimesNewRomanPSMT" w:eastAsia="TimesNewRomanPSMT" w:hAnsi="TimesNewRomanPSMT"/>
                <w:sz w:val="21"/>
              </w:rPr>
              <w:t>/min</w:t>
            </w:r>
          </w:p>
        </w:tc>
        <w:tc>
          <w:tcPr>
            <w:tcW w:w="1329" w:type="dxa"/>
            <w:shd w:val="clear" w:color="auto" w:fill="FFFFFF"/>
            <w:tcMar>
              <w:top w:w="15" w:type="dxa"/>
              <w:left w:w="46" w:type="dxa"/>
              <w:bottom w:w="0"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套</w:t>
            </w:r>
          </w:p>
        </w:tc>
        <w:tc>
          <w:tcPr>
            <w:tcW w:w="1330" w:type="dxa"/>
            <w:shd w:val="clear" w:color="auto" w:fill="FFFFFF"/>
            <w:tcMar>
              <w:top w:w="15" w:type="dxa"/>
              <w:left w:w="15" w:type="dxa"/>
              <w:bottom w:w="0" w:type="dxa"/>
              <w:right w:w="15"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2</w:t>
            </w:r>
          </w:p>
        </w:tc>
        <w:tc>
          <w:tcPr>
            <w:tcW w:w="2069" w:type="dxa"/>
            <w:shd w:val="clear" w:color="auto" w:fill="FFFFFF"/>
            <w:tcMar>
              <w:top w:w="15" w:type="dxa"/>
              <w:left w:w="46"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bCs/>
                <w:sz w:val="21"/>
                <w:szCs w:val="21"/>
              </w:rPr>
              <w:t>新</w:t>
            </w:r>
            <w:r>
              <w:rPr>
                <w:rFonts w:ascii="Times New Roman" w:cs="Times New Roman" w:hint="eastAsia"/>
                <w:bCs/>
                <w:sz w:val="21"/>
                <w:szCs w:val="21"/>
              </w:rPr>
              <w:t>建</w:t>
            </w:r>
          </w:p>
        </w:tc>
      </w:tr>
      <w:tr w:rsidR="00BD5820">
        <w:trPr>
          <w:trHeight w:val="220"/>
          <w:jc w:val="center"/>
        </w:trPr>
        <w:tc>
          <w:tcPr>
            <w:tcW w:w="1001"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15</w:t>
            </w:r>
          </w:p>
        </w:tc>
        <w:tc>
          <w:tcPr>
            <w:tcW w:w="3039" w:type="dxa"/>
            <w:shd w:val="clear" w:color="auto" w:fill="FFFFFF"/>
            <w:vAlign w:val="center"/>
          </w:tcPr>
          <w:p w:rsidR="00BD5820" w:rsidRDefault="00F64314">
            <w:pPr>
              <w:spacing w:line="240" w:lineRule="auto"/>
              <w:ind w:firstLineChars="0" w:firstLine="0"/>
              <w:jc w:val="center"/>
              <w:rPr>
                <w:rFonts w:hAnsi="宋体"/>
                <w:sz w:val="21"/>
              </w:rPr>
            </w:pPr>
            <w:r>
              <w:rPr>
                <w:rFonts w:hAnsi="宋体" w:hint="eastAsia"/>
                <w:sz w:val="21"/>
              </w:rPr>
              <w:t>制氮机</w:t>
            </w:r>
            <w:r>
              <w:rPr>
                <w:rFonts w:ascii="TimesNewRomanPSMT" w:eastAsia="TimesNewRomanPSMT" w:hAnsi="TimesNewRomanPSMT"/>
                <w:sz w:val="21"/>
              </w:rPr>
              <w:t>Q=1</w:t>
            </w:r>
            <w:r>
              <w:rPr>
                <w:rFonts w:ascii="TimesNewRomanPSMT" w:hAnsi="TimesNewRomanPSMT" w:hint="eastAsia"/>
                <w:sz w:val="21"/>
              </w:rPr>
              <w:t>.5</w:t>
            </w:r>
            <w:r>
              <w:rPr>
                <w:rFonts w:ascii="TimesNewRomanPSMT" w:eastAsia="TimesNewRomanPSMT" w:hAnsi="TimesNewRomanPSMT"/>
                <w:sz w:val="21"/>
              </w:rPr>
              <w:t>Nm</w:t>
            </w:r>
            <w:r>
              <w:rPr>
                <w:rFonts w:ascii="TimesNewRomanPSMT" w:eastAsia="TimesNewRomanPSMT" w:hAnsi="TimesNewRomanPSMT"/>
                <w:sz w:val="21"/>
                <w:szCs w:val="21"/>
                <w:vertAlign w:val="superscript"/>
              </w:rPr>
              <w:t>3</w:t>
            </w:r>
            <w:r>
              <w:rPr>
                <w:rFonts w:ascii="TimesNewRomanPSMT" w:eastAsia="TimesNewRomanPSMT" w:hAnsi="TimesNewRomanPSMT"/>
                <w:sz w:val="21"/>
              </w:rPr>
              <w:t>/min</w:t>
            </w:r>
          </w:p>
        </w:tc>
        <w:tc>
          <w:tcPr>
            <w:tcW w:w="1329" w:type="dxa"/>
            <w:shd w:val="clear" w:color="auto" w:fill="FFFFFF"/>
            <w:tcMar>
              <w:top w:w="15" w:type="dxa"/>
              <w:left w:w="46" w:type="dxa"/>
              <w:bottom w:w="0"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套</w:t>
            </w:r>
          </w:p>
        </w:tc>
        <w:tc>
          <w:tcPr>
            <w:tcW w:w="1330" w:type="dxa"/>
            <w:shd w:val="clear" w:color="auto" w:fill="FFFFFF"/>
            <w:tcMar>
              <w:top w:w="15" w:type="dxa"/>
              <w:left w:w="15" w:type="dxa"/>
              <w:bottom w:w="0" w:type="dxa"/>
              <w:right w:w="15"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1</w:t>
            </w:r>
          </w:p>
        </w:tc>
        <w:tc>
          <w:tcPr>
            <w:tcW w:w="2069" w:type="dxa"/>
            <w:shd w:val="clear" w:color="auto" w:fill="FFFFFF"/>
            <w:tcMar>
              <w:top w:w="15" w:type="dxa"/>
              <w:left w:w="46"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bCs/>
                <w:sz w:val="21"/>
                <w:szCs w:val="21"/>
              </w:rPr>
              <w:t>新</w:t>
            </w:r>
            <w:r>
              <w:rPr>
                <w:rFonts w:ascii="Times New Roman" w:cs="Times New Roman" w:hint="eastAsia"/>
                <w:bCs/>
                <w:sz w:val="21"/>
                <w:szCs w:val="21"/>
              </w:rPr>
              <w:t>建</w:t>
            </w:r>
          </w:p>
        </w:tc>
      </w:tr>
      <w:tr w:rsidR="00BD5820">
        <w:trPr>
          <w:trHeight w:val="220"/>
          <w:jc w:val="center"/>
        </w:trPr>
        <w:tc>
          <w:tcPr>
            <w:tcW w:w="1001"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16</w:t>
            </w:r>
          </w:p>
        </w:tc>
        <w:tc>
          <w:tcPr>
            <w:tcW w:w="3039" w:type="dxa"/>
            <w:shd w:val="clear" w:color="auto" w:fill="FFFFFF"/>
            <w:vAlign w:val="center"/>
          </w:tcPr>
          <w:p w:rsidR="00BD5820" w:rsidRDefault="00F64314">
            <w:pPr>
              <w:spacing w:line="240" w:lineRule="auto"/>
              <w:ind w:firstLineChars="0" w:firstLine="0"/>
              <w:jc w:val="center"/>
              <w:rPr>
                <w:rFonts w:hAnsi="宋体"/>
                <w:sz w:val="21"/>
              </w:rPr>
            </w:pPr>
            <w:r>
              <w:rPr>
                <w:rFonts w:hAnsi="宋体" w:hint="eastAsia"/>
                <w:sz w:val="21"/>
              </w:rPr>
              <w:t>仪表风</w:t>
            </w:r>
            <w:r>
              <w:rPr>
                <w:rFonts w:ascii="TimesNewRomanPSMT" w:eastAsia="TimesNewRomanPSMT" w:hAnsi="TimesNewRomanPSMT"/>
                <w:sz w:val="21"/>
              </w:rPr>
              <w:t>/</w:t>
            </w:r>
            <w:r>
              <w:rPr>
                <w:rFonts w:hAnsi="宋体" w:hint="eastAsia"/>
                <w:sz w:val="21"/>
              </w:rPr>
              <w:t>氮气储罐</w:t>
            </w:r>
            <w:r>
              <w:rPr>
                <w:rFonts w:ascii="TimesNewRomanPSMT" w:eastAsia="TimesNewRomanPSMT" w:hAnsi="TimesNewRomanPSMT"/>
                <w:sz w:val="21"/>
              </w:rPr>
              <w:t>D2000×6000 Class150 Q245R</w:t>
            </w:r>
          </w:p>
        </w:tc>
        <w:tc>
          <w:tcPr>
            <w:tcW w:w="1329" w:type="dxa"/>
            <w:shd w:val="clear" w:color="auto" w:fill="FFFFFF"/>
            <w:tcMar>
              <w:top w:w="15" w:type="dxa"/>
              <w:left w:w="46" w:type="dxa"/>
              <w:bottom w:w="0"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座</w:t>
            </w:r>
          </w:p>
        </w:tc>
        <w:tc>
          <w:tcPr>
            <w:tcW w:w="1330" w:type="dxa"/>
            <w:shd w:val="clear" w:color="auto" w:fill="FFFFFF"/>
            <w:tcMar>
              <w:top w:w="15" w:type="dxa"/>
              <w:left w:w="15" w:type="dxa"/>
              <w:bottom w:w="0" w:type="dxa"/>
              <w:right w:w="15"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2</w:t>
            </w:r>
          </w:p>
        </w:tc>
        <w:tc>
          <w:tcPr>
            <w:tcW w:w="2069" w:type="dxa"/>
            <w:shd w:val="clear" w:color="auto" w:fill="FFFFFF"/>
            <w:tcMar>
              <w:top w:w="15" w:type="dxa"/>
              <w:left w:w="46"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bCs/>
                <w:sz w:val="21"/>
                <w:szCs w:val="21"/>
              </w:rPr>
              <w:t>新</w:t>
            </w:r>
            <w:r>
              <w:rPr>
                <w:rFonts w:ascii="Times New Roman" w:cs="Times New Roman" w:hint="eastAsia"/>
                <w:bCs/>
                <w:sz w:val="21"/>
                <w:szCs w:val="21"/>
              </w:rPr>
              <w:t>建</w:t>
            </w:r>
          </w:p>
        </w:tc>
      </w:tr>
      <w:tr w:rsidR="00BD5820">
        <w:trPr>
          <w:trHeight w:val="220"/>
          <w:jc w:val="center"/>
        </w:trPr>
        <w:tc>
          <w:tcPr>
            <w:tcW w:w="1001"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17</w:t>
            </w:r>
          </w:p>
        </w:tc>
        <w:tc>
          <w:tcPr>
            <w:tcW w:w="3039" w:type="dxa"/>
            <w:shd w:val="clear" w:color="auto" w:fill="FFFFFF"/>
            <w:vAlign w:val="center"/>
          </w:tcPr>
          <w:p w:rsidR="00BD5820" w:rsidRDefault="00F64314">
            <w:pPr>
              <w:spacing w:line="240" w:lineRule="auto"/>
              <w:ind w:firstLineChars="0" w:firstLine="0"/>
              <w:jc w:val="center"/>
              <w:rPr>
                <w:rFonts w:ascii="TimesNewRomanPSMT" w:eastAsia="TimesNewRomanPSMT" w:hAnsi="TimesNewRomanPSMT"/>
                <w:sz w:val="21"/>
              </w:rPr>
            </w:pPr>
            <w:r>
              <w:rPr>
                <w:rFonts w:hAnsi="宋体" w:hint="eastAsia"/>
                <w:sz w:val="21"/>
              </w:rPr>
              <w:t xml:space="preserve">缓蚀剂加注撬 </w:t>
            </w:r>
            <w:r>
              <w:rPr>
                <w:rFonts w:ascii="TimesNewRomanPSMT" w:eastAsia="TimesNewRomanPSMT" w:hAnsi="TimesNewRomanPSMT" w:hint="eastAsia"/>
                <w:sz w:val="21"/>
              </w:rPr>
              <w:t>缓蚀剂罐V=8m</w:t>
            </w:r>
            <w:r>
              <w:rPr>
                <w:rFonts w:ascii="TimesNewRomanPSMT" w:eastAsia="TimesNewRomanPSMT" w:hAnsi="TimesNewRomanPSMT" w:hint="eastAsia"/>
                <w:sz w:val="21"/>
                <w:vertAlign w:val="superscript"/>
              </w:rPr>
              <w:t>3</w:t>
            </w:r>
            <w:r>
              <w:rPr>
                <w:rFonts w:ascii="TimesNewRomanPSMT" w:eastAsia="TimesNewRomanPSMT" w:hAnsi="TimesNewRomanPSMT" w:hint="eastAsia"/>
                <w:sz w:val="21"/>
              </w:rPr>
              <w:t xml:space="preserve"> 缓蚀剂注入泵Q=72L/d，</w:t>
            </w:r>
          </w:p>
          <w:p w:rsidR="00BD5820" w:rsidRDefault="00F64314">
            <w:pPr>
              <w:spacing w:line="240" w:lineRule="auto"/>
              <w:ind w:firstLineChars="0" w:firstLine="0"/>
              <w:jc w:val="center"/>
              <w:rPr>
                <w:rFonts w:hAnsi="宋体"/>
                <w:sz w:val="21"/>
              </w:rPr>
            </w:pPr>
            <w:r>
              <w:rPr>
                <w:rFonts w:ascii="TimesNewRomanPSMT" w:eastAsia="TimesNewRomanPSMT" w:hAnsi="TimesNewRomanPSMT" w:hint="eastAsia"/>
                <w:sz w:val="21"/>
              </w:rPr>
              <w:t>△P=11MPa</w:t>
            </w:r>
          </w:p>
        </w:tc>
        <w:tc>
          <w:tcPr>
            <w:tcW w:w="1329" w:type="dxa"/>
            <w:shd w:val="clear" w:color="auto" w:fill="FFFFFF"/>
            <w:tcMar>
              <w:top w:w="15" w:type="dxa"/>
              <w:left w:w="46" w:type="dxa"/>
              <w:bottom w:w="0"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座</w:t>
            </w:r>
          </w:p>
        </w:tc>
        <w:tc>
          <w:tcPr>
            <w:tcW w:w="1330" w:type="dxa"/>
            <w:shd w:val="clear" w:color="auto" w:fill="FFFFFF"/>
            <w:tcMar>
              <w:top w:w="15" w:type="dxa"/>
              <w:left w:w="15" w:type="dxa"/>
              <w:bottom w:w="0" w:type="dxa"/>
              <w:right w:w="15"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1</w:t>
            </w:r>
          </w:p>
        </w:tc>
        <w:tc>
          <w:tcPr>
            <w:tcW w:w="2069" w:type="dxa"/>
            <w:shd w:val="clear" w:color="auto" w:fill="FFFFFF"/>
            <w:tcMar>
              <w:top w:w="15" w:type="dxa"/>
              <w:left w:w="46"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bCs/>
                <w:sz w:val="21"/>
                <w:szCs w:val="21"/>
              </w:rPr>
              <w:t>新</w:t>
            </w:r>
            <w:r>
              <w:rPr>
                <w:rFonts w:ascii="Times New Roman" w:cs="Times New Roman" w:hint="eastAsia"/>
                <w:bCs/>
                <w:sz w:val="21"/>
                <w:szCs w:val="21"/>
              </w:rPr>
              <w:t>建</w:t>
            </w:r>
          </w:p>
        </w:tc>
      </w:tr>
      <w:tr w:rsidR="00BD5820">
        <w:trPr>
          <w:trHeight w:val="220"/>
          <w:jc w:val="center"/>
        </w:trPr>
        <w:tc>
          <w:tcPr>
            <w:tcW w:w="1001"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18</w:t>
            </w:r>
          </w:p>
        </w:tc>
        <w:tc>
          <w:tcPr>
            <w:tcW w:w="3039" w:type="dxa"/>
            <w:shd w:val="clear" w:color="auto" w:fill="FFFFFF"/>
            <w:vAlign w:val="center"/>
          </w:tcPr>
          <w:p w:rsidR="00BD5820" w:rsidRDefault="00F64314">
            <w:pPr>
              <w:spacing w:line="240" w:lineRule="auto"/>
              <w:ind w:firstLineChars="0" w:firstLine="0"/>
              <w:jc w:val="center"/>
              <w:rPr>
                <w:rFonts w:ascii="TimesNewRomanPSMT" w:eastAsia="TimesNewRomanPSMT" w:hAnsi="TimesNewRomanPSMT"/>
                <w:sz w:val="21"/>
              </w:rPr>
            </w:pPr>
            <w:r>
              <w:rPr>
                <w:rFonts w:hAnsi="宋体" w:hint="eastAsia"/>
                <w:sz w:val="21"/>
              </w:rPr>
              <w:t>燃料气撬 缓冲罐</w:t>
            </w:r>
            <w:r>
              <w:rPr>
                <w:rFonts w:ascii="TimesNewRomanPSMT" w:eastAsia="TimesNewRomanPSMT" w:hAnsi="TimesNewRomanPSMT"/>
                <w:sz w:val="21"/>
              </w:rPr>
              <w:t>D500</w:t>
            </w:r>
            <w:r>
              <w:rPr>
                <w:rFonts w:hAnsi="宋体"/>
                <w:sz w:val="21"/>
              </w:rPr>
              <w:t>×</w:t>
            </w:r>
            <w:r>
              <w:rPr>
                <w:rFonts w:ascii="TimesNewRomanPSMT" w:eastAsia="TimesNewRomanPSMT" w:hAnsi="TimesNewRomanPSMT"/>
                <w:sz w:val="21"/>
              </w:rPr>
              <w:t xml:space="preserve">2000mm </w:t>
            </w:r>
            <w:r>
              <w:rPr>
                <w:rFonts w:hAnsi="宋体" w:hint="eastAsia"/>
                <w:sz w:val="21"/>
              </w:rPr>
              <w:t>配套调压计量阀组</w:t>
            </w:r>
          </w:p>
        </w:tc>
        <w:tc>
          <w:tcPr>
            <w:tcW w:w="1329" w:type="dxa"/>
            <w:shd w:val="clear" w:color="auto" w:fill="FFFFFF"/>
            <w:tcMar>
              <w:top w:w="15" w:type="dxa"/>
              <w:left w:w="46" w:type="dxa"/>
              <w:bottom w:w="0"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座</w:t>
            </w:r>
          </w:p>
        </w:tc>
        <w:tc>
          <w:tcPr>
            <w:tcW w:w="1330" w:type="dxa"/>
            <w:shd w:val="clear" w:color="auto" w:fill="FFFFFF"/>
            <w:tcMar>
              <w:top w:w="15" w:type="dxa"/>
              <w:left w:w="15" w:type="dxa"/>
              <w:bottom w:w="0" w:type="dxa"/>
              <w:right w:w="15"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1</w:t>
            </w:r>
          </w:p>
        </w:tc>
        <w:tc>
          <w:tcPr>
            <w:tcW w:w="2069" w:type="dxa"/>
            <w:shd w:val="clear" w:color="auto" w:fill="FFFFFF"/>
            <w:tcMar>
              <w:top w:w="15" w:type="dxa"/>
              <w:left w:w="46"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bCs/>
                <w:sz w:val="21"/>
                <w:szCs w:val="21"/>
              </w:rPr>
              <w:t>新</w:t>
            </w:r>
            <w:r>
              <w:rPr>
                <w:rFonts w:ascii="Times New Roman" w:cs="Times New Roman" w:hint="eastAsia"/>
                <w:bCs/>
                <w:sz w:val="21"/>
                <w:szCs w:val="21"/>
              </w:rPr>
              <w:t>建</w:t>
            </w:r>
          </w:p>
        </w:tc>
      </w:tr>
      <w:tr w:rsidR="00BD5820">
        <w:trPr>
          <w:trHeight w:val="220"/>
          <w:jc w:val="center"/>
        </w:trPr>
        <w:tc>
          <w:tcPr>
            <w:tcW w:w="1001"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19</w:t>
            </w:r>
          </w:p>
        </w:tc>
        <w:tc>
          <w:tcPr>
            <w:tcW w:w="3039" w:type="dxa"/>
            <w:shd w:val="clear" w:color="auto" w:fill="FFFFFF"/>
            <w:vAlign w:val="center"/>
          </w:tcPr>
          <w:p w:rsidR="00BD5820" w:rsidRDefault="00F64314">
            <w:pPr>
              <w:spacing w:line="240" w:lineRule="auto"/>
              <w:ind w:firstLineChars="0" w:firstLine="0"/>
              <w:jc w:val="center"/>
              <w:rPr>
                <w:rFonts w:hAnsi="宋体"/>
                <w:sz w:val="21"/>
              </w:rPr>
            </w:pPr>
            <w:r>
              <w:rPr>
                <w:rFonts w:hAnsi="宋体" w:hint="eastAsia"/>
                <w:sz w:val="21"/>
              </w:rPr>
              <w:t>气动球阀开关阀</w:t>
            </w:r>
            <w:r>
              <w:rPr>
                <w:rFonts w:ascii="TimesNewRomanPSMT" w:eastAsia="TimesNewRomanPSMT" w:hAnsi="TimesNewRomanPSMT" w:hint="eastAsia"/>
                <w:sz w:val="21"/>
              </w:rPr>
              <w:t xml:space="preserve">DN350 </w:t>
            </w:r>
            <w:r>
              <w:rPr>
                <w:rFonts w:hAnsi="宋体" w:hint="eastAsia"/>
                <w:sz w:val="21"/>
              </w:rPr>
              <w:t>抗硫碳钢 双作用</w:t>
            </w:r>
          </w:p>
        </w:tc>
        <w:tc>
          <w:tcPr>
            <w:tcW w:w="1329" w:type="dxa"/>
            <w:shd w:val="clear" w:color="auto" w:fill="FFFFFF"/>
            <w:tcMar>
              <w:top w:w="15" w:type="dxa"/>
              <w:left w:w="46" w:type="dxa"/>
              <w:bottom w:w="0"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套</w:t>
            </w:r>
          </w:p>
        </w:tc>
        <w:tc>
          <w:tcPr>
            <w:tcW w:w="1330" w:type="dxa"/>
            <w:shd w:val="clear" w:color="auto" w:fill="FFFFFF"/>
            <w:tcMar>
              <w:top w:w="15" w:type="dxa"/>
              <w:left w:w="15" w:type="dxa"/>
              <w:bottom w:w="0" w:type="dxa"/>
              <w:right w:w="15"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9</w:t>
            </w:r>
          </w:p>
        </w:tc>
        <w:tc>
          <w:tcPr>
            <w:tcW w:w="2069" w:type="dxa"/>
            <w:shd w:val="clear" w:color="auto" w:fill="FFFFFF"/>
            <w:tcMar>
              <w:top w:w="15" w:type="dxa"/>
              <w:left w:w="46"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bCs/>
                <w:sz w:val="21"/>
                <w:szCs w:val="21"/>
              </w:rPr>
              <w:t>新</w:t>
            </w:r>
            <w:r>
              <w:rPr>
                <w:rFonts w:ascii="Times New Roman" w:cs="Times New Roman" w:hint="eastAsia"/>
                <w:bCs/>
                <w:sz w:val="21"/>
                <w:szCs w:val="21"/>
              </w:rPr>
              <w:t>建</w:t>
            </w:r>
          </w:p>
        </w:tc>
      </w:tr>
      <w:tr w:rsidR="00BD5820">
        <w:trPr>
          <w:trHeight w:val="220"/>
          <w:jc w:val="center"/>
        </w:trPr>
        <w:tc>
          <w:tcPr>
            <w:tcW w:w="1001"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20</w:t>
            </w:r>
          </w:p>
        </w:tc>
        <w:tc>
          <w:tcPr>
            <w:tcW w:w="3039" w:type="dxa"/>
            <w:shd w:val="clear" w:color="auto" w:fill="FFFFFF"/>
            <w:vAlign w:val="center"/>
          </w:tcPr>
          <w:p w:rsidR="00BD5820" w:rsidRDefault="00F64314">
            <w:pPr>
              <w:spacing w:line="240" w:lineRule="auto"/>
              <w:ind w:firstLineChars="0" w:firstLine="0"/>
              <w:jc w:val="center"/>
              <w:rPr>
                <w:rFonts w:hAnsi="宋体"/>
                <w:sz w:val="21"/>
              </w:rPr>
            </w:pPr>
            <w:r>
              <w:rPr>
                <w:rFonts w:hAnsi="宋体" w:hint="eastAsia"/>
                <w:sz w:val="21"/>
              </w:rPr>
              <w:t>气动球阀开关阀</w:t>
            </w:r>
            <w:r>
              <w:rPr>
                <w:rFonts w:ascii="TimesNewRomanPSMT" w:eastAsia="TimesNewRomanPSMT" w:hAnsi="TimesNewRomanPSMT" w:hint="eastAsia"/>
                <w:sz w:val="21"/>
              </w:rPr>
              <w:t>DN</w:t>
            </w:r>
            <w:r>
              <w:rPr>
                <w:rFonts w:ascii="TimesNewRomanPSMT" w:hAnsi="TimesNewRomanPSMT" w:hint="eastAsia"/>
                <w:sz w:val="21"/>
              </w:rPr>
              <w:t>2</w:t>
            </w:r>
            <w:r>
              <w:rPr>
                <w:rFonts w:ascii="TimesNewRomanPSMT" w:eastAsia="TimesNewRomanPSMT" w:hAnsi="TimesNewRomanPSMT" w:hint="eastAsia"/>
                <w:sz w:val="21"/>
              </w:rPr>
              <w:t xml:space="preserve">50 </w:t>
            </w:r>
            <w:r>
              <w:rPr>
                <w:rFonts w:hAnsi="宋体" w:hint="eastAsia"/>
                <w:sz w:val="21"/>
              </w:rPr>
              <w:t>抗硫碳钢 双作用</w:t>
            </w:r>
          </w:p>
        </w:tc>
        <w:tc>
          <w:tcPr>
            <w:tcW w:w="1329" w:type="dxa"/>
            <w:shd w:val="clear" w:color="auto" w:fill="FFFFFF"/>
            <w:tcMar>
              <w:top w:w="15" w:type="dxa"/>
              <w:left w:w="46" w:type="dxa"/>
              <w:bottom w:w="0"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套</w:t>
            </w:r>
          </w:p>
        </w:tc>
        <w:tc>
          <w:tcPr>
            <w:tcW w:w="1330" w:type="dxa"/>
            <w:shd w:val="clear" w:color="auto" w:fill="FFFFFF"/>
            <w:tcMar>
              <w:top w:w="15" w:type="dxa"/>
              <w:left w:w="15" w:type="dxa"/>
              <w:bottom w:w="0" w:type="dxa"/>
              <w:right w:w="15"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7</w:t>
            </w:r>
          </w:p>
        </w:tc>
        <w:tc>
          <w:tcPr>
            <w:tcW w:w="2069" w:type="dxa"/>
            <w:shd w:val="clear" w:color="auto" w:fill="FFFFFF"/>
            <w:tcMar>
              <w:top w:w="15" w:type="dxa"/>
              <w:left w:w="46"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bCs/>
                <w:sz w:val="21"/>
                <w:szCs w:val="21"/>
              </w:rPr>
              <w:t>新</w:t>
            </w:r>
            <w:r>
              <w:rPr>
                <w:rFonts w:ascii="Times New Roman" w:cs="Times New Roman" w:hint="eastAsia"/>
                <w:bCs/>
                <w:sz w:val="21"/>
                <w:szCs w:val="21"/>
              </w:rPr>
              <w:t>建</w:t>
            </w:r>
          </w:p>
        </w:tc>
      </w:tr>
      <w:tr w:rsidR="00BD5820">
        <w:trPr>
          <w:trHeight w:val="220"/>
          <w:jc w:val="center"/>
        </w:trPr>
        <w:tc>
          <w:tcPr>
            <w:tcW w:w="1001"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21</w:t>
            </w:r>
          </w:p>
        </w:tc>
        <w:tc>
          <w:tcPr>
            <w:tcW w:w="3039" w:type="dxa"/>
            <w:shd w:val="clear" w:color="auto" w:fill="FFFFFF"/>
            <w:vAlign w:val="center"/>
          </w:tcPr>
          <w:p w:rsidR="00BD5820" w:rsidRDefault="00F64314">
            <w:pPr>
              <w:spacing w:line="240" w:lineRule="auto"/>
              <w:ind w:firstLineChars="0" w:firstLine="0"/>
              <w:jc w:val="center"/>
              <w:rPr>
                <w:rFonts w:hAnsi="宋体"/>
                <w:sz w:val="21"/>
              </w:rPr>
            </w:pPr>
            <w:r>
              <w:rPr>
                <w:rFonts w:ascii="TimesNewRomanPSMT" w:eastAsia="TimesNewRomanPSMT" w:hAnsi="TimesNewRomanPSMT"/>
                <w:sz w:val="21"/>
              </w:rPr>
              <w:t>ESDV</w:t>
            </w:r>
            <w:r>
              <w:rPr>
                <w:rFonts w:hAnsi="宋体" w:hint="eastAsia"/>
                <w:sz w:val="21"/>
              </w:rPr>
              <w:t xml:space="preserve">带气动执行机构 </w:t>
            </w:r>
            <w:r>
              <w:rPr>
                <w:rFonts w:ascii="TimesNewRomanPSMT" w:eastAsia="TimesNewRomanPSMT" w:hAnsi="TimesNewRomanPSMT"/>
                <w:sz w:val="21"/>
              </w:rPr>
              <w:t xml:space="preserve">DN350 </w:t>
            </w:r>
            <w:r>
              <w:rPr>
                <w:rFonts w:hAnsi="宋体" w:hint="eastAsia"/>
                <w:sz w:val="21"/>
              </w:rPr>
              <w:t>抗硫碳钢</w:t>
            </w:r>
            <w:r>
              <w:rPr>
                <w:rFonts w:ascii="TimesNewRomanPSMT" w:eastAsia="TimesNewRomanPSMT" w:hAnsi="TimesNewRomanPSMT"/>
                <w:sz w:val="21"/>
              </w:rPr>
              <w:t>+</w:t>
            </w:r>
            <w:r>
              <w:rPr>
                <w:rFonts w:hAnsi="宋体" w:hint="eastAsia"/>
                <w:sz w:val="21"/>
              </w:rPr>
              <w:t>镍基内衬</w:t>
            </w:r>
          </w:p>
        </w:tc>
        <w:tc>
          <w:tcPr>
            <w:tcW w:w="1329" w:type="dxa"/>
            <w:shd w:val="clear" w:color="auto" w:fill="FFFFFF"/>
            <w:tcMar>
              <w:top w:w="15" w:type="dxa"/>
              <w:left w:w="46" w:type="dxa"/>
              <w:bottom w:w="0"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套</w:t>
            </w:r>
          </w:p>
        </w:tc>
        <w:tc>
          <w:tcPr>
            <w:tcW w:w="1330" w:type="dxa"/>
            <w:shd w:val="clear" w:color="auto" w:fill="FFFFFF"/>
            <w:tcMar>
              <w:top w:w="15" w:type="dxa"/>
              <w:left w:w="15" w:type="dxa"/>
              <w:bottom w:w="0" w:type="dxa"/>
              <w:right w:w="15"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2</w:t>
            </w:r>
          </w:p>
        </w:tc>
        <w:tc>
          <w:tcPr>
            <w:tcW w:w="2069" w:type="dxa"/>
            <w:shd w:val="clear" w:color="auto" w:fill="FFFFFF"/>
            <w:tcMar>
              <w:top w:w="15" w:type="dxa"/>
              <w:left w:w="46"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bCs/>
                <w:sz w:val="21"/>
                <w:szCs w:val="21"/>
              </w:rPr>
              <w:t>新</w:t>
            </w:r>
            <w:r>
              <w:rPr>
                <w:rFonts w:ascii="Times New Roman" w:cs="Times New Roman" w:hint="eastAsia"/>
                <w:bCs/>
                <w:sz w:val="21"/>
                <w:szCs w:val="21"/>
              </w:rPr>
              <w:t>建</w:t>
            </w:r>
          </w:p>
        </w:tc>
      </w:tr>
      <w:tr w:rsidR="00BD5820">
        <w:trPr>
          <w:trHeight w:val="219"/>
          <w:jc w:val="center"/>
        </w:trPr>
        <w:tc>
          <w:tcPr>
            <w:tcW w:w="1001"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22</w:t>
            </w:r>
          </w:p>
        </w:tc>
        <w:tc>
          <w:tcPr>
            <w:tcW w:w="3039" w:type="dxa"/>
            <w:shd w:val="clear" w:color="auto" w:fill="FFFFFF"/>
            <w:vAlign w:val="center"/>
          </w:tcPr>
          <w:p w:rsidR="00BD5820" w:rsidRDefault="00F64314">
            <w:pPr>
              <w:spacing w:line="240" w:lineRule="auto"/>
              <w:ind w:firstLineChars="0" w:firstLine="0"/>
              <w:jc w:val="center"/>
              <w:rPr>
                <w:rFonts w:hAnsi="宋体"/>
                <w:sz w:val="21"/>
              </w:rPr>
            </w:pPr>
            <w:r>
              <w:rPr>
                <w:rFonts w:ascii="TimesNewRomanPSMT" w:eastAsia="TimesNewRomanPSMT" w:hAnsi="TimesNewRomanPSMT"/>
                <w:sz w:val="21"/>
              </w:rPr>
              <w:t>ESDV</w:t>
            </w:r>
            <w:r>
              <w:rPr>
                <w:rFonts w:hAnsi="宋体" w:hint="eastAsia"/>
                <w:sz w:val="21"/>
              </w:rPr>
              <w:t xml:space="preserve">带气动执行机构 </w:t>
            </w:r>
            <w:r>
              <w:rPr>
                <w:rFonts w:ascii="TimesNewRomanPSMT" w:eastAsia="TimesNewRomanPSMT" w:hAnsi="TimesNewRomanPSMT"/>
                <w:sz w:val="21"/>
              </w:rPr>
              <w:t>DN</w:t>
            </w:r>
            <w:r>
              <w:rPr>
                <w:rFonts w:ascii="TimesNewRomanPSMT" w:hAnsi="TimesNewRomanPSMT" w:hint="eastAsia"/>
                <w:sz w:val="21"/>
              </w:rPr>
              <w:t>2</w:t>
            </w:r>
            <w:r>
              <w:rPr>
                <w:rFonts w:ascii="TimesNewRomanPSMT" w:eastAsia="TimesNewRomanPSMT" w:hAnsi="TimesNewRomanPSMT"/>
                <w:sz w:val="21"/>
              </w:rPr>
              <w:t xml:space="preserve">50 </w:t>
            </w:r>
            <w:r>
              <w:rPr>
                <w:rFonts w:hAnsi="宋体" w:hint="eastAsia"/>
                <w:sz w:val="21"/>
              </w:rPr>
              <w:t>抗硫碳钢</w:t>
            </w:r>
            <w:r>
              <w:rPr>
                <w:rFonts w:ascii="TimesNewRomanPSMT" w:eastAsia="TimesNewRomanPSMT" w:hAnsi="TimesNewRomanPSMT"/>
                <w:sz w:val="21"/>
              </w:rPr>
              <w:t>+</w:t>
            </w:r>
            <w:r>
              <w:rPr>
                <w:rFonts w:hAnsi="宋体" w:hint="eastAsia"/>
                <w:sz w:val="21"/>
              </w:rPr>
              <w:t>镍基内衬</w:t>
            </w:r>
          </w:p>
        </w:tc>
        <w:tc>
          <w:tcPr>
            <w:tcW w:w="1329" w:type="dxa"/>
            <w:shd w:val="clear" w:color="auto" w:fill="FFFFFF"/>
            <w:tcMar>
              <w:top w:w="15" w:type="dxa"/>
              <w:left w:w="46" w:type="dxa"/>
              <w:bottom w:w="0"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套</w:t>
            </w:r>
          </w:p>
        </w:tc>
        <w:tc>
          <w:tcPr>
            <w:tcW w:w="1330" w:type="dxa"/>
            <w:shd w:val="clear" w:color="auto" w:fill="FFFFFF"/>
            <w:tcMar>
              <w:top w:w="15" w:type="dxa"/>
              <w:left w:w="15" w:type="dxa"/>
              <w:bottom w:w="0" w:type="dxa"/>
              <w:right w:w="15"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3</w:t>
            </w:r>
          </w:p>
        </w:tc>
        <w:tc>
          <w:tcPr>
            <w:tcW w:w="2069" w:type="dxa"/>
            <w:shd w:val="clear" w:color="auto" w:fill="FFFFFF"/>
            <w:tcMar>
              <w:top w:w="15" w:type="dxa"/>
              <w:left w:w="46"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bCs/>
                <w:sz w:val="21"/>
                <w:szCs w:val="21"/>
              </w:rPr>
              <w:t>新</w:t>
            </w:r>
            <w:r>
              <w:rPr>
                <w:rFonts w:ascii="Times New Roman" w:cs="Times New Roman" w:hint="eastAsia"/>
                <w:bCs/>
                <w:sz w:val="21"/>
                <w:szCs w:val="21"/>
              </w:rPr>
              <w:t>建</w:t>
            </w:r>
          </w:p>
        </w:tc>
      </w:tr>
      <w:tr w:rsidR="00BD5820">
        <w:trPr>
          <w:trHeight w:val="219"/>
          <w:jc w:val="center"/>
        </w:trPr>
        <w:tc>
          <w:tcPr>
            <w:tcW w:w="1001"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23</w:t>
            </w:r>
          </w:p>
        </w:tc>
        <w:tc>
          <w:tcPr>
            <w:tcW w:w="3039" w:type="dxa"/>
            <w:shd w:val="clear" w:color="auto" w:fill="FFFFFF"/>
            <w:vAlign w:val="center"/>
          </w:tcPr>
          <w:p w:rsidR="00BD5820" w:rsidRDefault="00F64314">
            <w:pPr>
              <w:spacing w:line="240" w:lineRule="auto"/>
              <w:ind w:firstLineChars="0" w:firstLine="0"/>
              <w:jc w:val="center"/>
              <w:rPr>
                <w:rFonts w:hAnsi="宋体"/>
                <w:sz w:val="21"/>
              </w:rPr>
            </w:pPr>
            <w:r>
              <w:rPr>
                <w:rFonts w:ascii="TimesNewRomanPSMT" w:eastAsia="TimesNewRomanPSMT" w:hAnsi="TimesNewRomanPSMT"/>
                <w:sz w:val="21"/>
              </w:rPr>
              <w:t>ESDV</w:t>
            </w:r>
            <w:r>
              <w:rPr>
                <w:rFonts w:hAnsi="宋体" w:hint="eastAsia"/>
                <w:sz w:val="21"/>
              </w:rPr>
              <w:t xml:space="preserve">带气动执行机构 </w:t>
            </w:r>
            <w:r>
              <w:rPr>
                <w:rFonts w:ascii="TimesNewRomanPSMT" w:eastAsia="TimesNewRomanPSMT" w:hAnsi="TimesNewRomanPSMT"/>
                <w:sz w:val="21"/>
              </w:rPr>
              <w:t>DN</w:t>
            </w:r>
            <w:r>
              <w:rPr>
                <w:rFonts w:ascii="TimesNewRomanPSMT" w:hAnsi="TimesNewRomanPSMT" w:hint="eastAsia"/>
                <w:sz w:val="21"/>
              </w:rPr>
              <w:t>20</w:t>
            </w:r>
            <w:r>
              <w:rPr>
                <w:rFonts w:ascii="TimesNewRomanPSMT" w:eastAsia="TimesNewRomanPSMT" w:hAnsi="TimesNewRomanPSMT"/>
                <w:sz w:val="21"/>
              </w:rPr>
              <w:t xml:space="preserve">0 </w:t>
            </w:r>
            <w:r>
              <w:rPr>
                <w:rFonts w:hAnsi="宋体" w:hint="eastAsia"/>
                <w:sz w:val="21"/>
              </w:rPr>
              <w:t>抗硫碳钢</w:t>
            </w:r>
            <w:r>
              <w:rPr>
                <w:rFonts w:ascii="TimesNewRomanPSMT" w:eastAsia="TimesNewRomanPSMT" w:hAnsi="TimesNewRomanPSMT"/>
                <w:sz w:val="21"/>
              </w:rPr>
              <w:t>+</w:t>
            </w:r>
            <w:r>
              <w:rPr>
                <w:rFonts w:hAnsi="宋体" w:hint="eastAsia"/>
                <w:sz w:val="21"/>
              </w:rPr>
              <w:t>镍基内衬</w:t>
            </w:r>
          </w:p>
        </w:tc>
        <w:tc>
          <w:tcPr>
            <w:tcW w:w="1329" w:type="dxa"/>
            <w:shd w:val="clear" w:color="auto" w:fill="FFFFFF"/>
            <w:tcMar>
              <w:top w:w="15" w:type="dxa"/>
              <w:left w:w="46" w:type="dxa"/>
              <w:bottom w:w="0"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套</w:t>
            </w:r>
          </w:p>
        </w:tc>
        <w:tc>
          <w:tcPr>
            <w:tcW w:w="1330" w:type="dxa"/>
            <w:shd w:val="clear" w:color="auto" w:fill="FFFFFF"/>
            <w:tcMar>
              <w:top w:w="15" w:type="dxa"/>
              <w:left w:w="15" w:type="dxa"/>
              <w:bottom w:w="0" w:type="dxa"/>
              <w:right w:w="15"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2</w:t>
            </w:r>
          </w:p>
        </w:tc>
        <w:tc>
          <w:tcPr>
            <w:tcW w:w="2069" w:type="dxa"/>
            <w:shd w:val="clear" w:color="auto" w:fill="FFFFFF"/>
            <w:tcMar>
              <w:top w:w="15" w:type="dxa"/>
              <w:left w:w="46"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bCs/>
                <w:sz w:val="21"/>
                <w:szCs w:val="21"/>
              </w:rPr>
              <w:t>新</w:t>
            </w:r>
            <w:r>
              <w:rPr>
                <w:rFonts w:ascii="Times New Roman" w:cs="Times New Roman" w:hint="eastAsia"/>
                <w:bCs/>
                <w:sz w:val="21"/>
                <w:szCs w:val="21"/>
              </w:rPr>
              <w:t>建</w:t>
            </w:r>
          </w:p>
        </w:tc>
      </w:tr>
      <w:tr w:rsidR="00BD5820">
        <w:trPr>
          <w:trHeight w:val="220"/>
          <w:jc w:val="center"/>
        </w:trPr>
        <w:tc>
          <w:tcPr>
            <w:tcW w:w="8768" w:type="dxa"/>
            <w:gridSpan w:val="5"/>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
                <w:bCs/>
                <w:sz w:val="21"/>
                <w:szCs w:val="21"/>
              </w:rPr>
              <w:t>普光气田</w:t>
            </w:r>
            <w:r>
              <w:rPr>
                <w:rFonts w:ascii="Times New Roman" w:cs="Times New Roman" w:hint="eastAsia"/>
                <w:b/>
                <w:bCs/>
                <w:sz w:val="21"/>
                <w:szCs w:val="21"/>
              </w:rPr>
              <w:t>2#</w:t>
            </w:r>
            <w:r>
              <w:rPr>
                <w:rFonts w:ascii="Times New Roman" w:cs="Times New Roman" w:hint="eastAsia"/>
                <w:b/>
                <w:bCs/>
                <w:sz w:val="21"/>
                <w:szCs w:val="21"/>
              </w:rPr>
              <w:t>增压站</w:t>
            </w:r>
          </w:p>
        </w:tc>
      </w:tr>
      <w:tr w:rsidR="00BD5820">
        <w:trPr>
          <w:trHeight w:val="220"/>
          <w:jc w:val="center"/>
        </w:trPr>
        <w:tc>
          <w:tcPr>
            <w:tcW w:w="1001"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24</w:t>
            </w:r>
          </w:p>
        </w:tc>
        <w:tc>
          <w:tcPr>
            <w:tcW w:w="3039"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收球筒</w:t>
            </w:r>
            <w:r>
              <w:rPr>
                <w:rFonts w:ascii="Times New Roman" w:cs="Times New Roman" w:hint="eastAsia"/>
                <w:bCs/>
                <w:sz w:val="21"/>
                <w:szCs w:val="21"/>
              </w:rPr>
              <w:t xml:space="preserve"> DN6000/5000 </w:t>
            </w:r>
            <w:r>
              <w:rPr>
                <w:rFonts w:ascii="Times New Roman" w:cs="Times New Roman" w:hint="eastAsia"/>
                <w:bCs/>
                <w:sz w:val="21"/>
                <w:szCs w:val="21"/>
              </w:rPr>
              <w:t>设计压力</w:t>
            </w:r>
            <w:r>
              <w:rPr>
                <w:rFonts w:ascii="Times New Roman" w:cs="Times New Roman" w:hint="eastAsia"/>
                <w:bCs/>
                <w:sz w:val="21"/>
                <w:szCs w:val="21"/>
              </w:rPr>
              <w:lastRenderedPageBreak/>
              <w:t xml:space="preserve">11MPa </w:t>
            </w:r>
            <w:r>
              <w:rPr>
                <w:rFonts w:ascii="TimesNewRomanPSMT" w:eastAsia="TimesNewRomanPSMT" w:hAnsi="TimesNewRomanPSMT"/>
                <w:sz w:val="21"/>
              </w:rPr>
              <w:t>Q345R</w:t>
            </w:r>
            <w:r>
              <w:rPr>
                <w:rFonts w:ascii="Times New Roman" w:cs="Times New Roman" w:hint="eastAsia"/>
                <w:bCs/>
                <w:sz w:val="21"/>
                <w:szCs w:val="21"/>
              </w:rPr>
              <w:t>(HIC)</w:t>
            </w:r>
          </w:p>
        </w:tc>
        <w:tc>
          <w:tcPr>
            <w:tcW w:w="1329" w:type="dxa"/>
            <w:shd w:val="clear" w:color="auto" w:fill="FFFFFF"/>
            <w:tcMar>
              <w:top w:w="15" w:type="dxa"/>
              <w:left w:w="46" w:type="dxa"/>
              <w:bottom w:w="0"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lastRenderedPageBreak/>
              <w:t>台</w:t>
            </w:r>
          </w:p>
        </w:tc>
        <w:tc>
          <w:tcPr>
            <w:tcW w:w="1330" w:type="dxa"/>
            <w:shd w:val="clear" w:color="auto" w:fill="FFFFFF"/>
            <w:tcMar>
              <w:top w:w="15" w:type="dxa"/>
              <w:left w:w="15" w:type="dxa"/>
              <w:bottom w:w="0" w:type="dxa"/>
              <w:right w:w="15"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2</w:t>
            </w:r>
          </w:p>
        </w:tc>
        <w:tc>
          <w:tcPr>
            <w:tcW w:w="2069" w:type="dxa"/>
            <w:shd w:val="clear" w:color="auto" w:fill="FFFFFF"/>
            <w:tcMar>
              <w:top w:w="15" w:type="dxa"/>
              <w:left w:w="46"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bCs/>
                <w:sz w:val="21"/>
                <w:szCs w:val="21"/>
              </w:rPr>
              <w:t>新</w:t>
            </w:r>
            <w:r>
              <w:rPr>
                <w:rFonts w:ascii="Times New Roman" w:cs="Times New Roman" w:hint="eastAsia"/>
                <w:bCs/>
                <w:sz w:val="21"/>
                <w:szCs w:val="21"/>
              </w:rPr>
              <w:t>建</w:t>
            </w:r>
          </w:p>
        </w:tc>
      </w:tr>
      <w:tr w:rsidR="00BD5820">
        <w:trPr>
          <w:trHeight w:val="220"/>
          <w:jc w:val="center"/>
        </w:trPr>
        <w:tc>
          <w:tcPr>
            <w:tcW w:w="1001"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lastRenderedPageBreak/>
              <w:t>25</w:t>
            </w:r>
          </w:p>
        </w:tc>
        <w:tc>
          <w:tcPr>
            <w:tcW w:w="3039"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发球筒</w:t>
            </w:r>
            <w:r>
              <w:rPr>
                <w:rFonts w:ascii="Times New Roman" w:cs="Times New Roman" w:hint="eastAsia"/>
                <w:bCs/>
                <w:sz w:val="21"/>
                <w:szCs w:val="21"/>
              </w:rPr>
              <w:t xml:space="preserve"> DN6000/5000 </w:t>
            </w:r>
            <w:r>
              <w:rPr>
                <w:rFonts w:ascii="Times New Roman" w:cs="Times New Roman" w:hint="eastAsia"/>
                <w:bCs/>
                <w:sz w:val="21"/>
                <w:szCs w:val="21"/>
              </w:rPr>
              <w:t>设计压力</w:t>
            </w:r>
            <w:r>
              <w:rPr>
                <w:rFonts w:ascii="Times New Roman" w:cs="Times New Roman" w:hint="eastAsia"/>
                <w:bCs/>
                <w:sz w:val="21"/>
                <w:szCs w:val="21"/>
              </w:rPr>
              <w:t xml:space="preserve">11MPa </w:t>
            </w:r>
            <w:r>
              <w:rPr>
                <w:rFonts w:ascii="TimesNewRomanPSMT" w:eastAsia="TimesNewRomanPSMT" w:hAnsi="TimesNewRomanPSMT"/>
                <w:sz w:val="21"/>
              </w:rPr>
              <w:t>Q345R</w:t>
            </w:r>
            <w:r>
              <w:rPr>
                <w:rFonts w:ascii="Times New Roman" w:cs="Times New Roman" w:hint="eastAsia"/>
                <w:bCs/>
                <w:sz w:val="21"/>
                <w:szCs w:val="21"/>
              </w:rPr>
              <w:t>(HIC)</w:t>
            </w:r>
          </w:p>
        </w:tc>
        <w:tc>
          <w:tcPr>
            <w:tcW w:w="1329" w:type="dxa"/>
            <w:shd w:val="clear" w:color="auto" w:fill="FFFFFF"/>
            <w:tcMar>
              <w:top w:w="15" w:type="dxa"/>
              <w:left w:w="46" w:type="dxa"/>
              <w:bottom w:w="0"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台</w:t>
            </w:r>
          </w:p>
        </w:tc>
        <w:tc>
          <w:tcPr>
            <w:tcW w:w="1330" w:type="dxa"/>
            <w:shd w:val="clear" w:color="auto" w:fill="FFFFFF"/>
            <w:tcMar>
              <w:top w:w="15" w:type="dxa"/>
              <w:left w:w="15" w:type="dxa"/>
              <w:bottom w:w="0" w:type="dxa"/>
              <w:right w:w="15"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2</w:t>
            </w:r>
          </w:p>
        </w:tc>
        <w:tc>
          <w:tcPr>
            <w:tcW w:w="2069" w:type="dxa"/>
            <w:shd w:val="clear" w:color="auto" w:fill="FFFFFF"/>
            <w:tcMar>
              <w:top w:w="15" w:type="dxa"/>
              <w:left w:w="46"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bCs/>
                <w:sz w:val="21"/>
                <w:szCs w:val="21"/>
              </w:rPr>
              <w:t>新</w:t>
            </w:r>
            <w:r>
              <w:rPr>
                <w:rFonts w:ascii="Times New Roman" w:cs="Times New Roman" w:hint="eastAsia"/>
                <w:bCs/>
                <w:sz w:val="21"/>
                <w:szCs w:val="21"/>
              </w:rPr>
              <w:t>建</w:t>
            </w:r>
          </w:p>
        </w:tc>
      </w:tr>
      <w:tr w:rsidR="00BD5820">
        <w:trPr>
          <w:trHeight w:val="220"/>
          <w:jc w:val="center"/>
        </w:trPr>
        <w:tc>
          <w:tcPr>
            <w:tcW w:w="1001"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26</w:t>
            </w:r>
          </w:p>
        </w:tc>
        <w:tc>
          <w:tcPr>
            <w:tcW w:w="3039"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往复式增压机组</w:t>
            </w:r>
          </w:p>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（带空冷器）</w:t>
            </w:r>
            <w:r>
              <w:rPr>
                <w:rFonts w:ascii="Times New Roman" w:cs="Times New Roman" w:hint="eastAsia"/>
                <w:bCs/>
                <w:sz w:val="21"/>
                <w:szCs w:val="21"/>
              </w:rPr>
              <w:t xml:space="preserve"> Q= 50</w:t>
            </w:r>
            <w:r>
              <w:rPr>
                <w:rFonts w:ascii="Times New Roman" w:cs="Times New Roman" w:hint="eastAsia"/>
                <w:bCs/>
                <w:sz w:val="21"/>
                <w:szCs w:val="21"/>
              </w:rPr>
              <w:t>×</w:t>
            </w:r>
            <w:r>
              <w:rPr>
                <w:rFonts w:ascii="Times New Roman" w:cs="Times New Roman" w:hint="eastAsia"/>
                <w:bCs/>
                <w:sz w:val="21"/>
                <w:szCs w:val="21"/>
              </w:rPr>
              <w:t>10</w:t>
            </w:r>
            <w:r>
              <w:rPr>
                <w:rFonts w:ascii="Times New Roman" w:cs="Times New Roman" w:hint="eastAsia"/>
                <w:bCs/>
                <w:sz w:val="21"/>
                <w:szCs w:val="21"/>
                <w:vertAlign w:val="superscript"/>
              </w:rPr>
              <w:t>4</w:t>
            </w:r>
            <w:r>
              <w:rPr>
                <w:rFonts w:ascii="Times New Roman" w:cs="Times New Roman" w:hint="eastAsia"/>
                <w:bCs/>
                <w:sz w:val="21"/>
                <w:szCs w:val="21"/>
              </w:rPr>
              <w:t>Nm</w:t>
            </w:r>
            <w:r>
              <w:rPr>
                <w:rFonts w:ascii="Times New Roman" w:cs="Times New Roman" w:hint="eastAsia"/>
                <w:bCs/>
                <w:sz w:val="21"/>
                <w:szCs w:val="21"/>
                <w:vertAlign w:val="superscript"/>
              </w:rPr>
              <w:t>3</w:t>
            </w:r>
            <w:r>
              <w:rPr>
                <w:rFonts w:ascii="Times New Roman" w:cs="Times New Roman" w:hint="eastAsia"/>
                <w:bCs/>
                <w:sz w:val="21"/>
                <w:szCs w:val="21"/>
              </w:rPr>
              <w:t>/d</w:t>
            </w:r>
          </w:p>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设计点压力：</w:t>
            </w:r>
            <w:r>
              <w:rPr>
                <w:rFonts w:ascii="Times New Roman" w:cs="Times New Roman" w:hint="eastAsia"/>
                <w:bCs/>
                <w:sz w:val="21"/>
                <w:szCs w:val="21"/>
              </w:rPr>
              <w:t>P</w:t>
            </w:r>
            <w:r>
              <w:rPr>
                <w:rFonts w:ascii="Times New Roman" w:cs="Times New Roman" w:hint="eastAsia"/>
                <w:bCs/>
                <w:sz w:val="21"/>
                <w:szCs w:val="21"/>
                <w:vertAlign w:val="subscript"/>
              </w:rPr>
              <w:t>入</w:t>
            </w:r>
            <w:r>
              <w:rPr>
                <w:rFonts w:ascii="Times New Roman" w:cs="Times New Roman" w:hint="eastAsia"/>
                <w:bCs/>
                <w:sz w:val="21"/>
                <w:szCs w:val="21"/>
              </w:rPr>
              <w:t>=3.5MPa</w:t>
            </w:r>
            <w:r>
              <w:rPr>
                <w:rFonts w:ascii="Times New Roman" w:cs="Times New Roman" w:hint="eastAsia"/>
                <w:bCs/>
                <w:sz w:val="21"/>
                <w:szCs w:val="21"/>
              </w:rPr>
              <w:t>，</w:t>
            </w:r>
            <w:r>
              <w:rPr>
                <w:rFonts w:ascii="Times New Roman" w:cs="Times New Roman" w:hint="eastAsia"/>
                <w:bCs/>
                <w:sz w:val="21"/>
                <w:szCs w:val="21"/>
              </w:rPr>
              <w:t>P</w:t>
            </w:r>
            <w:r>
              <w:rPr>
                <w:rFonts w:ascii="Times New Roman" w:cs="Times New Roman" w:hint="eastAsia"/>
                <w:bCs/>
                <w:sz w:val="21"/>
                <w:szCs w:val="21"/>
                <w:vertAlign w:val="subscript"/>
              </w:rPr>
              <w:t>出</w:t>
            </w:r>
            <w:r>
              <w:rPr>
                <w:rFonts w:ascii="Times New Roman" w:cs="Times New Roman" w:hint="eastAsia"/>
                <w:bCs/>
                <w:sz w:val="21"/>
                <w:szCs w:val="21"/>
              </w:rPr>
              <w:t>=8.5MPa</w:t>
            </w:r>
          </w:p>
        </w:tc>
        <w:tc>
          <w:tcPr>
            <w:tcW w:w="1329" w:type="dxa"/>
            <w:shd w:val="clear" w:color="auto" w:fill="FFFFFF"/>
            <w:tcMar>
              <w:top w:w="15" w:type="dxa"/>
              <w:left w:w="46" w:type="dxa"/>
              <w:bottom w:w="0"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座</w:t>
            </w:r>
          </w:p>
        </w:tc>
        <w:tc>
          <w:tcPr>
            <w:tcW w:w="1330" w:type="dxa"/>
            <w:shd w:val="clear" w:color="auto" w:fill="FFFFFF"/>
            <w:tcMar>
              <w:top w:w="15" w:type="dxa"/>
              <w:left w:w="15" w:type="dxa"/>
              <w:bottom w:w="0" w:type="dxa"/>
              <w:right w:w="15"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4</w:t>
            </w:r>
          </w:p>
        </w:tc>
        <w:tc>
          <w:tcPr>
            <w:tcW w:w="2069" w:type="dxa"/>
            <w:shd w:val="clear" w:color="auto" w:fill="FFFFFF"/>
            <w:tcMar>
              <w:top w:w="15" w:type="dxa"/>
              <w:left w:w="46"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bCs/>
                <w:sz w:val="21"/>
                <w:szCs w:val="21"/>
              </w:rPr>
              <w:t>新</w:t>
            </w:r>
            <w:r>
              <w:rPr>
                <w:rFonts w:ascii="Times New Roman" w:cs="Times New Roman" w:hint="eastAsia"/>
                <w:bCs/>
                <w:sz w:val="21"/>
                <w:szCs w:val="21"/>
              </w:rPr>
              <w:t>建</w:t>
            </w:r>
          </w:p>
        </w:tc>
      </w:tr>
      <w:tr w:rsidR="00BD5820">
        <w:trPr>
          <w:trHeight w:val="220"/>
          <w:jc w:val="center"/>
        </w:trPr>
        <w:tc>
          <w:tcPr>
            <w:tcW w:w="1001"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27</w:t>
            </w:r>
          </w:p>
        </w:tc>
        <w:tc>
          <w:tcPr>
            <w:tcW w:w="3039"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hAnsi="宋体" w:hint="eastAsia"/>
                <w:sz w:val="21"/>
              </w:rPr>
              <w:t>过滤分离撬</w:t>
            </w:r>
            <w:r>
              <w:rPr>
                <w:rFonts w:ascii="Times New Roman" w:cs="Times New Roman" w:hint="eastAsia"/>
                <w:bCs/>
                <w:sz w:val="21"/>
                <w:szCs w:val="21"/>
              </w:rPr>
              <w:t xml:space="preserve"> </w:t>
            </w:r>
          </w:p>
        </w:tc>
        <w:tc>
          <w:tcPr>
            <w:tcW w:w="1329" w:type="dxa"/>
            <w:shd w:val="clear" w:color="auto" w:fill="FFFFFF"/>
            <w:tcMar>
              <w:top w:w="15" w:type="dxa"/>
              <w:left w:w="46" w:type="dxa"/>
              <w:bottom w:w="0"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座</w:t>
            </w:r>
          </w:p>
        </w:tc>
        <w:tc>
          <w:tcPr>
            <w:tcW w:w="1330" w:type="dxa"/>
            <w:shd w:val="clear" w:color="auto" w:fill="FFFFFF"/>
            <w:tcMar>
              <w:top w:w="15" w:type="dxa"/>
              <w:left w:w="15" w:type="dxa"/>
              <w:bottom w:w="0" w:type="dxa"/>
              <w:right w:w="15"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4</w:t>
            </w:r>
          </w:p>
        </w:tc>
        <w:tc>
          <w:tcPr>
            <w:tcW w:w="2069" w:type="dxa"/>
            <w:shd w:val="clear" w:color="auto" w:fill="FFFFFF"/>
            <w:tcMar>
              <w:top w:w="15" w:type="dxa"/>
              <w:left w:w="46"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bCs/>
                <w:sz w:val="21"/>
                <w:szCs w:val="21"/>
              </w:rPr>
              <w:t>新</w:t>
            </w:r>
            <w:r>
              <w:rPr>
                <w:rFonts w:ascii="Times New Roman" w:cs="Times New Roman" w:hint="eastAsia"/>
                <w:bCs/>
                <w:sz w:val="21"/>
                <w:szCs w:val="21"/>
              </w:rPr>
              <w:t>建</w:t>
            </w:r>
          </w:p>
        </w:tc>
      </w:tr>
      <w:tr w:rsidR="00BD5820">
        <w:trPr>
          <w:trHeight w:val="220"/>
          <w:jc w:val="center"/>
        </w:trPr>
        <w:tc>
          <w:tcPr>
            <w:tcW w:w="1001"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28</w:t>
            </w:r>
          </w:p>
        </w:tc>
        <w:tc>
          <w:tcPr>
            <w:tcW w:w="3039"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hAnsi="宋体" w:hint="eastAsia"/>
                <w:sz w:val="21"/>
              </w:rPr>
              <w:t>重力分离器</w:t>
            </w:r>
            <w:r>
              <w:rPr>
                <w:rFonts w:ascii="Times New Roman" w:cs="Times New Roman" w:hint="eastAsia"/>
                <w:bCs/>
                <w:sz w:val="21"/>
                <w:szCs w:val="21"/>
              </w:rPr>
              <w:t xml:space="preserve"> D2800</w:t>
            </w:r>
            <w:r>
              <w:rPr>
                <w:rFonts w:ascii="Times New Roman" w:cs="Times New Roman" w:hint="eastAsia"/>
                <w:bCs/>
                <w:sz w:val="21"/>
                <w:szCs w:val="21"/>
              </w:rPr>
              <w:t>×</w:t>
            </w:r>
            <w:r>
              <w:rPr>
                <w:rFonts w:ascii="Times New Roman" w:cs="Times New Roman" w:hint="eastAsia"/>
                <w:bCs/>
                <w:sz w:val="21"/>
                <w:szCs w:val="21"/>
              </w:rPr>
              <w:t xml:space="preserve">8400 </w:t>
            </w:r>
            <w:r>
              <w:rPr>
                <w:rFonts w:ascii="Times New Roman" w:cs="Times New Roman" w:hint="eastAsia"/>
                <w:bCs/>
                <w:sz w:val="21"/>
                <w:szCs w:val="21"/>
              </w:rPr>
              <w:t>设计压力</w:t>
            </w:r>
            <w:r>
              <w:rPr>
                <w:rFonts w:ascii="Times New Roman" w:cs="Times New Roman" w:hint="eastAsia"/>
                <w:bCs/>
                <w:sz w:val="21"/>
                <w:szCs w:val="21"/>
              </w:rPr>
              <w:t>11MPa Q345R(HIC)</w:t>
            </w:r>
          </w:p>
        </w:tc>
        <w:tc>
          <w:tcPr>
            <w:tcW w:w="1329" w:type="dxa"/>
            <w:shd w:val="clear" w:color="auto" w:fill="FFFFFF"/>
            <w:tcMar>
              <w:top w:w="15" w:type="dxa"/>
              <w:left w:w="46" w:type="dxa"/>
              <w:bottom w:w="0"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座</w:t>
            </w:r>
          </w:p>
        </w:tc>
        <w:tc>
          <w:tcPr>
            <w:tcW w:w="1330" w:type="dxa"/>
            <w:shd w:val="clear" w:color="auto" w:fill="FFFFFF"/>
            <w:tcMar>
              <w:top w:w="15" w:type="dxa"/>
              <w:left w:w="15" w:type="dxa"/>
              <w:bottom w:w="0" w:type="dxa"/>
              <w:right w:w="15"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4</w:t>
            </w:r>
          </w:p>
        </w:tc>
        <w:tc>
          <w:tcPr>
            <w:tcW w:w="2069" w:type="dxa"/>
            <w:shd w:val="clear" w:color="auto" w:fill="FFFFFF"/>
            <w:tcMar>
              <w:top w:w="15" w:type="dxa"/>
              <w:left w:w="46"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bCs/>
                <w:sz w:val="21"/>
                <w:szCs w:val="21"/>
              </w:rPr>
              <w:t>新</w:t>
            </w:r>
            <w:r>
              <w:rPr>
                <w:rFonts w:ascii="Times New Roman" w:cs="Times New Roman" w:hint="eastAsia"/>
                <w:bCs/>
                <w:sz w:val="21"/>
                <w:szCs w:val="21"/>
              </w:rPr>
              <w:t>建</w:t>
            </w:r>
          </w:p>
        </w:tc>
      </w:tr>
      <w:tr w:rsidR="00BD5820">
        <w:trPr>
          <w:trHeight w:val="220"/>
          <w:jc w:val="center"/>
        </w:trPr>
        <w:tc>
          <w:tcPr>
            <w:tcW w:w="1001"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29</w:t>
            </w:r>
          </w:p>
        </w:tc>
        <w:tc>
          <w:tcPr>
            <w:tcW w:w="3039"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hAnsi="宋体" w:hint="eastAsia"/>
                <w:sz w:val="21"/>
              </w:rPr>
              <w:t>过滤分离器</w:t>
            </w:r>
            <w:r>
              <w:rPr>
                <w:rFonts w:ascii="Times New Roman" w:cs="Times New Roman" w:hint="eastAsia"/>
                <w:bCs/>
                <w:sz w:val="21"/>
                <w:szCs w:val="21"/>
              </w:rPr>
              <w:t xml:space="preserve"> </w:t>
            </w:r>
            <w:r>
              <w:rPr>
                <w:rFonts w:ascii="TimesNewRomanPSMT" w:eastAsia="TimesNewRomanPSMT" w:hAnsi="TimesNewRomanPSMT"/>
                <w:sz w:val="21"/>
              </w:rPr>
              <w:t>D900</w:t>
            </w:r>
            <w:r>
              <w:rPr>
                <w:rFonts w:hAnsi="宋体"/>
                <w:sz w:val="21"/>
              </w:rPr>
              <w:t>×</w:t>
            </w:r>
            <w:r>
              <w:rPr>
                <w:rFonts w:ascii="TimesNewRomanPSMT" w:eastAsia="TimesNewRomanPSMT" w:hAnsi="TimesNewRomanPSMT"/>
                <w:sz w:val="21"/>
              </w:rPr>
              <w:t xml:space="preserve">2800 </w:t>
            </w:r>
            <w:r>
              <w:rPr>
                <w:rFonts w:hAnsi="宋体" w:hint="eastAsia"/>
                <w:sz w:val="21"/>
              </w:rPr>
              <w:t>设计压力</w:t>
            </w:r>
            <w:r>
              <w:rPr>
                <w:rFonts w:ascii="TimesNewRomanPSMT" w:eastAsia="TimesNewRomanPSMT" w:hAnsi="TimesNewRomanPSMT"/>
                <w:sz w:val="21"/>
              </w:rPr>
              <w:t>11MPa Q345R(HIC)</w:t>
            </w:r>
          </w:p>
        </w:tc>
        <w:tc>
          <w:tcPr>
            <w:tcW w:w="1329" w:type="dxa"/>
            <w:shd w:val="clear" w:color="auto" w:fill="FFFFFF"/>
            <w:tcMar>
              <w:top w:w="15" w:type="dxa"/>
              <w:left w:w="46" w:type="dxa"/>
              <w:bottom w:w="0"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台</w:t>
            </w:r>
          </w:p>
        </w:tc>
        <w:tc>
          <w:tcPr>
            <w:tcW w:w="1330" w:type="dxa"/>
            <w:shd w:val="clear" w:color="auto" w:fill="FFFFFF"/>
            <w:tcMar>
              <w:top w:w="15" w:type="dxa"/>
              <w:left w:w="15" w:type="dxa"/>
              <w:bottom w:w="0" w:type="dxa"/>
              <w:right w:w="15"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4</w:t>
            </w:r>
            <w:r>
              <w:rPr>
                <w:rFonts w:ascii="Times New Roman" w:cs="Times New Roman" w:hint="eastAsia"/>
                <w:bCs/>
                <w:sz w:val="21"/>
                <w:szCs w:val="21"/>
              </w:rPr>
              <w:t>（</w:t>
            </w:r>
            <w:r>
              <w:rPr>
                <w:rFonts w:ascii="Times New Roman" w:cs="Times New Roman" w:hint="eastAsia"/>
                <w:bCs/>
                <w:sz w:val="21"/>
                <w:szCs w:val="21"/>
              </w:rPr>
              <w:t>3</w:t>
            </w:r>
            <w:r>
              <w:rPr>
                <w:rFonts w:ascii="Times New Roman" w:cs="Times New Roman" w:hint="eastAsia"/>
                <w:bCs/>
                <w:sz w:val="21"/>
                <w:szCs w:val="21"/>
              </w:rPr>
              <w:t>用</w:t>
            </w:r>
            <w:r>
              <w:rPr>
                <w:rFonts w:ascii="Times New Roman" w:cs="Times New Roman" w:hint="eastAsia"/>
                <w:bCs/>
                <w:sz w:val="21"/>
                <w:szCs w:val="21"/>
              </w:rPr>
              <w:t>1</w:t>
            </w:r>
            <w:r>
              <w:rPr>
                <w:rFonts w:ascii="Times New Roman" w:cs="Times New Roman" w:hint="eastAsia"/>
                <w:bCs/>
                <w:sz w:val="21"/>
                <w:szCs w:val="21"/>
              </w:rPr>
              <w:t>备）</w:t>
            </w:r>
          </w:p>
        </w:tc>
        <w:tc>
          <w:tcPr>
            <w:tcW w:w="2069" w:type="dxa"/>
            <w:shd w:val="clear" w:color="auto" w:fill="FFFFFF"/>
            <w:tcMar>
              <w:top w:w="15" w:type="dxa"/>
              <w:left w:w="46"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bCs/>
                <w:sz w:val="21"/>
                <w:szCs w:val="21"/>
              </w:rPr>
              <w:t>新</w:t>
            </w:r>
            <w:r>
              <w:rPr>
                <w:rFonts w:ascii="Times New Roman" w:cs="Times New Roman" w:hint="eastAsia"/>
                <w:bCs/>
                <w:sz w:val="21"/>
                <w:szCs w:val="21"/>
              </w:rPr>
              <w:t>建</w:t>
            </w:r>
          </w:p>
        </w:tc>
      </w:tr>
      <w:tr w:rsidR="00BD5820">
        <w:trPr>
          <w:trHeight w:val="220"/>
          <w:jc w:val="center"/>
        </w:trPr>
        <w:tc>
          <w:tcPr>
            <w:tcW w:w="1001"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30</w:t>
            </w:r>
          </w:p>
        </w:tc>
        <w:tc>
          <w:tcPr>
            <w:tcW w:w="3039"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hAnsi="宋体" w:hint="eastAsia"/>
                <w:sz w:val="21"/>
              </w:rPr>
              <w:t>润滑油撬</w:t>
            </w:r>
            <w:r>
              <w:rPr>
                <w:rFonts w:ascii="TimesNewRomanPSMT" w:eastAsia="TimesNewRomanPSMT" w:hAnsi="TimesNewRomanPSMT"/>
                <w:sz w:val="21"/>
              </w:rPr>
              <w:t>3.5</w:t>
            </w:r>
            <w:r>
              <w:rPr>
                <w:rFonts w:hAnsi="宋体"/>
                <w:sz w:val="21"/>
              </w:rPr>
              <w:t>×</w:t>
            </w:r>
            <w:r>
              <w:rPr>
                <w:rFonts w:ascii="TimesNewRomanPSMT" w:eastAsia="TimesNewRomanPSMT" w:hAnsi="TimesNewRomanPSMT"/>
                <w:sz w:val="21"/>
              </w:rPr>
              <w:t xml:space="preserve">2m </w:t>
            </w:r>
            <w:r>
              <w:rPr>
                <w:rFonts w:hAnsi="宋体" w:hint="eastAsia"/>
                <w:sz w:val="21"/>
              </w:rPr>
              <w:t>重量：</w:t>
            </w:r>
            <w:r>
              <w:rPr>
                <w:rFonts w:ascii="TimesNewRomanPSMT" w:eastAsia="TimesNewRomanPSMT" w:hAnsi="TimesNewRomanPSMT"/>
                <w:sz w:val="21"/>
              </w:rPr>
              <w:t>5t</w:t>
            </w:r>
            <w:r>
              <w:rPr>
                <w:rFonts w:ascii="TimesNewRomanPSMT" w:hAnsi="TimesNewRomanPSMT" w:hint="eastAsia"/>
                <w:sz w:val="21"/>
              </w:rPr>
              <w:t xml:space="preserve"> </w:t>
            </w:r>
          </w:p>
        </w:tc>
        <w:tc>
          <w:tcPr>
            <w:tcW w:w="1329" w:type="dxa"/>
            <w:shd w:val="clear" w:color="auto" w:fill="FFFFFF"/>
            <w:tcMar>
              <w:top w:w="15" w:type="dxa"/>
              <w:left w:w="46" w:type="dxa"/>
              <w:bottom w:w="0"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座</w:t>
            </w:r>
          </w:p>
        </w:tc>
        <w:tc>
          <w:tcPr>
            <w:tcW w:w="1330" w:type="dxa"/>
            <w:shd w:val="clear" w:color="auto" w:fill="FFFFFF"/>
            <w:tcMar>
              <w:top w:w="15" w:type="dxa"/>
              <w:left w:w="15" w:type="dxa"/>
              <w:bottom w:w="0" w:type="dxa"/>
              <w:right w:w="15"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1</w:t>
            </w:r>
          </w:p>
        </w:tc>
        <w:tc>
          <w:tcPr>
            <w:tcW w:w="2069" w:type="dxa"/>
            <w:shd w:val="clear" w:color="auto" w:fill="FFFFFF"/>
            <w:tcMar>
              <w:top w:w="15" w:type="dxa"/>
              <w:left w:w="46"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bCs/>
                <w:sz w:val="21"/>
                <w:szCs w:val="21"/>
              </w:rPr>
              <w:t>新</w:t>
            </w:r>
            <w:r>
              <w:rPr>
                <w:rFonts w:ascii="Times New Roman" w:cs="Times New Roman" w:hint="eastAsia"/>
                <w:bCs/>
                <w:sz w:val="21"/>
                <w:szCs w:val="21"/>
              </w:rPr>
              <w:t>建</w:t>
            </w:r>
          </w:p>
        </w:tc>
      </w:tr>
      <w:tr w:rsidR="00BD5820">
        <w:trPr>
          <w:trHeight w:val="220"/>
          <w:jc w:val="center"/>
        </w:trPr>
        <w:tc>
          <w:tcPr>
            <w:tcW w:w="1001"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31</w:t>
            </w:r>
          </w:p>
        </w:tc>
        <w:tc>
          <w:tcPr>
            <w:tcW w:w="3039"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hAnsi="宋体" w:hint="eastAsia"/>
                <w:sz w:val="21"/>
              </w:rPr>
              <w:t xml:space="preserve">润滑油储罐 </w:t>
            </w:r>
            <w:r>
              <w:rPr>
                <w:rFonts w:ascii="TimesNewRomanPSMT" w:eastAsia="TimesNewRomanPSMT" w:hAnsi="TimesNewRomanPSMT"/>
                <w:sz w:val="21"/>
              </w:rPr>
              <w:t>D1000</w:t>
            </w:r>
            <w:r>
              <w:rPr>
                <w:rFonts w:hAnsi="宋体"/>
                <w:sz w:val="21"/>
              </w:rPr>
              <w:t>×</w:t>
            </w:r>
            <w:r>
              <w:rPr>
                <w:rFonts w:ascii="TimesNewRomanPSMT" w:eastAsia="TimesNewRomanPSMT" w:hAnsi="TimesNewRomanPSMT"/>
                <w:sz w:val="21"/>
              </w:rPr>
              <w:t>2</w:t>
            </w:r>
            <w:r>
              <w:rPr>
                <w:rFonts w:ascii="TimesNewRomanPSMT" w:hAnsi="TimesNewRomanPSMT" w:hint="eastAsia"/>
                <w:sz w:val="21"/>
              </w:rPr>
              <w:t>962</w:t>
            </w:r>
            <w:r>
              <w:rPr>
                <w:rFonts w:hAnsi="宋体"/>
                <w:sz w:val="21"/>
              </w:rPr>
              <w:t>×</w:t>
            </w:r>
            <w:r>
              <w:rPr>
                <w:rFonts w:ascii="TimesNewRomanPSMT" w:eastAsia="TimesNewRomanPSMT" w:hAnsi="TimesNewRomanPSMT"/>
                <w:sz w:val="21"/>
              </w:rPr>
              <w:t>6 Class150</w:t>
            </w:r>
            <w:r>
              <w:rPr>
                <w:rFonts w:ascii="TimesNewRomanPSMT" w:hAnsi="TimesNewRomanPSMT" w:hint="eastAsia"/>
                <w:sz w:val="21"/>
              </w:rPr>
              <w:t xml:space="preserve"> </w:t>
            </w:r>
            <w:r>
              <w:rPr>
                <w:rFonts w:ascii="TimesNewRomanPSMT" w:eastAsia="TimesNewRomanPSMT" w:hAnsi="TimesNewRomanPSMT"/>
                <w:sz w:val="21"/>
              </w:rPr>
              <w:t>S30408</w:t>
            </w:r>
          </w:p>
        </w:tc>
        <w:tc>
          <w:tcPr>
            <w:tcW w:w="1329" w:type="dxa"/>
            <w:shd w:val="clear" w:color="auto" w:fill="FFFFFF"/>
            <w:tcMar>
              <w:top w:w="15" w:type="dxa"/>
              <w:left w:w="46" w:type="dxa"/>
              <w:bottom w:w="0"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座</w:t>
            </w:r>
          </w:p>
        </w:tc>
        <w:tc>
          <w:tcPr>
            <w:tcW w:w="1330" w:type="dxa"/>
            <w:shd w:val="clear" w:color="auto" w:fill="FFFFFF"/>
            <w:tcMar>
              <w:top w:w="15" w:type="dxa"/>
              <w:left w:w="15" w:type="dxa"/>
              <w:bottom w:w="0" w:type="dxa"/>
              <w:right w:w="15"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1</w:t>
            </w:r>
          </w:p>
        </w:tc>
        <w:tc>
          <w:tcPr>
            <w:tcW w:w="2069" w:type="dxa"/>
            <w:shd w:val="clear" w:color="auto" w:fill="FFFFFF"/>
            <w:tcMar>
              <w:top w:w="15" w:type="dxa"/>
              <w:left w:w="46"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bCs/>
                <w:sz w:val="21"/>
                <w:szCs w:val="21"/>
              </w:rPr>
              <w:t>新</w:t>
            </w:r>
            <w:r>
              <w:rPr>
                <w:rFonts w:ascii="Times New Roman" w:cs="Times New Roman" w:hint="eastAsia"/>
                <w:bCs/>
                <w:sz w:val="21"/>
                <w:szCs w:val="21"/>
              </w:rPr>
              <w:t>建</w:t>
            </w:r>
          </w:p>
        </w:tc>
      </w:tr>
      <w:tr w:rsidR="00BD5820">
        <w:trPr>
          <w:trHeight w:val="220"/>
          <w:jc w:val="center"/>
        </w:trPr>
        <w:tc>
          <w:tcPr>
            <w:tcW w:w="1001"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32</w:t>
            </w:r>
          </w:p>
        </w:tc>
        <w:tc>
          <w:tcPr>
            <w:tcW w:w="3039"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hAnsi="宋体" w:hint="eastAsia"/>
                <w:sz w:val="21"/>
              </w:rPr>
              <w:t>附属设施（手动阀门、过滤器、管线等）</w:t>
            </w:r>
          </w:p>
        </w:tc>
        <w:tc>
          <w:tcPr>
            <w:tcW w:w="1329" w:type="dxa"/>
            <w:shd w:val="clear" w:color="auto" w:fill="FFFFFF"/>
            <w:tcMar>
              <w:top w:w="15" w:type="dxa"/>
              <w:left w:w="46" w:type="dxa"/>
              <w:bottom w:w="0"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套</w:t>
            </w:r>
          </w:p>
        </w:tc>
        <w:tc>
          <w:tcPr>
            <w:tcW w:w="1330" w:type="dxa"/>
            <w:shd w:val="clear" w:color="auto" w:fill="FFFFFF"/>
            <w:tcMar>
              <w:top w:w="15" w:type="dxa"/>
              <w:left w:w="15" w:type="dxa"/>
              <w:bottom w:w="0" w:type="dxa"/>
              <w:right w:w="15"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1</w:t>
            </w:r>
          </w:p>
        </w:tc>
        <w:tc>
          <w:tcPr>
            <w:tcW w:w="2069" w:type="dxa"/>
            <w:shd w:val="clear" w:color="auto" w:fill="FFFFFF"/>
            <w:tcMar>
              <w:top w:w="15" w:type="dxa"/>
              <w:left w:w="46"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bCs/>
                <w:sz w:val="21"/>
                <w:szCs w:val="21"/>
              </w:rPr>
              <w:t>新</w:t>
            </w:r>
            <w:r>
              <w:rPr>
                <w:rFonts w:ascii="Times New Roman" w:cs="Times New Roman" w:hint="eastAsia"/>
                <w:bCs/>
                <w:sz w:val="21"/>
                <w:szCs w:val="21"/>
              </w:rPr>
              <w:t>建</w:t>
            </w:r>
          </w:p>
        </w:tc>
      </w:tr>
      <w:tr w:rsidR="00BD5820">
        <w:trPr>
          <w:trHeight w:val="220"/>
          <w:jc w:val="center"/>
        </w:trPr>
        <w:tc>
          <w:tcPr>
            <w:tcW w:w="1001"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33</w:t>
            </w:r>
          </w:p>
        </w:tc>
        <w:tc>
          <w:tcPr>
            <w:tcW w:w="3039"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hAnsi="宋体" w:hint="eastAsia"/>
                <w:sz w:val="21"/>
              </w:rPr>
              <w:t>仪表风</w:t>
            </w:r>
            <w:r>
              <w:rPr>
                <w:rFonts w:ascii="TimesNewRomanPSMT" w:eastAsia="TimesNewRomanPSMT" w:hAnsi="TimesNewRomanPSMT"/>
                <w:sz w:val="21"/>
              </w:rPr>
              <w:t>/</w:t>
            </w:r>
            <w:r>
              <w:rPr>
                <w:rFonts w:hAnsi="宋体" w:hint="eastAsia"/>
                <w:sz w:val="21"/>
              </w:rPr>
              <w:t xml:space="preserve">氮气储罐 </w:t>
            </w:r>
            <w:r>
              <w:rPr>
                <w:rFonts w:ascii="TimesNewRomanPSMT" w:eastAsia="TimesNewRomanPSMT" w:hAnsi="TimesNewRomanPSMT"/>
                <w:sz w:val="21"/>
              </w:rPr>
              <w:t>D2000×6000 Class150 Q245R</w:t>
            </w:r>
          </w:p>
        </w:tc>
        <w:tc>
          <w:tcPr>
            <w:tcW w:w="1329" w:type="dxa"/>
            <w:shd w:val="clear" w:color="auto" w:fill="FFFFFF"/>
            <w:tcMar>
              <w:top w:w="15" w:type="dxa"/>
              <w:left w:w="46" w:type="dxa"/>
              <w:bottom w:w="0"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座</w:t>
            </w:r>
          </w:p>
        </w:tc>
        <w:tc>
          <w:tcPr>
            <w:tcW w:w="1330" w:type="dxa"/>
            <w:shd w:val="clear" w:color="auto" w:fill="FFFFFF"/>
            <w:tcMar>
              <w:top w:w="15" w:type="dxa"/>
              <w:left w:w="15" w:type="dxa"/>
              <w:bottom w:w="0" w:type="dxa"/>
              <w:right w:w="15"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2</w:t>
            </w:r>
          </w:p>
        </w:tc>
        <w:tc>
          <w:tcPr>
            <w:tcW w:w="2069" w:type="dxa"/>
            <w:shd w:val="clear" w:color="auto" w:fill="FFFFFF"/>
            <w:tcMar>
              <w:top w:w="15" w:type="dxa"/>
              <w:left w:w="46"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bCs/>
                <w:sz w:val="21"/>
                <w:szCs w:val="21"/>
              </w:rPr>
              <w:t>新</w:t>
            </w:r>
            <w:r>
              <w:rPr>
                <w:rFonts w:ascii="Times New Roman" w:cs="Times New Roman" w:hint="eastAsia"/>
                <w:bCs/>
                <w:sz w:val="21"/>
                <w:szCs w:val="21"/>
              </w:rPr>
              <w:t>建</w:t>
            </w:r>
          </w:p>
        </w:tc>
      </w:tr>
      <w:tr w:rsidR="00BD5820">
        <w:trPr>
          <w:trHeight w:val="220"/>
          <w:jc w:val="center"/>
        </w:trPr>
        <w:tc>
          <w:tcPr>
            <w:tcW w:w="1001"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34</w:t>
            </w:r>
          </w:p>
        </w:tc>
        <w:tc>
          <w:tcPr>
            <w:tcW w:w="3039" w:type="dxa"/>
            <w:shd w:val="clear" w:color="auto" w:fill="FFFFFF"/>
            <w:vAlign w:val="center"/>
          </w:tcPr>
          <w:p w:rsidR="00BD5820" w:rsidRDefault="00F64314">
            <w:pPr>
              <w:spacing w:line="240" w:lineRule="auto"/>
              <w:ind w:firstLineChars="0" w:firstLine="0"/>
              <w:jc w:val="center"/>
              <w:rPr>
                <w:rFonts w:hAnsi="宋体"/>
                <w:sz w:val="21"/>
              </w:rPr>
            </w:pPr>
            <w:r>
              <w:rPr>
                <w:rFonts w:hAnsi="宋体" w:hint="eastAsia"/>
                <w:sz w:val="21"/>
              </w:rPr>
              <w:t>污水撬</w:t>
            </w:r>
            <w:r>
              <w:rPr>
                <w:rFonts w:ascii="TimesNewRomanPSMT" w:hAnsi="TimesNewRomanPSMT" w:hint="eastAsia"/>
                <w:sz w:val="21"/>
              </w:rPr>
              <w:t>11.8</w:t>
            </w:r>
            <w:r>
              <w:rPr>
                <w:rFonts w:ascii="TimesNewRomanPSMT" w:eastAsia="TimesNewRomanPSMT" w:hAnsi="TimesNewRomanPSMT"/>
                <w:sz w:val="21"/>
              </w:rPr>
              <w:t>m</w:t>
            </w:r>
            <w:r>
              <w:rPr>
                <w:rFonts w:hAnsi="宋体"/>
                <w:sz w:val="21"/>
              </w:rPr>
              <w:t>×</w:t>
            </w:r>
            <w:r>
              <w:rPr>
                <w:rFonts w:ascii="TimesNewRomanPSMT" w:hAnsi="TimesNewRomanPSMT" w:hint="eastAsia"/>
                <w:sz w:val="21"/>
              </w:rPr>
              <w:t>3.8</w:t>
            </w:r>
            <w:r>
              <w:rPr>
                <w:rFonts w:ascii="TimesNewRomanPSMT" w:eastAsia="TimesNewRomanPSMT" w:hAnsi="TimesNewRomanPSMT"/>
                <w:sz w:val="21"/>
              </w:rPr>
              <w:t>m</w:t>
            </w:r>
            <w:r>
              <w:rPr>
                <w:rFonts w:ascii="TimesNewRomanPSMT" w:hAnsi="TimesNewRomanPSMT" w:hint="eastAsia"/>
                <w:sz w:val="21"/>
              </w:rPr>
              <w:t>，</w:t>
            </w:r>
            <w:r>
              <w:rPr>
                <w:rFonts w:hAnsi="宋体" w:hint="eastAsia"/>
                <w:sz w:val="21"/>
              </w:rPr>
              <w:t>重量：</w:t>
            </w:r>
            <w:r>
              <w:rPr>
                <w:rFonts w:ascii="TimesNewRomanPSMT" w:eastAsia="TimesNewRomanPSMT" w:hAnsi="TimesNewRomanPSMT"/>
                <w:sz w:val="21"/>
              </w:rPr>
              <w:t>5t</w:t>
            </w:r>
            <w:r>
              <w:rPr>
                <w:rFonts w:ascii="TimesNewRomanPSMT" w:hAnsi="TimesNewRomanPSMT" w:hint="eastAsia"/>
                <w:sz w:val="21"/>
              </w:rPr>
              <w:t xml:space="preserve"> </w:t>
            </w:r>
          </w:p>
        </w:tc>
        <w:tc>
          <w:tcPr>
            <w:tcW w:w="1329" w:type="dxa"/>
            <w:shd w:val="clear" w:color="auto" w:fill="FFFFFF"/>
            <w:tcMar>
              <w:top w:w="15" w:type="dxa"/>
              <w:left w:w="46" w:type="dxa"/>
              <w:bottom w:w="0"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座</w:t>
            </w:r>
          </w:p>
        </w:tc>
        <w:tc>
          <w:tcPr>
            <w:tcW w:w="1330" w:type="dxa"/>
            <w:shd w:val="clear" w:color="auto" w:fill="FFFFFF"/>
            <w:tcMar>
              <w:top w:w="15" w:type="dxa"/>
              <w:left w:w="15" w:type="dxa"/>
              <w:bottom w:w="0" w:type="dxa"/>
              <w:right w:w="15"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1</w:t>
            </w:r>
          </w:p>
        </w:tc>
        <w:tc>
          <w:tcPr>
            <w:tcW w:w="2069" w:type="dxa"/>
            <w:shd w:val="clear" w:color="auto" w:fill="FFFFFF"/>
            <w:tcMar>
              <w:top w:w="15" w:type="dxa"/>
              <w:left w:w="46"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bCs/>
                <w:sz w:val="21"/>
                <w:szCs w:val="21"/>
              </w:rPr>
              <w:t>新</w:t>
            </w:r>
            <w:r>
              <w:rPr>
                <w:rFonts w:ascii="Times New Roman" w:cs="Times New Roman" w:hint="eastAsia"/>
                <w:bCs/>
                <w:sz w:val="21"/>
                <w:szCs w:val="21"/>
              </w:rPr>
              <w:t>建</w:t>
            </w:r>
          </w:p>
        </w:tc>
      </w:tr>
      <w:tr w:rsidR="00BD5820">
        <w:trPr>
          <w:trHeight w:val="220"/>
          <w:jc w:val="center"/>
        </w:trPr>
        <w:tc>
          <w:tcPr>
            <w:tcW w:w="1001"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35</w:t>
            </w:r>
          </w:p>
        </w:tc>
        <w:tc>
          <w:tcPr>
            <w:tcW w:w="3039" w:type="dxa"/>
            <w:shd w:val="clear" w:color="auto" w:fill="FFFFFF"/>
            <w:vAlign w:val="center"/>
          </w:tcPr>
          <w:p w:rsidR="00BD5820" w:rsidRDefault="00F64314">
            <w:pPr>
              <w:spacing w:line="240" w:lineRule="auto"/>
              <w:ind w:firstLineChars="0" w:firstLine="0"/>
              <w:jc w:val="center"/>
              <w:rPr>
                <w:rFonts w:ascii="TimesNewRomanPSMT" w:hAnsi="TimesNewRomanPSMT"/>
                <w:sz w:val="21"/>
              </w:rPr>
            </w:pPr>
            <w:r>
              <w:rPr>
                <w:rFonts w:ascii="TimesNewRomanPSMT" w:eastAsia="TimesNewRomanPSMT" w:hAnsi="TimesNewRomanPSMT" w:hint="eastAsia"/>
                <w:sz w:val="21"/>
              </w:rPr>
              <w:t>污水罐D</w:t>
            </w:r>
            <w:r>
              <w:rPr>
                <w:rFonts w:ascii="TimesNewRomanPSMT" w:hAnsi="TimesNewRomanPSMT" w:hint="eastAsia"/>
                <w:sz w:val="21"/>
              </w:rPr>
              <w:t>30</w:t>
            </w:r>
            <w:r>
              <w:rPr>
                <w:rFonts w:ascii="TimesNewRomanPSMT" w:eastAsia="TimesNewRomanPSMT" w:hAnsi="TimesNewRomanPSMT" w:hint="eastAsia"/>
                <w:sz w:val="21"/>
              </w:rPr>
              <w:t>00×</w:t>
            </w:r>
            <w:r>
              <w:rPr>
                <w:rFonts w:ascii="TimesNewRomanPSMT" w:hAnsi="TimesNewRomanPSMT" w:hint="eastAsia"/>
                <w:sz w:val="21"/>
              </w:rPr>
              <w:t>9</w:t>
            </w:r>
            <w:r>
              <w:rPr>
                <w:rFonts w:ascii="TimesNewRomanPSMT" w:eastAsia="TimesNewRomanPSMT" w:hAnsi="TimesNewRomanPSMT" w:hint="eastAsia"/>
                <w:sz w:val="21"/>
              </w:rPr>
              <w:t>000mm×1</w:t>
            </w:r>
            <w:r>
              <w:rPr>
                <w:rFonts w:ascii="TimesNewRomanPSMT" w:hAnsi="TimesNewRomanPSMT" w:hint="eastAsia"/>
                <w:sz w:val="21"/>
              </w:rPr>
              <w:t>8</w:t>
            </w:r>
          </w:p>
          <w:p w:rsidR="00BD5820" w:rsidRDefault="00F64314">
            <w:pPr>
              <w:spacing w:line="240" w:lineRule="auto"/>
              <w:ind w:firstLineChars="0" w:firstLine="0"/>
              <w:jc w:val="center"/>
              <w:rPr>
                <w:rFonts w:ascii="TimesNewRomanPSMT" w:eastAsia="TimesNewRomanPSMT" w:hAnsi="TimesNewRomanPSMT"/>
                <w:sz w:val="21"/>
              </w:rPr>
            </w:pPr>
            <w:r>
              <w:rPr>
                <w:rFonts w:ascii="TimesNewRomanPSMT" w:eastAsia="TimesNewRomanPSMT" w:hAnsi="TimesNewRomanPSMT" w:hint="eastAsia"/>
                <w:sz w:val="21"/>
              </w:rPr>
              <w:t>Q245R（HIC）设计压力0.48MPa</w:t>
            </w:r>
          </w:p>
        </w:tc>
        <w:tc>
          <w:tcPr>
            <w:tcW w:w="1329" w:type="dxa"/>
            <w:shd w:val="clear" w:color="auto" w:fill="FFFFFF"/>
            <w:tcMar>
              <w:top w:w="15" w:type="dxa"/>
              <w:left w:w="46" w:type="dxa"/>
              <w:bottom w:w="0"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座</w:t>
            </w:r>
          </w:p>
        </w:tc>
        <w:tc>
          <w:tcPr>
            <w:tcW w:w="1330" w:type="dxa"/>
            <w:shd w:val="clear" w:color="auto" w:fill="FFFFFF"/>
            <w:tcMar>
              <w:top w:w="15" w:type="dxa"/>
              <w:left w:w="15" w:type="dxa"/>
              <w:bottom w:w="0" w:type="dxa"/>
              <w:right w:w="15"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1</w:t>
            </w:r>
          </w:p>
        </w:tc>
        <w:tc>
          <w:tcPr>
            <w:tcW w:w="2069" w:type="dxa"/>
            <w:shd w:val="clear" w:color="auto" w:fill="FFFFFF"/>
            <w:tcMar>
              <w:top w:w="15" w:type="dxa"/>
              <w:left w:w="46"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bCs/>
                <w:sz w:val="21"/>
                <w:szCs w:val="21"/>
              </w:rPr>
              <w:t>新</w:t>
            </w:r>
            <w:r>
              <w:rPr>
                <w:rFonts w:ascii="Times New Roman" w:cs="Times New Roman" w:hint="eastAsia"/>
                <w:bCs/>
                <w:sz w:val="21"/>
                <w:szCs w:val="21"/>
              </w:rPr>
              <w:t>建</w:t>
            </w:r>
          </w:p>
        </w:tc>
      </w:tr>
      <w:tr w:rsidR="00BD5820">
        <w:trPr>
          <w:trHeight w:val="220"/>
          <w:jc w:val="center"/>
        </w:trPr>
        <w:tc>
          <w:tcPr>
            <w:tcW w:w="1001"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36</w:t>
            </w:r>
          </w:p>
        </w:tc>
        <w:tc>
          <w:tcPr>
            <w:tcW w:w="3039" w:type="dxa"/>
            <w:shd w:val="clear" w:color="auto" w:fill="FFFFFF"/>
            <w:vAlign w:val="center"/>
          </w:tcPr>
          <w:p w:rsidR="00BD5820" w:rsidRDefault="00F64314">
            <w:pPr>
              <w:spacing w:line="240" w:lineRule="auto"/>
              <w:ind w:firstLineChars="0" w:firstLine="0"/>
              <w:jc w:val="center"/>
              <w:rPr>
                <w:rFonts w:ascii="TimesNewRomanPSMT" w:eastAsia="TimesNewRomanPSMT" w:hAnsi="TimesNewRomanPSMT"/>
                <w:sz w:val="21"/>
              </w:rPr>
            </w:pPr>
            <w:r>
              <w:rPr>
                <w:rFonts w:hAnsi="宋体" w:hint="eastAsia"/>
                <w:sz w:val="21"/>
              </w:rPr>
              <w:t>污水增压泵 流量</w:t>
            </w:r>
            <w:r>
              <w:rPr>
                <w:rFonts w:ascii="TimesNewRomanPSMT" w:eastAsia="TimesNewRomanPSMT" w:hAnsi="TimesNewRomanPSMT"/>
                <w:sz w:val="21"/>
              </w:rPr>
              <w:t>Q=</w:t>
            </w:r>
            <w:r>
              <w:rPr>
                <w:rFonts w:ascii="TimesNewRomanPSMT" w:hAnsi="TimesNewRomanPSMT" w:hint="eastAsia"/>
                <w:sz w:val="21"/>
              </w:rPr>
              <w:t>20</w:t>
            </w:r>
            <w:r>
              <w:rPr>
                <w:rFonts w:ascii="TimesNewRomanPSMT" w:eastAsia="TimesNewRomanPSMT" w:hAnsi="TimesNewRomanPSMT"/>
                <w:sz w:val="21"/>
              </w:rPr>
              <w:t>m</w:t>
            </w:r>
            <w:r>
              <w:rPr>
                <w:rFonts w:ascii="TimesNewRomanPSMT" w:eastAsia="TimesNewRomanPSMT" w:hAnsi="TimesNewRomanPSMT"/>
                <w:sz w:val="21"/>
                <w:szCs w:val="21"/>
                <w:vertAlign w:val="superscript"/>
              </w:rPr>
              <w:t>3</w:t>
            </w:r>
            <w:r>
              <w:rPr>
                <w:rFonts w:ascii="TimesNewRomanPSMT" w:eastAsia="TimesNewRomanPSMT" w:hAnsi="TimesNewRomanPSMT"/>
                <w:sz w:val="21"/>
              </w:rPr>
              <w:t>/h</w:t>
            </w:r>
            <w:r>
              <w:rPr>
                <w:rFonts w:hAnsi="宋体" w:hint="eastAsia"/>
                <w:sz w:val="21"/>
              </w:rPr>
              <w:t>，扬程</w:t>
            </w:r>
            <w:r>
              <w:rPr>
                <w:rFonts w:ascii="TimesNewRomanPSMT" w:eastAsia="TimesNewRomanPSMT" w:hAnsi="TimesNewRomanPSMT"/>
                <w:sz w:val="21"/>
              </w:rPr>
              <w:t>80m</w:t>
            </w:r>
            <w:r>
              <w:rPr>
                <w:rFonts w:hAnsi="宋体" w:hint="eastAsia"/>
                <w:sz w:val="21"/>
              </w:rPr>
              <w:t>，功率</w:t>
            </w:r>
            <w:r>
              <w:rPr>
                <w:rFonts w:ascii="TimesNewRomanPSMT" w:hAnsi="TimesNewRomanPSMT" w:hint="eastAsia"/>
                <w:sz w:val="21"/>
              </w:rPr>
              <w:t>15</w:t>
            </w:r>
            <w:r>
              <w:rPr>
                <w:rFonts w:ascii="TimesNewRomanPSMT" w:eastAsia="TimesNewRomanPSMT" w:hAnsi="TimesNewRomanPSMT"/>
                <w:sz w:val="21"/>
              </w:rPr>
              <w:t>kw</w:t>
            </w:r>
          </w:p>
        </w:tc>
        <w:tc>
          <w:tcPr>
            <w:tcW w:w="1329" w:type="dxa"/>
            <w:shd w:val="clear" w:color="auto" w:fill="FFFFFF"/>
            <w:tcMar>
              <w:top w:w="15" w:type="dxa"/>
              <w:left w:w="46" w:type="dxa"/>
              <w:bottom w:w="0"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台</w:t>
            </w:r>
          </w:p>
        </w:tc>
        <w:tc>
          <w:tcPr>
            <w:tcW w:w="1330" w:type="dxa"/>
            <w:shd w:val="clear" w:color="auto" w:fill="FFFFFF"/>
            <w:tcMar>
              <w:top w:w="15" w:type="dxa"/>
              <w:left w:w="15" w:type="dxa"/>
              <w:bottom w:w="0" w:type="dxa"/>
              <w:right w:w="15"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2</w:t>
            </w:r>
          </w:p>
        </w:tc>
        <w:tc>
          <w:tcPr>
            <w:tcW w:w="2069" w:type="dxa"/>
            <w:shd w:val="clear" w:color="auto" w:fill="FFFFFF"/>
            <w:tcMar>
              <w:top w:w="15" w:type="dxa"/>
              <w:left w:w="46"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bCs/>
                <w:sz w:val="21"/>
                <w:szCs w:val="21"/>
              </w:rPr>
              <w:t>新</w:t>
            </w:r>
            <w:r>
              <w:rPr>
                <w:rFonts w:ascii="Times New Roman" w:cs="Times New Roman" w:hint="eastAsia"/>
                <w:bCs/>
                <w:sz w:val="21"/>
                <w:szCs w:val="21"/>
              </w:rPr>
              <w:t>建</w:t>
            </w:r>
          </w:p>
        </w:tc>
      </w:tr>
      <w:tr w:rsidR="00BD5820">
        <w:trPr>
          <w:trHeight w:val="220"/>
          <w:jc w:val="center"/>
        </w:trPr>
        <w:tc>
          <w:tcPr>
            <w:tcW w:w="1001"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37</w:t>
            </w:r>
          </w:p>
        </w:tc>
        <w:tc>
          <w:tcPr>
            <w:tcW w:w="3039"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hAnsi="宋体" w:hint="eastAsia"/>
                <w:sz w:val="21"/>
              </w:rPr>
              <w:t>火炬分液罐</w:t>
            </w:r>
            <w:r>
              <w:rPr>
                <w:rFonts w:ascii="TimesNewRomanPSMT" w:eastAsia="TimesNewRomanPSMT" w:hAnsi="TimesNewRomanPSMT"/>
                <w:sz w:val="21"/>
              </w:rPr>
              <w:t>D2800×8400mm Q245R(HIC)</w:t>
            </w:r>
          </w:p>
        </w:tc>
        <w:tc>
          <w:tcPr>
            <w:tcW w:w="1329" w:type="dxa"/>
            <w:shd w:val="clear" w:color="auto" w:fill="FFFFFF"/>
            <w:tcMar>
              <w:top w:w="15" w:type="dxa"/>
              <w:left w:w="46" w:type="dxa"/>
              <w:bottom w:w="0"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台</w:t>
            </w:r>
          </w:p>
        </w:tc>
        <w:tc>
          <w:tcPr>
            <w:tcW w:w="1330" w:type="dxa"/>
            <w:shd w:val="clear" w:color="auto" w:fill="FFFFFF"/>
            <w:tcMar>
              <w:top w:w="15" w:type="dxa"/>
              <w:left w:w="15" w:type="dxa"/>
              <w:bottom w:w="0" w:type="dxa"/>
              <w:right w:w="15"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1</w:t>
            </w:r>
          </w:p>
        </w:tc>
        <w:tc>
          <w:tcPr>
            <w:tcW w:w="2069" w:type="dxa"/>
            <w:shd w:val="clear" w:color="auto" w:fill="FFFFFF"/>
            <w:tcMar>
              <w:top w:w="15" w:type="dxa"/>
              <w:left w:w="46"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bCs/>
                <w:sz w:val="21"/>
                <w:szCs w:val="21"/>
              </w:rPr>
              <w:t>新</w:t>
            </w:r>
            <w:r>
              <w:rPr>
                <w:rFonts w:ascii="Times New Roman" w:cs="Times New Roman" w:hint="eastAsia"/>
                <w:bCs/>
                <w:sz w:val="21"/>
                <w:szCs w:val="21"/>
              </w:rPr>
              <w:t>建</w:t>
            </w:r>
          </w:p>
        </w:tc>
      </w:tr>
      <w:tr w:rsidR="00BD5820">
        <w:trPr>
          <w:trHeight w:val="220"/>
          <w:jc w:val="center"/>
        </w:trPr>
        <w:tc>
          <w:tcPr>
            <w:tcW w:w="1001"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38</w:t>
            </w:r>
          </w:p>
        </w:tc>
        <w:tc>
          <w:tcPr>
            <w:tcW w:w="3039"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hAnsi="宋体" w:hint="eastAsia"/>
                <w:sz w:val="21"/>
              </w:rPr>
              <w:t>火炬分液罐增压泵 流量</w:t>
            </w:r>
            <w:r>
              <w:rPr>
                <w:rFonts w:ascii="TimesNewRomanPSMT" w:eastAsia="TimesNewRomanPSMT" w:hAnsi="TimesNewRomanPSMT"/>
                <w:sz w:val="21"/>
              </w:rPr>
              <w:t>Q=</w:t>
            </w:r>
            <w:r>
              <w:rPr>
                <w:rFonts w:ascii="TimesNewRomanPSMT" w:hAnsi="TimesNewRomanPSMT" w:hint="eastAsia"/>
                <w:sz w:val="21"/>
              </w:rPr>
              <w:t>10</w:t>
            </w:r>
            <w:r>
              <w:rPr>
                <w:rFonts w:ascii="TimesNewRomanPSMT" w:eastAsia="TimesNewRomanPSMT" w:hAnsi="TimesNewRomanPSMT"/>
                <w:sz w:val="21"/>
              </w:rPr>
              <w:t>m</w:t>
            </w:r>
            <w:r>
              <w:rPr>
                <w:rFonts w:ascii="TimesNewRomanPSMT" w:eastAsia="TimesNewRomanPSMT" w:hAnsi="TimesNewRomanPSMT"/>
                <w:sz w:val="21"/>
                <w:szCs w:val="21"/>
                <w:vertAlign w:val="superscript"/>
              </w:rPr>
              <w:t>3</w:t>
            </w:r>
            <w:r>
              <w:rPr>
                <w:rFonts w:ascii="TimesNewRomanPSMT" w:eastAsia="TimesNewRomanPSMT" w:hAnsi="TimesNewRomanPSMT"/>
                <w:sz w:val="21"/>
              </w:rPr>
              <w:t>/h</w:t>
            </w:r>
            <w:r>
              <w:rPr>
                <w:rFonts w:hAnsi="宋体" w:hint="eastAsia"/>
                <w:sz w:val="21"/>
              </w:rPr>
              <w:t>，扬程</w:t>
            </w:r>
            <w:r>
              <w:rPr>
                <w:rFonts w:ascii="TimesNewRomanPSMT" w:hAnsi="TimesNewRomanPSMT" w:hint="eastAsia"/>
                <w:sz w:val="21"/>
              </w:rPr>
              <w:t>4</w:t>
            </w:r>
            <w:r>
              <w:rPr>
                <w:rFonts w:ascii="TimesNewRomanPSMT" w:eastAsia="TimesNewRomanPSMT" w:hAnsi="TimesNewRomanPSMT"/>
                <w:sz w:val="21"/>
              </w:rPr>
              <w:t>0m</w:t>
            </w:r>
            <w:r>
              <w:rPr>
                <w:rFonts w:hAnsi="宋体" w:hint="eastAsia"/>
                <w:sz w:val="21"/>
              </w:rPr>
              <w:t>，功率</w:t>
            </w:r>
            <w:r>
              <w:rPr>
                <w:rFonts w:ascii="TimesNewRomanPSMT" w:hAnsi="TimesNewRomanPSMT" w:hint="eastAsia"/>
                <w:sz w:val="21"/>
              </w:rPr>
              <w:t>7.5</w:t>
            </w:r>
            <w:r>
              <w:rPr>
                <w:rFonts w:ascii="TimesNewRomanPSMT" w:eastAsia="TimesNewRomanPSMT" w:hAnsi="TimesNewRomanPSMT"/>
                <w:sz w:val="21"/>
              </w:rPr>
              <w:t>kw</w:t>
            </w:r>
          </w:p>
        </w:tc>
        <w:tc>
          <w:tcPr>
            <w:tcW w:w="1329" w:type="dxa"/>
            <w:shd w:val="clear" w:color="auto" w:fill="FFFFFF"/>
            <w:tcMar>
              <w:top w:w="15" w:type="dxa"/>
              <w:left w:w="46" w:type="dxa"/>
              <w:bottom w:w="0"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台</w:t>
            </w:r>
          </w:p>
        </w:tc>
        <w:tc>
          <w:tcPr>
            <w:tcW w:w="1330" w:type="dxa"/>
            <w:shd w:val="clear" w:color="auto" w:fill="FFFFFF"/>
            <w:tcMar>
              <w:top w:w="15" w:type="dxa"/>
              <w:left w:w="15" w:type="dxa"/>
              <w:bottom w:w="0" w:type="dxa"/>
              <w:right w:w="15"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1</w:t>
            </w:r>
          </w:p>
        </w:tc>
        <w:tc>
          <w:tcPr>
            <w:tcW w:w="2069" w:type="dxa"/>
            <w:shd w:val="clear" w:color="auto" w:fill="FFFFFF"/>
            <w:tcMar>
              <w:top w:w="15" w:type="dxa"/>
              <w:left w:w="46"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bCs/>
                <w:sz w:val="21"/>
                <w:szCs w:val="21"/>
              </w:rPr>
              <w:t>新</w:t>
            </w:r>
            <w:r>
              <w:rPr>
                <w:rFonts w:ascii="Times New Roman" w:cs="Times New Roman" w:hint="eastAsia"/>
                <w:bCs/>
                <w:sz w:val="21"/>
                <w:szCs w:val="21"/>
              </w:rPr>
              <w:t>建</w:t>
            </w:r>
          </w:p>
        </w:tc>
      </w:tr>
      <w:tr w:rsidR="00BD5820">
        <w:trPr>
          <w:trHeight w:val="220"/>
          <w:jc w:val="center"/>
        </w:trPr>
        <w:tc>
          <w:tcPr>
            <w:tcW w:w="1001"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39</w:t>
            </w:r>
          </w:p>
        </w:tc>
        <w:tc>
          <w:tcPr>
            <w:tcW w:w="3039" w:type="dxa"/>
            <w:shd w:val="clear" w:color="auto" w:fill="FFFFFF"/>
            <w:vAlign w:val="center"/>
          </w:tcPr>
          <w:p w:rsidR="00BD5820" w:rsidRDefault="00F64314">
            <w:pPr>
              <w:spacing w:line="240" w:lineRule="auto"/>
              <w:ind w:firstLineChars="0" w:firstLine="0"/>
              <w:jc w:val="center"/>
              <w:rPr>
                <w:rFonts w:ascii="TimesNewRomanPSMT" w:eastAsia="TimesNewRomanPSMT" w:hAnsi="TimesNewRomanPSMT"/>
                <w:sz w:val="21"/>
              </w:rPr>
            </w:pPr>
            <w:r>
              <w:rPr>
                <w:rFonts w:hAnsi="宋体" w:hint="eastAsia"/>
                <w:sz w:val="21"/>
              </w:rPr>
              <w:t xml:space="preserve">缓蚀剂加注撬 </w:t>
            </w:r>
            <w:r>
              <w:rPr>
                <w:rFonts w:ascii="TimesNewRomanPSMT" w:eastAsia="TimesNewRomanPSMT" w:hAnsi="TimesNewRomanPSMT" w:hint="eastAsia"/>
                <w:sz w:val="21"/>
              </w:rPr>
              <w:t>缓蚀剂罐V=8m</w:t>
            </w:r>
            <w:r>
              <w:rPr>
                <w:rFonts w:ascii="TimesNewRomanPSMT" w:eastAsia="TimesNewRomanPSMT" w:hAnsi="TimesNewRomanPSMT" w:hint="eastAsia"/>
                <w:sz w:val="21"/>
                <w:vertAlign w:val="superscript"/>
              </w:rPr>
              <w:t>3</w:t>
            </w:r>
            <w:r>
              <w:rPr>
                <w:rFonts w:ascii="TimesNewRomanPSMT" w:eastAsia="TimesNewRomanPSMT" w:hAnsi="TimesNewRomanPSMT" w:hint="eastAsia"/>
                <w:sz w:val="21"/>
              </w:rPr>
              <w:t xml:space="preserve"> 缓蚀剂注入泵Q=</w:t>
            </w:r>
            <w:r>
              <w:rPr>
                <w:rFonts w:ascii="TimesNewRomanPSMT" w:hAnsi="TimesNewRomanPSMT" w:hint="eastAsia"/>
                <w:sz w:val="21"/>
              </w:rPr>
              <w:t>250</w:t>
            </w:r>
            <w:r>
              <w:rPr>
                <w:rFonts w:ascii="TimesNewRomanPSMT" w:eastAsia="TimesNewRomanPSMT" w:hAnsi="TimesNewRomanPSMT" w:hint="eastAsia"/>
                <w:sz w:val="21"/>
              </w:rPr>
              <w:t>L/d，</w:t>
            </w:r>
          </w:p>
          <w:p w:rsidR="00BD5820" w:rsidRDefault="00F64314">
            <w:pPr>
              <w:spacing w:line="240" w:lineRule="auto"/>
              <w:ind w:firstLineChars="0" w:firstLine="0"/>
              <w:jc w:val="center"/>
              <w:rPr>
                <w:rFonts w:hAnsi="宋体"/>
                <w:sz w:val="21"/>
              </w:rPr>
            </w:pPr>
            <w:r>
              <w:rPr>
                <w:rFonts w:ascii="TimesNewRomanPSMT" w:eastAsia="TimesNewRomanPSMT" w:hAnsi="TimesNewRomanPSMT" w:hint="eastAsia"/>
                <w:sz w:val="21"/>
              </w:rPr>
              <w:t>△P=11MPa</w:t>
            </w:r>
          </w:p>
        </w:tc>
        <w:tc>
          <w:tcPr>
            <w:tcW w:w="1329" w:type="dxa"/>
            <w:shd w:val="clear" w:color="auto" w:fill="FFFFFF"/>
            <w:tcMar>
              <w:top w:w="15" w:type="dxa"/>
              <w:left w:w="46" w:type="dxa"/>
              <w:bottom w:w="0"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座</w:t>
            </w:r>
          </w:p>
        </w:tc>
        <w:tc>
          <w:tcPr>
            <w:tcW w:w="1330" w:type="dxa"/>
            <w:shd w:val="clear" w:color="auto" w:fill="FFFFFF"/>
            <w:tcMar>
              <w:top w:w="15" w:type="dxa"/>
              <w:left w:w="15" w:type="dxa"/>
              <w:bottom w:w="0" w:type="dxa"/>
              <w:right w:w="15"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1</w:t>
            </w:r>
          </w:p>
        </w:tc>
        <w:tc>
          <w:tcPr>
            <w:tcW w:w="2069" w:type="dxa"/>
            <w:shd w:val="clear" w:color="auto" w:fill="FFFFFF"/>
            <w:tcMar>
              <w:top w:w="15" w:type="dxa"/>
              <w:left w:w="46"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bCs/>
                <w:sz w:val="21"/>
                <w:szCs w:val="21"/>
              </w:rPr>
              <w:t>新</w:t>
            </w:r>
            <w:r>
              <w:rPr>
                <w:rFonts w:ascii="Times New Roman" w:cs="Times New Roman" w:hint="eastAsia"/>
                <w:bCs/>
                <w:sz w:val="21"/>
                <w:szCs w:val="21"/>
              </w:rPr>
              <w:t>建</w:t>
            </w:r>
          </w:p>
        </w:tc>
      </w:tr>
      <w:tr w:rsidR="00BD5820">
        <w:trPr>
          <w:trHeight w:val="220"/>
          <w:jc w:val="center"/>
        </w:trPr>
        <w:tc>
          <w:tcPr>
            <w:tcW w:w="1001"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40</w:t>
            </w:r>
          </w:p>
        </w:tc>
        <w:tc>
          <w:tcPr>
            <w:tcW w:w="3039" w:type="dxa"/>
            <w:shd w:val="clear" w:color="auto" w:fill="FFFFFF"/>
            <w:vAlign w:val="center"/>
          </w:tcPr>
          <w:p w:rsidR="00BD5820" w:rsidRDefault="00F64314">
            <w:pPr>
              <w:spacing w:line="240" w:lineRule="auto"/>
              <w:ind w:firstLineChars="0" w:firstLine="0"/>
              <w:jc w:val="center"/>
              <w:rPr>
                <w:rFonts w:ascii="TimesNewRomanPSMT" w:eastAsia="TimesNewRomanPSMT" w:hAnsi="TimesNewRomanPSMT"/>
                <w:sz w:val="21"/>
              </w:rPr>
            </w:pPr>
            <w:r>
              <w:rPr>
                <w:rFonts w:hAnsi="宋体" w:hint="eastAsia"/>
                <w:sz w:val="21"/>
              </w:rPr>
              <w:t>燃料气撬 缓冲罐</w:t>
            </w:r>
            <w:r>
              <w:rPr>
                <w:rFonts w:ascii="TimesNewRomanPSMT" w:eastAsia="TimesNewRomanPSMT" w:hAnsi="TimesNewRomanPSMT"/>
                <w:sz w:val="21"/>
              </w:rPr>
              <w:t>D500</w:t>
            </w:r>
            <w:r>
              <w:rPr>
                <w:rFonts w:hAnsi="宋体"/>
                <w:sz w:val="21"/>
              </w:rPr>
              <w:t>×</w:t>
            </w:r>
            <w:r>
              <w:rPr>
                <w:rFonts w:ascii="TimesNewRomanPSMT" w:eastAsia="TimesNewRomanPSMT" w:hAnsi="TimesNewRomanPSMT"/>
                <w:sz w:val="21"/>
              </w:rPr>
              <w:t xml:space="preserve">2000mm </w:t>
            </w:r>
            <w:r>
              <w:rPr>
                <w:rFonts w:hAnsi="宋体" w:hint="eastAsia"/>
                <w:sz w:val="21"/>
              </w:rPr>
              <w:t>配套调压计量阀组</w:t>
            </w:r>
          </w:p>
        </w:tc>
        <w:tc>
          <w:tcPr>
            <w:tcW w:w="1329" w:type="dxa"/>
            <w:shd w:val="clear" w:color="auto" w:fill="FFFFFF"/>
            <w:tcMar>
              <w:top w:w="15" w:type="dxa"/>
              <w:left w:w="46" w:type="dxa"/>
              <w:bottom w:w="0"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座</w:t>
            </w:r>
          </w:p>
        </w:tc>
        <w:tc>
          <w:tcPr>
            <w:tcW w:w="1330" w:type="dxa"/>
            <w:shd w:val="clear" w:color="auto" w:fill="FFFFFF"/>
            <w:tcMar>
              <w:top w:w="15" w:type="dxa"/>
              <w:left w:w="15" w:type="dxa"/>
              <w:bottom w:w="0" w:type="dxa"/>
              <w:right w:w="15"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1</w:t>
            </w:r>
          </w:p>
        </w:tc>
        <w:tc>
          <w:tcPr>
            <w:tcW w:w="2069" w:type="dxa"/>
            <w:shd w:val="clear" w:color="auto" w:fill="FFFFFF"/>
            <w:tcMar>
              <w:top w:w="15" w:type="dxa"/>
              <w:left w:w="46"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bCs/>
                <w:sz w:val="21"/>
                <w:szCs w:val="21"/>
              </w:rPr>
              <w:t>新</w:t>
            </w:r>
            <w:r>
              <w:rPr>
                <w:rFonts w:ascii="Times New Roman" w:cs="Times New Roman" w:hint="eastAsia"/>
                <w:bCs/>
                <w:sz w:val="21"/>
                <w:szCs w:val="21"/>
              </w:rPr>
              <w:t>建</w:t>
            </w:r>
          </w:p>
        </w:tc>
      </w:tr>
      <w:tr w:rsidR="00BD5820">
        <w:trPr>
          <w:trHeight w:val="220"/>
          <w:jc w:val="center"/>
        </w:trPr>
        <w:tc>
          <w:tcPr>
            <w:tcW w:w="1001"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41</w:t>
            </w:r>
          </w:p>
        </w:tc>
        <w:tc>
          <w:tcPr>
            <w:tcW w:w="3039" w:type="dxa"/>
            <w:shd w:val="clear" w:color="auto" w:fill="FFFFFF"/>
            <w:vAlign w:val="center"/>
          </w:tcPr>
          <w:p w:rsidR="00BD5820" w:rsidRDefault="00F64314">
            <w:pPr>
              <w:spacing w:line="240" w:lineRule="auto"/>
              <w:ind w:firstLineChars="0" w:firstLine="0"/>
              <w:jc w:val="center"/>
              <w:rPr>
                <w:rFonts w:hAnsi="宋体"/>
                <w:sz w:val="21"/>
              </w:rPr>
            </w:pPr>
            <w:r>
              <w:rPr>
                <w:rFonts w:hAnsi="宋体" w:hint="eastAsia"/>
                <w:sz w:val="21"/>
              </w:rPr>
              <w:t>气动球阀开关阀</w:t>
            </w:r>
            <w:r>
              <w:rPr>
                <w:rFonts w:ascii="TimesNewRomanPSMT" w:eastAsia="TimesNewRomanPSMT" w:hAnsi="TimesNewRomanPSMT" w:hint="eastAsia"/>
                <w:sz w:val="21"/>
              </w:rPr>
              <w:t>DN</w:t>
            </w:r>
            <w:r>
              <w:rPr>
                <w:rFonts w:ascii="TimesNewRomanPSMT" w:hAnsi="TimesNewRomanPSMT" w:hint="eastAsia"/>
                <w:sz w:val="21"/>
              </w:rPr>
              <w:t>50</w:t>
            </w:r>
            <w:r>
              <w:rPr>
                <w:rFonts w:ascii="TimesNewRomanPSMT" w:eastAsia="TimesNewRomanPSMT" w:hAnsi="TimesNewRomanPSMT" w:hint="eastAsia"/>
                <w:sz w:val="21"/>
              </w:rPr>
              <w:t xml:space="preserve">0 </w:t>
            </w:r>
            <w:r>
              <w:rPr>
                <w:rFonts w:hAnsi="宋体" w:hint="eastAsia"/>
                <w:sz w:val="21"/>
              </w:rPr>
              <w:t>抗硫碳钢 双作用</w:t>
            </w:r>
          </w:p>
        </w:tc>
        <w:tc>
          <w:tcPr>
            <w:tcW w:w="1329" w:type="dxa"/>
            <w:shd w:val="clear" w:color="auto" w:fill="FFFFFF"/>
            <w:tcMar>
              <w:top w:w="15" w:type="dxa"/>
              <w:left w:w="46" w:type="dxa"/>
              <w:bottom w:w="0"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套</w:t>
            </w:r>
          </w:p>
        </w:tc>
        <w:tc>
          <w:tcPr>
            <w:tcW w:w="1330" w:type="dxa"/>
            <w:shd w:val="clear" w:color="auto" w:fill="FFFFFF"/>
            <w:tcMar>
              <w:top w:w="15" w:type="dxa"/>
              <w:left w:w="15" w:type="dxa"/>
              <w:bottom w:w="0" w:type="dxa"/>
              <w:right w:w="15"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26</w:t>
            </w:r>
          </w:p>
        </w:tc>
        <w:tc>
          <w:tcPr>
            <w:tcW w:w="2069" w:type="dxa"/>
            <w:shd w:val="clear" w:color="auto" w:fill="FFFFFF"/>
            <w:tcMar>
              <w:top w:w="15" w:type="dxa"/>
              <w:left w:w="46"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bCs/>
                <w:sz w:val="21"/>
                <w:szCs w:val="21"/>
              </w:rPr>
              <w:t>新</w:t>
            </w:r>
            <w:r>
              <w:rPr>
                <w:rFonts w:ascii="Times New Roman" w:cs="Times New Roman" w:hint="eastAsia"/>
                <w:bCs/>
                <w:sz w:val="21"/>
                <w:szCs w:val="21"/>
              </w:rPr>
              <w:t>建</w:t>
            </w:r>
          </w:p>
        </w:tc>
      </w:tr>
      <w:tr w:rsidR="00BD5820">
        <w:trPr>
          <w:trHeight w:val="220"/>
          <w:jc w:val="center"/>
        </w:trPr>
        <w:tc>
          <w:tcPr>
            <w:tcW w:w="1001"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42</w:t>
            </w:r>
          </w:p>
        </w:tc>
        <w:tc>
          <w:tcPr>
            <w:tcW w:w="3039" w:type="dxa"/>
            <w:shd w:val="clear" w:color="auto" w:fill="FFFFFF"/>
            <w:vAlign w:val="center"/>
          </w:tcPr>
          <w:p w:rsidR="00BD5820" w:rsidRDefault="00F64314">
            <w:pPr>
              <w:spacing w:line="240" w:lineRule="auto"/>
              <w:ind w:firstLineChars="0" w:firstLine="0"/>
              <w:jc w:val="center"/>
              <w:rPr>
                <w:rFonts w:hAnsi="宋体"/>
                <w:sz w:val="21"/>
              </w:rPr>
            </w:pPr>
            <w:r>
              <w:rPr>
                <w:rFonts w:hAnsi="宋体" w:hint="eastAsia"/>
                <w:sz w:val="21"/>
              </w:rPr>
              <w:t>气动球阀开关阀</w:t>
            </w:r>
            <w:r>
              <w:rPr>
                <w:rFonts w:ascii="TimesNewRomanPSMT" w:eastAsia="TimesNewRomanPSMT" w:hAnsi="TimesNewRomanPSMT" w:hint="eastAsia"/>
                <w:sz w:val="21"/>
              </w:rPr>
              <w:t>DN</w:t>
            </w:r>
            <w:r>
              <w:rPr>
                <w:rFonts w:ascii="TimesNewRomanPSMT" w:hAnsi="TimesNewRomanPSMT" w:hint="eastAsia"/>
                <w:sz w:val="21"/>
              </w:rPr>
              <w:t>3</w:t>
            </w:r>
            <w:r>
              <w:rPr>
                <w:rFonts w:ascii="TimesNewRomanPSMT" w:eastAsia="TimesNewRomanPSMT" w:hAnsi="TimesNewRomanPSMT" w:hint="eastAsia"/>
                <w:sz w:val="21"/>
              </w:rPr>
              <w:t xml:space="preserve">50 </w:t>
            </w:r>
            <w:r>
              <w:rPr>
                <w:rFonts w:hAnsi="宋体" w:hint="eastAsia"/>
                <w:sz w:val="21"/>
              </w:rPr>
              <w:t>抗硫碳钢 双作用</w:t>
            </w:r>
          </w:p>
        </w:tc>
        <w:tc>
          <w:tcPr>
            <w:tcW w:w="1329" w:type="dxa"/>
            <w:shd w:val="clear" w:color="auto" w:fill="FFFFFF"/>
            <w:tcMar>
              <w:top w:w="15" w:type="dxa"/>
              <w:left w:w="46" w:type="dxa"/>
              <w:bottom w:w="0"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套</w:t>
            </w:r>
          </w:p>
        </w:tc>
        <w:tc>
          <w:tcPr>
            <w:tcW w:w="1330" w:type="dxa"/>
            <w:shd w:val="clear" w:color="auto" w:fill="FFFFFF"/>
            <w:tcMar>
              <w:top w:w="15" w:type="dxa"/>
              <w:left w:w="15" w:type="dxa"/>
              <w:bottom w:w="0" w:type="dxa"/>
              <w:right w:w="15"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6</w:t>
            </w:r>
          </w:p>
        </w:tc>
        <w:tc>
          <w:tcPr>
            <w:tcW w:w="2069" w:type="dxa"/>
            <w:shd w:val="clear" w:color="auto" w:fill="FFFFFF"/>
            <w:tcMar>
              <w:top w:w="15" w:type="dxa"/>
              <w:left w:w="46"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bCs/>
                <w:sz w:val="21"/>
                <w:szCs w:val="21"/>
              </w:rPr>
              <w:t>新</w:t>
            </w:r>
            <w:r>
              <w:rPr>
                <w:rFonts w:ascii="Times New Roman" w:cs="Times New Roman" w:hint="eastAsia"/>
                <w:bCs/>
                <w:sz w:val="21"/>
                <w:szCs w:val="21"/>
              </w:rPr>
              <w:t>建</w:t>
            </w:r>
          </w:p>
        </w:tc>
      </w:tr>
      <w:tr w:rsidR="00BD5820">
        <w:trPr>
          <w:trHeight w:val="220"/>
          <w:jc w:val="center"/>
        </w:trPr>
        <w:tc>
          <w:tcPr>
            <w:tcW w:w="1001"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43</w:t>
            </w:r>
          </w:p>
        </w:tc>
        <w:tc>
          <w:tcPr>
            <w:tcW w:w="3039" w:type="dxa"/>
            <w:shd w:val="clear" w:color="auto" w:fill="FFFFFF"/>
            <w:vAlign w:val="center"/>
          </w:tcPr>
          <w:p w:rsidR="00BD5820" w:rsidRDefault="00F64314">
            <w:pPr>
              <w:spacing w:line="240" w:lineRule="auto"/>
              <w:ind w:firstLineChars="0" w:firstLine="0"/>
              <w:jc w:val="center"/>
              <w:rPr>
                <w:rFonts w:hAnsi="宋体"/>
                <w:sz w:val="21"/>
              </w:rPr>
            </w:pPr>
            <w:r>
              <w:rPr>
                <w:rFonts w:ascii="TimesNewRomanPSMT" w:eastAsia="TimesNewRomanPSMT" w:hAnsi="TimesNewRomanPSMT"/>
                <w:sz w:val="21"/>
              </w:rPr>
              <w:t>ESDV</w:t>
            </w:r>
            <w:r>
              <w:rPr>
                <w:rFonts w:hAnsi="宋体" w:hint="eastAsia"/>
                <w:sz w:val="21"/>
              </w:rPr>
              <w:t xml:space="preserve">带气动执行机构 </w:t>
            </w:r>
            <w:r>
              <w:rPr>
                <w:rFonts w:ascii="TimesNewRomanPSMT" w:eastAsia="TimesNewRomanPSMT" w:hAnsi="TimesNewRomanPSMT"/>
                <w:sz w:val="21"/>
              </w:rPr>
              <w:t>DN</w:t>
            </w:r>
            <w:r>
              <w:rPr>
                <w:rFonts w:ascii="TimesNewRomanPSMT" w:hAnsi="TimesNewRomanPSMT" w:hint="eastAsia"/>
                <w:sz w:val="21"/>
              </w:rPr>
              <w:t>50</w:t>
            </w:r>
            <w:r>
              <w:rPr>
                <w:rFonts w:ascii="TimesNewRomanPSMT" w:eastAsia="TimesNewRomanPSMT" w:hAnsi="TimesNewRomanPSMT"/>
                <w:sz w:val="21"/>
              </w:rPr>
              <w:t xml:space="preserve">0 </w:t>
            </w:r>
            <w:r>
              <w:rPr>
                <w:rFonts w:hAnsi="宋体" w:hint="eastAsia"/>
                <w:sz w:val="21"/>
              </w:rPr>
              <w:t>抗硫碳钢</w:t>
            </w:r>
            <w:r>
              <w:rPr>
                <w:rFonts w:ascii="TimesNewRomanPSMT" w:eastAsia="TimesNewRomanPSMT" w:hAnsi="TimesNewRomanPSMT"/>
                <w:sz w:val="21"/>
              </w:rPr>
              <w:t>+</w:t>
            </w:r>
            <w:r>
              <w:rPr>
                <w:rFonts w:hAnsi="宋体" w:hint="eastAsia"/>
                <w:sz w:val="21"/>
              </w:rPr>
              <w:t>镍基内衬</w:t>
            </w:r>
          </w:p>
        </w:tc>
        <w:tc>
          <w:tcPr>
            <w:tcW w:w="1329" w:type="dxa"/>
            <w:shd w:val="clear" w:color="auto" w:fill="FFFFFF"/>
            <w:tcMar>
              <w:top w:w="15" w:type="dxa"/>
              <w:left w:w="46" w:type="dxa"/>
              <w:bottom w:w="0"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套</w:t>
            </w:r>
          </w:p>
        </w:tc>
        <w:tc>
          <w:tcPr>
            <w:tcW w:w="1330" w:type="dxa"/>
            <w:shd w:val="clear" w:color="auto" w:fill="FFFFFF"/>
            <w:tcMar>
              <w:top w:w="15" w:type="dxa"/>
              <w:left w:w="15" w:type="dxa"/>
              <w:bottom w:w="0" w:type="dxa"/>
              <w:right w:w="15"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4</w:t>
            </w:r>
          </w:p>
        </w:tc>
        <w:tc>
          <w:tcPr>
            <w:tcW w:w="2069" w:type="dxa"/>
            <w:shd w:val="clear" w:color="auto" w:fill="FFFFFF"/>
            <w:tcMar>
              <w:top w:w="15" w:type="dxa"/>
              <w:left w:w="46"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bCs/>
                <w:sz w:val="21"/>
                <w:szCs w:val="21"/>
              </w:rPr>
              <w:t>新</w:t>
            </w:r>
            <w:r>
              <w:rPr>
                <w:rFonts w:ascii="Times New Roman" w:cs="Times New Roman" w:hint="eastAsia"/>
                <w:bCs/>
                <w:sz w:val="21"/>
                <w:szCs w:val="21"/>
              </w:rPr>
              <w:t>建</w:t>
            </w:r>
          </w:p>
        </w:tc>
      </w:tr>
      <w:tr w:rsidR="00BD5820">
        <w:trPr>
          <w:trHeight w:val="220"/>
          <w:jc w:val="center"/>
        </w:trPr>
        <w:tc>
          <w:tcPr>
            <w:tcW w:w="1001"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lastRenderedPageBreak/>
              <w:t>44</w:t>
            </w:r>
          </w:p>
        </w:tc>
        <w:tc>
          <w:tcPr>
            <w:tcW w:w="3039" w:type="dxa"/>
            <w:shd w:val="clear" w:color="auto" w:fill="FFFFFF"/>
            <w:vAlign w:val="center"/>
          </w:tcPr>
          <w:p w:rsidR="00BD5820" w:rsidRDefault="00F64314">
            <w:pPr>
              <w:spacing w:line="240" w:lineRule="auto"/>
              <w:ind w:firstLineChars="0" w:firstLine="0"/>
              <w:jc w:val="center"/>
              <w:rPr>
                <w:rFonts w:hAnsi="宋体"/>
                <w:sz w:val="21"/>
              </w:rPr>
            </w:pPr>
            <w:r>
              <w:rPr>
                <w:rFonts w:ascii="TimesNewRomanPSMT" w:hAnsi="TimesNewRomanPSMT" w:hint="eastAsia"/>
                <w:sz w:val="21"/>
              </w:rPr>
              <w:t>B</w:t>
            </w:r>
            <w:r>
              <w:rPr>
                <w:rFonts w:ascii="TimesNewRomanPSMT" w:eastAsia="TimesNewRomanPSMT" w:hAnsi="TimesNewRomanPSMT"/>
                <w:sz w:val="21"/>
              </w:rPr>
              <w:t>DV</w:t>
            </w:r>
            <w:r>
              <w:rPr>
                <w:rFonts w:hAnsi="宋体" w:hint="eastAsia"/>
                <w:sz w:val="21"/>
              </w:rPr>
              <w:t xml:space="preserve">带气动执行机构 </w:t>
            </w:r>
            <w:r>
              <w:rPr>
                <w:rFonts w:ascii="TimesNewRomanPSMT" w:eastAsia="TimesNewRomanPSMT" w:hAnsi="TimesNewRomanPSMT"/>
                <w:sz w:val="21"/>
              </w:rPr>
              <w:t>DN</w:t>
            </w:r>
            <w:r>
              <w:rPr>
                <w:rFonts w:ascii="TimesNewRomanPSMT" w:hAnsi="TimesNewRomanPSMT" w:hint="eastAsia"/>
                <w:sz w:val="21"/>
              </w:rPr>
              <w:t>50</w:t>
            </w:r>
            <w:r>
              <w:rPr>
                <w:rFonts w:ascii="TimesNewRomanPSMT" w:eastAsia="TimesNewRomanPSMT" w:hAnsi="TimesNewRomanPSMT"/>
                <w:sz w:val="21"/>
              </w:rPr>
              <w:t xml:space="preserve">0 </w:t>
            </w:r>
            <w:r>
              <w:rPr>
                <w:rFonts w:hAnsi="宋体" w:hint="eastAsia"/>
                <w:sz w:val="21"/>
              </w:rPr>
              <w:t>抗硫碳钢</w:t>
            </w:r>
            <w:r>
              <w:rPr>
                <w:rFonts w:ascii="TimesNewRomanPSMT" w:eastAsia="TimesNewRomanPSMT" w:hAnsi="TimesNewRomanPSMT"/>
                <w:sz w:val="21"/>
              </w:rPr>
              <w:t>+</w:t>
            </w:r>
            <w:r>
              <w:rPr>
                <w:rFonts w:hAnsi="宋体" w:hint="eastAsia"/>
                <w:sz w:val="21"/>
              </w:rPr>
              <w:t>镍基内衬</w:t>
            </w:r>
          </w:p>
        </w:tc>
        <w:tc>
          <w:tcPr>
            <w:tcW w:w="1329" w:type="dxa"/>
            <w:shd w:val="clear" w:color="auto" w:fill="FFFFFF"/>
            <w:tcMar>
              <w:top w:w="15" w:type="dxa"/>
              <w:left w:w="46" w:type="dxa"/>
              <w:bottom w:w="0"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套</w:t>
            </w:r>
          </w:p>
        </w:tc>
        <w:tc>
          <w:tcPr>
            <w:tcW w:w="1330" w:type="dxa"/>
            <w:shd w:val="clear" w:color="auto" w:fill="FFFFFF"/>
            <w:tcMar>
              <w:top w:w="15" w:type="dxa"/>
              <w:left w:w="15" w:type="dxa"/>
              <w:bottom w:w="0" w:type="dxa"/>
              <w:right w:w="15"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2</w:t>
            </w:r>
          </w:p>
        </w:tc>
        <w:tc>
          <w:tcPr>
            <w:tcW w:w="2069" w:type="dxa"/>
            <w:shd w:val="clear" w:color="auto" w:fill="FFFFFF"/>
            <w:tcMar>
              <w:top w:w="15" w:type="dxa"/>
              <w:left w:w="46"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bCs/>
                <w:sz w:val="21"/>
                <w:szCs w:val="21"/>
              </w:rPr>
              <w:t>新</w:t>
            </w:r>
            <w:r>
              <w:rPr>
                <w:rFonts w:ascii="Times New Roman" w:cs="Times New Roman" w:hint="eastAsia"/>
                <w:bCs/>
                <w:sz w:val="21"/>
                <w:szCs w:val="21"/>
              </w:rPr>
              <w:t>建</w:t>
            </w:r>
          </w:p>
        </w:tc>
      </w:tr>
      <w:tr w:rsidR="00BD5820">
        <w:trPr>
          <w:trHeight w:val="220"/>
          <w:jc w:val="center"/>
        </w:trPr>
        <w:tc>
          <w:tcPr>
            <w:tcW w:w="8768" w:type="dxa"/>
            <w:gridSpan w:val="5"/>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P106-P104-1#</w:t>
            </w:r>
            <w:r>
              <w:rPr>
                <w:rFonts w:ascii="Times New Roman" w:cs="Times New Roman" w:hint="eastAsia"/>
                <w:bCs/>
                <w:sz w:val="21"/>
                <w:szCs w:val="21"/>
              </w:rPr>
              <w:t>增压站集输管道（集气管道）</w:t>
            </w:r>
          </w:p>
        </w:tc>
      </w:tr>
      <w:tr w:rsidR="00BD5820">
        <w:trPr>
          <w:trHeight w:val="220"/>
          <w:jc w:val="center"/>
        </w:trPr>
        <w:tc>
          <w:tcPr>
            <w:tcW w:w="1001"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bookmarkStart w:id="137" w:name="_Hlk109856278"/>
            <w:r>
              <w:rPr>
                <w:rFonts w:ascii="Times New Roman" w:cs="Times New Roman" w:hint="eastAsia"/>
                <w:bCs/>
                <w:sz w:val="21"/>
                <w:szCs w:val="21"/>
              </w:rPr>
              <w:t>24</w:t>
            </w:r>
          </w:p>
        </w:tc>
        <w:tc>
          <w:tcPr>
            <w:tcW w:w="3039"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P106</w:t>
            </w:r>
            <w:r>
              <w:rPr>
                <w:rFonts w:ascii="Times New Roman" w:cs="Times New Roman" w:hint="eastAsia"/>
                <w:bCs/>
                <w:sz w:val="21"/>
                <w:szCs w:val="21"/>
              </w:rPr>
              <w:t>－</w:t>
            </w:r>
            <w:r>
              <w:rPr>
                <w:rFonts w:ascii="Times New Roman" w:cs="Times New Roman" w:hint="eastAsia"/>
                <w:bCs/>
                <w:sz w:val="21"/>
                <w:szCs w:val="21"/>
              </w:rPr>
              <w:t>P104</w:t>
            </w:r>
            <w:r>
              <w:rPr>
                <w:rFonts w:ascii="Times New Roman" w:cs="Times New Roman" w:hint="eastAsia"/>
                <w:bCs/>
                <w:sz w:val="21"/>
                <w:szCs w:val="21"/>
              </w:rPr>
              <w:t>管段管径选用</w:t>
            </w:r>
            <w:r>
              <w:rPr>
                <w:rFonts w:ascii="Times New Roman" w:cs="Times New Roman" w:hint="eastAsia"/>
                <w:bCs/>
                <w:sz w:val="21"/>
                <w:szCs w:val="21"/>
              </w:rPr>
              <w:t xml:space="preserve">DN200 </w:t>
            </w:r>
            <w:r>
              <w:rPr>
                <w:rFonts w:ascii="Times New Roman" w:cs="Times New Roman" w:hint="eastAsia"/>
                <w:bCs/>
                <w:sz w:val="21"/>
                <w:szCs w:val="21"/>
              </w:rPr>
              <w:t>规格管道</w:t>
            </w:r>
            <w:r>
              <w:rPr>
                <w:rFonts w:ascii="Times New Roman" w:cs="Times New Roman" w:hint="eastAsia"/>
                <w:bCs/>
                <w:sz w:val="21"/>
                <w:szCs w:val="21"/>
              </w:rPr>
              <w:t xml:space="preserve"> </w:t>
            </w:r>
            <w:r>
              <w:rPr>
                <w:rFonts w:ascii="Times New Roman" w:cs="Times New Roman" w:hint="eastAsia"/>
                <w:bCs/>
                <w:sz w:val="21"/>
                <w:szCs w:val="21"/>
              </w:rPr>
              <w:t>外径</w:t>
            </w:r>
            <w:r>
              <w:rPr>
                <w:rFonts w:ascii="Times New Roman" w:cs="Times New Roman" w:hint="eastAsia"/>
                <w:bCs/>
                <w:sz w:val="21"/>
                <w:szCs w:val="21"/>
              </w:rPr>
              <w:t xml:space="preserve">D219.1 </w:t>
            </w:r>
            <w:r>
              <w:rPr>
                <w:rFonts w:ascii="Times New Roman" w:cs="Times New Roman"/>
                <w:bCs/>
                <w:sz w:val="21"/>
                <w:szCs w:val="21"/>
              </w:rPr>
              <w:t>L360QS</w:t>
            </w:r>
            <w:r>
              <w:rPr>
                <w:rFonts w:ascii="Times New Roman" w:cs="Times New Roman" w:hint="eastAsia"/>
                <w:bCs/>
                <w:sz w:val="21"/>
                <w:szCs w:val="21"/>
              </w:rPr>
              <w:t>无缝管</w:t>
            </w:r>
            <w:r>
              <w:rPr>
                <w:rFonts w:ascii="Times New Roman" w:cs="Times New Roman" w:hint="eastAsia"/>
                <w:bCs/>
                <w:sz w:val="21"/>
                <w:szCs w:val="21"/>
              </w:rPr>
              <w:t xml:space="preserve"> </w:t>
            </w:r>
            <w:r>
              <w:rPr>
                <w:rFonts w:ascii="Times New Roman" w:cs="Times New Roman" w:hint="eastAsia"/>
                <w:bCs/>
                <w:sz w:val="21"/>
                <w:szCs w:val="21"/>
              </w:rPr>
              <w:t>压力</w:t>
            </w:r>
            <w:r>
              <w:rPr>
                <w:rFonts w:ascii="Times New Roman" w:cs="Times New Roman" w:hint="eastAsia"/>
                <w:bCs/>
                <w:sz w:val="21"/>
                <w:szCs w:val="21"/>
              </w:rPr>
              <w:t>11MPa</w:t>
            </w:r>
          </w:p>
        </w:tc>
        <w:tc>
          <w:tcPr>
            <w:tcW w:w="1329" w:type="dxa"/>
            <w:shd w:val="clear" w:color="auto" w:fill="FFFFFF"/>
            <w:tcMar>
              <w:top w:w="15" w:type="dxa"/>
              <w:left w:w="46" w:type="dxa"/>
              <w:bottom w:w="0"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km</w:t>
            </w:r>
          </w:p>
        </w:tc>
        <w:tc>
          <w:tcPr>
            <w:tcW w:w="1330" w:type="dxa"/>
            <w:shd w:val="clear" w:color="auto" w:fill="FFFFFF"/>
            <w:tcMar>
              <w:top w:w="15" w:type="dxa"/>
              <w:left w:w="15" w:type="dxa"/>
              <w:bottom w:w="0" w:type="dxa"/>
              <w:right w:w="15"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1.1</w:t>
            </w:r>
          </w:p>
        </w:tc>
        <w:tc>
          <w:tcPr>
            <w:tcW w:w="2069" w:type="dxa"/>
            <w:shd w:val="clear" w:color="auto" w:fill="FFFFFF"/>
            <w:tcMar>
              <w:top w:w="15" w:type="dxa"/>
              <w:left w:w="46"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新建</w:t>
            </w:r>
          </w:p>
        </w:tc>
      </w:tr>
      <w:bookmarkEnd w:id="137"/>
      <w:tr w:rsidR="00BD5820">
        <w:trPr>
          <w:trHeight w:val="220"/>
          <w:jc w:val="center"/>
        </w:trPr>
        <w:tc>
          <w:tcPr>
            <w:tcW w:w="1001"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25</w:t>
            </w:r>
          </w:p>
        </w:tc>
        <w:tc>
          <w:tcPr>
            <w:tcW w:w="3039" w:type="dxa"/>
            <w:shd w:val="clear" w:color="auto" w:fill="FFFFFF"/>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P104</w:t>
            </w:r>
            <w:r>
              <w:rPr>
                <w:rFonts w:ascii="Times New Roman" w:cs="Times New Roman" w:hint="eastAsia"/>
                <w:bCs/>
                <w:sz w:val="21"/>
                <w:szCs w:val="21"/>
              </w:rPr>
              <w:t>－</w:t>
            </w:r>
            <w:r>
              <w:rPr>
                <w:rFonts w:ascii="Times New Roman" w:cs="Times New Roman" w:hint="eastAsia"/>
                <w:bCs/>
                <w:sz w:val="21"/>
                <w:szCs w:val="21"/>
              </w:rPr>
              <w:t>1#</w:t>
            </w:r>
            <w:r>
              <w:rPr>
                <w:rFonts w:ascii="Times New Roman" w:cs="Times New Roman" w:hint="eastAsia"/>
                <w:bCs/>
                <w:sz w:val="21"/>
                <w:szCs w:val="21"/>
              </w:rPr>
              <w:t>增压站管</w:t>
            </w:r>
          </w:p>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段管径选用</w:t>
            </w:r>
            <w:r>
              <w:rPr>
                <w:rFonts w:ascii="Times New Roman" w:cs="Times New Roman" w:hint="eastAsia"/>
                <w:bCs/>
                <w:sz w:val="21"/>
                <w:szCs w:val="21"/>
              </w:rPr>
              <w:t xml:space="preserve">DN250 </w:t>
            </w:r>
            <w:r>
              <w:rPr>
                <w:rFonts w:ascii="Times New Roman" w:cs="Times New Roman" w:hint="eastAsia"/>
                <w:bCs/>
                <w:sz w:val="21"/>
                <w:szCs w:val="21"/>
              </w:rPr>
              <w:t>规格管道</w:t>
            </w:r>
            <w:r>
              <w:rPr>
                <w:rFonts w:ascii="Times New Roman" w:cs="Times New Roman" w:hint="eastAsia"/>
                <w:bCs/>
                <w:sz w:val="21"/>
                <w:szCs w:val="21"/>
              </w:rPr>
              <w:t xml:space="preserve"> </w:t>
            </w:r>
            <w:r>
              <w:rPr>
                <w:rFonts w:ascii="Times New Roman" w:cs="Times New Roman" w:hint="eastAsia"/>
                <w:bCs/>
                <w:sz w:val="21"/>
                <w:szCs w:val="21"/>
              </w:rPr>
              <w:t>外径</w:t>
            </w:r>
            <w:r>
              <w:rPr>
                <w:rFonts w:ascii="Times New Roman" w:cs="Times New Roman" w:hint="eastAsia"/>
                <w:bCs/>
                <w:sz w:val="21"/>
                <w:szCs w:val="21"/>
              </w:rPr>
              <w:t xml:space="preserve">D273 </w:t>
            </w:r>
            <w:r>
              <w:rPr>
                <w:rFonts w:ascii="Times New Roman" w:cs="Times New Roman"/>
                <w:bCs/>
                <w:sz w:val="21"/>
                <w:szCs w:val="21"/>
              </w:rPr>
              <w:t>L360QS</w:t>
            </w:r>
            <w:r>
              <w:rPr>
                <w:rFonts w:ascii="Times New Roman" w:cs="Times New Roman" w:hint="eastAsia"/>
                <w:bCs/>
                <w:sz w:val="21"/>
                <w:szCs w:val="21"/>
              </w:rPr>
              <w:t>无缝管</w:t>
            </w:r>
            <w:r>
              <w:rPr>
                <w:rFonts w:ascii="Times New Roman" w:cs="Times New Roman" w:hint="eastAsia"/>
                <w:bCs/>
                <w:sz w:val="21"/>
                <w:szCs w:val="21"/>
              </w:rPr>
              <w:t xml:space="preserve"> </w:t>
            </w:r>
            <w:r>
              <w:rPr>
                <w:rFonts w:ascii="Times New Roman" w:cs="Times New Roman" w:hint="eastAsia"/>
                <w:bCs/>
                <w:sz w:val="21"/>
                <w:szCs w:val="21"/>
              </w:rPr>
              <w:t>压力</w:t>
            </w:r>
            <w:r>
              <w:rPr>
                <w:rFonts w:ascii="Times New Roman" w:cs="Times New Roman" w:hint="eastAsia"/>
                <w:bCs/>
                <w:sz w:val="21"/>
                <w:szCs w:val="21"/>
              </w:rPr>
              <w:t>11MPa</w:t>
            </w:r>
          </w:p>
        </w:tc>
        <w:tc>
          <w:tcPr>
            <w:tcW w:w="1329" w:type="dxa"/>
            <w:shd w:val="clear" w:color="auto" w:fill="FFFFFF"/>
            <w:tcMar>
              <w:top w:w="15" w:type="dxa"/>
              <w:left w:w="46" w:type="dxa"/>
              <w:bottom w:w="0"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km</w:t>
            </w:r>
          </w:p>
        </w:tc>
        <w:tc>
          <w:tcPr>
            <w:tcW w:w="1330" w:type="dxa"/>
            <w:shd w:val="clear" w:color="auto" w:fill="FFFFFF"/>
            <w:tcMar>
              <w:top w:w="15" w:type="dxa"/>
              <w:left w:w="15" w:type="dxa"/>
              <w:bottom w:w="0" w:type="dxa"/>
              <w:right w:w="15"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3</w:t>
            </w:r>
          </w:p>
        </w:tc>
        <w:tc>
          <w:tcPr>
            <w:tcW w:w="2069" w:type="dxa"/>
            <w:shd w:val="clear" w:color="auto" w:fill="FFFFFF"/>
            <w:tcMar>
              <w:top w:w="15" w:type="dxa"/>
              <w:left w:w="46" w:type="dxa"/>
              <w:right w:w="46" w:type="dxa"/>
            </w:tcMar>
            <w:vAlign w:val="center"/>
          </w:tcPr>
          <w:p w:rsidR="00BD5820" w:rsidRDefault="00F64314">
            <w:pPr>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新建</w:t>
            </w:r>
          </w:p>
        </w:tc>
      </w:tr>
    </w:tbl>
    <w:p w:rsidR="00BD5820" w:rsidRDefault="00F64314">
      <w:pPr>
        <w:pStyle w:val="2"/>
        <w:spacing w:before="120"/>
        <w:rPr>
          <w:rFonts w:cs="Times New Roman"/>
        </w:rPr>
      </w:pPr>
      <w:bookmarkStart w:id="138" w:name="_Toc12288400"/>
      <w:bookmarkStart w:id="139" w:name="_Toc19815956"/>
      <w:bookmarkStart w:id="140" w:name="_Toc2053"/>
      <w:r>
        <w:rPr>
          <w:rFonts w:cs="Times New Roman"/>
        </w:rPr>
        <w:t>3.</w:t>
      </w:r>
      <w:r>
        <w:rPr>
          <w:rFonts w:cs="Times New Roman" w:hint="eastAsia"/>
        </w:rPr>
        <w:t>5</w:t>
      </w:r>
      <w:r>
        <w:rPr>
          <w:rFonts w:cs="Times New Roman"/>
        </w:rPr>
        <w:t xml:space="preserve"> </w:t>
      </w:r>
      <w:r>
        <w:rPr>
          <w:rFonts w:cs="Times New Roman"/>
        </w:rPr>
        <w:t>线路工程</w:t>
      </w:r>
      <w:bookmarkEnd w:id="138"/>
      <w:bookmarkEnd w:id="139"/>
      <w:bookmarkEnd w:id="140"/>
    </w:p>
    <w:p w:rsidR="00BD5820" w:rsidRDefault="00F64314">
      <w:pPr>
        <w:pStyle w:val="3"/>
        <w:rPr>
          <w:rFonts w:eastAsia="宋体"/>
        </w:rPr>
      </w:pPr>
      <w:r>
        <w:rPr>
          <w:rFonts w:eastAsia="宋体"/>
        </w:rPr>
        <w:t>3.</w:t>
      </w:r>
      <w:r>
        <w:rPr>
          <w:rFonts w:eastAsia="宋体" w:hint="eastAsia"/>
        </w:rPr>
        <w:t>5</w:t>
      </w:r>
      <w:r>
        <w:rPr>
          <w:rFonts w:eastAsia="宋体"/>
        </w:rPr>
        <w:t xml:space="preserve">.1 </w:t>
      </w:r>
      <w:r>
        <w:rPr>
          <w:rFonts w:eastAsia="宋体"/>
        </w:rPr>
        <w:t>线路走向</w:t>
      </w:r>
    </w:p>
    <w:p w:rsidR="00BD5820" w:rsidRDefault="00F64314">
      <w:pPr>
        <w:pStyle w:val="affa"/>
        <w:ind w:firstLine="480"/>
      </w:pPr>
      <w:r>
        <w:rPr>
          <w:rFonts w:hint="eastAsia"/>
        </w:rPr>
        <w:t>（</w:t>
      </w:r>
      <w:r>
        <w:rPr>
          <w:rFonts w:hint="eastAsia"/>
        </w:rPr>
        <w:t>1</w:t>
      </w:r>
      <w:r>
        <w:rPr>
          <w:rFonts w:hint="eastAsia"/>
        </w:rPr>
        <w:t>）新建</w:t>
      </w:r>
      <w:r>
        <w:rPr>
          <w:rFonts w:hint="eastAsia"/>
        </w:rPr>
        <w:t>P106-P104-1#</w:t>
      </w:r>
      <w:r>
        <w:rPr>
          <w:rFonts w:hint="eastAsia"/>
        </w:rPr>
        <w:t>增压站集输管道</w:t>
      </w:r>
    </w:p>
    <w:p w:rsidR="00BD5820" w:rsidRDefault="00F64314">
      <w:pPr>
        <w:pStyle w:val="affa"/>
        <w:ind w:firstLine="480"/>
      </w:pPr>
      <w:r>
        <w:rPr>
          <w:rFonts w:hint="eastAsia"/>
        </w:rPr>
        <w:t>新建管线总体与已建管线并行敷设，根据现场踏勘，该段地形属于中低山区，地形破碎，地形起伏较大，地表坡度及相对高差均较大，丘陵顶部处亦比较平缓地表植被茂密，平坝、台地和浅丘地貌较少。</w:t>
      </w:r>
    </w:p>
    <w:p w:rsidR="00BD5820" w:rsidRDefault="00F64314">
      <w:pPr>
        <w:pStyle w:val="affa"/>
        <w:ind w:firstLine="480"/>
      </w:pPr>
      <w:r>
        <w:rPr>
          <w:rFonts w:ascii="Calibri" w:hAnsi="Calibri" w:cs="Calibri" w:hint="eastAsia"/>
        </w:rPr>
        <w:t>（</w:t>
      </w:r>
      <w:r>
        <w:rPr>
          <w:rFonts w:hint="eastAsia"/>
        </w:rPr>
        <w:t>2</w:t>
      </w:r>
      <w:r>
        <w:rPr>
          <w:rFonts w:ascii="Calibri" w:hAnsi="Calibri" w:cs="Calibri" w:hint="eastAsia"/>
        </w:rPr>
        <w:t>）</w:t>
      </w:r>
      <w:r>
        <w:t>P106</w:t>
      </w:r>
      <w:r>
        <w:rPr>
          <w:rFonts w:hint="eastAsia"/>
        </w:rPr>
        <w:t>～</w:t>
      </w:r>
      <w:r>
        <w:t xml:space="preserve">P104 </w:t>
      </w:r>
      <w:r>
        <w:rPr>
          <w:rFonts w:hint="eastAsia"/>
        </w:rPr>
        <w:t>集气站管段</w:t>
      </w:r>
    </w:p>
    <w:p w:rsidR="00BD5820" w:rsidRDefault="00F64314">
      <w:pPr>
        <w:pStyle w:val="affa"/>
        <w:ind w:firstLine="480"/>
      </w:pPr>
      <w:r>
        <w:rPr>
          <w:rFonts w:hint="eastAsia"/>
        </w:rPr>
        <w:t>管线从</w:t>
      </w:r>
      <w:r>
        <w:t>P106</w:t>
      </w:r>
      <w:r>
        <w:rPr>
          <w:rFonts w:hint="eastAsia"/>
        </w:rPr>
        <w:t>集气站出站后向南敷设，从一垭口处上山后再折向西南方向跨越冲沟</w:t>
      </w:r>
      <w:r>
        <w:t>1</w:t>
      </w:r>
      <w:r>
        <w:rPr>
          <w:rFonts w:hint="eastAsia"/>
        </w:rPr>
        <w:t>处，而后继续向西南方向敷设最后到达</w:t>
      </w:r>
      <w:r>
        <w:t>P104</w:t>
      </w:r>
      <w:r>
        <w:rPr>
          <w:rFonts w:hint="eastAsia"/>
        </w:rPr>
        <w:t>集气站。线路路由全长</w:t>
      </w:r>
      <w:r>
        <w:t>1.1km</w:t>
      </w:r>
      <w:r>
        <w:rPr>
          <w:rFonts w:hint="eastAsia"/>
        </w:rPr>
        <w:t>，其中利旧恢复原</w:t>
      </w:r>
      <w:r>
        <w:t>P106</w:t>
      </w:r>
      <w:r>
        <w:rPr>
          <w:rFonts w:hint="eastAsia"/>
        </w:rPr>
        <w:t>～</w:t>
      </w:r>
      <w:r>
        <w:t>P104</w:t>
      </w:r>
      <w:r>
        <w:rPr>
          <w:rFonts w:hint="eastAsia"/>
        </w:rPr>
        <w:t>集输管道</w:t>
      </w:r>
      <w:r>
        <w:t>900m</w:t>
      </w:r>
      <w:r>
        <w:rPr>
          <w:rFonts w:hint="eastAsia"/>
        </w:rPr>
        <w:t>，沿线经过冲沟特殊地段</w:t>
      </w:r>
      <w:r>
        <w:t>1</w:t>
      </w:r>
      <w:r>
        <w:rPr>
          <w:rFonts w:hint="eastAsia"/>
        </w:rPr>
        <w:t>处，采用桁架跨越的方式过沟。</w:t>
      </w:r>
    </w:p>
    <w:p w:rsidR="00BD5820" w:rsidRDefault="00F64314">
      <w:pPr>
        <w:pStyle w:val="affa"/>
        <w:ind w:firstLine="480"/>
      </w:pPr>
      <w:r>
        <w:rPr>
          <w:rFonts w:ascii="Calibri" w:hAnsi="Calibri" w:cs="Calibri" w:hint="eastAsia"/>
        </w:rPr>
        <w:t>（</w:t>
      </w:r>
      <w:r>
        <w:rPr>
          <w:rFonts w:hint="eastAsia"/>
        </w:rPr>
        <w:t>3</w:t>
      </w:r>
      <w:r>
        <w:rPr>
          <w:rFonts w:ascii="Calibri" w:hAnsi="Calibri" w:cs="Calibri" w:hint="eastAsia"/>
        </w:rPr>
        <w:t>）</w:t>
      </w:r>
      <w:r>
        <w:t>P104</w:t>
      </w:r>
      <w:r>
        <w:rPr>
          <w:rFonts w:hint="eastAsia"/>
        </w:rPr>
        <w:t>～</w:t>
      </w:r>
      <w:r>
        <w:t>1#</w:t>
      </w:r>
      <w:r>
        <w:rPr>
          <w:rFonts w:hint="eastAsia"/>
        </w:rPr>
        <w:t>增压站管段</w:t>
      </w:r>
    </w:p>
    <w:p w:rsidR="00BD5820" w:rsidRDefault="00F64314">
      <w:pPr>
        <w:pStyle w:val="affa"/>
        <w:ind w:firstLine="480"/>
      </w:pPr>
      <w:r>
        <w:rPr>
          <w:rFonts w:hint="eastAsia"/>
        </w:rPr>
        <w:t>管线从</w:t>
      </w:r>
      <w:r>
        <w:t>P104</w:t>
      </w:r>
      <w:r>
        <w:rPr>
          <w:rFonts w:hint="eastAsia"/>
        </w:rPr>
        <w:t>集气站出站后向西敷设，穿越大毛沟后折向沿西南方向敷设至</w:t>
      </w:r>
      <w:r>
        <w:t>1#</w:t>
      </w:r>
      <w:r>
        <w:rPr>
          <w:rFonts w:hint="eastAsia"/>
        </w:rPr>
        <w:t>增压站，线路全长</w:t>
      </w:r>
      <w:r>
        <w:t>3.0km</w:t>
      </w:r>
      <w:r>
        <w:rPr>
          <w:rFonts w:hint="eastAsia"/>
        </w:rPr>
        <w:t>。</w:t>
      </w:r>
    </w:p>
    <w:p w:rsidR="00BD5820" w:rsidRDefault="00F64314">
      <w:pPr>
        <w:pStyle w:val="3"/>
        <w:rPr>
          <w:rFonts w:eastAsia="宋体"/>
        </w:rPr>
      </w:pPr>
      <w:r>
        <w:rPr>
          <w:rFonts w:eastAsia="宋体"/>
        </w:rPr>
        <w:t>3.</w:t>
      </w:r>
      <w:r>
        <w:rPr>
          <w:rFonts w:eastAsia="宋体" w:hint="eastAsia"/>
        </w:rPr>
        <w:t>5</w:t>
      </w:r>
      <w:r>
        <w:rPr>
          <w:rFonts w:eastAsia="宋体"/>
        </w:rPr>
        <w:t xml:space="preserve">.2 </w:t>
      </w:r>
      <w:r>
        <w:rPr>
          <w:rFonts w:eastAsia="宋体"/>
        </w:rPr>
        <w:t>沿线基本情况</w:t>
      </w:r>
      <w:bookmarkEnd w:id="134"/>
    </w:p>
    <w:p w:rsidR="00BD5820" w:rsidRDefault="00F64314">
      <w:pPr>
        <w:pStyle w:val="a1"/>
        <w:ind w:firstLine="490"/>
        <w:rPr>
          <w:rStyle w:val="afc"/>
          <w:rFonts w:cs="Times New Roman"/>
          <w:sz w:val="24"/>
        </w:rPr>
      </w:pPr>
      <w:bookmarkStart w:id="141" w:name="_Toc12288403"/>
      <w:r>
        <w:rPr>
          <w:rStyle w:val="afc"/>
          <w:rFonts w:cs="Times New Roman"/>
          <w:sz w:val="24"/>
        </w:rPr>
        <w:t>1</w:t>
      </w:r>
      <w:r>
        <w:rPr>
          <w:rStyle w:val="afc"/>
          <w:rFonts w:cs="Times New Roman"/>
          <w:sz w:val="24"/>
        </w:rPr>
        <w:t>、</w:t>
      </w:r>
      <w:bookmarkEnd w:id="141"/>
      <w:r>
        <w:rPr>
          <w:rStyle w:val="afc"/>
          <w:rFonts w:cs="Times New Roman"/>
          <w:sz w:val="24"/>
        </w:rPr>
        <w:t>沿线地表植被区划长度</w:t>
      </w:r>
    </w:p>
    <w:p w:rsidR="00BD5820" w:rsidRDefault="00F64314">
      <w:pPr>
        <w:pStyle w:val="affa"/>
        <w:ind w:firstLine="480"/>
      </w:pPr>
      <w:bookmarkStart w:id="142" w:name="_Hlk52901667"/>
      <w:r>
        <w:t>管线沿线包植被分布以旱地和林地为主。其中旱地主要为蔬菜、玉米、花生等作物，林地主要为马尾松、柏树等作物。</w:t>
      </w:r>
    </w:p>
    <w:p w:rsidR="00BD5820" w:rsidRDefault="00F64314">
      <w:pPr>
        <w:pStyle w:val="affa"/>
        <w:ind w:firstLine="480"/>
      </w:pPr>
      <w:r>
        <w:t>根据沿线地表植被区划长度统计。</w:t>
      </w:r>
    </w:p>
    <w:p w:rsidR="00BD5820" w:rsidRDefault="00F64314">
      <w:pPr>
        <w:pStyle w:val="10"/>
        <w:rPr>
          <w:rFonts w:cs="Times New Roman"/>
        </w:rPr>
      </w:pPr>
      <w:bookmarkStart w:id="143" w:name="_Hlk58767188"/>
      <w:r>
        <w:rPr>
          <w:rFonts w:cs="Times New Roman"/>
        </w:rPr>
        <w:t>表</w:t>
      </w:r>
      <w:r>
        <w:rPr>
          <w:rFonts w:cs="Times New Roman"/>
        </w:rPr>
        <w:t>3.</w:t>
      </w:r>
      <w:r>
        <w:rPr>
          <w:rFonts w:cs="Times New Roman" w:hint="eastAsia"/>
        </w:rPr>
        <w:t>5</w:t>
      </w:r>
      <w:r>
        <w:rPr>
          <w:rFonts w:cs="Times New Roman"/>
        </w:rPr>
        <w:t xml:space="preserve">-1  </w:t>
      </w:r>
      <w:r>
        <w:rPr>
          <w:rFonts w:cs="Times New Roman"/>
        </w:rPr>
        <w:t>沿线地表植被长度统计表</w:t>
      </w:r>
    </w:p>
    <w:tbl>
      <w:tblPr>
        <w:tblW w:w="8552"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688"/>
        <w:gridCol w:w="2410"/>
        <w:gridCol w:w="3423"/>
        <w:gridCol w:w="2031"/>
      </w:tblGrid>
      <w:tr w:rsidR="00BD5820">
        <w:trPr>
          <w:trHeight w:val="257"/>
          <w:tblHeader/>
          <w:jc w:val="center"/>
        </w:trPr>
        <w:tc>
          <w:tcPr>
            <w:tcW w:w="688" w:type="dxa"/>
            <w:vAlign w:val="center"/>
          </w:tcPr>
          <w:p w:rsidR="00BD5820" w:rsidRDefault="00F64314">
            <w:pPr>
              <w:pStyle w:val="afff1"/>
              <w:rPr>
                <w:b/>
                <w:bCs/>
              </w:rPr>
            </w:pPr>
            <w:r>
              <w:rPr>
                <w:b/>
                <w:bCs/>
              </w:rPr>
              <w:t>序号</w:t>
            </w:r>
          </w:p>
        </w:tc>
        <w:tc>
          <w:tcPr>
            <w:tcW w:w="2410" w:type="dxa"/>
            <w:vAlign w:val="center"/>
          </w:tcPr>
          <w:p w:rsidR="00BD5820" w:rsidRDefault="00F64314">
            <w:pPr>
              <w:pStyle w:val="afff1"/>
              <w:rPr>
                <w:b/>
                <w:bCs/>
              </w:rPr>
            </w:pPr>
            <w:r>
              <w:rPr>
                <w:b/>
                <w:bCs/>
              </w:rPr>
              <w:t>地表现状</w:t>
            </w:r>
          </w:p>
        </w:tc>
        <w:tc>
          <w:tcPr>
            <w:tcW w:w="3423" w:type="dxa"/>
            <w:vAlign w:val="center"/>
          </w:tcPr>
          <w:p w:rsidR="00BD5820" w:rsidRDefault="00F64314">
            <w:pPr>
              <w:pStyle w:val="afff1"/>
              <w:rPr>
                <w:b/>
                <w:bCs/>
              </w:rPr>
            </w:pPr>
            <w:r>
              <w:rPr>
                <w:b/>
                <w:bCs/>
              </w:rPr>
              <w:t>长度（</w:t>
            </w:r>
            <w:r>
              <w:rPr>
                <w:b/>
                <w:bCs/>
              </w:rPr>
              <w:t>m</w:t>
            </w:r>
            <w:r>
              <w:rPr>
                <w:b/>
                <w:bCs/>
              </w:rPr>
              <w:t>）</w:t>
            </w:r>
          </w:p>
        </w:tc>
        <w:tc>
          <w:tcPr>
            <w:tcW w:w="2031" w:type="dxa"/>
            <w:vAlign w:val="center"/>
          </w:tcPr>
          <w:p w:rsidR="00BD5820" w:rsidRDefault="00F64314">
            <w:pPr>
              <w:pStyle w:val="afff1"/>
              <w:rPr>
                <w:b/>
                <w:bCs/>
              </w:rPr>
            </w:pPr>
            <w:r>
              <w:rPr>
                <w:b/>
                <w:bCs/>
              </w:rPr>
              <w:t>备注</w:t>
            </w:r>
          </w:p>
        </w:tc>
      </w:tr>
      <w:tr w:rsidR="00BD5820">
        <w:trPr>
          <w:trHeight w:val="257"/>
          <w:jc w:val="center"/>
        </w:trPr>
        <w:tc>
          <w:tcPr>
            <w:tcW w:w="688" w:type="dxa"/>
            <w:vAlign w:val="center"/>
          </w:tcPr>
          <w:p w:rsidR="00BD5820" w:rsidRDefault="00F64314">
            <w:pPr>
              <w:pStyle w:val="afff1"/>
            </w:pPr>
            <w:r>
              <w:t>1</w:t>
            </w:r>
          </w:p>
        </w:tc>
        <w:tc>
          <w:tcPr>
            <w:tcW w:w="2410" w:type="dxa"/>
            <w:vAlign w:val="center"/>
          </w:tcPr>
          <w:p w:rsidR="00BD5820" w:rsidRDefault="00F64314">
            <w:pPr>
              <w:pStyle w:val="afff1"/>
            </w:pPr>
            <w:r>
              <w:t>旱地</w:t>
            </w:r>
          </w:p>
        </w:tc>
        <w:tc>
          <w:tcPr>
            <w:tcW w:w="3423" w:type="dxa"/>
            <w:vAlign w:val="center"/>
          </w:tcPr>
          <w:p w:rsidR="00BD5820" w:rsidRDefault="00F64314">
            <w:pPr>
              <w:pStyle w:val="afff1"/>
            </w:pPr>
            <w:r>
              <w:rPr>
                <w:rFonts w:hint="eastAsia"/>
                <w:szCs w:val="21"/>
              </w:rPr>
              <w:t>800</w:t>
            </w:r>
          </w:p>
        </w:tc>
        <w:tc>
          <w:tcPr>
            <w:tcW w:w="2031" w:type="dxa"/>
            <w:vAlign w:val="center"/>
          </w:tcPr>
          <w:p w:rsidR="00BD5820" w:rsidRDefault="00BD5820">
            <w:pPr>
              <w:pStyle w:val="afff1"/>
            </w:pPr>
          </w:p>
        </w:tc>
      </w:tr>
      <w:tr w:rsidR="00BD5820">
        <w:trPr>
          <w:trHeight w:val="257"/>
          <w:jc w:val="center"/>
        </w:trPr>
        <w:tc>
          <w:tcPr>
            <w:tcW w:w="688" w:type="dxa"/>
            <w:vAlign w:val="center"/>
          </w:tcPr>
          <w:p w:rsidR="00BD5820" w:rsidRDefault="00F64314">
            <w:pPr>
              <w:pStyle w:val="afff1"/>
            </w:pPr>
            <w:r>
              <w:t>2</w:t>
            </w:r>
          </w:p>
        </w:tc>
        <w:tc>
          <w:tcPr>
            <w:tcW w:w="2410" w:type="dxa"/>
            <w:vAlign w:val="center"/>
          </w:tcPr>
          <w:p w:rsidR="00BD5820" w:rsidRDefault="00F64314">
            <w:pPr>
              <w:pStyle w:val="afff1"/>
            </w:pPr>
            <w:r>
              <w:t>林地</w:t>
            </w:r>
          </w:p>
        </w:tc>
        <w:tc>
          <w:tcPr>
            <w:tcW w:w="3423" w:type="dxa"/>
            <w:vAlign w:val="center"/>
          </w:tcPr>
          <w:p w:rsidR="00BD5820" w:rsidRDefault="00F64314">
            <w:pPr>
              <w:pStyle w:val="afff1"/>
            </w:pPr>
            <w:r>
              <w:rPr>
                <w:rFonts w:hint="eastAsia"/>
                <w:szCs w:val="21"/>
              </w:rPr>
              <w:t>3300</w:t>
            </w:r>
          </w:p>
        </w:tc>
        <w:tc>
          <w:tcPr>
            <w:tcW w:w="2031" w:type="dxa"/>
            <w:vAlign w:val="center"/>
          </w:tcPr>
          <w:p w:rsidR="00BD5820" w:rsidRDefault="00BD5820">
            <w:pPr>
              <w:pStyle w:val="afff1"/>
            </w:pPr>
          </w:p>
        </w:tc>
      </w:tr>
      <w:tr w:rsidR="00BD5820">
        <w:trPr>
          <w:trHeight w:val="257"/>
          <w:jc w:val="center"/>
        </w:trPr>
        <w:tc>
          <w:tcPr>
            <w:tcW w:w="3098" w:type="dxa"/>
            <w:gridSpan w:val="2"/>
            <w:vAlign w:val="center"/>
          </w:tcPr>
          <w:p w:rsidR="00BD5820" w:rsidRDefault="00F64314">
            <w:pPr>
              <w:pStyle w:val="afff1"/>
            </w:pPr>
            <w:r>
              <w:t>合计</w:t>
            </w:r>
          </w:p>
        </w:tc>
        <w:tc>
          <w:tcPr>
            <w:tcW w:w="3423" w:type="dxa"/>
            <w:vAlign w:val="center"/>
          </w:tcPr>
          <w:p w:rsidR="00BD5820" w:rsidRDefault="00F64314">
            <w:pPr>
              <w:pStyle w:val="afff1"/>
              <w:rPr>
                <w:szCs w:val="21"/>
              </w:rPr>
            </w:pPr>
            <w:r>
              <w:rPr>
                <w:rFonts w:hint="eastAsia"/>
                <w:szCs w:val="21"/>
              </w:rPr>
              <w:t>4100</w:t>
            </w:r>
          </w:p>
        </w:tc>
        <w:tc>
          <w:tcPr>
            <w:tcW w:w="2031" w:type="dxa"/>
            <w:vAlign w:val="center"/>
          </w:tcPr>
          <w:p w:rsidR="00BD5820" w:rsidRDefault="00BD5820">
            <w:pPr>
              <w:pStyle w:val="afff1"/>
            </w:pPr>
          </w:p>
        </w:tc>
      </w:tr>
    </w:tbl>
    <w:p w:rsidR="00BD5820" w:rsidRDefault="00F64314">
      <w:pPr>
        <w:pStyle w:val="a1"/>
        <w:ind w:firstLine="482"/>
        <w:rPr>
          <w:rFonts w:ascii="Times New Roman" w:cs="Times New Roman"/>
          <w:b/>
        </w:rPr>
      </w:pPr>
      <w:bookmarkStart w:id="144" w:name="_Toc12288407"/>
      <w:bookmarkEnd w:id="142"/>
      <w:bookmarkEnd w:id="143"/>
      <w:r>
        <w:rPr>
          <w:rFonts w:ascii="Times New Roman" w:cs="Times New Roman"/>
          <w:b/>
        </w:rPr>
        <w:lastRenderedPageBreak/>
        <w:t>2</w:t>
      </w:r>
      <w:r>
        <w:rPr>
          <w:rFonts w:ascii="Times New Roman" w:cs="Times New Roman"/>
          <w:b/>
        </w:rPr>
        <w:t>、地区等级</w:t>
      </w:r>
      <w:bookmarkEnd w:id="144"/>
    </w:p>
    <w:p w:rsidR="00BD5820" w:rsidRDefault="00F64314">
      <w:pPr>
        <w:pStyle w:val="affa"/>
        <w:ind w:firstLine="480"/>
      </w:pPr>
      <w:r>
        <w:t>根据《输气管道工程设计规范》（</w:t>
      </w:r>
      <w:r>
        <w:t>GB50251-2003</w:t>
      </w:r>
      <w:r>
        <w:t>），沿管道中心两侧各</w:t>
      </w:r>
      <w:r>
        <w:t>200m</w:t>
      </w:r>
      <w:r>
        <w:t>范围内，任意划分成长度为</w:t>
      </w:r>
      <w:r>
        <w:t>2km</w:t>
      </w:r>
      <w:r>
        <w:t>并能包括最大聚居户数的若干地段，按划定地段内的户数划分为四个等级。</w:t>
      </w:r>
    </w:p>
    <w:p w:rsidR="00BD5820" w:rsidRDefault="00F64314">
      <w:pPr>
        <w:pStyle w:val="affa"/>
        <w:ind w:firstLine="480"/>
      </w:pPr>
      <w:bookmarkStart w:id="145" w:name="OLE_LINK109"/>
      <w:bookmarkStart w:id="146" w:name="OLE_LINK110"/>
      <w:r>
        <w:t>一</w:t>
      </w:r>
      <w:bookmarkEnd w:id="145"/>
      <w:bookmarkEnd w:id="146"/>
      <w:r>
        <w:t>级地区：户数在</w:t>
      </w:r>
      <w:r>
        <w:t>15</w:t>
      </w:r>
      <w:r>
        <w:t>户或以下的区段；</w:t>
      </w:r>
    </w:p>
    <w:p w:rsidR="00BD5820" w:rsidRDefault="00F64314">
      <w:pPr>
        <w:pStyle w:val="affa"/>
        <w:ind w:firstLine="480"/>
      </w:pPr>
      <w:r>
        <w:t>二级地区：户数在</w:t>
      </w:r>
      <w:r>
        <w:t>15</w:t>
      </w:r>
      <w:r>
        <w:t>户以上、</w:t>
      </w:r>
      <w:r>
        <w:t>100</w:t>
      </w:r>
      <w:r>
        <w:t>户以下的区段；</w:t>
      </w:r>
    </w:p>
    <w:p w:rsidR="00BD5820" w:rsidRDefault="00F64314">
      <w:pPr>
        <w:pStyle w:val="affa"/>
        <w:ind w:firstLine="480"/>
      </w:pPr>
      <w:r>
        <w:t>三级地区：户数在</w:t>
      </w:r>
      <w:r>
        <w:t>100</w:t>
      </w:r>
      <w:r>
        <w:t>户以或以上的区段，包括市郊居住区、商业区、工业区、发展区以及不够四级地区条件的人口稠密区；</w:t>
      </w:r>
    </w:p>
    <w:p w:rsidR="00BD5820" w:rsidRDefault="00F64314">
      <w:pPr>
        <w:pStyle w:val="affa"/>
        <w:ind w:firstLine="480"/>
      </w:pPr>
      <w:r>
        <w:t>四级地区：系指四层及四层以上楼房（不计地下室层数）普遍集中、交通频繁、地下设施多的区段。</w:t>
      </w:r>
    </w:p>
    <w:p w:rsidR="00BD5820" w:rsidRDefault="00F64314">
      <w:pPr>
        <w:pStyle w:val="a1"/>
        <w:ind w:firstLine="480"/>
        <w:rPr>
          <w:rFonts w:ascii="Times New Roman" w:cs="Times New Roman"/>
        </w:rPr>
      </w:pPr>
      <w:r>
        <w:rPr>
          <w:rFonts w:ascii="Times New Roman" w:cs="Times New Roman"/>
        </w:rPr>
        <w:t>根据沿线居民情况，全线划分为</w:t>
      </w:r>
      <w:r>
        <w:t>一</w:t>
      </w:r>
      <w:r>
        <w:rPr>
          <w:rFonts w:ascii="Times New Roman" w:cs="Times New Roman"/>
        </w:rPr>
        <w:t>级地区。</w:t>
      </w:r>
    </w:p>
    <w:p w:rsidR="00AD2065" w:rsidRPr="00733954" w:rsidRDefault="00AD2065" w:rsidP="00AD2065">
      <w:pPr>
        <w:pStyle w:val="3"/>
        <w:rPr>
          <w:rFonts w:eastAsia="宋体"/>
        </w:rPr>
      </w:pPr>
      <w:bookmarkStart w:id="147" w:name="_Toc12288418"/>
      <w:bookmarkStart w:id="148" w:name="_Toc19815960"/>
      <w:r w:rsidRPr="00733954">
        <w:rPr>
          <w:rFonts w:eastAsia="宋体"/>
        </w:rPr>
        <w:t>3.</w:t>
      </w:r>
      <w:r>
        <w:rPr>
          <w:rFonts w:eastAsia="宋体" w:hint="eastAsia"/>
        </w:rPr>
        <w:t>5</w:t>
      </w:r>
      <w:r w:rsidRPr="00733954">
        <w:rPr>
          <w:rFonts w:eastAsia="宋体"/>
        </w:rPr>
        <w:t xml:space="preserve">.3 </w:t>
      </w:r>
      <w:r w:rsidRPr="00733954">
        <w:rPr>
          <w:rFonts w:eastAsia="宋体"/>
        </w:rPr>
        <w:t>河流穿越</w:t>
      </w:r>
      <w:bookmarkEnd w:id="147"/>
      <w:bookmarkEnd w:id="148"/>
    </w:p>
    <w:p w:rsidR="00AD2065" w:rsidRDefault="00AD2065" w:rsidP="00AD2065">
      <w:pPr>
        <w:pStyle w:val="a1"/>
        <w:ind w:firstLine="480"/>
        <w:rPr>
          <w:rFonts w:ascii="Times New Roman" w:cs="Times New Roman"/>
        </w:rPr>
      </w:pPr>
      <w:r>
        <w:rPr>
          <w:rFonts w:ascii="Times New Roman" w:cs="Times New Roman" w:hint="eastAsia"/>
        </w:rPr>
        <w:t>本项目管线不涉及河流穿越</w:t>
      </w:r>
      <w:r w:rsidR="00B371EB">
        <w:rPr>
          <w:rFonts w:ascii="Times New Roman" w:cs="Times New Roman" w:hint="eastAsia"/>
        </w:rPr>
        <w:t>，管道</w:t>
      </w:r>
      <w:r w:rsidR="00B371EB" w:rsidRPr="00B371EB">
        <w:rPr>
          <w:rFonts w:ascii="Times New Roman" w:cs="Times New Roman" w:hint="eastAsia"/>
        </w:rPr>
        <w:t>跨越冲沟</w:t>
      </w:r>
      <w:r w:rsidR="00B371EB" w:rsidRPr="00B371EB">
        <w:rPr>
          <w:rFonts w:ascii="Times New Roman" w:cs="Times New Roman"/>
        </w:rPr>
        <w:t>1</w:t>
      </w:r>
      <w:r w:rsidR="00B371EB">
        <w:rPr>
          <w:rFonts w:ascii="Times New Roman" w:cs="Times New Roman" w:hint="eastAsia"/>
        </w:rPr>
        <w:t>处</w:t>
      </w:r>
      <w:r w:rsidR="00B371EB" w:rsidRPr="00B371EB">
        <w:rPr>
          <w:rFonts w:ascii="Times New Roman" w:cs="Times New Roman" w:hint="eastAsia"/>
        </w:rPr>
        <w:t>，采用桁架跨越的方式过沟</w:t>
      </w:r>
      <w:r w:rsidRPr="00733954">
        <w:rPr>
          <w:rFonts w:ascii="Times New Roman" w:cs="Times New Roman"/>
        </w:rPr>
        <w:t>。</w:t>
      </w:r>
    </w:p>
    <w:p w:rsidR="00AD2065" w:rsidRPr="00733954" w:rsidRDefault="00AD2065" w:rsidP="00AD2065">
      <w:pPr>
        <w:pStyle w:val="3"/>
        <w:rPr>
          <w:rFonts w:eastAsia="宋体"/>
        </w:rPr>
      </w:pPr>
      <w:bookmarkStart w:id="149" w:name="_Toc12288427"/>
      <w:r w:rsidRPr="00733954">
        <w:rPr>
          <w:rFonts w:eastAsia="宋体"/>
        </w:rPr>
        <w:t>3.</w:t>
      </w:r>
      <w:r>
        <w:rPr>
          <w:rFonts w:eastAsia="宋体" w:hint="eastAsia"/>
        </w:rPr>
        <w:t>5</w:t>
      </w:r>
      <w:r w:rsidRPr="00733954">
        <w:rPr>
          <w:rFonts w:eastAsia="宋体"/>
        </w:rPr>
        <w:t xml:space="preserve">.4 </w:t>
      </w:r>
      <w:r w:rsidRPr="00733954">
        <w:rPr>
          <w:rFonts w:eastAsia="宋体"/>
        </w:rPr>
        <w:t>道路穿越</w:t>
      </w:r>
      <w:bookmarkEnd w:id="149"/>
    </w:p>
    <w:p w:rsidR="00AD2065" w:rsidRDefault="00AD2065" w:rsidP="00AD2065">
      <w:pPr>
        <w:pStyle w:val="a1"/>
        <w:ind w:firstLine="480"/>
        <w:rPr>
          <w:rFonts w:ascii="Times New Roman" w:cs="Times New Roman"/>
        </w:rPr>
      </w:pPr>
      <w:r w:rsidRPr="00733954">
        <w:rPr>
          <w:rFonts w:ascii="Times New Roman" w:cs="Times New Roman"/>
        </w:rPr>
        <w:t>本工程</w:t>
      </w:r>
      <w:r w:rsidR="002E28C5">
        <w:rPr>
          <w:rFonts w:ascii="Times New Roman" w:cs="Times New Roman" w:hint="eastAsia"/>
        </w:rPr>
        <w:t>天然气</w:t>
      </w:r>
      <w:r w:rsidRPr="00733954">
        <w:rPr>
          <w:rFonts w:ascii="Times New Roman" w:cs="Times New Roman"/>
        </w:rPr>
        <w:t>管道穿越乡村公路</w:t>
      </w:r>
      <w:r>
        <w:rPr>
          <w:rFonts w:ascii="Times New Roman" w:cs="Times New Roman" w:hint="eastAsia"/>
        </w:rPr>
        <w:t>7</w:t>
      </w:r>
      <w:r w:rsidRPr="00733954">
        <w:rPr>
          <w:rFonts w:ascii="Times New Roman" w:cs="Times New Roman"/>
        </w:rPr>
        <w:t>处</w:t>
      </w:r>
      <w:r>
        <w:rPr>
          <w:rFonts w:ascii="Times New Roman" w:cs="Times New Roman" w:hint="eastAsia"/>
        </w:rPr>
        <w:t>。</w:t>
      </w:r>
    </w:p>
    <w:p w:rsidR="00AD2065" w:rsidRPr="00733954" w:rsidRDefault="00AD2065" w:rsidP="00AD2065">
      <w:pPr>
        <w:pStyle w:val="10"/>
        <w:rPr>
          <w:rFonts w:cs="Times New Roman"/>
        </w:rPr>
      </w:pPr>
      <w:r w:rsidRPr="00733954">
        <w:rPr>
          <w:rFonts w:cs="Times New Roman"/>
        </w:rPr>
        <w:t>表</w:t>
      </w:r>
      <w:r w:rsidRPr="00733954">
        <w:rPr>
          <w:rFonts w:cs="Times New Roman"/>
        </w:rPr>
        <w:t>3.</w:t>
      </w:r>
      <w:r w:rsidR="002E28C5">
        <w:rPr>
          <w:rFonts w:cs="Times New Roman" w:hint="eastAsia"/>
        </w:rPr>
        <w:t>5</w:t>
      </w:r>
      <w:r w:rsidRPr="00733954">
        <w:rPr>
          <w:rFonts w:cs="Times New Roman"/>
        </w:rPr>
        <w:t>-</w:t>
      </w:r>
      <w:r>
        <w:rPr>
          <w:rFonts w:cs="Times New Roman" w:hint="eastAsia"/>
        </w:rPr>
        <w:t>2</w:t>
      </w:r>
      <w:r w:rsidRPr="00733954">
        <w:rPr>
          <w:rFonts w:cs="Times New Roman"/>
        </w:rPr>
        <w:t xml:space="preserve">  </w:t>
      </w:r>
      <w:r w:rsidRPr="00733954">
        <w:rPr>
          <w:rFonts w:cs="Times New Roman"/>
        </w:rPr>
        <w:t>公路及机耕路穿越统计表</w:t>
      </w:r>
    </w:p>
    <w:tbl>
      <w:tblPr>
        <w:tblW w:w="8849" w:type="dxa"/>
        <w:jc w:val="center"/>
        <w:tblBorders>
          <w:top w:val="single" w:sz="12" w:space="0" w:color="000000"/>
          <w:bottom w:val="single" w:sz="12" w:space="0" w:color="000000"/>
          <w:insideH w:val="single" w:sz="4" w:space="0" w:color="000000"/>
          <w:insideV w:val="single" w:sz="4" w:space="0" w:color="000000"/>
        </w:tblBorders>
        <w:tblLayout w:type="fixed"/>
        <w:tblCellMar>
          <w:left w:w="0" w:type="dxa"/>
          <w:right w:w="0" w:type="dxa"/>
        </w:tblCellMar>
        <w:tblLook w:val="0000"/>
      </w:tblPr>
      <w:tblGrid>
        <w:gridCol w:w="1830"/>
        <w:gridCol w:w="1644"/>
        <w:gridCol w:w="1474"/>
        <w:gridCol w:w="1559"/>
        <w:gridCol w:w="1587"/>
        <w:gridCol w:w="755"/>
      </w:tblGrid>
      <w:tr w:rsidR="00AD2065" w:rsidRPr="00733954" w:rsidTr="00263423">
        <w:trPr>
          <w:trHeight w:val="275"/>
          <w:jc w:val="center"/>
        </w:trPr>
        <w:tc>
          <w:tcPr>
            <w:tcW w:w="1830" w:type="dxa"/>
            <w:noWrap/>
            <w:tcMar>
              <w:top w:w="15" w:type="dxa"/>
              <w:left w:w="15" w:type="dxa"/>
              <w:right w:w="15" w:type="dxa"/>
            </w:tcMar>
            <w:vAlign w:val="center"/>
          </w:tcPr>
          <w:p w:rsidR="00AD2065" w:rsidRPr="00733954" w:rsidRDefault="00AD2065" w:rsidP="00263423">
            <w:pPr>
              <w:pStyle w:val="afff1"/>
              <w:rPr>
                <w:b/>
                <w:bCs/>
                <w:szCs w:val="21"/>
              </w:rPr>
            </w:pPr>
            <w:r w:rsidRPr="00733954">
              <w:rPr>
                <w:b/>
                <w:bCs/>
                <w:szCs w:val="21"/>
              </w:rPr>
              <w:t>序号</w:t>
            </w:r>
          </w:p>
        </w:tc>
        <w:tc>
          <w:tcPr>
            <w:tcW w:w="1644" w:type="dxa"/>
            <w:tcBorders>
              <w:right w:val="single" w:sz="4" w:space="0" w:color="auto"/>
            </w:tcBorders>
            <w:noWrap/>
            <w:tcMar>
              <w:top w:w="15" w:type="dxa"/>
              <w:left w:w="15" w:type="dxa"/>
              <w:right w:w="15" w:type="dxa"/>
            </w:tcMar>
            <w:vAlign w:val="center"/>
          </w:tcPr>
          <w:p w:rsidR="00AD2065" w:rsidRPr="00733954" w:rsidRDefault="00AD2065" w:rsidP="00263423">
            <w:pPr>
              <w:pStyle w:val="afff1"/>
              <w:rPr>
                <w:b/>
                <w:bCs/>
                <w:szCs w:val="21"/>
              </w:rPr>
            </w:pPr>
            <w:r w:rsidRPr="00733954">
              <w:rPr>
                <w:b/>
                <w:bCs/>
                <w:szCs w:val="21"/>
              </w:rPr>
              <w:t>地点</w:t>
            </w:r>
          </w:p>
        </w:tc>
        <w:tc>
          <w:tcPr>
            <w:tcW w:w="1474" w:type="dxa"/>
            <w:tcBorders>
              <w:left w:val="single" w:sz="4" w:space="0" w:color="auto"/>
            </w:tcBorders>
            <w:tcMar>
              <w:top w:w="15" w:type="dxa"/>
              <w:left w:w="15" w:type="dxa"/>
              <w:right w:w="15" w:type="dxa"/>
            </w:tcMar>
            <w:vAlign w:val="center"/>
          </w:tcPr>
          <w:p w:rsidR="00AD2065" w:rsidRPr="00733954" w:rsidRDefault="00AD2065" w:rsidP="00263423">
            <w:pPr>
              <w:pStyle w:val="afff1"/>
              <w:rPr>
                <w:b/>
                <w:bCs/>
              </w:rPr>
            </w:pPr>
            <w:r w:rsidRPr="00733954">
              <w:rPr>
                <w:b/>
                <w:bCs/>
              </w:rPr>
              <w:t>测绘里程桩号</w:t>
            </w:r>
          </w:p>
        </w:tc>
        <w:tc>
          <w:tcPr>
            <w:tcW w:w="1559" w:type="dxa"/>
            <w:noWrap/>
            <w:tcMar>
              <w:top w:w="15" w:type="dxa"/>
              <w:left w:w="15" w:type="dxa"/>
              <w:right w:w="15" w:type="dxa"/>
            </w:tcMar>
            <w:vAlign w:val="center"/>
          </w:tcPr>
          <w:p w:rsidR="00AD2065" w:rsidRPr="00733954" w:rsidRDefault="00AD2065" w:rsidP="00263423">
            <w:pPr>
              <w:pStyle w:val="afff1"/>
              <w:rPr>
                <w:b/>
                <w:bCs/>
                <w:szCs w:val="21"/>
              </w:rPr>
            </w:pPr>
            <w:r w:rsidRPr="00733954">
              <w:rPr>
                <w:b/>
                <w:bCs/>
                <w:szCs w:val="21"/>
              </w:rPr>
              <w:t>公路宽（</w:t>
            </w:r>
            <w:r w:rsidRPr="00733954">
              <w:rPr>
                <w:b/>
                <w:bCs/>
                <w:szCs w:val="21"/>
              </w:rPr>
              <w:t>m</w:t>
            </w:r>
            <w:r w:rsidRPr="00733954">
              <w:rPr>
                <w:b/>
                <w:bCs/>
                <w:szCs w:val="21"/>
              </w:rPr>
              <w:t>）</w:t>
            </w:r>
          </w:p>
        </w:tc>
        <w:tc>
          <w:tcPr>
            <w:tcW w:w="1587" w:type="dxa"/>
            <w:noWrap/>
            <w:tcMar>
              <w:top w:w="15" w:type="dxa"/>
              <w:left w:w="15" w:type="dxa"/>
              <w:right w:w="15" w:type="dxa"/>
            </w:tcMar>
            <w:vAlign w:val="center"/>
          </w:tcPr>
          <w:p w:rsidR="00AD2065" w:rsidRPr="00733954" w:rsidRDefault="00AD2065" w:rsidP="00263423">
            <w:pPr>
              <w:pStyle w:val="afff1"/>
              <w:rPr>
                <w:b/>
                <w:bCs/>
                <w:szCs w:val="21"/>
              </w:rPr>
            </w:pPr>
            <w:r w:rsidRPr="00733954">
              <w:rPr>
                <w:b/>
                <w:bCs/>
                <w:szCs w:val="21"/>
              </w:rPr>
              <w:t>套管长度（</w:t>
            </w:r>
            <w:r w:rsidRPr="00733954">
              <w:rPr>
                <w:b/>
                <w:bCs/>
                <w:szCs w:val="21"/>
              </w:rPr>
              <w:t>m</w:t>
            </w:r>
            <w:r w:rsidRPr="00733954">
              <w:rPr>
                <w:b/>
                <w:bCs/>
                <w:szCs w:val="21"/>
              </w:rPr>
              <w:t>）</w:t>
            </w:r>
          </w:p>
        </w:tc>
        <w:tc>
          <w:tcPr>
            <w:tcW w:w="755" w:type="dxa"/>
            <w:noWrap/>
            <w:tcMar>
              <w:top w:w="15" w:type="dxa"/>
              <w:left w:w="15" w:type="dxa"/>
              <w:right w:w="15" w:type="dxa"/>
            </w:tcMar>
            <w:vAlign w:val="center"/>
          </w:tcPr>
          <w:p w:rsidR="00AD2065" w:rsidRPr="00733954" w:rsidRDefault="00AD2065" w:rsidP="00263423">
            <w:pPr>
              <w:pStyle w:val="afff1"/>
              <w:rPr>
                <w:b/>
                <w:bCs/>
                <w:szCs w:val="21"/>
              </w:rPr>
            </w:pPr>
            <w:r w:rsidRPr="00733954">
              <w:rPr>
                <w:b/>
                <w:bCs/>
                <w:szCs w:val="21"/>
              </w:rPr>
              <w:t>备注</w:t>
            </w:r>
          </w:p>
        </w:tc>
      </w:tr>
      <w:tr w:rsidR="00AD2065" w:rsidRPr="00733954" w:rsidTr="00263423">
        <w:trPr>
          <w:trHeight w:val="275"/>
          <w:jc w:val="center"/>
        </w:trPr>
        <w:tc>
          <w:tcPr>
            <w:tcW w:w="1830" w:type="dxa"/>
            <w:noWrap/>
            <w:tcMar>
              <w:top w:w="15" w:type="dxa"/>
              <w:left w:w="15" w:type="dxa"/>
              <w:right w:w="15" w:type="dxa"/>
            </w:tcMar>
            <w:vAlign w:val="center"/>
          </w:tcPr>
          <w:p w:rsidR="00AD2065" w:rsidRPr="00733954" w:rsidRDefault="00AD2065" w:rsidP="00263423">
            <w:pPr>
              <w:pStyle w:val="afff1"/>
              <w:rPr>
                <w:szCs w:val="21"/>
              </w:rPr>
            </w:pPr>
            <w:r w:rsidRPr="00733954">
              <w:rPr>
                <w:szCs w:val="21"/>
              </w:rPr>
              <w:t>1</w:t>
            </w:r>
          </w:p>
        </w:tc>
        <w:tc>
          <w:tcPr>
            <w:tcW w:w="1644" w:type="dxa"/>
            <w:tcBorders>
              <w:right w:val="single" w:sz="4" w:space="0" w:color="auto"/>
            </w:tcBorders>
            <w:noWrap/>
            <w:tcMar>
              <w:top w:w="15" w:type="dxa"/>
              <w:left w:w="15" w:type="dxa"/>
              <w:right w:w="15" w:type="dxa"/>
            </w:tcMar>
            <w:vAlign w:val="center"/>
          </w:tcPr>
          <w:p w:rsidR="00AD2065" w:rsidRPr="00733954" w:rsidRDefault="00AD2065" w:rsidP="00263423">
            <w:pPr>
              <w:pStyle w:val="afff1"/>
              <w:rPr>
                <w:szCs w:val="21"/>
              </w:rPr>
            </w:pPr>
            <w:r>
              <w:rPr>
                <w:rFonts w:hint="eastAsia"/>
                <w:szCs w:val="21"/>
              </w:rPr>
              <w:t>北斗</w:t>
            </w:r>
            <w:r w:rsidRPr="00733954">
              <w:rPr>
                <w:szCs w:val="21"/>
              </w:rPr>
              <w:t>村</w:t>
            </w:r>
          </w:p>
        </w:tc>
        <w:tc>
          <w:tcPr>
            <w:tcW w:w="1474" w:type="dxa"/>
            <w:tcBorders>
              <w:left w:val="single" w:sz="4" w:space="0" w:color="auto"/>
            </w:tcBorders>
            <w:tcMar>
              <w:top w:w="15" w:type="dxa"/>
              <w:left w:w="15" w:type="dxa"/>
              <w:right w:w="15" w:type="dxa"/>
            </w:tcMar>
            <w:vAlign w:val="center"/>
          </w:tcPr>
          <w:p w:rsidR="00AD2065" w:rsidRPr="00733954" w:rsidRDefault="00AD2065" w:rsidP="00AD2065">
            <w:pPr>
              <w:pStyle w:val="afff1"/>
            </w:pPr>
            <w:r w:rsidRPr="00733954">
              <w:t>AB</w:t>
            </w:r>
            <w:r w:rsidRPr="00733954">
              <w:rPr>
                <w:rFonts w:hint="eastAsia"/>
              </w:rPr>
              <w:t>0</w:t>
            </w:r>
            <w:r>
              <w:rPr>
                <w:rFonts w:hint="eastAsia"/>
              </w:rPr>
              <w:t>1</w:t>
            </w:r>
            <w:r w:rsidRPr="00733954">
              <w:t>-AB</w:t>
            </w:r>
            <w:r w:rsidRPr="00733954">
              <w:rPr>
                <w:rFonts w:hint="eastAsia"/>
              </w:rPr>
              <w:t>0</w:t>
            </w:r>
            <w:r>
              <w:rPr>
                <w:rFonts w:hint="eastAsia"/>
              </w:rPr>
              <w:t>2</w:t>
            </w:r>
          </w:p>
        </w:tc>
        <w:tc>
          <w:tcPr>
            <w:tcW w:w="1559" w:type="dxa"/>
            <w:noWrap/>
            <w:tcMar>
              <w:top w:w="15" w:type="dxa"/>
              <w:left w:w="15" w:type="dxa"/>
              <w:right w:w="15" w:type="dxa"/>
            </w:tcMar>
            <w:vAlign w:val="center"/>
          </w:tcPr>
          <w:p w:rsidR="00AD2065" w:rsidRPr="00733954" w:rsidRDefault="00AD2065" w:rsidP="00263423">
            <w:pPr>
              <w:pStyle w:val="afff1"/>
              <w:rPr>
                <w:szCs w:val="21"/>
              </w:rPr>
            </w:pPr>
            <w:r w:rsidRPr="00733954">
              <w:rPr>
                <w:szCs w:val="21"/>
              </w:rPr>
              <w:t>4</w:t>
            </w:r>
          </w:p>
        </w:tc>
        <w:tc>
          <w:tcPr>
            <w:tcW w:w="1587" w:type="dxa"/>
            <w:noWrap/>
            <w:tcMar>
              <w:top w:w="15" w:type="dxa"/>
              <w:left w:w="15" w:type="dxa"/>
              <w:right w:w="15" w:type="dxa"/>
            </w:tcMar>
            <w:vAlign w:val="center"/>
          </w:tcPr>
          <w:p w:rsidR="00AD2065" w:rsidRPr="00733954" w:rsidRDefault="00AD2065" w:rsidP="00263423">
            <w:pPr>
              <w:pStyle w:val="afff1"/>
              <w:rPr>
                <w:szCs w:val="21"/>
              </w:rPr>
            </w:pPr>
            <w:r w:rsidRPr="00733954">
              <w:rPr>
                <w:szCs w:val="21"/>
              </w:rPr>
              <w:t>6</w:t>
            </w:r>
          </w:p>
        </w:tc>
        <w:tc>
          <w:tcPr>
            <w:tcW w:w="755" w:type="dxa"/>
            <w:vMerge w:val="restart"/>
            <w:noWrap/>
            <w:tcMar>
              <w:top w:w="15" w:type="dxa"/>
              <w:left w:w="15" w:type="dxa"/>
              <w:right w:w="15" w:type="dxa"/>
            </w:tcMar>
            <w:vAlign w:val="center"/>
          </w:tcPr>
          <w:p w:rsidR="00AD2065" w:rsidRPr="00733954" w:rsidRDefault="00AD2065" w:rsidP="00263423">
            <w:pPr>
              <w:pStyle w:val="afff1"/>
              <w:rPr>
                <w:szCs w:val="21"/>
              </w:rPr>
            </w:pPr>
            <w:r w:rsidRPr="00733954">
              <w:rPr>
                <w:szCs w:val="21"/>
              </w:rPr>
              <w:t>顶管</w:t>
            </w:r>
          </w:p>
          <w:p w:rsidR="00AD2065" w:rsidRPr="00733954" w:rsidRDefault="00AD2065" w:rsidP="00263423">
            <w:pPr>
              <w:pStyle w:val="afff1"/>
              <w:rPr>
                <w:szCs w:val="21"/>
              </w:rPr>
            </w:pPr>
            <w:r w:rsidRPr="00733954">
              <w:rPr>
                <w:szCs w:val="21"/>
              </w:rPr>
              <w:t>穿越</w:t>
            </w:r>
          </w:p>
        </w:tc>
      </w:tr>
      <w:tr w:rsidR="00AD2065" w:rsidRPr="00733954" w:rsidTr="00263423">
        <w:trPr>
          <w:trHeight w:val="275"/>
          <w:jc w:val="center"/>
        </w:trPr>
        <w:tc>
          <w:tcPr>
            <w:tcW w:w="1830" w:type="dxa"/>
            <w:noWrap/>
            <w:tcMar>
              <w:top w:w="15" w:type="dxa"/>
              <w:left w:w="15" w:type="dxa"/>
              <w:right w:w="15" w:type="dxa"/>
            </w:tcMar>
            <w:vAlign w:val="center"/>
          </w:tcPr>
          <w:p w:rsidR="00AD2065" w:rsidRPr="00733954" w:rsidRDefault="00AD2065" w:rsidP="00263423">
            <w:pPr>
              <w:pStyle w:val="afff1"/>
              <w:rPr>
                <w:szCs w:val="21"/>
              </w:rPr>
            </w:pPr>
            <w:r w:rsidRPr="00733954">
              <w:rPr>
                <w:szCs w:val="21"/>
              </w:rPr>
              <w:t>2</w:t>
            </w:r>
          </w:p>
        </w:tc>
        <w:tc>
          <w:tcPr>
            <w:tcW w:w="1644" w:type="dxa"/>
            <w:tcBorders>
              <w:right w:val="single" w:sz="4" w:space="0" w:color="auto"/>
            </w:tcBorders>
            <w:noWrap/>
            <w:tcMar>
              <w:top w:w="15" w:type="dxa"/>
              <w:left w:w="15" w:type="dxa"/>
              <w:right w:w="15" w:type="dxa"/>
            </w:tcMar>
            <w:vAlign w:val="center"/>
          </w:tcPr>
          <w:p w:rsidR="00AD2065" w:rsidRPr="00733954" w:rsidRDefault="00AD2065" w:rsidP="00263423">
            <w:pPr>
              <w:pStyle w:val="afff1"/>
              <w:rPr>
                <w:szCs w:val="21"/>
              </w:rPr>
            </w:pPr>
            <w:r>
              <w:rPr>
                <w:rFonts w:hint="eastAsia"/>
                <w:szCs w:val="21"/>
              </w:rPr>
              <w:t>北斗</w:t>
            </w:r>
            <w:r w:rsidRPr="00733954">
              <w:rPr>
                <w:szCs w:val="21"/>
              </w:rPr>
              <w:t>村</w:t>
            </w:r>
          </w:p>
        </w:tc>
        <w:tc>
          <w:tcPr>
            <w:tcW w:w="1474" w:type="dxa"/>
            <w:tcBorders>
              <w:left w:val="single" w:sz="4" w:space="0" w:color="auto"/>
            </w:tcBorders>
            <w:tcMar>
              <w:top w:w="15" w:type="dxa"/>
              <w:left w:w="15" w:type="dxa"/>
              <w:right w:w="15" w:type="dxa"/>
            </w:tcMar>
            <w:vAlign w:val="center"/>
          </w:tcPr>
          <w:p w:rsidR="00AD2065" w:rsidRPr="00733954" w:rsidRDefault="00AD2065" w:rsidP="00AD2065">
            <w:pPr>
              <w:pStyle w:val="afff1"/>
            </w:pPr>
            <w:r w:rsidRPr="00733954">
              <w:t>AB</w:t>
            </w:r>
            <w:r w:rsidRPr="00733954">
              <w:rPr>
                <w:rFonts w:hint="eastAsia"/>
              </w:rPr>
              <w:t>0</w:t>
            </w:r>
            <w:r>
              <w:rPr>
                <w:rFonts w:hint="eastAsia"/>
              </w:rPr>
              <w:t>3</w:t>
            </w:r>
            <w:r w:rsidRPr="00733954">
              <w:t>-AB</w:t>
            </w:r>
            <w:r w:rsidRPr="00733954">
              <w:rPr>
                <w:rFonts w:hint="eastAsia"/>
              </w:rPr>
              <w:t>0</w:t>
            </w:r>
            <w:r>
              <w:rPr>
                <w:rFonts w:hint="eastAsia"/>
              </w:rPr>
              <w:t>4</w:t>
            </w:r>
          </w:p>
        </w:tc>
        <w:tc>
          <w:tcPr>
            <w:tcW w:w="1559" w:type="dxa"/>
            <w:noWrap/>
            <w:tcMar>
              <w:top w:w="15" w:type="dxa"/>
              <w:left w:w="15" w:type="dxa"/>
              <w:right w:w="15" w:type="dxa"/>
            </w:tcMar>
            <w:vAlign w:val="center"/>
          </w:tcPr>
          <w:p w:rsidR="00AD2065" w:rsidRPr="00733954" w:rsidRDefault="00AD2065" w:rsidP="00263423">
            <w:pPr>
              <w:pStyle w:val="afff1"/>
              <w:rPr>
                <w:szCs w:val="21"/>
              </w:rPr>
            </w:pPr>
            <w:r w:rsidRPr="00733954">
              <w:rPr>
                <w:szCs w:val="21"/>
              </w:rPr>
              <w:t>4</w:t>
            </w:r>
          </w:p>
        </w:tc>
        <w:tc>
          <w:tcPr>
            <w:tcW w:w="1587" w:type="dxa"/>
            <w:noWrap/>
            <w:tcMar>
              <w:top w:w="15" w:type="dxa"/>
              <w:left w:w="15" w:type="dxa"/>
              <w:right w:w="15" w:type="dxa"/>
            </w:tcMar>
          </w:tcPr>
          <w:p w:rsidR="00AD2065" w:rsidRPr="00733954" w:rsidRDefault="00AD2065" w:rsidP="00263423">
            <w:pPr>
              <w:pStyle w:val="afff1"/>
              <w:rPr>
                <w:szCs w:val="21"/>
              </w:rPr>
            </w:pPr>
            <w:r w:rsidRPr="00733954">
              <w:rPr>
                <w:szCs w:val="21"/>
              </w:rPr>
              <w:t>6</w:t>
            </w:r>
          </w:p>
        </w:tc>
        <w:tc>
          <w:tcPr>
            <w:tcW w:w="755" w:type="dxa"/>
            <w:vMerge/>
            <w:noWrap/>
            <w:tcMar>
              <w:top w:w="15" w:type="dxa"/>
              <w:left w:w="15" w:type="dxa"/>
              <w:right w:w="15" w:type="dxa"/>
            </w:tcMar>
            <w:vAlign w:val="center"/>
          </w:tcPr>
          <w:p w:rsidR="00AD2065" w:rsidRPr="00733954" w:rsidRDefault="00AD2065" w:rsidP="00263423">
            <w:pPr>
              <w:pStyle w:val="afff1"/>
              <w:rPr>
                <w:szCs w:val="21"/>
              </w:rPr>
            </w:pPr>
          </w:p>
        </w:tc>
      </w:tr>
      <w:tr w:rsidR="00AD2065" w:rsidRPr="00733954" w:rsidTr="00263423">
        <w:trPr>
          <w:trHeight w:val="275"/>
          <w:jc w:val="center"/>
        </w:trPr>
        <w:tc>
          <w:tcPr>
            <w:tcW w:w="1830" w:type="dxa"/>
            <w:noWrap/>
            <w:tcMar>
              <w:top w:w="15" w:type="dxa"/>
              <w:left w:w="15" w:type="dxa"/>
              <w:right w:w="15" w:type="dxa"/>
            </w:tcMar>
            <w:vAlign w:val="center"/>
          </w:tcPr>
          <w:p w:rsidR="00AD2065" w:rsidRPr="00733954" w:rsidRDefault="00AD2065" w:rsidP="00263423">
            <w:pPr>
              <w:pStyle w:val="afff1"/>
              <w:rPr>
                <w:szCs w:val="21"/>
              </w:rPr>
            </w:pPr>
            <w:r w:rsidRPr="00733954">
              <w:rPr>
                <w:szCs w:val="21"/>
              </w:rPr>
              <w:t>3</w:t>
            </w:r>
          </w:p>
        </w:tc>
        <w:tc>
          <w:tcPr>
            <w:tcW w:w="1644" w:type="dxa"/>
            <w:tcBorders>
              <w:right w:val="single" w:sz="4" w:space="0" w:color="auto"/>
            </w:tcBorders>
            <w:noWrap/>
            <w:tcMar>
              <w:top w:w="15" w:type="dxa"/>
              <w:left w:w="15" w:type="dxa"/>
              <w:right w:w="15" w:type="dxa"/>
            </w:tcMar>
            <w:vAlign w:val="center"/>
          </w:tcPr>
          <w:p w:rsidR="00AD2065" w:rsidRPr="00733954" w:rsidRDefault="00AD2065" w:rsidP="00263423">
            <w:pPr>
              <w:pStyle w:val="afff1"/>
              <w:rPr>
                <w:szCs w:val="21"/>
              </w:rPr>
            </w:pPr>
            <w:r>
              <w:rPr>
                <w:rFonts w:hint="eastAsia"/>
                <w:szCs w:val="21"/>
              </w:rPr>
              <w:t>北斗</w:t>
            </w:r>
            <w:r w:rsidRPr="00733954">
              <w:rPr>
                <w:szCs w:val="21"/>
              </w:rPr>
              <w:t>村</w:t>
            </w:r>
          </w:p>
        </w:tc>
        <w:tc>
          <w:tcPr>
            <w:tcW w:w="1474" w:type="dxa"/>
            <w:tcBorders>
              <w:left w:val="single" w:sz="4" w:space="0" w:color="auto"/>
            </w:tcBorders>
            <w:tcMar>
              <w:top w:w="15" w:type="dxa"/>
              <w:left w:w="15" w:type="dxa"/>
              <w:right w:w="15" w:type="dxa"/>
            </w:tcMar>
            <w:vAlign w:val="center"/>
          </w:tcPr>
          <w:p w:rsidR="00AD2065" w:rsidRPr="00733954" w:rsidRDefault="00AD2065" w:rsidP="00AD2065">
            <w:pPr>
              <w:pStyle w:val="afff1"/>
              <w:rPr>
                <w:szCs w:val="21"/>
              </w:rPr>
            </w:pPr>
            <w:r w:rsidRPr="00733954">
              <w:t>AB</w:t>
            </w:r>
            <w:r>
              <w:rPr>
                <w:rFonts w:hint="eastAsia"/>
              </w:rPr>
              <w:t>05</w:t>
            </w:r>
            <w:r w:rsidRPr="00733954">
              <w:t>-AB</w:t>
            </w:r>
            <w:r w:rsidRPr="00733954">
              <w:rPr>
                <w:rFonts w:hint="eastAsia"/>
              </w:rPr>
              <w:t>0</w:t>
            </w:r>
            <w:r>
              <w:rPr>
                <w:rFonts w:hint="eastAsia"/>
              </w:rPr>
              <w:t>6</w:t>
            </w:r>
          </w:p>
        </w:tc>
        <w:tc>
          <w:tcPr>
            <w:tcW w:w="1559" w:type="dxa"/>
            <w:noWrap/>
            <w:tcMar>
              <w:top w:w="15" w:type="dxa"/>
              <w:left w:w="15" w:type="dxa"/>
              <w:right w:w="15" w:type="dxa"/>
            </w:tcMar>
          </w:tcPr>
          <w:p w:rsidR="00AD2065" w:rsidRPr="00733954" w:rsidRDefault="00AD2065" w:rsidP="00263423">
            <w:pPr>
              <w:pStyle w:val="afff1"/>
              <w:rPr>
                <w:szCs w:val="21"/>
              </w:rPr>
            </w:pPr>
            <w:r w:rsidRPr="00733954">
              <w:rPr>
                <w:szCs w:val="21"/>
              </w:rPr>
              <w:t>4</w:t>
            </w:r>
          </w:p>
        </w:tc>
        <w:tc>
          <w:tcPr>
            <w:tcW w:w="1587" w:type="dxa"/>
            <w:noWrap/>
            <w:tcMar>
              <w:top w:w="15" w:type="dxa"/>
              <w:left w:w="15" w:type="dxa"/>
              <w:right w:w="15" w:type="dxa"/>
            </w:tcMar>
          </w:tcPr>
          <w:p w:rsidR="00AD2065" w:rsidRPr="00733954" w:rsidRDefault="00AD2065" w:rsidP="00263423">
            <w:pPr>
              <w:pStyle w:val="afff1"/>
              <w:rPr>
                <w:szCs w:val="21"/>
              </w:rPr>
            </w:pPr>
            <w:r w:rsidRPr="00733954">
              <w:rPr>
                <w:szCs w:val="21"/>
              </w:rPr>
              <w:t>6</w:t>
            </w:r>
          </w:p>
        </w:tc>
        <w:tc>
          <w:tcPr>
            <w:tcW w:w="755" w:type="dxa"/>
            <w:vMerge/>
            <w:noWrap/>
            <w:tcMar>
              <w:top w:w="15" w:type="dxa"/>
              <w:left w:w="15" w:type="dxa"/>
              <w:right w:w="15" w:type="dxa"/>
            </w:tcMar>
            <w:vAlign w:val="center"/>
          </w:tcPr>
          <w:p w:rsidR="00AD2065" w:rsidRPr="00733954" w:rsidRDefault="00AD2065" w:rsidP="00263423">
            <w:pPr>
              <w:pStyle w:val="afff1"/>
              <w:rPr>
                <w:szCs w:val="21"/>
              </w:rPr>
            </w:pPr>
          </w:p>
        </w:tc>
      </w:tr>
      <w:tr w:rsidR="00AD2065" w:rsidRPr="00733954" w:rsidTr="00263423">
        <w:trPr>
          <w:trHeight w:val="275"/>
          <w:jc w:val="center"/>
        </w:trPr>
        <w:tc>
          <w:tcPr>
            <w:tcW w:w="1830" w:type="dxa"/>
            <w:noWrap/>
            <w:tcMar>
              <w:top w:w="15" w:type="dxa"/>
              <w:left w:w="15" w:type="dxa"/>
              <w:right w:w="15" w:type="dxa"/>
            </w:tcMar>
            <w:vAlign w:val="center"/>
          </w:tcPr>
          <w:p w:rsidR="00AD2065" w:rsidRPr="00733954" w:rsidRDefault="00AD2065" w:rsidP="00263423">
            <w:pPr>
              <w:pStyle w:val="afff1"/>
              <w:rPr>
                <w:szCs w:val="21"/>
              </w:rPr>
            </w:pPr>
            <w:r w:rsidRPr="00733954">
              <w:rPr>
                <w:szCs w:val="21"/>
              </w:rPr>
              <w:t>4</w:t>
            </w:r>
          </w:p>
        </w:tc>
        <w:tc>
          <w:tcPr>
            <w:tcW w:w="1644" w:type="dxa"/>
            <w:tcBorders>
              <w:right w:val="single" w:sz="4" w:space="0" w:color="auto"/>
            </w:tcBorders>
            <w:noWrap/>
            <w:tcMar>
              <w:top w:w="15" w:type="dxa"/>
              <w:left w:w="15" w:type="dxa"/>
              <w:right w:w="15" w:type="dxa"/>
            </w:tcMar>
            <w:vAlign w:val="center"/>
          </w:tcPr>
          <w:p w:rsidR="00AD2065" w:rsidRPr="00733954" w:rsidRDefault="00AD2065" w:rsidP="00263423">
            <w:pPr>
              <w:pStyle w:val="afff1"/>
              <w:rPr>
                <w:szCs w:val="21"/>
              </w:rPr>
            </w:pPr>
            <w:r>
              <w:rPr>
                <w:rFonts w:hint="eastAsia"/>
                <w:szCs w:val="21"/>
              </w:rPr>
              <w:t>北斗</w:t>
            </w:r>
            <w:r w:rsidRPr="00733954">
              <w:rPr>
                <w:szCs w:val="21"/>
              </w:rPr>
              <w:t>村</w:t>
            </w:r>
          </w:p>
        </w:tc>
        <w:tc>
          <w:tcPr>
            <w:tcW w:w="1474" w:type="dxa"/>
            <w:tcBorders>
              <w:left w:val="single" w:sz="4" w:space="0" w:color="auto"/>
            </w:tcBorders>
            <w:tcMar>
              <w:top w:w="15" w:type="dxa"/>
              <w:left w:w="15" w:type="dxa"/>
              <w:right w:w="15" w:type="dxa"/>
            </w:tcMar>
            <w:vAlign w:val="center"/>
          </w:tcPr>
          <w:p w:rsidR="00AD2065" w:rsidRPr="00733954" w:rsidRDefault="00AD2065" w:rsidP="00AD2065">
            <w:pPr>
              <w:pStyle w:val="afff1"/>
              <w:rPr>
                <w:szCs w:val="21"/>
              </w:rPr>
            </w:pPr>
            <w:r w:rsidRPr="00733954">
              <w:t>AB</w:t>
            </w:r>
            <w:r w:rsidRPr="00733954">
              <w:rPr>
                <w:rFonts w:hint="eastAsia"/>
              </w:rPr>
              <w:t>0</w:t>
            </w:r>
            <w:r>
              <w:rPr>
                <w:rFonts w:hint="eastAsia"/>
              </w:rPr>
              <w:t>7</w:t>
            </w:r>
            <w:r w:rsidRPr="00733954">
              <w:t>-AB</w:t>
            </w:r>
            <w:r>
              <w:rPr>
                <w:rFonts w:hint="eastAsia"/>
              </w:rPr>
              <w:t>08</w:t>
            </w:r>
          </w:p>
        </w:tc>
        <w:tc>
          <w:tcPr>
            <w:tcW w:w="1559" w:type="dxa"/>
            <w:noWrap/>
            <w:tcMar>
              <w:top w:w="15" w:type="dxa"/>
              <w:left w:w="15" w:type="dxa"/>
              <w:right w:w="15" w:type="dxa"/>
            </w:tcMar>
          </w:tcPr>
          <w:p w:rsidR="00AD2065" w:rsidRPr="00733954" w:rsidRDefault="00AD2065" w:rsidP="00263423">
            <w:pPr>
              <w:pStyle w:val="afff1"/>
              <w:rPr>
                <w:szCs w:val="21"/>
              </w:rPr>
            </w:pPr>
            <w:r w:rsidRPr="00733954">
              <w:rPr>
                <w:szCs w:val="21"/>
              </w:rPr>
              <w:t>4</w:t>
            </w:r>
          </w:p>
        </w:tc>
        <w:tc>
          <w:tcPr>
            <w:tcW w:w="1587" w:type="dxa"/>
            <w:noWrap/>
            <w:tcMar>
              <w:top w:w="15" w:type="dxa"/>
              <w:left w:w="15" w:type="dxa"/>
              <w:right w:w="15" w:type="dxa"/>
            </w:tcMar>
          </w:tcPr>
          <w:p w:rsidR="00AD2065" w:rsidRPr="00733954" w:rsidRDefault="00AD2065" w:rsidP="00263423">
            <w:pPr>
              <w:pStyle w:val="afff1"/>
              <w:rPr>
                <w:szCs w:val="21"/>
              </w:rPr>
            </w:pPr>
            <w:r w:rsidRPr="00733954">
              <w:rPr>
                <w:szCs w:val="21"/>
              </w:rPr>
              <w:t>6</w:t>
            </w:r>
          </w:p>
        </w:tc>
        <w:tc>
          <w:tcPr>
            <w:tcW w:w="755" w:type="dxa"/>
            <w:vMerge/>
            <w:noWrap/>
            <w:tcMar>
              <w:top w:w="15" w:type="dxa"/>
              <w:left w:w="15" w:type="dxa"/>
              <w:right w:w="15" w:type="dxa"/>
            </w:tcMar>
            <w:vAlign w:val="center"/>
          </w:tcPr>
          <w:p w:rsidR="00AD2065" w:rsidRPr="00733954" w:rsidRDefault="00AD2065" w:rsidP="00263423">
            <w:pPr>
              <w:pStyle w:val="afff1"/>
              <w:rPr>
                <w:szCs w:val="21"/>
              </w:rPr>
            </w:pPr>
          </w:p>
        </w:tc>
      </w:tr>
      <w:tr w:rsidR="00AD2065" w:rsidRPr="00733954" w:rsidTr="00263423">
        <w:trPr>
          <w:trHeight w:val="275"/>
          <w:jc w:val="center"/>
        </w:trPr>
        <w:tc>
          <w:tcPr>
            <w:tcW w:w="1830" w:type="dxa"/>
            <w:noWrap/>
            <w:tcMar>
              <w:top w:w="15" w:type="dxa"/>
              <w:left w:w="15" w:type="dxa"/>
              <w:right w:w="15" w:type="dxa"/>
            </w:tcMar>
            <w:vAlign w:val="center"/>
          </w:tcPr>
          <w:p w:rsidR="00AD2065" w:rsidRPr="00733954" w:rsidRDefault="00AD2065" w:rsidP="00263423">
            <w:pPr>
              <w:pStyle w:val="afff1"/>
              <w:rPr>
                <w:szCs w:val="21"/>
              </w:rPr>
            </w:pPr>
            <w:r w:rsidRPr="00733954">
              <w:rPr>
                <w:szCs w:val="21"/>
              </w:rPr>
              <w:t>5</w:t>
            </w:r>
          </w:p>
        </w:tc>
        <w:tc>
          <w:tcPr>
            <w:tcW w:w="1644" w:type="dxa"/>
            <w:tcBorders>
              <w:right w:val="single" w:sz="4" w:space="0" w:color="auto"/>
            </w:tcBorders>
            <w:noWrap/>
            <w:tcMar>
              <w:top w:w="15" w:type="dxa"/>
              <w:left w:w="15" w:type="dxa"/>
              <w:right w:w="15" w:type="dxa"/>
            </w:tcMar>
            <w:vAlign w:val="center"/>
          </w:tcPr>
          <w:p w:rsidR="00AD2065" w:rsidRPr="00733954" w:rsidRDefault="00AD2065" w:rsidP="00263423">
            <w:pPr>
              <w:pStyle w:val="afff1"/>
              <w:rPr>
                <w:szCs w:val="21"/>
              </w:rPr>
            </w:pPr>
            <w:r>
              <w:rPr>
                <w:rFonts w:hint="eastAsia"/>
                <w:szCs w:val="21"/>
              </w:rPr>
              <w:t>北斗</w:t>
            </w:r>
            <w:r w:rsidRPr="00733954">
              <w:rPr>
                <w:szCs w:val="21"/>
              </w:rPr>
              <w:t>村</w:t>
            </w:r>
          </w:p>
        </w:tc>
        <w:tc>
          <w:tcPr>
            <w:tcW w:w="1474" w:type="dxa"/>
            <w:tcBorders>
              <w:left w:val="single" w:sz="4" w:space="0" w:color="auto"/>
            </w:tcBorders>
            <w:tcMar>
              <w:top w:w="15" w:type="dxa"/>
              <w:left w:w="15" w:type="dxa"/>
              <w:right w:w="15" w:type="dxa"/>
            </w:tcMar>
            <w:vAlign w:val="center"/>
          </w:tcPr>
          <w:p w:rsidR="00AD2065" w:rsidRPr="00733954" w:rsidRDefault="00AD2065" w:rsidP="00AD2065">
            <w:pPr>
              <w:pStyle w:val="afff1"/>
              <w:rPr>
                <w:szCs w:val="21"/>
              </w:rPr>
            </w:pPr>
            <w:r w:rsidRPr="00733954">
              <w:t>AB</w:t>
            </w:r>
            <w:r>
              <w:rPr>
                <w:rFonts w:hint="eastAsia"/>
              </w:rPr>
              <w:t>09</w:t>
            </w:r>
            <w:r w:rsidRPr="00733954">
              <w:t>-AB</w:t>
            </w:r>
            <w:r>
              <w:rPr>
                <w:rFonts w:hint="eastAsia"/>
              </w:rPr>
              <w:t>11</w:t>
            </w:r>
          </w:p>
        </w:tc>
        <w:tc>
          <w:tcPr>
            <w:tcW w:w="1559" w:type="dxa"/>
            <w:noWrap/>
            <w:tcMar>
              <w:top w:w="15" w:type="dxa"/>
              <w:left w:w="15" w:type="dxa"/>
              <w:right w:w="15" w:type="dxa"/>
            </w:tcMar>
          </w:tcPr>
          <w:p w:rsidR="00AD2065" w:rsidRPr="00733954" w:rsidRDefault="00AD2065" w:rsidP="00263423">
            <w:pPr>
              <w:pStyle w:val="afff1"/>
              <w:rPr>
                <w:szCs w:val="21"/>
              </w:rPr>
            </w:pPr>
            <w:r w:rsidRPr="00733954">
              <w:rPr>
                <w:szCs w:val="21"/>
              </w:rPr>
              <w:t>4</w:t>
            </w:r>
          </w:p>
        </w:tc>
        <w:tc>
          <w:tcPr>
            <w:tcW w:w="1587" w:type="dxa"/>
            <w:noWrap/>
            <w:tcMar>
              <w:top w:w="15" w:type="dxa"/>
              <w:left w:w="15" w:type="dxa"/>
              <w:right w:w="15" w:type="dxa"/>
            </w:tcMar>
          </w:tcPr>
          <w:p w:rsidR="00AD2065" w:rsidRPr="00733954" w:rsidRDefault="00AD2065" w:rsidP="00263423">
            <w:pPr>
              <w:pStyle w:val="afff1"/>
              <w:rPr>
                <w:szCs w:val="21"/>
              </w:rPr>
            </w:pPr>
            <w:r w:rsidRPr="00733954">
              <w:rPr>
                <w:szCs w:val="21"/>
              </w:rPr>
              <w:t>6</w:t>
            </w:r>
          </w:p>
        </w:tc>
        <w:tc>
          <w:tcPr>
            <w:tcW w:w="755" w:type="dxa"/>
            <w:vMerge/>
            <w:noWrap/>
            <w:tcMar>
              <w:top w:w="15" w:type="dxa"/>
              <w:left w:w="15" w:type="dxa"/>
              <w:right w:w="15" w:type="dxa"/>
            </w:tcMar>
            <w:vAlign w:val="center"/>
          </w:tcPr>
          <w:p w:rsidR="00AD2065" w:rsidRPr="00733954" w:rsidRDefault="00AD2065" w:rsidP="00263423">
            <w:pPr>
              <w:pStyle w:val="afff1"/>
              <w:rPr>
                <w:szCs w:val="21"/>
              </w:rPr>
            </w:pPr>
          </w:p>
        </w:tc>
      </w:tr>
      <w:tr w:rsidR="00AD2065" w:rsidRPr="00733954" w:rsidTr="00263423">
        <w:trPr>
          <w:trHeight w:val="275"/>
          <w:jc w:val="center"/>
        </w:trPr>
        <w:tc>
          <w:tcPr>
            <w:tcW w:w="1830" w:type="dxa"/>
            <w:noWrap/>
            <w:tcMar>
              <w:top w:w="15" w:type="dxa"/>
              <w:left w:w="15" w:type="dxa"/>
              <w:right w:w="15" w:type="dxa"/>
            </w:tcMar>
            <w:vAlign w:val="center"/>
          </w:tcPr>
          <w:p w:rsidR="00AD2065" w:rsidRPr="00733954" w:rsidRDefault="00AD2065" w:rsidP="00263423">
            <w:pPr>
              <w:pStyle w:val="afff1"/>
              <w:rPr>
                <w:szCs w:val="21"/>
              </w:rPr>
            </w:pPr>
            <w:r w:rsidRPr="00733954">
              <w:rPr>
                <w:szCs w:val="21"/>
              </w:rPr>
              <w:t>6</w:t>
            </w:r>
          </w:p>
        </w:tc>
        <w:tc>
          <w:tcPr>
            <w:tcW w:w="1644" w:type="dxa"/>
            <w:tcBorders>
              <w:right w:val="single" w:sz="4" w:space="0" w:color="auto"/>
            </w:tcBorders>
            <w:noWrap/>
            <w:tcMar>
              <w:top w:w="15" w:type="dxa"/>
              <w:left w:w="15" w:type="dxa"/>
              <w:right w:w="15" w:type="dxa"/>
            </w:tcMar>
            <w:vAlign w:val="center"/>
          </w:tcPr>
          <w:p w:rsidR="00AD2065" w:rsidRPr="00733954" w:rsidRDefault="00AD2065" w:rsidP="00263423">
            <w:pPr>
              <w:pStyle w:val="afff1"/>
              <w:rPr>
                <w:szCs w:val="21"/>
              </w:rPr>
            </w:pPr>
            <w:r>
              <w:rPr>
                <w:rFonts w:hint="eastAsia"/>
                <w:szCs w:val="21"/>
              </w:rPr>
              <w:t>北斗</w:t>
            </w:r>
            <w:r w:rsidRPr="00733954">
              <w:rPr>
                <w:szCs w:val="21"/>
              </w:rPr>
              <w:t>村</w:t>
            </w:r>
          </w:p>
        </w:tc>
        <w:tc>
          <w:tcPr>
            <w:tcW w:w="1474" w:type="dxa"/>
            <w:tcBorders>
              <w:left w:val="single" w:sz="4" w:space="0" w:color="auto"/>
            </w:tcBorders>
            <w:tcMar>
              <w:top w:w="15" w:type="dxa"/>
              <w:left w:w="15" w:type="dxa"/>
              <w:right w:w="15" w:type="dxa"/>
            </w:tcMar>
            <w:vAlign w:val="center"/>
          </w:tcPr>
          <w:p w:rsidR="00AD2065" w:rsidRPr="00733954" w:rsidRDefault="00AD2065" w:rsidP="00AD2065">
            <w:pPr>
              <w:pStyle w:val="afff1"/>
              <w:rPr>
                <w:szCs w:val="21"/>
              </w:rPr>
            </w:pPr>
            <w:r w:rsidRPr="00733954">
              <w:t>AB</w:t>
            </w:r>
            <w:r>
              <w:rPr>
                <w:rFonts w:hint="eastAsia"/>
              </w:rPr>
              <w:t>11</w:t>
            </w:r>
            <w:r w:rsidRPr="00733954">
              <w:t>-AB</w:t>
            </w:r>
            <w:r w:rsidRPr="00733954">
              <w:rPr>
                <w:rFonts w:hint="eastAsia"/>
              </w:rPr>
              <w:t>1</w:t>
            </w:r>
            <w:r>
              <w:rPr>
                <w:rFonts w:hint="eastAsia"/>
              </w:rPr>
              <w:t>2</w:t>
            </w:r>
          </w:p>
        </w:tc>
        <w:tc>
          <w:tcPr>
            <w:tcW w:w="1559" w:type="dxa"/>
            <w:noWrap/>
            <w:tcMar>
              <w:top w:w="15" w:type="dxa"/>
              <w:left w:w="15" w:type="dxa"/>
              <w:right w:w="15" w:type="dxa"/>
            </w:tcMar>
          </w:tcPr>
          <w:p w:rsidR="00AD2065" w:rsidRPr="00733954" w:rsidRDefault="00AD2065" w:rsidP="00263423">
            <w:pPr>
              <w:pStyle w:val="afff1"/>
              <w:rPr>
                <w:szCs w:val="21"/>
              </w:rPr>
            </w:pPr>
            <w:r w:rsidRPr="00733954">
              <w:rPr>
                <w:szCs w:val="21"/>
              </w:rPr>
              <w:t>4</w:t>
            </w:r>
          </w:p>
        </w:tc>
        <w:tc>
          <w:tcPr>
            <w:tcW w:w="1587" w:type="dxa"/>
            <w:noWrap/>
            <w:tcMar>
              <w:top w:w="15" w:type="dxa"/>
              <w:left w:w="15" w:type="dxa"/>
              <w:right w:w="15" w:type="dxa"/>
            </w:tcMar>
          </w:tcPr>
          <w:p w:rsidR="00AD2065" w:rsidRPr="00733954" w:rsidRDefault="00AD2065" w:rsidP="00263423">
            <w:pPr>
              <w:pStyle w:val="afff1"/>
              <w:rPr>
                <w:szCs w:val="21"/>
              </w:rPr>
            </w:pPr>
            <w:r w:rsidRPr="00733954">
              <w:rPr>
                <w:szCs w:val="21"/>
              </w:rPr>
              <w:t>6</w:t>
            </w:r>
          </w:p>
        </w:tc>
        <w:tc>
          <w:tcPr>
            <w:tcW w:w="755" w:type="dxa"/>
            <w:vMerge/>
            <w:noWrap/>
            <w:tcMar>
              <w:top w:w="15" w:type="dxa"/>
              <w:left w:w="15" w:type="dxa"/>
              <w:right w:w="15" w:type="dxa"/>
            </w:tcMar>
            <w:vAlign w:val="center"/>
          </w:tcPr>
          <w:p w:rsidR="00AD2065" w:rsidRPr="00733954" w:rsidRDefault="00AD2065" w:rsidP="00263423">
            <w:pPr>
              <w:pStyle w:val="afff1"/>
              <w:rPr>
                <w:szCs w:val="21"/>
              </w:rPr>
            </w:pPr>
          </w:p>
        </w:tc>
      </w:tr>
      <w:tr w:rsidR="00AD2065" w:rsidRPr="00733954" w:rsidTr="00263423">
        <w:trPr>
          <w:trHeight w:val="275"/>
          <w:jc w:val="center"/>
        </w:trPr>
        <w:tc>
          <w:tcPr>
            <w:tcW w:w="1830" w:type="dxa"/>
            <w:noWrap/>
            <w:tcMar>
              <w:top w:w="15" w:type="dxa"/>
              <w:left w:w="15" w:type="dxa"/>
              <w:right w:w="15" w:type="dxa"/>
            </w:tcMar>
            <w:vAlign w:val="center"/>
          </w:tcPr>
          <w:p w:rsidR="00AD2065" w:rsidRPr="00733954" w:rsidRDefault="00AD2065" w:rsidP="00263423">
            <w:pPr>
              <w:pStyle w:val="afff1"/>
              <w:rPr>
                <w:szCs w:val="21"/>
              </w:rPr>
            </w:pPr>
            <w:r>
              <w:rPr>
                <w:rFonts w:hint="eastAsia"/>
                <w:szCs w:val="21"/>
              </w:rPr>
              <w:t>7</w:t>
            </w:r>
          </w:p>
        </w:tc>
        <w:tc>
          <w:tcPr>
            <w:tcW w:w="1644" w:type="dxa"/>
            <w:tcBorders>
              <w:right w:val="single" w:sz="4" w:space="0" w:color="auto"/>
            </w:tcBorders>
            <w:noWrap/>
            <w:tcMar>
              <w:top w:w="15" w:type="dxa"/>
              <w:left w:w="15" w:type="dxa"/>
              <w:right w:w="15" w:type="dxa"/>
            </w:tcMar>
            <w:vAlign w:val="center"/>
          </w:tcPr>
          <w:p w:rsidR="00AD2065" w:rsidRPr="00733954" w:rsidRDefault="00AD2065" w:rsidP="00263423">
            <w:pPr>
              <w:pStyle w:val="afff1"/>
              <w:rPr>
                <w:szCs w:val="21"/>
              </w:rPr>
            </w:pPr>
            <w:r>
              <w:rPr>
                <w:rFonts w:hint="eastAsia"/>
                <w:szCs w:val="21"/>
              </w:rPr>
              <w:t>北斗</w:t>
            </w:r>
            <w:r w:rsidRPr="00733954">
              <w:rPr>
                <w:szCs w:val="21"/>
              </w:rPr>
              <w:t>村</w:t>
            </w:r>
          </w:p>
        </w:tc>
        <w:tc>
          <w:tcPr>
            <w:tcW w:w="1474" w:type="dxa"/>
            <w:tcBorders>
              <w:left w:val="single" w:sz="4" w:space="0" w:color="auto"/>
            </w:tcBorders>
            <w:tcMar>
              <w:top w:w="15" w:type="dxa"/>
              <w:left w:w="15" w:type="dxa"/>
              <w:right w:w="15" w:type="dxa"/>
            </w:tcMar>
            <w:vAlign w:val="center"/>
          </w:tcPr>
          <w:p w:rsidR="00AD2065" w:rsidRPr="00733954" w:rsidRDefault="00AD2065" w:rsidP="00AD2065">
            <w:pPr>
              <w:pStyle w:val="afff1"/>
              <w:rPr>
                <w:szCs w:val="21"/>
              </w:rPr>
            </w:pPr>
            <w:r w:rsidRPr="00733954">
              <w:t>AB</w:t>
            </w:r>
            <w:r w:rsidRPr="00733954">
              <w:rPr>
                <w:rFonts w:hint="eastAsia"/>
              </w:rPr>
              <w:t>1</w:t>
            </w:r>
            <w:r>
              <w:rPr>
                <w:rFonts w:hint="eastAsia"/>
              </w:rPr>
              <w:t>3</w:t>
            </w:r>
            <w:r w:rsidRPr="00733954">
              <w:t>-AB</w:t>
            </w:r>
            <w:r w:rsidRPr="00733954">
              <w:rPr>
                <w:rFonts w:hint="eastAsia"/>
              </w:rPr>
              <w:t>1</w:t>
            </w:r>
            <w:r>
              <w:rPr>
                <w:rFonts w:hint="eastAsia"/>
              </w:rPr>
              <w:t>4</w:t>
            </w:r>
          </w:p>
        </w:tc>
        <w:tc>
          <w:tcPr>
            <w:tcW w:w="1559" w:type="dxa"/>
            <w:noWrap/>
            <w:tcMar>
              <w:top w:w="15" w:type="dxa"/>
              <w:left w:w="15" w:type="dxa"/>
              <w:right w:w="15" w:type="dxa"/>
            </w:tcMar>
          </w:tcPr>
          <w:p w:rsidR="00AD2065" w:rsidRPr="00733954" w:rsidRDefault="00AD2065" w:rsidP="00263423">
            <w:pPr>
              <w:pStyle w:val="afff1"/>
              <w:rPr>
                <w:szCs w:val="21"/>
              </w:rPr>
            </w:pPr>
            <w:r w:rsidRPr="00733954">
              <w:rPr>
                <w:szCs w:val="21"/>
              </w:rPr>
              <w:t>4</w:t>
            </w:r>
          </w:p>
        </w:tc>
        <w:tc>
          <w:tcPr>
            <w:tcW w:w="1587" w:type="dxa"/>
            <w:noWrap/>
            <w:tcMar>
              <w:top w:w="15" w:type="dxa"/>
              <w:left w:w="15" w:type="dxa"/>
              <w:right w:w="15" w:type="dxa"/>
            </w:tcMar>
          </w:tcPr>
          <w:p w:rsidR="00AD2065" w:rsidRPr="00733954" w:rsidRDefault="00AD2065" w:rsidP="00263423">
            <w:pPr>
              <w:pStyle w:val="afff1"/>
              <w:rPr>
                <w:szCs w:val="21"/>
              </w:rPr>
            </w:pPr>
            <w:r w:rsidRPr="00733954">
              <w:rPr>
                <w:szCs w:val="21"/>
              </w:rPr>
              <w:t>6</w:t>
            </w:r>
          </w:p>
        </w:tc>
        <w:tc>
          <w:tcPr>
            <w:tcW w:w="755" w:type="dxa"/>
            <w:vMerge/>
            <w:noWrap/>
            <w:tcMar>
              <w:top w:w="15" w:type="dxa"/>
              <w:left w:w="15" w:type="dxa"/>
              <w:right w:w="15" w:type="dxa"/>
            </w:tcMar>
            <w:vAlign w:val="center"/>
          </w:tcPr>
          <w:p w:rsidR="00AD2065" w:rsidRPr="00733954" w:rsidRDefault="00AD2065" w:rsidP="00263423">
            <w:pPr>
              <w:pStyle w:val="afff1"/>
              <w:rPr>
                <w:szCs w:val="21"/>
              </w:rPr>
            </w:pPr>
          </w:p>
        </w:tc>
      </w:tr>
      <w:tr w:rsidR="00AD2065" w:rsidRPr="00733954" w:rsidTr="00263423">
        <w:trPr>
          <w:trHeight w:val="275"/>
          <w:jc w:val="center"/>
        </w:trPr>
        <w:tc>
          <w:tcPr>
            <w:tcW w:w="4948" w:type="dxa"/>
            <w:gridSpan w:val="3"/>
            <w:noWrap/>
            <w:tcMar>
              <w:top w:w="15" w:type="dxa"/>
              <w:left w:w="15" w:type="dxa"/>
              <w:right w:w="15" w:type="dxa"/>
            </w:tcMar>
            <w:vAlign w:val="center"/>
          </w:tcPr>
          <w:p w:rsidR="00AD2065" w:rsidRPr="00733954" w:rsidRDefault="00AD2065" w:rsidP="00263423">
            <w:pPr>
              <w:pStyle w:val="afff1"/>
              <w:rPr>
                <w:szCs w:val="21"/>
              </w:rPr>
            </w:pPr>
            <w:r w:rsidRPr="00733954">
              <w:rPr>
                <w:szCs w:val="21"/>
              </w:rPr>
              <w:t>合计</w:t>
            </w:r>
          </w:p>
        </w:tc>
        <w:tc>
          <w:tcPr>
            <w:tcW w:w="1559" w:type="dxa"/>
            <w:noWrap/>
            <w:tcMar>
              <w:top w:w="15" w:type="dxa"/>
              <w:left w:w="15" w:type="dxa"/>
              <w:right w:w="15" w:type="dxa"/>
            </w:tcMar>
          </w:tcPr>
          <w:p w:rsidR="00AD2065" w:rsidRPr="00733954" w:rsidRDefault="00AD2065" w:rsidP="00AD2065">
            <w:pPr>
              <w:pStyle w:val="afff1"/>
              <w:rPr>
                <w:szCs w:val="21"/>
              </w:rPr>
            </w:pPr>
            <w:r w:rsidRPr="00733954">
              <w:rPr>
                <w:rFonts w:hint="eastAsia"/>
                <w:szCs w:val="21"/>
              </w:rPr>
              <w:t>2</w:t>
            </w:r>
            <w:r>
              <w:rPr>
                <w:rFonts w:hint="eastAsia"/>
                <w:szCs w:val="21"/>
              </w:rPr>
              <w:t>8</w:t>
            </w:r>
          </w:p>
        </w:tc>
        <w:tc>
          <w:tcPr>
            <w:tcW w:w="1587" w:type="dxa"/>
            <w:noWrap/>
            <w:tcMar>
              <w:top w:w="15" w:type="dxa"/>
              <w:left w:w="15" w:type="dxa"/>
              <w:right w:w="15" w:type="dxa"/>
            </w:tcMar>
          </w:tcPr>
          <w:p w:rsidR="00AD2065" w:rsidRPr="00733954" w:rsidRDefault="00AD2065" w:rsidP="00263423">
            <w:pPr>
              <w:pStyle w:val="afff1"/>
              <w:rPr>
                <w:szCs w:val="21"/>
              </w:rPr>
            </w:pPr>
            <w:r>
              <w:rPr>
                <w:rFonts w:hint="eastAsia"/>
                <w:szCs w:val="21"/>
              </w:rPr>
              <w:t>42</w:t>
            </w:r>
          </w:p>
        </w:tc>
        <w:tc>
          <w:tcPr>
            <w:tcW w:w="755" w:type="dxa"/>
            <w:noWrap/>
            <w:tcMar>
              <w:top w:w="15" w:type="dxa"/>
              <w:left w:w="15" w:type="dxa"/>
              <w:right w:w="15" w:type="dxa"/>
            </w:tcMar>
            <w:vAlign w:val="center"/>
          </w:tcPr>
          <w:p w:rsidR="00AD2065" w:rsidRPr="00733954" w:rsidRDefault="00AD2065" w:rsidP="00263423">
            <w:pPr>
              <w:pStyle w:val="afff1"/>
              <w:rPr>
                <w:szCs w:val="21"/>
              </w:rPr>
            </w:pPr>
          </w:p>
        </w:tc>
      </w:tr>
    </w:tbl>
    <w:p w:rsidR="00BD5820" w:rsidRDefault="00F64314">
      <w:pPr>
        <w:pStyle w:val="2"/>
        <w:spacing w:before="120"/>
        <w:rPr>
          <w:rFonts w:cs="Times New Roman"/>
        </w:rPr>
      </w:pPr>
      <w:bookmarkStart w:id="150" w:name="bookmark17"/>
      <w:bookmarkStart w:id="151" w:name="bookmark16"/>
      <w:bookmarkStart w:id="152" w:name="_Toc19815966"/>
      <w:bookmarkStart w:id="153" w:name="_Toc12288443"/>
      <w:bookmarkStart w:id="154" w:name="_Toc18071"/>
      <w:bookmarkStart w:id="155" w:name="_Toc12288450"/>
      <w:bookmarkEnd w:id="135"/>
      <w:bookmarkEnd w:id="136"/>
      <w:bookmarkEnd w:id="150"/>
      <w:bookmarkEnd w:id="151"/>
      <w:r>
        <w:rPr>
          <w:rFonts w:cs="Times New Roman"/>
        </w:rPr>
        <w:t>3.</w:t>
      </w:r>
      <w:r>
        <w:rPr>
          <w:rFonts w:cs="Times New Roman" w:hint="eastAsia"/>
        </w:rPr>
        <w:t>6</w:t>
      </w:r>
      <w:r>
        <w:rPr>
          <w:rFonts w:cs="Times New Roman"/>
        </w:rPr>
        <w:t xml:space="preserve"> </w:t>
      </w:r>
      <w:r>
        <w:rPr>
          <w:rFonts w:cs="Times New Roman"/>
        </w:rPr>
        <w:t>辅助工程</w:t>
      </w:r>
      <w:bookmarkStart w:id="156" w:name="bookmark18"/>
      <w:bookmarkStart w:id="157" w:name="_Toc438796864"/>
      <w:bookmarkStart w:id="158" w:name="_Toc520234419"/>
      <w:bookmarkEnd w:id="152"/>
      <w:bookmarkEnd w:id="153"/>
      <w:bookmarkEnd w:id="154"/>
      <w:bookmarkEnd w:id="156"/>
    </w:p>
    <w:p w:rsidR="00BD5820" w:rsidRDefault="00F64314">
      <w:pPr>
        <w:pStyle w:val="3"/>
        <w:rPr>
          <w:rFonts w:eastAsia="宋体"/>
        </w:rPr>
      </w:pPr>
      <w:bookmarkStart w:id="159" w:name="_Toc19815967"/>
      <w:r>
        <w:rPr>
          <w:rFonts w:eastAsia="宋体"/>
        </w:rPr>
        <w:t>3.</w:t>
      </w:r>
      <w:r>
        <w:rPr>
          <w:rFonts w:eastAsia="宋体" w:hint="eastAsia"/>
        </w:rPr>
        <w:t>6</w:t>
      </w:r>
      <w:r>
        <w:rPr>
          <w:rFonts w:eastAsia="宋体"/>
        </w:rPr>
        <w:t xml:space="preserve">.1 </w:t>
      </w:r>
      <w:bookmarkEnd w:id="157"/>
      <w:bookmarkEnd w:id="158"/>
      <w:bookmarkEnd w:id="159"/>
      <w:r>
        <w:rPr>
          <w:rFonts w:eastAsia="宋体"/>
        </w:rPr>
        <w:t>管道防腐系统方案综述</w:t>
      </w:r>
    </w:p>
    <w:p w:rsidR="00BD5820" w:rsidRDefault="00F64314">
      <w:pPr>
        <w:pStyle w:val="affa"/>
        <w:ind w:firstLine="480"/>
      </w:pPr>
      <w:r>
        <w:rPr>
          <w:rFonts w:hint="eastAsia"/>
        </w:rPr>
        <w:t>本项目</w:t>
      </w:r>
      <w:r>
        <w:t>天然气集输系统中由</w:t>
      </w:r>
      <w:r>
        <w:t>H</w:t>
      </w:r>
      <w:r>
        <w:rPr>
          <w:vertAlign w:val="subscript"/>
        </w:rPr>
        <w:t>2</w:t>
      </w:r>
      <w:r>
        <w:t>S</w:t>
      </w:r>
      <w:r>
        <w:t>和</w:t>
      </w:r>
      <w:r>
        <w:t>CO</w:t>
      </w:r>
      <w:r>
        <w:rPr>
          <w:vertAlign w:val="subscript"/>
        </w:rPr>
        <w:t>2</w:t>
      </w:r>
      <w:r>
        <w:t>引发的管道、设备内腐蚀是腐蚀控制的关键，针对</w:t>
      </w:r>
      <w:r>
        <w:rPr>
          <w:rFonts w:hint="eastAsia"/>
        </w:rPr>
        <w:t>本项目</w:t>
      </w:r>
      <w:r>
        <w:t>集输系统管道、设备的内外腐蚀环境，应充分考虑各种因素，采取经济合理、有效可靠的腐蚀控制及腐蚀监测技术，以防止腐蚀危害，保证气田的安全生产。</w:t>
      </w:r>
    </w:p>
    <w:p w:rsidR="00BD5820" w:rsidRDefault="00F64314">
      <w:pPr>
        <w:pStyle w:val="3"/>
        <w:rPr>
          <w:rFonts w:eastAsia="宋体"/>
        </w:rPr>
      </w:pPr>
      <w:bookmarkStart w:id="160" w:name="_Toc337886671"/>
      <w:bookmarkStart w:id="161" w:name="_Toc19815968"/>
      <w:bookmarkStart w:id="162" w:name="_Toc438796865"/>
      <w:bookmarkStart w:id="163" w:name="_Toc520234420"/>
      <w:bookmarkStart w:id="164" w:name="_Toc353089502"/>
      <w:r>
        <w:rPr>
          <w:rFonts w:eastAsia="宋体"/>
        </w:rPr>
        <w:t>3.</w:t>
      </w:r>
      <w:r>
        <w:rPr>
          <w:rFonts w:eastAsia="宋体" w:hint="eastAsia"/>
        </w:rPr>
        <w:t>6</w:t>
      </w:r>
      <w:r>
        <w:rPr>
          <w:rFonts w:eastAsia="宋体"/>
        </w:rPr>
        <w:t xml:space="preserve">.2 </w:t>
      </w:r>
      <w:bookmarkEnd w:id="160"/>
      <w:bookmarkEnd w:id="161"/>
      <w:bookmarkEnd w:id="162"/>
      <w:bookmarkEnd w:id="163"/>
      <w:bookmarkEnd w:id="164"/>
      <w:r>
        <w:rPr>
          <w:rFonts w:eastAsia="宋体"/>
        </w:rPr>
        <w:t>线路防腐</w:t>
      </w:r>
    </w:p>
    <w:p w:rsidR="00BD5820" w:rsidRDefault="00F64314">
      <w:pPr>
        <w:pStyle w:val="affa"/>
        <w:ind w:firstLine="480"/>
      </w:pPr>
      <w:r>
        <w:rPr>
          <w:rFonts w:hint="eastAsia"/>
        </w:rPr>
        <w:t>本项目</w:t>
      </w:r>
      <w:r>
        <w:t>管道地处四川山区，所在地区有酸雨且土壤腐蚀性较强，结合</w:t>
      </w:r>
      <w:r>
        <w:rPr>
          <w:rFonts w:hint="eastAsia"/>
        </w:rPr>
        <w:t>本项目</w:t>
      </w:r>
      <w:r>
        <w:lastRenderedPageBreak/>
        <w:t>保温输送工艺方案，埋地酸气、燃料气应采用相应的防腐保温保护措施。</w:t>
      </w:r>
    </w:p>
    <w:p w:rsidR="00BD5820" w:rsidRDefault="00F64314">
      <w:pPr>
        <w:pStyle w:val="affa"/>
        <w:ind w:firstLine="480"/>
        <w:rPr>
          <w:kern w:val="2"/>
          <w:szCs w:val="24"/>
        </w:rPr>
      </w:pPr>
      <w:r>
        <w:rPr>
          <w:kern w:val="2"/>
          <w:szCs w:val="24"/>
        </w:rPr>
        <w:t>埋地酸气管线防腐保温采用</w:t>
      </w:r>
      <w:r>
        <w:rPr>
          <w:kern w:val="2"/>
          <w:szCs w:val="24"/>
        </w:rPr>
        <w:t>“</w:t>
      </w:r>
      <w:r>
        <w:rPr>
          <w:kern w:val="2"/>
          <w:szCs w:val="24"/>
        </w:rPr>
        <w:t>管中管</w:t>
      </w:r>
      <w:r>
        <w:rPr>
          <w:kern w:val="2"/>
          <w:szCs w:val="24"/>
        </w:rPr>
        <w:t>”</w:t>
      </w:r>
      <w:r>
        <w:rPr>
          <w:kern w:val="2"/>
          <w:szCs w:val="24"/>
        </w:rPr>
        <w:t>成型工艺，保温层采用硬质聚氨脂泡沫聚乙烯防腐保温层（保温层厚</w:t>
      </w:r>
      <w:r>
        <w:rPr>
          <w:kern w:val="2"/>
          <w:szCs w:val="24"/>
        </w:rPr>
        <w:t>40mm</w:t>
      </w:r>
      <w:r>
        <w:rPr>
          <w:kern w:val="2"/>
          <w:szCs w:val="24"/>
        </w:rPr>
        <w:t>），防腐层采用环氧粉末；防护层采用聚乙烯层，酸气管道补口采用现场发泡，补口防腐采用无溶剂液体环氧涂料</w:t>
      </w:r>
      <w:r>
        <w:rPr>
          <w:kern w:val="2"/>
          <w:szCs w:val="24"/>
        </w:rPr>
        <w:t>+</w:t>
      </w:r>
      <w:r>
        <w:rPr>
          <w:kern w:val="2"/>
          <w:szCs w:val="24"/>
        </w:rPr>
        <w:t>粘弹体胶带</w:t>
      </w:r>
      <w:r>
        <w:rPr>
          <w:kern w:val="2"/>
          <w:szCs w:val="24"/>
        </w:rPr>
        <w:t>+</w:t>
      </w:r>
      <w:r>
        <w:rPr>
          <w:kern w:val="2"/>
          <w:szCs w:val="24"/>
        </w:rPr>
        <w:t>聚乙烯袖套管</w:t>
      </w:r>
      <w:r>
        <w:rPr>
          <w:kern w:val="2"/>
          <w:szCs w:val="24"/>
        </w:rPr>
        <w:t>+</w:t>
      </w:r>
      <w:r>
        <w:rPr>
          <w:kern w:val="2"/>
          <w:szCs w:val="24"/>
        </w:rPr>
        <w:t>粘弹体胶带</w:t>
      </w:r>
      <w:r>
        <w:rPr>
          <w:kern w:val="2"/>
          <w:szCs w:val="24"/>
        </w:rPr>
        <w:t>+</w:t>
      </w:r>
      <w:r>
        <w:rPr>
          <w:kern w:val="2"/>
          <w:szCs w:val="24"/>
        </w:rPr>
        <w:t>辐射交联聚乙烯热收缩带。</w:t>
      </w:r>
    </w:p>
    <w:p w:rsidR="00BD5820" w:rsidRDefault="00F64314">
      <w:pPr>
        <w:pStyle w:val="affa"/>
        <w:ind w:firstLine="480"/>
      </w:pPr>
      <w:r>
        <w:rPr>
          <w:kern w:val="2"/>
          <w:szCs w:val="24"/>
        </w:rPr>
        <w:t>燃料气管线采用机械强度高，耐磨耐冲击，耐化学介质腐蚀，抗植物根茎穿透，吸水性低，使用寿命长，电绝缘性好，使用寿命长的加强级三层</w:t>
      </w:r>
      <w:r>
        <w:rPr>
          <w:kern w:val="2"/>
          <w:szCs w:val="24"/>
        </w:rPr>
        <w:t>PE</w:t>
      </w:r>
      <w:r>
        <w:rPr>
          <w:kern w:val="2"/>
          <w:szCs w:val="24"/>
        </w:rPr>
        <w:t>防腐层，管道补口采用辐射交联聚乙烯热收缩套。</w:t>
      </w:r>
    </w:p>
    <w:p w:rsidR="00BD5820" w:rsidRDefault="00F64314">
      <w:pPr>
        <w:pStyle w:val="3"/>
        <w:rPr>
          <w:rFonts w:eastAsia="宋体"/>
        </w:rPr>
      </w:pPr>
      <w:bookmarkStart w:id="165" w:name="_Toc19815969"/>
      <w:bookmarkStart w:id="166" w:name="_Toc520234421"/>
      <w:bookmarkStart w:id="167" w:name="_Toc213832697"/>
      <w:bookmarkStart w:id="168" w:name="_Toc437344359"/>
      <w:r>
        <w:rPr>
          <w:rFonts w:eastAsia="宋体"/>
        </w:rPr>
        <w:t>3.</w:t>
      </w:r>
      <w:r>
        <w:rPr>
          <w:rFonts w:eastAsia="宋体" w:hint="eastAsia"/>
        </w:rPr>
        <w:t>6</w:t>
      </w:r>
      <w:r>
        <w:rPr>
          <w:rFonts w:eastAsia="宋体"/>
        </w:rPr>
        <w:t xml:space="preserve">.3 </w:t>
      </w:r>
      <w:r>
        <w:rPr>
          <w:rFonts w:eastAsia="宋体"/>
        </w:rPr>
        <w:t>阴极保护</w:t>
      </w:r>
      <w:bookmarkEnd w:id="165"/>
      <w:bookmarkEnd w:id="166"/>
      <w:bookmarkEnd w:id="167"/>
      <w:bookmarkEnd w:id="168"/>
    </w:p>
    <w:p w:rsidR="00BD5820" w:rsidRDefault="00F64314">
      <w:pPr>
        <w:pStyle w:val="affa"/>
        <w:ind w:firstLine="480"/>
      </w:pPr>
      <w:r>
        <w:rPr>
          <w:rFonts w:hint="eastAsia"/>
        </w:rPr>
        <w:t>本项目</w:t>
      </w:r>
      <w:r>
        <w:t>对站外埋地酸气管道实施强制电流阴极保护；</w:t>
      </w:r>
      <w:r>
        <w:rPr>
          <w:rFonts w:hint="eastAsia"/>
        </w:rPr>
        <w:t>本项目站场</w:t>
      </w:r>
      <w:r>
        <w:t>新建阴极保护站</w:t>
      </w:r>
      <w:r>
        <w:t>1</w:t>
      </w:r>
      <w:r>
        <w:t>座，同时在新建</w:t>
      </w:r>
      <w:r>
        <w:t>P10</w:t>
      </w:r>
      <w:r>
        <w:rPr>
          <w:rFonts w:hint="eastAsia"/>
        </w:rPr>
        <w:t>6</w:t>
      </w:r>
      <w:r>
        <w:rPr>
          <w:rFonts w:hint="eastAsia"/>
        </w:rPr>
        <w:t>～</w:t>
      </w:r>
      <w:r>
        <w:t>1#</w:t>
      </w:r>
      <w:r>
        <w:rPr>
          <w:rFonts w:hint="eastAsia"/>
        </w:rPr>
        <w:t>增压站</w:t>
      </w:r>
      <w:r>
        <w:t>集气管道沿线设置智能测试桩，实现阴极保护设备、管道保护电位数据的在线监测；为防止已埋地的管道被腐蚀，对本段管线全线采用牺牲阳极作为临时性保护措施。临时阴极保护选用块状镁合金阳极。</w:t>
      </w:r>
    </w:p>
    <w:p w:rsidR="00BD5820" w:rsidRDefault="00F64314">
      <w:pPr>
        <w:pStyle w:val="affa"/>
        <w:ind w:firstLine="480"/>
      </w:pPr>
      <w:r>
        <w:t>阴极保护站由电源设备（恒电位仪、控制台）、连接电缆、阳极地床、参比电极、绝缘设施以及测试设施等构成，其中电源设备布置在阴极保护间内（与机柜间合建）。</w:t>
      </w:r>
    </w:p>
    <w:p w:rsidR="00BD5820" w:rsidRDefault="00F64314">
      <w:pPr>
        <w:pStyle w:val="affa"/>
        <w:ind w:firstLine="480"/>
      </w:pPr>
      <w:r>
        <w:t>恒电位仪是阴极保护系统的极化电源装置，共设</w:t>
      </w:r>
      <w:r>
        <w:t>2</w:t>
      </w:r>
      <w:r>
        <w:t>台，</w:t>
      </w:r>
      <w:r>
        <w:t>1</w:t>
      </w:r>
      <w:r>
        <w:t>用</w:t>
      </w:r>
      <w:r>
        <w:t>1</w:t>
      </w:r>
      <w:r>
        <w:t>备。控制台是控制多台恒电位仪的设备，实现恒电位仪的自动切换。</w:t>
      </w:r>
    </w:p>
    <w:p w:rsidR="00BD5820" w:rsidRDefault="00F64314">
      <w:pPr>
        <w:pStyle w:val="affa"/>
        <w:ind w:firstLine="480"/>
      </w:pPr>
      <w:r>
        <w:t>阳极地床是阴极保护站重要辅助设施，目前有浅埋和深井两种方式，</w:t>
      </w:r>
      <w:r>
        <w:rPr>
          <w:rFonts w:hint="eastAsia"/>
        </w:rPr>
        <w:t>本项目</w:t>
      </w:r>
      <w:r>
        <w:t>暂按深井阳极考虑，下一步根据地质勘探情况再最终确定。</w:t>
      </w:r>
    </w:p>
    <w:p w:rsidR="00BD5820" w:rsidRDefault="00F64314">
      <w:pPr>
        <w:pStyle w:val="3"/>
        <w:rPr>
          <w:rFonts w:eastAsia="宋体"/>
        </w:rPr>
      </w:pPr>
      <w:r>
        <w:rPr>
          <w:rFonts w:eastAsia="宋体"/>
        </w:rPr>
        <w:t>3.</w:t>
      </w:r>
      <w:r>
        <w:rPr>
          <w:rFonts w:eastAsia="宋体" w:hint="eastAsia"/>
        </w:rPr>
        <w:t>6</w:t>
      </w:r>
      <w:r>
        <w:rPr>
          <w:rFonts w:eastAsia="宋体"/>
        </w:rPr>
        <w:t xml:space="preserve">.4 </w:t>
      </w:r>
      <w:r>
        <w:rPr>
          <w:rFonts w:eastAsia="宋体"/>
        </w:rPr>
        <w:t>自动控制</w:t>
      </w:r>
    </w:p>
    <w:p w:rsidR="00BD5820" w:rsidRDefault="00F64314">
      <w:pPr>
        <w:pStyle w:val="affa"/>
        <w:ind w:firstLine="482"/>
        <w:rPr>
          <w:b/>
          <w:bCs/>
        </w:rPr>
      </w:pPr>
      <w:r>
        <w:rPr>
          <w:b/>
          <w:bCs/>
        </w:rPr>
        <w:t>1</w:t>
      </w:r>
      <w:r>
        <w:rPr>
          <w:b/>
          <w:bCs/>
        </w:rPr>
        <w:t>、新建站场</w:t>
      </w:r>
    </w:p>
    <w:p w:rsidR="00BD5820" w:rsidRDefault="00F64314">
      <w:pPr>
        <w:pStyle w:val="affa"/>
        <w:ind w:firstLine="480"/>
      </w:pPr>
      <w:r>
        <w:rPr>
          <w:rFonts w:hint="eastAsia"/>
        </w:rPr>
        <w:t>本项目站场</w:t>
      </w:r>
      <w:r>
        <w:t>新建站控系统，站控系统（</w:t>
      </w:r>
      <w:r>
        <w:t>SCS</w:t>
      </w:r>
      <w:r>
        <w:t>）共分为两部分：过程控制系统（</w:t>
      </w:r>
      <w:r>
        <w:t>PCS</w:t>
      </w:r>
      <w:r>
        <w:t>）和安全仪表系统（</w:t>
      </w:r>
      <w:r>
        <w:t>SIS</w:t>
      </w:r>
      <w:r>
        <w:t>）。安全仪表系统还包括火气检测系统（</w:t>
      </w:r>
      <w:r>
        <w:t>FGS</w:t>
      </w:r>
      <w:r>
        <w:t>）和紧急关断系统（</w:t>
      </w:r>
      <w:r>
        <w:t>ESD</w:t>
      </w:r>
      <w:r>
        <w:t>）</w:t>
      </w:r>
      <w:r>
        <w:t>2</w:t>
      </w:r>
      <w:r>
        <w:t>个子系统，两个系统采用独立的</w:t>
      </w:r>
      <w:r>
        <w:t>I/O</w:t>
      </w:r>
      <w:r>
        <w:t>卡件。</w:t>
      </w:r>
      <w:r>
        <w:t>PCS</w:t>
      </w:r>
      <w:r>
        <w:t>负责工艺流程的监测和控制，</w:t>
      </w:r>
      <w:r>
        <w:t>SIS</w:t>
      </w:r>
      <w:r>
        <w:t>负责安全联锁保护。</w:t>
      </w:r>
    </w:p>
    <w:p w:rsidR="00BD5820" w:rsidRDefault="00F64314">
      <w:pPr>
        <w:pStyle w:val="affa"/>
        <w:ind w:firstLine="482"/>
        <w:rPr>
          <w:b/>
          <w:bCs/>
        </w:rPr>
      </w:pPr>
      <w:r>
        <w:rPr>
          <w:rFonts w:hint="eastAsia"/>
          <w:b/>
          <w:bCs/>
        </w:rPr>
        <w:t>2</w:t>
      </w:r>
      <w:r>
        <w:rPr>
          <w:b/>
          <w:bCs/>
        </w:rPr>
        <w:t>、净化厂中控室</w:t>
      </w:r>
    </w:p>
    <w:p w:rsidR="00BD5820" w:rsidRDefault="00F64314">
      <w:pPr>
        <w:pStyle w:val="affa"/>
        <w:ind w:firstLine="480"/>
      </w:pPr>
      <w:r>
        <w:t>普光气田集输系统的控制中心为已建，设置在脱硫净化厂的中控室，本次设计对中控室系统进行扩容，将</w:t>
      </w:r>
      <w:r>
        <w:rPr>
          <w:rFonts w:hint="eastAsia"/>
        </w:rPr>
        <w:t>本项目站场</w:t>
      </w:r>
      <w:r>
        <w:t>的信号纳入</w:t>
      </w:r>
      <w:r>
        <w:t>SCADA</w:t>
      </w:r>
      <w:r>
        <w:t>系统，并修改</w:t>
      </w:r>
      <w:r>
        <w:lastRenderedPageBreak/>
        <w:t>SCADA</w:t>
      </w:r>
      <w:r>
        <w:t>系统的</w:t>
      </w:r>
      <w:r>
        <w:t>ESD</w:t>
      </w:r>
      <w:r>
        <w:t>因果逻辑，完成新增集气站的数据采集监控和安全保护功能。</w:t>
      </w:r>
    </w:p>
    <w:p w:rsidR="00BD5820" w:rsidRDefault="00F64314">
      <w:pPr>
        <w:pStyle w:val="3"/>
        <w:rPr>
          <w:rFonts w:eastAsia="宋体"/>
        </w:rPr>
      </w:pPr>
      <w:r>
        <w:rPr>
          <w:rFonts w:eastAsia="宋体"/>
        </w:rPr>
        <w:t>3.</w:t>
      </w:r>
      <w:r>
        <w:rPr>
          <w:rFonts w:eastAsia="宋体" w:hint="eastAsia"/>
        </w:rPr>
        <w:t>6</w:t>
      </w:r>
      <w:r>
        <w:rPr>
          <w:rFonts w:eastAsia="宋体"/>
        </w:rPr>
        <w:t xml:space="preserve">.5 </w:t>
      </w:r>
      <w:r>
        <w:rPr>
          <w:rFonts w:eastAsia="宋体"/>
        </w:rPr>
        <w:t>通信工程</w:t>
      </w:r>
    </w:p>
    <w:p w:rsidR="00BD5820" w:rsidRDefault="00F64314">
      <w:pPr>
        <w:pStyle w:val="affa"/>
        <w:ind w:firstLine="480"/>
      </w:pPr>
      <w:r>
        <w:t>主要包括光缆线路，光传输系统，工业以太网，站场广播对讲系统</w:t>
      </w:r>
      <w:r>
        <w:rPr>
          <w:rFonts w:hint="eastAsia"/>
        </w:rPr>
        <w:t>（</w:t>
      </w:r>
      <w:r>
        <w:t>PA/GA</w:t>
      </w:r>
      <w:r>
        <w:rPr>
          <w:rFonts w:hint="eastAsia"/>
        </w:rPr>
        <w:t>）</w:t>
      </w:r>
      <w:r>
        <w:t>，工业电视监控系统，周界报警系统，办公网及语音系统，气象系统，紧急疏散广播系统扩容，通信基站。</w:t>
      </w:r>
    </w:p>
    <w:p w:rsidR="00BD5820" w:rsidRDefault="00F64314">
      <w:pPr>
        <w:pStyle w:val="affa"/>
        <w:ind w:firstLine="480"/>
      </w:pPr>
      <w:r>
        <w:t>从</w:t>
      </w:r>
      <w:r>
        <w:t>1#</w:t>
      </w:r>
      <w:r>
        <w:rPr>
          <w:rFonts w:hint="eastAsia"/>
        </w:rPr>
        <w:t>增压站</w:t>
      </w:r>
      <w:r>
        <w:t>出发，沿输气管道同沟敷设</w:t>
      </w:r>
      <w:r>
        <w:t>1</w:t>
      </w:r>
      <w:r>
        <w:t>条</w:t>
      </w:r>
      <w:r>
        <w:t>24</w:t>
      </w:r>
      <w:r>
        <w:t>芯</w:t>
      </w:r>
      <w:r>
        <w:t>GYTA</w:t>
      </w:r>
      <w:r>
        <w:rPr>
          <w:rFonts w:hint="eastAsia"/>
        </w:rPr>
        <w:t>-24B1</w:t>
      </w:r>
      <w:r>
        <w:t>光缆，穿硅芯管保护至</w:t>
      </w:r>
      <w:r>
        <w:rPr>
          <w:rFonts w:hint="eastAsia"/>
        </w:rPr>
        <w:t>P106</w:t>
      </w:r>
      <w:r>
        <w:rPr>
          <w:rFonts w:hint="eastAsia"/>
        </w:rPr>
        <w:t>集气站</w:t>
      </w:r>
      <w:r>
        <w:t>。</w:t>
      </w:r>
    </w:p>
    <w:p w:rsidR="00BD5820" w:rsidRDefault="00F64314">
      <w:pPr>
        <w:pStyle w:val="affa"/>
        <w:ind w:firstLine="480"/>
      </w:pPr>
      <w:r>
        <w:t>从</w:t>
      </w:r>
      <w:r>
        <w:t>1#</w:t>
      </w:r>
      <w:r>
        <w:rPr>
          <w:rFonts w:hint="eastAsia"/>
        </w:rPr>
        <w:t>增压站</w:t>
      </w:r>
      <w:r>
        <w:t>架设</w:t>
      </w:r>
      <w:r>
        <w:t>1</w:t>
      </w:r>
      <w:r>
        <w:t>条</w:t>
      </w:r>
      <w:r>
        <w:t>24</w:t>
      </w:r>
      <w:r>
        <w:t>芯</w:t>
      </w:r>
      <w:r>
        <w:t>ADSS</w:t>
      </w:r>
      <w:r>
        <w:t>光缆至</w:t>
      </w:r>
      <w:r>
        <w:rPr>
          <w:rFonts w:hint="eastAsia"/>
        </w:rPr>
        <w:t>P106</w:t>
      </w:r>
      <w:r>
        <w:rPr>
          <w:rFonts w:hint="eastAsia"/>
        </w:rPr>
        <w:t>集气站</w:t>
      </w:r>
      <w:r>
        <w:t>，其中沿电力线路同杆架设</w:t>
      </w:r>
      <w:r>
        <w:t>ADSS</w:t>
      </w:r>
      <w:r>
        <w:t>光缆，无新建电力线路时，再沿管线新建杆路，架设</w:t>
      </w:r>
      <w:r>
        <w:t>ADSS</w:t>
      </w:r>
      <w:r>
        <w:t>光缆。</w:t>
      </w:r>
    </w:p>
    <w:p w:rsidR="00BD5820" w:rsidRDefault="00F64314">
      <w:pPr>
        <w:pStyle w:val="3"/>
        <w:rPr>
          <w:rFonts w:eastAsia="宋体"/>
        </w:rPr>
      </w:pPr>
      <w:bookmarkStart w:id="169" w:name="_Toc520234423"/>
      <w:bookmarkStart w:id="170" w:name="_Toc351383895"/>
      <w:bookmarkStart w:id="171" w:name="_Toc303189542"/>
      <w:bookmarkStart w:id="172" w:name="_Toc395634367"/>
      <w:bookmarkStart w:id="173" w:name="_Toc436162612"/>
      <w:bookmarkStart w:id="174" w:name="_Toc312135301"/>
      <w:bookmarkStart w:id="175" w:name="_Toc19815970"/>
      <w:bookmarkStart w:id="176" w:name="_Toc93513824"/>
      <w:r>
        <w:rPr>
          <w:rFonts w:eastAsia="宋体"/>
        </w:rPr>
        <w:t>3.</w:t>
      </w:r>
      <w:r>
        <w:rPr>
          <w:rFonts w:eastAsia="宋体" w:hint="eastAsia"/>
        </w:rPr>
        <w:t>6</w:t>
      </w:r>
      <w:r>
        <w:rPr>
          <w:rFonts w:eastAsia="宋体"/>
        </w:rPr>
        <w:t xml:space="preserve">.6 </w:t>
      </w:r>
      <w:bookmarkEnd w:id="169"/>
      <w:bookmarkEnd w:id="170"/>
      <w:bookmarkEnd w:id="171"/>
      <w:bookmarkEnd w:id="172"/>
      <w:bookmarkEnd w:id="173"/>
      <w:bookmarkEnd w:id="174"/>
      <w:bookmarkEnd w:id="175"/>
      <w:bookmarkEnd w:id="176"/>
      <w:r>
        <w:rPr>
          <w:rFonts w:eastAsia="宋体"/>
        </w:rPr>
        <w:t>管道焊接与焊缝检验</w:t>
      </w:r>
    </w:p>
    <w:p w:rsidR="00BD5820" w:rsidRDefault="00F64314">
      <w:pPr>
        <w:ind w:firstLine="480"/>
        <w:rPr>
          <w:rFonts w:ascii="Times New Roman" w:cs="Times New Roman"/>
        </w:rPr>
      </w:pPr>
      <w:r>
        <w:rPr>
          <w:rFonts w:ascii="Times New Roman" w:cs="Times New Roman" w:hint="eastAsia"/>
        </w:rPr>
        <w:t>本项目</w:t>
      </w:r>
      <w:r>
        <w:rPr>
          <w:rFonts w:ascii="Times New Roman" w:cs="Times New Roman"/>
        </w:rPr>
        <w:t>推荐采用采用氩弧焊打底，手工电弧焊接盖面，施工单位可根据现场情况及自身设备及技术条件调整焊接方式，但必须满足焊接工艺评定相关要求。本项目管道探伤采用</w:t>
      </w:r>
      <w:r>
        <w:rPr>
          <w:rFonts w:ascii="Times New Roman" w:cs="Times New Roman"/>
        </w:rPr>
        <w:t>100%</w:t>
      </w:r>
      <w:r>
        <w:rPr>
          <w:rFonts w:ascii="Times New Roman" w:cs="Times New Roman"/>
        </w:rPr>
        <w:t>全周长超声波探伤，合格后再进行</w:t>
      </w:r>
      <w:r>
        <w:rPr>
          <w:rFonts w:ascii="Times New Roman" w:cs="Times New Roman"/>
        </w:rPr>
        <w:t>100%</w:t>
      </w:r>
      <w:r>
        <w:rPr>
          <w:rFonts w:ascii="Times New Roman" w:cs="Times New Roman"/>
        </w:rPr>
        <w:t>的</w:t>
      </w:r>
      <w:r>
        <w:rPr>
          <w:rFonts w:ascii="Times New Roman" w:cs="Times New Roman"/>
        </w:rPr>
        <w:t>X</w:t>
      </w:r>
      <w:r>
        <w:rPr>
          <w:rFonts w:ascii="Times New Roman" w:cs="Times New Roman"/>
        </w:rPr>
        <w:t>射线探伤检验。工程探伤检验由专业队伍开展，应按照《工业</w:t>
      </w:r>
      <w:r>
        <w:rPr>
          <w:rFonts w:ascii="Times New Roman" w:cs="Times New Roman"/>
        </w:rPr>
        <w:t>X</w:t>
      </w:r>
      <w:r>
        <w:rPr>
          <w:rFonts w:ascii="Times New Roman" w:cs="Times New Roman"/>
        </w:rPr>
        <w:t>射线探伤放射防护要求》（</w:t>
      </w:r>
      <w:r>
        <w:rPr>
          <w:rFonts w:ascii="Times New Roman" w:cs="Times New Roman"/>
        </w:rPr>
        <w:t>GBZ117—2015</w:t>
      </w:r>
      <w:r>
        <w:rPr>
          <w:rFonts w:ascii="Times New Roman" w:cs="Times New Roman"/>
        </w:rPr>
        <w:t>）对管道探伤</w:t>
      </w:r>
      <w:r>
        <w:rPr>
          <w:rFonts w:ascii="Times New Roman" w:cs="Times New Roman"/>
        </w:rPr>
        <w:t>X</w:t>
      </w:r>
      <w:r>
        <w:rPr>
          <w:rFonts w:ascii="Times New Roman" w:cs="Times New Roman"/>
        </w:rPr>
        <w:t>射线复验进行。采用</w:t>
      </w:r>
      <w:r>
        <w:rPr>
          <w:rFonts w:ascii="Times New Roman" w:cs="Times New Roman"/>
        </w:rPr>
        <w:t>X</w:t>
      </w:r>
      <w:r>
        <w:rPr>
          <w:rFonts w:ascii="Times New Roman" w:cs="Times New Roman"/>
        </w:rPr>
        <w:t>射线探伤设备功率为</w:t>
      </w:r>
      <w:r>
        <w:rPr>
          <w:rFonts w:ascii="Times New Roman" w:cs="Times New Roman"/>
        </w:rPr>
        <w:t>700W</w:t>
      </w:r>
      <w:r>
        <w:rPr>
          <w:rFonts w:ascii="Times New Roman" w:cs="Times New Roman"/>
        </w:rPr>
        <w:t>，专业队伍在开展探伤工作前，应对项目使用探伤设备到相应环保部门进行登记，取得《辐射许可证》后方可进行。工程探伤检验由专业队伍开展，应按照《工业</w:t>
      </w:r>
      <w:r>
        <w:rPr>
          <w:rFonts w:ascii="Times New Roman" w:cs="Times New Roman"/>
        </w:rPr>
        <w:t>X</w:t>
      </w:r>
      <w:r>
        <w:rPr>
          <w:rFonts w:ascii="Times New Roman" w:cs="Times New Roman"/>
        </w:rPr>
        <w:t>射线探伤放射防护要求》（</w:t>
      </w:r>
      <w:r>
        <w:rPr>
          <w:rFonts w:ascii="Times New Roman" w:cs="Times New Roman"/>
        </w:rPr>
        <w:t>GBZ117—2015</w:t>
      </w:r>
      <w:r>
        <w:rPr>
          <w:rFonts w:ascii="Times New Roman" w:cs="Times New Roman"/>
        </w:rPr>
        <w:t>）对管道探伤</w:t>
      </w:r>
      <w:r>
        <w:rPr>
          <w:rFonts w:ascii="Times New Roman" w:cs="Times New Roman"/>
        </w:rPr>
        <w:t>X</w:t>
      </w:r>
      <w:r>
        <w:rPr>
          <w:rFonts w:ascii="Times New Roman" w:cs="Times New Roman"/>
        </w:rPr>
        <w:t>射线复验进行。</w:t>
      </w:r>
      <w:r>
        <w:rPr>
          <w:rFonts w:ascii="Times New Roman" w:cs="Times New Roman"/>
          <w:b/>
          <w:bCs/>
        </w:rPr>
        <w:t>不在本次评价范围内。</w:t>
      </w:r>
    </w:p>
    <w:p w:rsidR="00BD5820" w:rsidRDefault="00F64314">
      <w:pPr>
        <w:pStyle w:val="2"/>
        <w:spacing w:before="120"/>
        <w:rPr>
          <w:rFonts w:cs="Times New Roman"/>
        </w:rPr>
      </w:pPr>
      <w:bookmarkStart w:id="177" w:name="_Toc19815971"/>
      <w:bookmarkStart w:id="178" w:name="_Toc26823"/>
      <w:r>
        <w:rPr>
          <w:rFonts w:cs="Times New Roman"/>
        </w:rPr>
        <w:t>3.</w:t>
      </w:r>
      <w:r>
        <w:rPr>
          <w:rFonts w:cs="Times New Roman" w:hint="eastAsia"/>
        </w:rPr>
        <w:t>7</w:t>
      </w:r>
      <w:r>
        <w:rPr>
          <w:rFonts w:cs="Times New Roman"/>
        </w:rPr>
        <w:t xml:space="preserve"> </w:t>
      </w:r>
      <w:r>
        <w:rPr>
          <w:rFonts w:cs="Times New Roman"/>
        </w:rPr>
        <w:t>公用工程</w:t>
      </w:r>
      <w:bookmarkEnd w:id="155"/>
      <w:bookmarkEnd w:id="177"/>
      <w:bookmarkEnd w:id="178"/>
    </w:p>
    <w:p w:rsidR="00BD5820" w:rsidRDefault="00F64314">
      <w:pPr>
        <w:pStyle w:val="3"/>
        <w:rPr>
          <w:rFonts w:eastAsia="宋体"/>
        </w:rPr>
      </w:pPr>
      <w:bookmarkStart w:id="179" w:name="_Toc19815972"/>
      <w:bookmarkStart w:id="180" w:name="_Toc12288451"/>
      <w:r>
        <w:rPr>
          <w:rFonts w:eastAsia="宋体"/>
        </w:rPr>
        <w:t>3.</w:t>
      </w:r>
      <w:r>
        <w:rPr>
          <w:rFonts w:eastAsia="宋体" w:hint="eastAsia"/>
        </w:rPr>
        <w:t>7</w:t>
      </w:r>
      <w:r>
        <w:rPr>
          <w:rFonts w:eastAsia="宋体"/>
        </w:rPr>
        <w:t xml:space="preserve">.1 </w:t>
      </w:r>
      <w:r>
        <w:rPr>
          <w:rFonts w:eastAsia="宋体"/>
        </w:rPr>
        <w:t>给排水</w:t>
      </w:r>
      <w:bookmarkEnd w:id="179"/>
      <w:bookmarkEnd w:id="180"/>
    </w:p>
    <w:p w:rsidR="00BD5820" w:rsidRDefault="00F64314">
      <w:pPr>
        <w:pStyle w:val="a1"/>
        <w:ind w:firstLine="482"/>
        <w:rPr>
          <w:rFonts w:ascii="Times New Roman" w:cs="Times New Roman"/>
          <w:b/>
        </w:rPr>
      </w:pPr>
      <w:r>
        <w:rPr>
          <w:rFonts w:ascii="Times New Roman" w:cs="Times New Roman"/>
          <w:b/>
        </w:rPr>
        <w:t>1</w:t>
      </w:r>
      <w:r>
        <w:rPr>
          <w:rFonts w:ascii="Times New Roman" w:cs="Times New Roman"/>
          <w:b/>
        </w:rPr>
        <w:t>、给水</w:t>
      </w:r>
    </w:p>
    <w:p w:rsidR="00BD5820" w:rsidRDefault="00F64314">
      <w:pPr>
        <w:pStyle w:val="a1"/>
        <w:ind w:firstLine="480"/>
        <w:rPr>
          <w:rFonts w:ascii="Times New Roman" w:cs="Times New Roman"/>
        </w:rPr>
      </w:pPr>
      <w:r>
        <w:rPr>
          <w:rFonts w:ascii="Times New Roman" w:cs="Times New Roman" w:hint="eastAsia"/>
        </w:rPr>
        <w:t>本项目站场</w:t>
      </w:r>
      <w:r>
        <w:rPr>
          <w:rFonts w:ascii="Times New Roman" w:cs="Times New Roman"/>
        </w:rPr>
        <w:t>生活、生产用水采用罐车拉水的方式，车拉水卸至站场高架水箱，由水箱供给单站生产生活用水。</w:t>
      </w:r>
    </w:p>
    <w:p w:rsidR="00BD5820" w:rsidRDefault="00F64314">
      <w:pPr>
        <w:pStyle w:val="a1"/>
        <w:ind w:firstLine="482"/>
        <w:rPr>
          <w:rFonts w:ascii="Times New Roman" w:cs="Times New Roman"/>
          <w:b/>
        </w:rPr>
      </w:pPr>
      <w:bookmarkStart w:id="181" w:name="_Toc12288452"/>
      <w:r>
        <w:rPr>
          <w:rFonts w:ascii="Times New Roman" w:cs="Times New Roman"/>
          <w:b/>
        </w:rPr>
        <w:t>2</w:t>
      </w:r>
      <w:r>
        <w:rPr>
          <w:rFonts w:ascii="Times New Roman" w:cs="Times New Roman"/>
          <w:b/>
        </w:rPr>
        <w:t>、排水</w:t>
      </w:r>
      <w:bookmarkEnd w:id="181"/>
    </w:p>
    <w:p w:rsidR="00BD5820" w:rsidRDefault="00F64314">
      <w:pPr>
        <w:pStyle w:val="a1"/>
        <w:ind w:firstLine="480"/>
        <w:rPr>
          <w:rFonts w:ascii="Times New Roman" w:cs="Times New Roman"/>
        </w:rPr>
      </w:pPr>
      <w:r>
        <w:rPr>
          <w:rFonts w:ascii="Times New Roman" w:cs="Times New Roman"/>
        </w:rPr>
        <w:t>施工期</w:t>
      </w:r>
      <w:r>
        <w:rPr>
          <w:rFonts w:hint="eastAsia"/>
          <w:spacing w:val="-8"/>
          <w:szCs w:val="21"/>
        </w:rPr>
        <w:t>入厕生活污水依托</w:t>
      </w:r>
      <w:r>
        <w:rPr>
          <w:spacing w:val="-8"/>
          <w:szCs w:val="21"/>
        </w:rPr>
        <w:t>经</w:t>
      </w:r>
      <w:r>
        <w:rPr>
          <w:bCs/>
          <w:spacing w:val="-8"/>
          <w:szCs w:val="21"/>
        </w:rPr>
        <w:t>生态环保厕所收集处理</w:t>
      </w:r>
      <w:r>
        <w:t>后，用作周边农肥，不外排</w:t>
      </w:r>
      <w:r>
        <w:rPr>
          <w:rFonts w:hint="eastAsia"/>
        </w:rPr>
        <w:t>；员工洗澡、食堂废水经单独收集后拉运至普光镇场镇污水处理厂处理</w:t>
      </w:r>
      <w:r>
        <w:rPr>
          <w:rFonts w:ascii="Times New Roman" w:cs="Times New Roman"/>
        </w:rPr>
        <w:t>。雨水依托站内排水沟散排。</w:t>
      </w:r>
    </w:p>
    <w:p w:rsidR="00BD5820" w:rsidRDefault="00F64314">
      <w:pPr>
        <w:pStyle w:val="3"/>
        <w:rPr>
          <w:rFonts w:eastAsia="宋体"/>
        </w:rPr>
      </w:pPr>
      <w:r>
        <w:rPr>
          <w:rFonts w:eastAsia="宋体"/>
        </w:rPr>
        <w:lastRenderedPageBreak/>
        <w:t>3.</w:t>
      </w:r>
      <w:r>
        <w:rPr>
          <w:rFonts w:eastAsia="宋体" w:hint="eastAsia"/>
        </w:rPr>
        <w:t>7</w:t>
      </w:r>
      <w:r>
        <w:rPr>
          <w:rFonts w:eastAsia="宋体"/>
        </w:rPr>
        <w:t xml:space="preserve">.2 </w:t>
      </w:r>
      <w:r>
        <w:rPr>
          <w:rFonts w:eastAsia="宋体"/>
        </w:rPr>
        <w:t>消防</w:t>
      </w:r>
    </w:p>
    <w:p w:rsidR="00BD5820" w:rsidRDefault="00F64314">
      <w:pPr>
        <w:pStyle w:val="affa"/>
        <w:ind w:firstLine="480"/>
      </w:pPr>
      <w:r>
        <w:t>根据《石油天然气工程设计防火规范》（</w:t>
      </w:r>
      <w:r>
        <w:t>GB50183-2004</w:t>
      </w:r>
      <w:r>
        <w:t>）及《建筑灭火器配置设计规范》（</w:t>
      </w:r>
      <w:r>
        <w:t>GB50140-2005</w:t>
      </w:r>
      <w:r>
        <w:t>）的要求，</w:t>
      </w:r>
      <w:r>
        <w:rPr>
          <w:rFonts w:hint="eastAsia"/>
        </w:rPr>
        <w:t>本项目站场</w:t>
      </w:r>
      <w:r>
        <w:t>可不设消防给水系统。</w:t>
      </w:r>
    </w:p>
    <w:p w:rsidR="00BD5820" w:rsidRDefault="00F64314">
      <w:pPr>
        <w:pStyle w:val="affa"/>
        <w:ind w:firstLine="480"/>
      </w:pPr>
      <w:r>
        <w:t>在</w:t>
      </w:r>
      <w:r>
        <w:rPr>
          <w:rFonts w:hint="eastAsia"/>
        </w:rPr>
        <w:t>站场</w:t>
      </w:r>
      <w:r>
        <w:t>内配置一定数量的手提式及推车式磷酸铵盐干粉和二氧化碳灭火器，以便火灾发生时随时启用扑救。并在工艺装置区配置消防沙箱等消防器材。便于及时扑救火灾。</w:t>
      </w:r>
    </w:p>
    <w:p w:rsidR="00BD5820" w:rsidRDefault="00F64314">
      <w:pPr>
        <w:pStyle w:val="3"/>
        <w:rPr>
          <w:rFonts w:eastAsia="宋体"/>
        </w:rPr>
      </w:pPr>
      <w:bookmarkStart w:id="182" w:name="_Toc12288453"/>
      <w:bookmarkStart w:id="183" w:name="_Toc19815973"/>
      <w:r>
        <w:rPr>
          <w:rFonts w:eastAsia="宋体"/>
        </w:rPr>
        <w:t>3.</w:t>
      </w:r>
      <w:r>
        <w:rPr>
          <w:rFonts w:eastAsia="宋体" w:hint="eastAsia"/>
        </w:rPr>
        <w:t>7</w:t>
      </w:r>
      <w:r>
        <w:rPr>
          <w:rFonts w:eastAsia="宋体"/>
        </w:rPr>
        <w:t xml:space="preserve">.3 </w:t>
      </w:r>
      <w:r>
        <w:rPr>
          <w:rFonts w:eastAsia="宋体"/>
        </w:rPr>
        <w:t>供配电及防雷、防静电和接地</w:t>
      </w:r>
      <w:bookmarkEnd w:id="182"/>
      <w:bookmarkEnd w:id="183"/>
    </w:p>
    <w:p w:rsidR="00BD5820" w:rsidRDefault="00F64314">
      <w:pPr>
        <w:pStyle w:val="affa"/>
        <w:ind w:firstLine="482"/>
        <w:rPr>
          <w:b/>
        </w:rPr>
      </w:pPr>
      <w:r>
        <w:rPr>
          <w:b/>
        </w:rPr>
        <w:t>1</w:t>
      </w:r>
      <w:r>
        <w:rPr>
          <w:b/>
        </w:rPr>
        <w:t>、供配电</w:t>
      </w:r>
    </w:p>
    <w:p w:rsidR="00BD5820" w:rsidRDefault="00F64314">
      <w:pPr>
        <w:pStyle w:val="affa"/>
        <w:ind w:firstLine="480"/>
      </w:pPr>
      <w:r>
        <w:t>在站内</w:t>
      </w:r>
      <w:r>
        <w:rPr>
          <w:rFonts w:hint="eastAsia"/>
        </w:rPr>
        <w:t>分别</w:t>
      </w:r>
      <w:r>
        <w:t>设电力小屋</w:t>
      </w:r>
      <w:r>
        <w:t>1</w:t>
      </w:r>
      <w:r>
        <w:t>座，内设</w:t>
      </w:r>
      <w:r>
        <w:t>35kV</w:t>
      </w:r>
      <w:r>
        <w:t>高压开关柜、干式变压器柜、低压配电柜和</w:t>
      </w:r>
      <w:r>
        <w:t>UPS</w:t>
      </w:r>
      <w:r>
        <w:t>装置。变压器容量为</w:t>
      </w:r>
      <w:r>
        <w:t>125kVA</w:t>
      </w:r>
      <w:r>
        <w:t>，冗余式</w:t>
      </w:r>
      <w:r>
        <w:t>UPS</w:t>
      </w:r>
      <w:r>
        <w:t>容量为</w:t>
      </w:r>
      <w:r>
        <w:t>380V</w:t>
      </w:r>
      <w:r>
        <w:t>、</w:t>
      </w:r>
      <w:r>
        <w:t>30kVA</w:t>
      </w:r>
      <w:r>
        <w:t>，后备时间为</w:t>
      </w:r>
      <w:r>
        <w:t>1h</w:t>
      </w:r>
      <w:r>
        <w:t>。</w:t>
      </w:r>
    </w:p>
    <w:p w:rsidR="00BD5820" w:rsidRDefault="00F64314">
      <w:pPr>
        <w:pStyle w:val="affa"/>
        <w:ind w:firstLine="482"/>
      </w:pPr>
      <w:bookmarkStart w:id="184" w:name="_Toc12288454"/>
      <w:r>
        <w:rPr>
          <w:b/>
        </w:rPr>
        <w:t>2</w:t>
      </w:r>
      <w:r>
        <w:rPr>
          <w:b/>
        </w:rPr>
        <w:t>、</w:t>
      </w:r>
      <w:bookmarkEnd w:id="184"/>
      <w:r>
        <w:rPr>
          <w:b/>
        </w:rPr>
        <w:t>防雷、防静电设计</w:t>
      </w:r>
    </w:p>
    <w:p w:rsidR="00BD5820" w:rsidRDefault="00F64314">
      <w:pPr>
        <w:pStyle w:val="affa"/>
        <w:ind w:firstLine="480"/>
      </w:pPr>
      <w:r>
        <w:t>为防止雷电波侵入过电压，在进线电源柜内安装并联式电涌保护器，</w:t>
      </w:r>
      <w:r>
        <w:t>UPS</w:t>
      </w:r>
      <w:r>
        <w:t>的进线侧安装电涌保护器。工艺装置区内布置的塔、容器等，当顶板厚度等于或大于</w:t>
      </w:r>
      <w:r>
        <w:t>4mm</w:t>
      </w:r>
      <w:r>
        <w:t>时，不设避雷针保护，但必须设防雷接地。</w:t>
      </w:r>
    </w:p>
    <w:p w:rsidR="00BD5820" w:rsidRDefault="00F64314">
      <w:pPr>
        <w:pStyle w:val="affa"/>
        <w:ind w:firstLine="480"/>
      </w:pPr>
      <w:r>
        <w:t>站内采用联合接地网配置，所有的电气设备工作接地和保护接地、建筑物的防雷接地及仪表接地采用共用接地方式，接地电阻小于</w:t>
      </w:r>
      <w:r>
        <w:t>1Ω</w:t>
      </w:r>
      <w:r>
        <w:t>。</w:t>
      </w:r>
    </w:p>
    <w:p w:rsidR="00BD5820" w:rsidRDefault="00F64314">
      <w:pPr>
        <w:pStyle w:val="affa"/>
        <w:ind w:firstLine="480"/>
      </w:pPr>
      <w:r>
        <w:t>管道在地上跨越应采取防雷防静电措施。</w:t>
      </w:r>
    </w:p>
    <w:p w:rsidR="00BD5820" w:rsidRDefault="00F64314">
      <w:pPr>
        <w:pStyle w:val="2"/>
        <w:spacing w:before="120"/>
        <w:rPr>
          <w:rFonts w:cs="Times New Roman"/>
        </w:rPr>
      </w:pPr>
      <w:bookmarkStart w:id="185" w:name="bookmark19"/>
      <w:bookmarkStart w:id="186" w:name="_Toc12288457"/>
      <w:bookmarkStart w:id="187" w:name="_Toc19815974"/>
      <w:bookmarkStart w:id="188" w:name="_Toc11508"/>
      <w:bookmarkEnd w:id="185"/>
      <w:r>
        <w:rPr>
          <w:rFonts w:cs="Times New Roman"/>
        </w:rPr>
        <w:t>3.</w:t>
      </w:r>
      <w:r>
        <w:rPr>
          <w:rFonts w:cs="Times New Roman" w:hint="eastAsia"/>
        </w:rPr>
        <w:t>8</w:t>
      </w:r>
      <w:r>
        <w:rPr>
          <w:rFonts w:cs="Times New Roman"/>
        </w:rPr>
        <w:t xml:space="preserve"> </w:t>
      </w:r>
      <w:r>
        <w:rPr>
          <w:rFonts w:cs="Times New Roman"/>
        </w:rPr>
        <w:t>其他工程</w:t>
      </w:r>
      <w:bookmarkEnd w:id="186"/>
      <w:bookmarkEnd w:id="187"/>
      <w:bookmarkEnd w:id="188"/>
    </w:p>
    <w:p w:rsidR="00BD5820" w:rsidRDefault="00F64314">
      <w:pPr>
        <w:pStyle w:val="3"/>
        <w:rPr>
          <w:rFonts w:eastAsia="宋体"/>
        </w:rPr>
      </w:pPr>
      <w:bookmarkStart w:id="189" w:name="_Toc19815977"/>
      <w:r>
        <w:rPr>
          <w:rFonts w:eastAsia="宋体"/>
        </w:rPr>
        <w:t>3.</w:t>
      </w:r>
      <w:r>
        <w:rPr>
          <w:rFonts w:eastAsia="宋体" w:hint="eastAsia"/>
        </w:rPr>
        <w:t>8</w:t>
      </w:r>
      <w:r>
        <w:rPr>
          <w:rFonts w:eastAsia="宋体"/>
        </w:rPr>
        <w:t xml:space="preserve">.1 </w:t>
      </w:r>
      <w:r>
        <w:rPr>
          <w:rFonts w:eastAsia="宋体"/>
        </w:rPr>
        <w:t>项目工程占地</w:t>
      </w:r>
      <w:bookmarkEnd w:id="189"/>
    </w:p>
    <w:p w:rsidR="00BD5820" w:rsidRDefault="00F64314">
      <w:pPr>
        <w:pStyle w:val="affa"/>
        <w:ind w:firstLine="480"/>
      </w:pPr>
      <w:bookmarkStart w:id="190" w:name="OLE_LINK168"/>
      <w:bookmarkStart w:id="191" w:name="OLE_LINK169"/>
      <w:r>
        <w:t>项目</w:t>
      </w:r>
      <w:r>
        <w:t>1#</w:t>
      </w:r>
      <w:r>
        <w:rPr>
          <w:rFonts w:hint="eastAsia"/>
        </w:rPr>
        <w:t>增压站新增永久占地</w:t>
      </w:r>
      <w:r>
        <w:rPr>
          <w:rFonts w:hint="eastAsia"/>
        </w:rPr>
        <w:t>18900</w:t>
      </w:r>
      <w:r>
        <w:rPr>
          <w:rFonts w:hint="eastAsia"/>
          <w:bCs/>
        </w:rPr>
        <w:t>m</w:t>
      </w:r>
      <w:r>
        <w:rPr>
          <w:rFonts w:hint="eastAsia"/>
          <w:bCs/>
          <w:vertAlign w:val="superscript"/>
        </w:rPr>
        <w:t>2</w:t>
      </w:r>
      <w:r>
        <w:rPr>
          <w:rFonts w:hint="eastAsia"/>
        </w:rPr>
        <w:t>，新增</w:t>
      </w:r>
      <w:bookmarkStart w:id="192" w:name="OLE_LINK124"/>
      <w:bookmarkStart w:id="193" w:name="OLE_LINK131"/>
      <w:bookmarkStart w:id="194" w:name="OLE_LINK123"/>
      <w:r>
        <w:rPr>
          <w:rFonts w:hint="eastAsia"/>
        </w:rPr>
        <w:t>施工作业带等</w:t>
      </w:r>
      <w:r>
        <w:t>临时占地</w:t>
      </w:r>
      <w:r>
        <w:rPr>
          <w:rFonts w:hint="eastAsia"/>
        </w:rPr>
        <w:t>36060</w:t>
      </w:r>
      <w:r>
        <w:rPr>
          <w:rFonts w:hint="eastAsia"/>
          <w:bCs/>
        </w:rPr>
        <w:t>m</w:t>
      </w:r>
      <w:r>
        <w:rPr>
          <w:rFonts w:hint="eastAsia"/>
          <w:bCs/>
          <w:vertAlign w:val="superscript"/>
        </w:rPr>
        <w:t>2</w:t>
      </w:r>
      <w:bookmarkEnd w:id="190"/>
      <w:bookmarkEnd w:id="191"/>
      <w:bookmarkEnd w:id="192"/>
      <w:bookmarkEnd w:id="193"/>
      <w:bookmarkEnd w:id="194"/>
      <w:r>
        <w:t>。占地面积统计表如下：</w:t>
      </w:r>
    </w:p>
    <w:p w:rsidR="00BD5820" w:rsidRDefault="00F64314">
      <w:pPr>
        <w:pStyle w:val="10"/>
        <w:rPr>
          <w:rFonts w:cs="Times New Roman"/>
        </w:rPr>
      </w:pPr>
      <w:r>
        <w:rPr>
          <w:rFonts w:cs="Times New Roman"/>
        </w:rPr>
        <w:t>表</w:t>
      </w:r>
      <w:r>
        <w:rPr>
          <w:rFonts w:cs="Times New Roman"/>
        </w:rPr>
        <w:t>3.</w:t>
      </w:r>
      <w:r>
        <w:rPr>
          <w:rFonts w:cs="Times New Roman" w:hint="eastAsia"/>
        </w:rPr>
        <w:t>9</w:t>
      </w:r>
      <w:r>
        <w:rPr>
          <w:rFonts w:cs="Times New Roman"/>
        </w:rPr>
        <w:t xml:space="preserve">-1  </w:t>
      </w:r>
      <w:r>
        <w:rPr>
          <w:rFonts w:cs="Times New Roman"/>
        </w:rPr>
        <w:t>占地面积统计表</w:t>
      </w:r>
    </w:p>
    <w:tbl>
      <w:tblPr>
        <w:tblW w:w="5341"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tblPr>
      <w:tblGrid>
        <w:gridCol w:w="1307"/>
        <w:gridCol w:w="994"/>
        <w:gridCol w:w="1133"/>
        <w:gridCol w:w="4259"/>
        <w:gridCol w:w="1244"/>
      </w:tblGrid>
      <w:tr w:rsidR="00BD5820">
        <w:trPr>
          <w:trHeight w:val="363"/>
          <w:jc w:val="center"/>
        </w:trPr>
        <w:tc>
          <w:tcPr>
            <w:tcW w:w="731" w:type="pct"/>
            <w:vAlign w:val="center"/>
          </w:tcPr>
          <w:p w:rsidR="00BD5820" w:rsidRDefault="00F64314">
            <w:pPr>
              <w:snapToGrid w:val="0"/>
              <w:spacing w:line="240" w:lineRule="auto"/>
              <w:ind w:firstLineChars="0" w:firstLine="0"/>
              <w:jc w:val="center"/>
              <w:rPr>
                <w:rFonts w:ascii="Times New Roman" w:cs="Times New Roman"/>
                <w:b/>
                <w:bCs/>
                <w:sz w:val="21"/>
                <w:szCs w:val="21"/>
              </w:rPr>
            </w:pPr>
            <w:r>
              <w:rPr>
                <w:rFonts w:ascii="Times New Roman" w:cs="Times New Roman"/>
                <w:b/>
                <w:bCs/>
                <w:sz w:val="21"/>
                <w:szCs w:val="21"/>
              </w:rPr>
              <w:t>类别</w:t>
            </w:r>
          </w:p>
        </w:tc>
        <w:tc>
          <w:tcPr>
            <w:tcW w:w="556" w:type="pct"/>
            <w:vAlign w:val="center"/>
          </w:tcPr>
          <w:p w:rsidR="00BD5820" w:rsidRDefault="00F64314">
            <w:pPr>
              <w:snapToGrid w:val="0"/>
              <w:spacing w:line="240" w:lineRule="auto"/>
              <w:ind w:firstLineChars="0" w:firstLine="0"/>
              <w:jc w:val="center"/>
              <w:rPr>
                <w:rFonts w:ascii="Times New Roman" w:cs="Times New Roman"/>
                <w:b/>
                <w:bCs/>
                <w:sz w:val="21"/>
                <w:szCs w:val="21"/>
              </w:rPr>
            </w:pPr>
            <w:r>
              <w:rPr>
                <w:rFonts w:ascii="Times New Roman" w:cs="Times New Roman"/>
                <w:b/>
                <w:bCs/>
                <w:sz w:val="21"/>
                <w:szCs w:val="21"/>
              </w:rPr>
              <w:t>单位</w:t>
            </w:r>
          </w:p>
        </w:tc>
        <w:tc>
          <w:tcPr>
            <w:tcW w:w="634" w:type="pct"/>
            <w:vAlign w:val="center"/>
          </w:tcPr>
          <w:p w:rsidR="00BD5820" w:rsidRDefault="00F64314">
            <w:pPr>
              <w:snapToGrid w:val="0"/>
              <w:spacing w:line="240" w:lineRule="auto"/>
              <w:ind w:firstLineChars="0" w:firstLine="0"/>
              <w:jc w:val="center"/>
              <w:rPr>
                <w:rFonts w:ascii="Times New Roman" w:cs="Times New Roman"/>
                <w:b/>
                <w:bCs/>
                <w:sz w:val="21"/>
                <w:szCs w:val="21"/>
              </w:rPr>
            </w:pPr>
            <w:r>
              <w:rPr>
                <w:rFonts w:ascii="Times New Roman" w:cs="Times New Roman"/>
                <w:b/>
                <w:bCs/>
                <w:sz w:val="21"/>
                <w:szCs w:val="21"/>
              </w:rPr>
              <w:t>数量</w:t>
            </w:r>
          </w:p>
        </w:tc>
        <w:tc>
          <w:tcPr>
            <w:tcW w:w="2383" w:type="pct"/>
            <w:vAlign w:val="center"/>
          </w:tcPr>
          <w:p w:rsidR="00BD5820" w:rsidRDefault="00F64314">
            <w:pPr>
              <w:snapToGrid w:val="0"/>
              <w:spacing w:line="240" w:lineRule="auto"/>
              <w:ind w:firstLineChars="0" w:firstLine="0"/>
              <w:jc w:val="center"/>
              <w:rPr>
                <w:rFonts w:ascii="Times New Roman" w:cs="Times New Roman"/>
                <w:b/>
                <w:bCs/>
                <w:sz w:val="21"/>
                <w:szCs w:val="21"/>
              </w:rPr>
            </w:pPr>
            <w:r>
              <w:rPr>
                <w:rFonts w:ascii="Times New Roman" w:cs="Times New Roman"/>
                <w:b/>
                <w:bCs/>
                <w:sz w:val="21"/>
                <w:szCs w:val="21"/>
              </w:rPr>
              <w:t>备注</w:t>
            </w:r>
          </w:p>
        </w:tc>
        <w:tc>
          <w:tcPr>
            <w:tcW w:w="696" w:type="pct"/>
            <w:vAlign w:val="center"/>
          </w:tcPr>
          <w:p w:rsidR="00BD5820" w:rsidRDefault="00F64314">
            <w:pPr>
              <w:snapToGrid w:val="0"/>
              <w:spacing w:line="240" w:lineRule="auto"/>
              <w:ind w:firstLineChars="0" w:firstLine="0"/>
              <w:jc w:val="center"/>
              <w:rPr>
                <w:rFonts w:ascii="Times New Roman" w:cs="Times New Roman"/>
                <w:b/>
                <w:bCs/>
                <w:sz w:val="21"/>
                <w:szCs w:val="21"/>
              </w:rPr>
            </w:pPr>
            <w:r>
              <w:rPr>
                <w:rFonts w:ascii="Times New Roman" w:cs="Times New Roman"/>
                <w:b/>
                <w:bCs/>
                <w:sz w:val="21"/>
                <w:szCs w:val="21"/>
              </w:rPr>
              <w:t>占地类型</w:t>
            </w:r>
          </w:p>
        </w:tc>
      </w:tr>
      <w:tr w:rsidR="00BD5820">
        <w:trPr>
          <w:trHeight w:val="363"/>
          <w:jc w:val="center"/>
        </w:trPr>
        <w:tc>
          <w:tcPr>
            <w:tcW w:w="731" w:type="pct"/>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1#</w:t>
            </w:r>
            <w:r>
              <w:rPr>
                <w:rFonts w:ascii="Times New Roman" w:cs="Times New Roman" w:hint="eastAsia"/>
                <w:sz w:val="21"/>
                <w:szCs w:val="21"/>
              </w:rPr>
              <w:t>增压站新增永久占地</w:t>
            </w:r>
          </w:p>
        </w:tc>
        <w:tc>
          <w:tcPr>
            <w:tcW w:w="556" w:type="pct"/>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bCs/>
                <w:sz w:val="21"/>
                <w:szCs w:val="21"/>
              </w:rPr>
              <w:t>m</w:t>
            </w:r>
            <w:r>
              <w:rPr>
                <w:rFonts w:ascii="Times New Roman" w:cs="Times New Roman" w:hint="eastAsia"/>
                <w:bCs/>
                <w:sz w:val="21"/>
                <w:szCs w:val="21"/>
                <w:vertAlign w:val="superscript"/>
              </w:rPr>
              <w:t>2</w:t>
            </w:r>
          </w:p>
        </w:tc>
        <w:tc>
          <w:tcPr>
            <w:tcW w:w="634" w:type="pct"/>
            <w:vAlign w:val="center"/>
          </w:tcPr>
          <w:p w:rsidR="00BD5820" w:rsidRDefault="00F64314">
            <w:pPr>
              <w:spacing w:before="240"/>
              <w:ind w:firstLineChars="0" w:firstLine="0"/>
              <w:jc w:val="center"/>
              <w:rPr>
                <w:rFonts w:ascii="Times New Roman" w:cs="Times New Roman"/>
                <w:sz w:val="21"/>
                <w:szCs w:val="21"/>
              </w:rPr>
            </w:pPr>
            <w:r>
              <w:rPr>
                <w:rFonts w:ascii="Times New Roman" w:cs="Times New Roman" w:hint="eastAsia"/>
                <w:sz w:val="21"/>
                <w:szCs w:val="21"/>
              </w:rPr>
              <w:t>18900</w:t>
            </w:r>
          </w:p>
        </w:tc>
        <w:tc>
          <w:tcPr>
            <w:tcW w:w="2383" w:type="pct"/>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本项目站场、</w:t>
            </w:r>
            <w:r>
              <w:rPr>
                <w:rFonts w:ascii="Times New Roman" w:cs="Times New Roman"/>
                <w:sz w:val="21"/>
                <w:szCs w:val="21"/>
              </w:rPr>
              <w:t>线路巡检便道、三桩</w:t>
            </w:r>
          </w:p>
        </w:tc>
        <w:tc>
          <w:tcPr>
            <w:tcW w:w="696" w:type="pct"/>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见表</w:t>
            </w:r>
            <w:r>
              <w:rPr>
                <w:rFonts w:ascii="Times New Roman" w:cs="Times New Roman" w:hint="eastAsia"/>
                <w:sz w:val="21"/>
                <w:szCs w:val="21"/>
              </w:rPr>
              <w:t>4.1-4</w:t>
            </w:r>
          </w:p>
        </w:tc>
      </w:tr>
      <w:tr w:rsidR="00BD5820">
        <w:trPr>
          <w:trHeight w:val="363"/>
          <w:jc w:val="center"/>
        </w:trPr>
        <w:tc>
          <w:tcPr>
            <w:tcW w:w="731" w:type="pct"/>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施工作业带等</w:t>
            </w:r>
            <w:r>
              <w:rPr>
                <w:rFonts w:ascii="Times New Roman" w:cs="Times New Roman"/>
                <w:sz w:val="21"/>
                <w:szCs w:val="21"/>
              </w:rPr>
              <w:t>临时占地</w:t>
            </w:r>
          </w:p>
        </w:tc>
        <w:tc>
          <w:tcPr>
            <w:tcW w:w="556" w:type="pct"/>
            <w:vAlign w:val="center"/>
          </w:tcPr>
          <w:p w:rsidR="00BD5820" w:rsidRDefault="00F64314">
            <w:pPr>
              <w:spacing w:line="240" w:lineRule="auto"/>
              <w:ind w:firstLineChars="0" w:firstLine="0"/>
              <w:jc w:val="center"/>
              <w:rPr>
                <w:rFonts w:ascii="Times New Roman" w:cs="Times New Roman"/>
                <w:sz w:val="21"/>
                <w:szCs w:val="21"/>
              </w:rPr>
            </w:pPr>
            <w:bookmarkStart w:id="195" w:name="OLE_LINK127"/>
            <w:bookmarkStart w:id="196" w:name="OLE_LINK128"/>
            <w:r>
              <w:rPr>
                <w:rFonts w:ascii="Times New Roman" w:cs="Times New Roman" w:hint="eastAsia"/>
                <w:bCs/>
                <w:sz w:val="21"/>
                <w:szCs w:val="21"/>
              </w:rPr>
              <w:t>m</w:t>
            </w:r>
            <w:r>
              <w:rPr>
                <w:rFonts w:ascii="Times New Roman" w:cs="Times New Roman" w:hint="eastAsia"/>
                <w:bCs/>
                <w:sz w:val="21"/>
                <w:szCs w:val="21"/>
                <w:vertAlign w:val="superscript"/>
              </w:rPr>
              <w:t>2</w:t>
            </w:r>
            <w:bookmarkEnd w:id="195"/>
            <w:bookmarkEnd w:id="196"/>
          </w:p>
        </w:tc>
        <w:tc>
          <w:tcPr>
            <w:tcW w:w="634" w:type="pct"/>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36060</w:t>
            </w:r>
          </w:p>
        </w:tc>
        <w:tc>
          <w:tcPr>
            <w:tcW w:w="2383" w:type="pct"/>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sz w:val="21"/>
                <w:szCs w:val="21"/>
              </w:rPr>
              <w:t>施工作业带、</w:t>
            </w:r>
            <w:r>
              <w:rPr>
                <w:rFonts w:ascii="Times New Roman" w:cs="Times New Roman" w:hint="eastAsia"/>
                <w:sz w:val="21"/>
                <w:szCs w:val="21"/>
              </w:rPr>
              <w:t>管道工程区堆管点、</w:t>
            </w:r>
            <w:r>
              <w:rPr>
                <w:rFonts w:ascii="Times New Roman" w:cs="Times New Roman"/>
                <w:sz w:val="21"/>
                <w:szCs w:val="21"/>
              </w:rPr>
              <w:t>施工便道</w:t>
            </w:r>
          </w:p>
        </w:tc>
        <w:tc>
          <w:tcPr>
            <w:tcW w:w="696" w:type="pct"/>
            <w:vAlign w:val="center"/>
          </w:tcPr>
          <w:p w:rsidR="00BD5820" w:rsidRDefault="00F64314">
            <w:pPr>
              <w:spacing w:line="240" w:lineRule="auto"/>
              <w:ind w:firstLineChars="0" w:firstLine="0"/>
              <w:jc w:val="center"/>
              <w:rPr>
                <w:rFonts w:ascii="Times New Roman" w:cs="Times New Roman"/>
                <w:sz w:val="21"/>
                <w:szCs w:val="21"/>
              </w:rPr>
            </w:pPr>
            <w:r>
              <w:rPr>
                <w:rFonts w:ascii="Times New Roman" w:cs="Times New Roman" w:hint="eastAsia"/>
                <w:sz w:val="21"/>
                <w:szCs w:val="21"/>
              </w:rPr>
              <w:t>见表</w:t>
            </w:r>
            <w:r>
              <w:rPr>
                <w:rFonts w:ascii="Times New Roman" w:cs="Times New Roman" w:hint="eastAsia"/>
                <w:sz w:val="21"/>
                <w:szCs w:val="21"/>
              </w:rPr>
              <w:t>4.1-5</w:t>
            </w:r>
          </w:p>
        </w:tc>
      </w:tr>
    </w:tbl>
    <w:p w:rsidR="00BD5820" w:rsidRDefault="00F64314">
      <w:pPr>
        <w:pStyle w:val="affa"/>
        <w:ind w:firstLine="480"/>
      </w:pPr>
      <w:r>
        <w:t>项目线路选线工程涉及的必要所占耕地、林地的补偿方式将依据沿线各地的有关规定，并委托市、县国土资源部门、林业部门完成耕地、林地等的补偿任务，依法缴纳相关费用，以确保实现耕地、林地等的占补平衡。临时用地施工作业带</w:t>
      </w:r>
      <w:r>
        <w:lastRenderedPageBreak/>
        <w:t>在满足施工作业的情况下，尽量少占地，项目管线施工完后应及时恢复原地形地貌。</w:t>
      </w:r>
    </w:p>
    <w:p w:rsidR="00BD5820" w:rsidRDefault="00F64314">
      <w:pPr>
        <w:pStyle w:val="3"/>
        <w:rPr>
          <w:rFonts w:eastAsia="宋体"/>
        </w:rPr>
      </w:pPr>
      <w:r>
        <w:rPr>
          <w:rFonts w:eastAsia="宋体"/>
        </w:rPr>
        <w:t>3.</w:t>
      </w:r>
      <w:r>
        <w:rPr>
          <w:rFonts w:eastAsia="宋体" w:hint="eastAsia"/>
        </w:rPr>
        <w:t>8</w:t>
      </w:r>
      <w:r>
        <w:rPr>
          <w:rFonts w:eastAsia="宋体"/>
        </w:rPr>
        <w:t xml:space="preserve">.2 </w:t>
      </w:r>
      <w:r>
        <w:rPr>
          <w:rFonts w:eastAsia="宋体"/>
        </w:rPr>
        <w:t>土石方平衡分析</w:t>
      </w:r>
    </w:p>
    <w:p w:rsidR="00BD5820" w:rsidRDefault="00F64314">
      <w:pPr>
        <w:pStyle w:val="aff8"/>
        <w:ind w:firstLine="480"/>
      </w:pPr>
      <w:r>
        <w:t>本项目土石方工程主要来自管道工程区、施工便道区施工活动中产生的开挖、堆土及回填。</w:t>
      </w:r>
    </w:p>
    <w:p w:rsidR="00BD5820" w:rsidRDefault="00F64314">
      <w:pPr>
        <w:pStyle w:val="aff8"/>
        <w:ind w:firstLine="482"/>
        <w:rPr>
          <w:b/>
          <w:bCs/>
        </w:rPr>
      </w:pPr>
      <w:r>
        <w:rPr>
          <w:b/>
          <w:bCs/>
        </w:rPr>
        <w:t>1</w:t>
      </w:r>
      <w:r>
        <w:rPr>
          <w:b/>
          <w:bCs/>
        </w:rPr>
        <w:t>、表土剥离与回填</w:t>
      </w:r>
    </w:p>
    <w:p w:rsidR="00BD5820" w:rsidRDefault="00F64314">
      <w:pPr>
        <w:pStyle w:val="aff8"/>
        <w:ind w:firstLine="480"/>
      </w:pPr>
      <w:r>
        <w:t>对本项目各分区需要开挖破坏的占地类型为耕地、林地、草地可进行表土剥离用于项目完成后的复耕覆土，项目施工前应进行表土剥离，可剥离面积约</w:t>
      </w:r>
      <w:r>
        <w:rPr>
          <w:rFonts w:hint="eastAsia"/>
        </w:rPr>
        <w:t>39600</w:t>
      </w:r>
      <w:r>
        <w:rPr>
          <w:rFonts w:hint="eastAsia"/>
          <w:bCs/>
        </w:rPr>
        <w:t>m</w:t>
      </w:r>
      <w:r>
        <w:rPr>
          <w:rFonts w:hint="eastAsia"/>
          <w:bCs/>
          <w:vertAlign w:val="superscript"/>
        </w:rPr>
        <w:t>2</w:t>
      </w:r>
      <w:r>
        <w:t>，可剥离厚度</w:t>
      </w:r>
      <w:r>
        <w:t>30cm</w:t>
      </w:r>
      <w:r>
        <w:t>，总剥离量</w:t>
      </w:r>
      <w:r>
        <w:rPr>
          <w:rFonts w:hint="eastAsia"/>
        </w:rPr>
        <w:t>11880</w:t>
      </w:r>
      <w:r>
        <w:t>m</w:t>
      </w:r>
      <w:r>
        <w:rPr>
          <w:vertAlign w:val="superscript"/>
        </w:rPr>
        <w:t>3</w:t>
      </w:r>
      <w:r>
        <w:t>，项目施工完成后，对各分区拆除地表因施工形成的占压物并覆土以恢复植被，剥离表土全部复耕。</w:t>
      </w:r>
    </w:p>
    <w:p w:rsidR="00BD5820" w:rsidRDefault="00F64314">
      <w:pPr>
        <w:pStyle w:val="aff8"/>
        <w:ind w:firstLine="482"/>
        <w:rPr>
          <w:b/>
          <w:bCs/>
        </w:rPr>
      </w:pPr>
      <w:r>
        <w:rPr>
          <w:b/>
          <w:bCs/>
        </w:rPr>
        <w:t>2</w:t>
      </w:r>
      <w:r>
        <w:rPr>
          <w:b/>
          <w:bCs/>
        </w:rPr>
        <w:t>、土石方开挖及回填</w:t>
      </w:r>
    </w:p>
    <w:p w:rsidR="00BD5820" w:rsidRDefault="00F64314">
      <w:pPr>
        <w:pStyle w:val="aff8"/>
        <w:ind w:firstLine="480"/>
      </w:pPr>
      <w:r>
        <w:t>根据《普光气田主体湿气增压工程</w:t>
      </w:r>
      <w:r>
        <w:rPr>
          <w:rFonts w:hint="eastAsia"/>
        </w:rPr>
        <w:t>水土保持方案</w:t>
      </w:r>
      <w:r>
        <w:t>报告》可知，本项目土石方主要为管沟开挖、施工便道开挖。项目土石方挖方量共计</w:t>
      </w:r>
      <w:r>
        <w:rPr>
          <w:rFonts w:hint="eastAsia"/>
        </w:rPr>
        <w:t>1.29</w:t>
      </w:r>
      <w:r>
        <w:rPr>
          <w:rFonts w:hint="eastAsia"/>
        </w:rPr>
        <w:t>万</w:t>
      </w:r>
      <w:r>
        <w:t>m</w:t>
      </w:r>
      <w:r>
        <w:rPr>
          <w:vertAlign w:val="superscript"/>
        </w:rPr>
        <w:t>3</w:t>
      </w:r>
      <w:r>
        <w:t>，填方量共计</w:t>
      </w:r>
      <w:r>
        <w:rPr>
          <w:rFonts w:hint="eastAsia"/>
        </w:rPr>
        <w:t>1.29</w:t>
      </w:r>
      <w:r>
        <w:rPr>
          <w:rFonts w:hint="eastAsia"/>
        </w:rPr>
        <w:t>万</w:t>
      </w:r>
      <w:r>
        <w:t>m</w:t>
      </w:r>
      <w:r>
        <w:rPr>
          <w:vertAlign w:val="superscript"/>
        </w:rPr>
        <w:t>3</w:t>
      </w:r>
      <w:r>
        <w:t>，</w:t>
      </w:r>
      <w:r>
        <w:rPr>
          <w:rFonts w:hint="eastAsia"/>
        </w:rPr>
        <w:t>无</w:t>
      </w:r>
      <w:r>
        <w:t>弃方。</w:t>
      </w:r>
    </w:p>
    <w:p w:rsidR="00BD5820" w:rsidRDefault="00F64314">
      <w:pPr>
        <w:pStyle w:val="3"/>
        <w:rPr>
          <w:rFonts w:eastAsia="宋体"/>
        </w:rPr>
      </w:pPr>
      <w:r>
        <w:rPr>
          <w:rFonts w:eastAsia="宋体"/>
        </w:rPr>
        <w:t>3.</w:t>
      </w:r>
      <w:r>
        <w:rPr>
          <w:rFonts w:eastAsia="宋体" w:hint="eastAsia"/>
        </w:rPr>
        <w:t>8</w:t>
      </w:r>
      <w:r>
        <w:rPr>
          <w:rFonts w:eastAsia="宋体"/>
        </w:rPr>
        <w:t xml:space="preserve">.3 </w:t>
      </w:r>
      <w:r>
        <w:rPr>
          <w:rFonts w:eastAsia="宋体"/>
        </w:rPr>
        <w:t>拆迁工程</w:t>
      </w:r>
    </w:p>
    <w:p w:rsidR="00BD5820" w:rsidRPr="00924F51" w:rsidRDefault="00F64314">
      <w:pPr>
        <w:pStyle w:val="affa"/>
        <w:ind w:firstLine="480"/>
        <w:rPr>
          <w:color w:val="FF0000"/>
        </w:rPr>
      </w:pPr>
      <w:r>
        <w:t>根据</w:t>
      </w:r>
      <w:r>
        <w:rPr>
          <w:rFonts w:hint="eastAsia"/>
        </w:rPr>
        <w:t>《硫化氢环境人身防护规范》（</w:t>
      </w:r>
      <w:r>
        <w:rPr>
          <w:rFonts w:hint="eastAsia"/>
        </w:rPr>
        <w:t>SY/T 6277-2017</w:t>
      </w:r>
      <w:r>
        <w:rPr>
          <w:rFonts w:hint="eastAsia"/>
        </w:rPr>
        <w:t>）管道两侧的搬迁距离、应急撤离距离应经过模拟计算或安全评价确定，建议组织专家技术论证后确定拆迁及应急撤离范围，本工程暂参考普光气田（平均硫化氢含量</w:t>
      </w:r>
      <w:r>
        <w:rPr>
          <w:rFonts w:hint="eastAsia"/>
        </w:rPr>
        <w:t>15%</w:t>
      </w:r>
      <w:r>
        <w:rPr>
          <w:rFonts w:hint="eastAsia"/>
        </w:rPr>
        <w:t>）的安全评价结论，即管道搬迁距离为两侧</w:t>
      </w:r>
      <w:r>
        <w:rPr>
          <w:rFonts w:hint="eastAsia"/>
        </w:rPr>
        <w:t>100m</w:t>
      </w:r>
      <w:r>
        <w:rPr>
          <w:rFonts w:hint="eastAsia"/>
        </w:rPr>
        <w:t>，应急撤离距离为周边</w:t>
      </w:r>
      <w:r>
        <w:rPr>
          <w:rFonts w:hint="eastAsia"/>
        </w:rPr>
        <w:t>1500m</w:t>
      </w:r>
      <w:r>
        <w:rPr>
          <w:rFonts w:hint="eastAsia"/>
        </w:rPr>
        <w:t>。</w:t>
      </w:r>
      <w:r>
        <w:t>在管线敷设过程中涉及拆迁工程</w:t>
      </w:r>
      <w:r>
        <w:rPr>
          <w:rFonts w:hint="eastAsia"/>
        </w:rPr>
        <w:t>共计</w:t>
      </w:r>
      <w:r>
        <w:rPr>
          <w:rFonts w:hint="eastAsia"/>
        </w:rPr>
        <w:t>11</w:t>
      </w:r>
      <w:r>
        <w:rPr>
          <w:rFonts w:hint="eastAsia"/>
        </w:rPr>
        <w:t>户</w:t>
      </w:r>
      <w:r w:rsidR="00924F51">
        <w:rPr>
          <w:rFonts w:hint="eastAsia"/>
        </w:rPr>
        <w:t>，</w:t>
      </w:r>
      <w:r w:rsidR="00900247">
        <w:rPr>
          <w:rFonts w:hint="eastAsia"/>
          <w:color w:val="FF0000"/>
        </w:rPr>
        <w:t>主要涉及</w:t>
      </w:r>
      <w:r w:rsidR="00924F51" w:rsidRPr="00924F51">
        <w:rPr>
          <w:rFonts w:hint="eastAsia"/>
          <w:color w:val="FF0000"/>
        </w:rPr>
        <w:t>北斗村</w:t>
      </w:r>
      <w:r w:rsidR="00924F51" w:rsidRPr="00924F51">
        <w:rPr>
          <w:color w:val="FF0000"/>
        </w:rPr>
        <w:t>农户</w:t>
      </w:r>
      <w:r w:rsidR="00924F51" w:rsidRPr="00924F51">
        <w:rPr>
          <w:rFonts w:hint="eastAsia"/>
          <w:color w:val="FF0000"/>
        </w:rPr>
        <w:t>1#</w:t>
      </w:r>
      <w:r w:rsidR="00924F51" w:rsidRPr="00924F51">
        <w:rPr>
          <w:rFonts w:hint="eastAsia"/>
          <w:color w:val="FF0000"/>
        </w:rPr>
        <w:t>中</w:t>
      </w:r>
      <w:r w:rsidR="00924F51" w:rsidRPr="00924F51">
        <w:rPr>
          <w:rFonts w:hint="eastAsia"/>
          <w:color w:val="FF0000"/>
        </w:rPr>
        <w:t>3</w:t>
      </w:r>
      <w:r w:rsidR="00924F51" w:rsidRPr="00924F51">
        <w:rPr>
          <w:rFonts w:hint="eastAsia"/>
          <w:color w:val="FF0000"/>
        </w:rPr>
        <w:t>户，北斗村</w:t>
      </w:r>
      <w:r w:rsidR="00924F51" w:rsidRPr="00924F51">
        <w:rPr>
          <w:color w:val="FF0000"/>
        </w:rPr>
        <w:t>农户</w:t>
      </w:r>
      <w:r w:rsidR="00924F51" w:rsidRPr="00924F51">
        <w:rPr>
          <w:rFonts w:hint="eastAsia"/>
          <w:color w:val="FF0000"/>
        </w:rPr>
        <w:t>2#</w:t>
      </w:r>
      <w:r w:rsidR="00924F51" w:rsidRPr="00924F51">
        <w:rPr>
          <w:rFonts w:hint="eastAsia"/>
          <w:color w:val="FF0000"/>
        </w:rPr>
        <w:t>中</w:t>
      </w:r>
      <w:r w:rsidR="00924F51" w:rsidRPr="00924F51">
        <w:rPr>
          <w:rFonts w:hint="eastAsia"/>
          <w:color w:val="FF0000"/>
        </w:rPr>
        <w:t>5</w:t>
      </w:r>
      <w:r w:rsidR="00924F51" w:rsidRPr="00924F51">
        <w:rPr>
          <w:rFonts w:hint="eastAsia"/>
          <w:color w:val="FF0000"/>
        </w:rPr>
        <w:t>户，慈云寺</w:t>
      </w:r>
      <w:r w:rsidR="00924F51" w:rsidRPr="00924F51">
        <w:rPr>
          <w:color w:val="FF0000"/>
        </w:rPr>
        <w:t>农户</w:t>
      </w:r>
      <w:r w:rsidR="00924F51" w:rsidRPr="00924F51">
        <w:rPr>
          <w:rFonts w:hint="eastAsia"/>
          <w:color w:val="FF0000"/>
        </w:rPr>
        <w:t>62#</w:t>
      </w:r>
      <w:r w:rsidR="00924F51" w:rsidRPr="00924F51">
        <w:rPr>
          <w:rFonts w:hint="eastAsia"/>
          <w:color w:val="FF0000"/>
        </w:rPr>
        <w:t>中</w:t>
      </w:r>
      <w:r w:rsidR="00924F51" w:rsidRPr="00924F51">
        <w:rPr>
          <w:rFonts w:hint="eastAsia"/>
          <w:color w:val="FF0000"/>
        </w:rPr>
        <w:t>2</w:t>
      </w:r>
      <w:r w:rsidR="00924F51" w:rsidRPr="00924F51">
        <w:rPr>
          <w:rFonts w:hint="eastAsia"/>
          <w:color w:val="FF0000"/>
        </w:rPr>
        <w:t>户和</w:t>
      </w:r>
      <w:r w:rsidR="00924F51" w:rsidRPr="00924F51">
        <w:rPr>
          <w:color w:val="FF0000"/>
        </w:rPr>
        <w:t>下塝农户</w:t>
      </w:r>
      <w:r w:rsidR="00924F51" w:rsidRPr="00924F51">
        <w:rPr>
          <w:rFonts w:hint="eastAsia"/>
          <w:color w:val="FF0000"/>
        </w:rPr>
        <w:t>65#</w:t>
      </w:r>
      <w:r w:rsidR="00924F51" w:rsidRPr="00924F51">
        <w:rPr>
          <w:rFonts w:hint="eastAsia"/>
          <w:color w:val="FF0000"/>
        </w:rPr>
        <w:t>中</w:t>
      </w:r>
      <w:r w:rsidR="00924F51" w:rsidRPr="00924F51">
        <w:rPr>
          <w:rFonts w:hint="eastAsia"/>
          <w:color w:val="FF0000"/>
        </w:rPr>
        <w:t>1</w:t>
      </w:r>
      <w:r w:rsidR="00924F51" w:rsidRPr="00924F51">
        <w:rPr>
          <w:rFonts w:hint="eastAsia"/>
          <w:color w:val="FF0000"/>
        </w:rPr>
        <w:t>户</w:t>
      </w:r>
      <w:r w:rsidRPr="00924F51">
        <w:rPr>
          <w:color w:val="FF0000"/>
        </w:rPr>
        <w:t>。</w:t>
      </w:r>
    </w:p>
    <w:p w:rsidR="00BD5820" w:rsidRDefault="00F64314">
      <w:pPr>
        <w:pStyle w:val="2"/>
        <w:spacing w:before="120"/>
        <w:rPr>
          <w:rFonts w:cs="Times New Roman"/>
        </w:rPr>
      </w:pPr>
      <w:bookmarkStart w:id="197" w:name="bookmark20"/>
      <w:bookmarkStart w:id="198" w:name="_Toc19815978"/>
      <w:bookmarkStart w:id="199" w:name="_Toc12288458"/>
      <w:bookmarkStart w:id="200" w:name="_Toc21221"/>
      <w:bookmarkEnd w:id="197"/>
      <w:r>
        <w:rPr>
          <w:rFonts w:cs="Times New Roman"/>
        </w:rPr>
        <w:t>3.</w:t>
      </w:r>
      <w:r>
        <w:rPr>
          <w:rFonts w:cs="Times New Roman" w:hint="eastAsia"/>
        </w:rPr>
        <w:t>9</w:t>
      </w:r>
      <w:r>
        <w:rPr>
          <w:rFonts w:cs="Times New Roman"/>
        </w:rPr>
        <w:t xml:space="preserve"> </w:t>
      </w:r>
      <w:bookmarkEnd w:id="198"/>
      <w:bookmarkEnd w:id="199"/>
      <w:r>
        <w:rPr>
          <w:rFonts w:cs="Times New Roman"/>
        </w:rPr>
        <w:t>劳动定员、建设进度</w:t>
      </w:r>
      <w:bookmarkEnd w:id="200"/>
    </w:p>
    <w:p w:rsidR="00BD5820" w:rsidRDefault="00F64314">
      <w:pPr>
        <w:pStyle w:val="3"/>
        <w:rPr>
          <w:rFonts w:eastAsia="宋体"/>
        </w:rPr>
      </w:pPr>
      <w:bookmarkStart w:id="201" w:name="_Toc19815979"/>
      <w:bookmarkStart w:id="202" w:name="_Toc111542124"/>
      <w:bookmarkStart w:id="203" w:name="_Toc139207294"/>
      <w:bookmarkStart w:id="204" w:name="_Toc148954843"/>
      <w:bookmarkStart w:id="205" w:name="_Toc153685211"/>
      <w:bookmarkStart w:id="206" w:name="_Toc155975831"/>
      <w:bookmarkStart w:id="207" w:name="_Toc155975331"/>
      <w:bookmarkStart w:id="208" w:name="_Toc155976099"/>
      <w:bookmarkStart w:id="209" w:name="_Toc175728350"/>
      <w:bookmarkStart w:id="210" w:name="_Toc155976349"/>
      <w:bookmarkStart w:id="211" w:name="_Toc520234482"/>
      <w:bookmarkStart w:id="212" w:name="_Toc213835365"/>
      <w:r>
        <w:rPr>
          <w:rFonts w:eastAsia="宋体"/>
        </w:rPr>
        <w:t>3.</w:t>
      </w:r>
      <w:r>
        <w:rPr>
          <w:rFonts w:eastAsia="宋体" w:hint="eastAsia"/>
        </w:rPr>
        <w:t>9</w:t>
      </w:r>
      <w:r>
        <w:rPr>
          <w:rFonts w:eastAsia="宋体"/>
        </w:rPr>
        <w:t xml:space="preserve">.1 </w:t>
      </w:r>
      <w:r>
        <w:rPr>
          <w:rFonts w:eastAsia="宋体"/>
        </w:rPr>
        <w:t>组织机构</w:t>
      </w:r>
      <w:bookmarkEnd w:id="201"/>
      <w:bookmarkEnd w:id="202"/>
      <w:bookmarkEnd w:id="203"/>
      <w:bookmarkEnd w:id="204"/>
      <w:bookmarkEnd w:id="205"/>
      <w:bookmarkEnd w:id="206"/>
      <w:bookmarkEnd w:id="207"/>
      <w:bookmarkEnd w:id="208"/>
      <w:bookmarkEnd w:id="209"/>
      <w:bookmarkEnd w:id="210"/>
      <w:bookmarkEnd w:id="211"/>
      <w:bookmarkEnd w:id="212"/>
    </w:p>
    <w:p w:rsidR="00BD5820" w:rsidRDefault="00F64314">
      <w:pPr>
        <w:ind w:firstLine="480"/>
        <w:rPr>
          <w:rFonts w:ascii="Times New Roman" w:cs="Times New Roman"/>
        </w:rPr>
      </w:pPr>
      <w:r>
        <w:rPr>
          <w:rFonts w:ascii="Times New Roman" w:cs="Times New Roman" w:hint="eastAsia"/>
        </w:rPr>
        <w:t>本项目</w:t>
      </w:r>
      <w:r>
        <w:rPr>
          <w:rFonts w:ascii="Times New Roman" w:cs="Times New Roman"/>
        </w:rPr>
        <w:t>为</w:t>
      </w:r>
      <w:r w:rsidRPr="00F97A71">
        <w:rPr>
          <w:rFonts w:ascii="Times New Roman" w:cs="Times New Roman"/>
          <w:color w:val="FF0000"/>
        </w:rPr>
        <w:t>天然气</w:t>
      </w:r>
      <w:r w:rsidR="00F97A71" w:rsidRPr="00F97A71">
        <w:rPr>
          <w:rFonts w:ascii="Times New Roman" w:cs="Times New Roman"/>
          <w:color w:val="FF0000"/>
        </w:rPr>
        <w:t>湿气</w:t>
      </w:r>
      <w:r w:rsidR="00F97A71" w:rsidRPr="00F97A71">
        <w:rPr>
          <w:rFonts w:ascii="Times New Roman" w:cs="Times New Roman" w:hint="eastAsia"/>
          <w:color w:val="FF0000"/>
        </w:rPr>
        <w:t>增压</w:t>
      </w:r>
      <w:r>
        <w:rPr>
          <w:rFonts w:ascii="Times New Roman" w:cs="Times New Roman" w:hint="eastAsia"/>
        </w:rPr>
        <w:t>和</w:t>
      </w:r>
      <w:r>
        <w:rPr>
          <w:rFonts w:ascii="Times New Roman" w:cs="Times New Roman"/>
        </w:rPr>
        <w:t>内部集输工程，由中国石油化工股份有限公司中原油田普光分公司管理。</w:t>
      </w:r>
    </w:p>
    <w:p w:rsidR="00BD5820" w:rsidRDefault="00F64314">
      <w:pPr>
        <w:pStyle w:val="3"/>
        <w:rPr>
          <w:rFonts w:eastAsia="宋体"/>
        </w:rPr>
      </w:pPr>
      <w:bookmarkStart w:id="213" w:name="_Toc520234483"/>
      <w:bookmarkStart w:id="214" w:name="_Toc213835368"/>
      <w:bookmarkStart w:id="215" w:name="_Toc439056557"/>
      <w:bookmarkStart w:id="216" w:name="_Toc19815980"/>
      <w:r>
        <w:rPr>
          <w:rFonts w:eastAsia="宋体"/>
        </w:rPr>
        <w:t>3.</w:t>
      </w:r>
      <w:r>
        <w:rPr>
          <w:rFonts w:eastAsia="宋体" w:hint="eastAsia"/>
        </w:rPr>
        <w:t>9</w:t>
      </w:r>
      <w:r>
        <w:rPr>
          <w:rFonts w:eastAsia="宋体"/>
        </w:rPr>
        <w:t xml:space="preserve">.2 </w:t>
      </w:r>
      <w:bookmarkEnd w:id="213"/>
      <w:bookmarkEnd w:id="214"/>
      <w:bookmarkEnd w:id="215"/>
      <w:bookmarkEnd w:id="216"/>
      <w:r>
        <w:rPr>
          <w:rFonts w:eastAsia="宋体"/>
        </w:rPr>
        <w:t>定员</w:t>
      </w:r>
    </w:p>
    <w:p w:rsidR="00BD5820" w:rsidRPr="00F97A71" w:rsidRDefault="00F64314">
      <w:pPr>
        <w:pStyle w:val="affa"/>
        <w:ind w:firstLine="480"/>
        <w:rPr>
          <w:color w:val="FF0000"/>
        </w:rPr>
      </w:pPr>
      <w:r w:rsidRPr="00F97A71">
        <w:rPr>
          <w:color w:val="FF0000"/>
        </w:rPr>
        <w:t>本项目</w:t>
      </w:r>
      <w:r w:rsidRPr="00F97A71">
        <w:rPr>
          <w:rFonts w:hint="eastAsia"/>
          <w:color w:val="FF0000"/>
        </w:rPr>
        <w:t>依托</w:t>
      </w:r>
      <w:r w:rsidRPr="00F97A71">
        <w:rPr>
          <w:rFonts w:hint="eastAsia"/>
          <w:color w:val="FF0000"/>
        </w:rPr>
        <w:t>P102</w:t>
      </w:r>
      <w:r w:rsidRPr="00F97A71">
        <w:rPr>
          <w:rFonts w:hint="eastAsia"/>
          <w:color w:val="FF0000"/>
        </w:rPr>
        <w:t>集气站职守工作人员</w:t>
      </w:r>
      <w:r w:rsidRPr="00F97A71">
        <w:rPr>
          <w:rFonts w:hint="eastAsia"/>
          <w:color w:val="FF0000"/>
        </w:rPr>
        <w:t>10</w:t>
      </w:r>
      <w:r w:rsidRPr="00F97A71">
        <w:rPr>
          <w:rFonts w:hint="eastAsia"/>
          <w:color w:val="FF0000"/>
        </w:rPr>
        <w:t>人</w:t>
      </w:r>
      <w:r w:rsidR="00F97A71" w:rsidRPr="00F97A71">
        <w:rPr>
          <w:rFonts w:hint="eastAsia"/>
          <w:color w:val="FF0000"/>
        </w:rPr>
        <w:t>，不新增劳动定员</w:t>
      </w:r>
      <w:r w:rsidRPr="00F97A71">
        <w:rPr>
          <w:color w:val="FF0000"/>
        </w:rPr>
        <w:t>。</w:t>
      </w:r>
    </w:p>
    <w:p w:rsidR="00BD5820" w:rsidRDefault="00F64314">
      <w:pPr>
        <w:pStyle w:val="3"/>
        <w:rPr>
          <w:rFonts w:eastAsia="宋体"/>
        </w:rPr>
      </w:pPr>
      <w:r>
        <w:rPr>
          <w:rFonts w:eastAsia="宋体"/>
        </w:rPr>
        <w:t>3.</w:t>
      </w:r>
      <w:r>
        <w:rPr>
          <w:rFonts w:eastAsia="宋体" w:hint="eastAsia"/>
        </w:rPr>
        <w:t>9</w:t>
      </w:r>
      <w:r>
        <w:rPr>
          <w:rFonts w:eastAsia="宋体"/>
        </w:rPr>
        <w:t xml:space="preserve">.3 </w:t>
      </w:r>
      <w:r>
        <w:rPr>
          <w:rFonts w:eastAsia="宋体"/>
        </w:rPr>
        <w:t>建设进度</w:t>
      </w:r>
    </w:p>
    <w:p w:rsidR="00BD5820" w:rsidRDefault="00F64314">
      <w:pPr>
        <w:pStyle w:val="affa"/>
        <w:ind w:firstLine="480"/>
      </w:pPr>
      <w:r>
        <w:t>项目</w:t>
      </w:r>
      <w:bookmarkStart w:id="217" w:name="OLE_LINK135"/>
      <w:bookmarkStart w:id="218" w:name="OLE_LINK134"/>
      <w:r>
        <w:rPr>
          <w:rFonts w:hint="eastAsia"/>
        </w:rPr>
        <w:t>站场</w:t>
      </w:r>
      <w:bookmarkEnd w:id="217"/>
      <w:bookmarkEnd w:id="218"/>
      <w:r>
        <w:t>施工作业主要采用人工</w:t>
      </w:r>
      <w:r>
        <w:t>+</w:t>
      </w:r>
      <w:r>
        <w:t>机械</w:t>
      </w:r>
      <w:r>
        <w:rPr>
          <w:rFonts w:hint="eastAsia"/>
        </w:rPr>
        <w:t>作业，</w:t>
      </w:r>
      <w:bookmarkStart w:id="219" w:name="OLE_LINK136"/>
      <w:r>
        <w:t>管道</w:t>
      </w:r>
      <w:bookmarkStart w:id="220" w:name="OLE_LINK132"/>
      <w:bookmarkStart w:id="221" w:name="OLE_LINK133"/>
      <w:bookmarkEnd w:id="219"/>
      <w:r>
        <w:t>施工作业主要采用人工</w:t>
      </w:r>
      <w:r>
        <w:t>+</w:t>
      </w:r>
      <w:r>
        <w:lastRenderedPageBreak/>
        <w:t>机械开挖</w:t>
      </w:r>
      <w:bookmarkEnd w:id="220"/>
      <w:bookmarkEnd w:id="221"/>
      <w:r>
        <w:t>管沟，不设置施工营地，项目</w:t>
      </w:r>
      <w:r>
        <w:rPr>
          <w:rFonts w:hint="eastAsia"/>
        </w:rPr>
        <w:t>站场和</w:t>
      </w:r>
      <w:r>
        <w:t>管道施工工期约为</w:t>
      </w:r>
      <w:r>
        <w:rPr>
          <w:rFonts w:hint="eastAsia"/>
        </w:rPr>
        <w:t>6</w:t>
      </w:r>
      <w:r>
        <w:t>个月。为有效保护项目沿线耕地内土壤，项目</w:t>
      </w:r>
      <w:r>
        <w:rPr>
          <w:rFonts w:hint="eastAsia"/>
        </w:rPr>
        <w:t>管道</w:t>
      </w:r>
      <w:r>
        <w:t>施工分段进行，每段施工完成后，及时恢复地表植被及回填耕作层土壤。</w:t>
      </w:r>
    </w:p>
    <w:p w:rsidR="00BD5820" w:rsidRDefault="00BD5820">
      <w:pPr>
        <w:pStyle w:val="affa"/>
        <w:ind w:firstLine="480"/>
      </w:pPr>
    </w:p>
    <w:p w:rsidR="00BD5820" w:rsidRDefault="00BD5820">
      <w:pPr>
        <w:pStyle w:val="affa"/>
        <w:ind w:firstLine="480"/>
        <w:sectPr w:rsidR="00BD5820">
          <w:pgSz w:w="11910" w:h="16840"/>
          <w:pgMar w:top="1440" w:right="1800" w:bottom="1440" w:left="1800" w:header="885" w:footer="1097" w:gutter="0"/>
          <w:pgNumType w:chapStyle="2"/>
          <w:cols w:space="720"/>
          <w:docGrid w:linePitch="326"/>
        </w:sectPr>
      </w:pPr>
    </w:p>
    <w:p w:rsidR="00BD5820" w:rsidRDefault="00F64314">
      <w:pPr>
        <w:pStyle w:val="1"/>
        <w:spacing w:before="0" w:beforeAutospacing="0" w:after="0" w:afterAutospacing="0"/>
        <w:rPr>
          <w:rFonts w:eastAsia="宋体"/>
        </w:rPr>
      </w:pPr>
      <w:bookmarkStart w:id="222" w:name="bookmark22"/>
      <w:bookmarkStart w:id="223" w:name="_Toc12288470"/>
      <w:bookmarkStart w:id="224" w:name="_Toc19815984"/>
      <w:bookmarkStart w:id="225" w:name="_Toc29079"/>
      <w:bookmarkEnd w:id="222"/>
      <w:r>
        <w:rPr>
          <w:rFonts w:eastAsia="宋体"/>
        </w:rPr>
        <w:lastRenderedPageBreak/>
        <w:t xml:space="preserve">4 </w:t>
      </w:r>
      <w:r>
        <w:rPr>
          <w:rFonts w:eastAsia="宋体"/>
        </w:rPr>
        <w:t>工程分析</w:t>
      </w:r>
      <w:bookmarkEnd w:id="223"/>
      <w:bookmarkEnd w:id="224"/>
      <w:bookmarkEnd w:id="225"/>
    </w:p>
    <w:p w:rsidR="00BD5820" w:rsidRDefault="00F64314">
      <w:pPr>
        <w:pStyle w:val="affa"/>
        <w:ind w:firstLine="480"/>
      </w:pPr>
      <w:bookmarkStart w:id="226" w:name="bookmark23"/>
      <w:bookmarkEnd w:id="226"/>
      <w:r>
        <w:t>该项目对环境的影响分为施工期和运营期两个阶段。根据</w:t>
      </w:r>
      <w:bookmarkStart w:id="227" w:name="OLE_LINK142"/>
      <w:bookmarkStart w:id="228" w:name="OLE_LINK141"/>
      <w:r>
        <w:rPr>
          <w:rFonts w:hint="eastAsia"/>
        </w:rPr>
        <w:t>湿气增压工程</w:t>
      </w:r>
      <w:bookmarkEnd w:id="227"/>
      <w:bookmarkEnd w:id="228"/>
      <w:r>
        <w:rPr>
          <w:rFonts w:hint="eastAsia"/>
        </w:rPr>
        <w:t>和</w:t>
      </w:r>
      <w:bookmarkStart w:id="229" w:name="OLE_LINK143"/>
      <w:bookmarkStart w:id="230" w:name="OLE_LINK144"/>
      <w:r>
        <w:t>集输工程</w:t>
      </w:r>
      <w:bookmarkEnd w:id="229"/>
      <w:bookmarkEnd w:id="230"/>
      <w:r>
        <w:t>的特点，</w:t>
      </w:r>
      <w:r>
        <w:rPr>
          <w:rFonts w:hint="eastAsia"/>
        </w:rPr>
        <w:t>站场施工</w:t>
      </w:r>
      <w:r>
        <w:rPr>
          <w:rFonts w:hint="eastAsia"/>
          <w:bCs/>
        </w:rPr>
        <w:t>主要体现在</w:t>
      </w:r>
      <w:r>
        <w:t>施工机械噪声、生活污水、生活垃圾、扬尘等污染物对环境的影响</w:t>
      </w:r>
      <w:r>
        <w:rPr>
          <w:rFonts w:hint="eastAsia"/>
          <w:bCs/>
        </w:rPr>
        <w:t>，</w:t>
      </w:r>
      <w:r>
        <w:t>集输工程施工期对环境的影响主要表现在对生态的影响，其次是产生的施工机械噪声、生活污水、生活垃圾、扬尘等污染物对环境的影响。运营期对环境的影响主要表现</w:t>
      </w:r>
      <w:r>
        <w:rPr>
          <w:rFonts w:hint="eastAsia"/>
        </w:rPr>
        <w:t>为气田水、废润滑油、污泥</w:t>
      </w:r>
      <w:r>
        <w:t>和管道运营过程中存在的环境风险。</w:t>
      </w:r>
    </w:p>
    <w:p w:rsidR="00BD5820" w:rsidRDefault="00F64314">
      <w:pPr>
        <w:pStyle w:val="2"/>
        <w:spacing w:before="120"/>
        <w:rPr>
          <w:rFonts w:cs="Times New Roman"/>
        </w:rPr>
      </w:pPr>
      <w:bookmarkStart w:id="231" w:name="_Toc12288471"/>
      <w:bookmarkStart w:id="232" w:name="_Toc19815985"/>
      <w:bookmarkStart w:id="233" w:name="_Toc27685"/>
      <w:r>
        <w:rPr>
          <w:rFonts w:cs="Times New Roman"/>
        </w:rPr>
        <w:t xml:space="preserve">4.1 </w:t>
      </w:r>
      <w:r>
        <w:rPr>
          <w:rFonts w:cs="Times New Roman"/>
        </w:rPr>
        <w:t>施工期</w:t>
      </w:r>
      <w:bookmarkEnd w:id="231"/>
      <w:bookmarkEnd w:id="232"/>
      <w:r>
        <w:rPr>
          <w:rFonts w:cs="Times New Roman"/>
        </w:rPr>
        <w:t>工程分析</w:t>
      </w:r>
      <w:bookmarkEnd w:id="233"/>
    </w:p>
    <w:p w:rsidR="00BD5820" w:rsidRDefault="00F64314">
      <w:pPr>
        <w:pStyle w:val="3"/>
        <w:rPr>
          <w:rFonts w:eastAsia="宋体"/>
        </w:rPr>
      </w:pPr>
      <w:r>
        <w:rPr>
          <w:rFonts w:eastAsia="宋体"/>
        </w:rPr>
        <w:t xml:space="preserve">4.1.1 </w:t>
      </w:r>
      <w:r>
        <w:rPr>
          <w:rFonts w:eastAsia="宋体"/>
        </w:rPr>
        <w:t>施工过程分析</w:t>
      </w:r>
    </w:p>
    <w:p w:rsidR="00BD5820" w:rsidRDefault="00F64314">
      <w:pPr>
        <w:pStyle w:val="affa"/>
        <w:ind w:firstLine="480"/>
      </w:pPr>
      <w:r>
        <w:t>首先要测量定线，清理施工现场、平整工作带，修筑施工便道（以便施工人员、施工车辆、管材等进入施工场地），管材防腐绝缘后运到现场，开始布管、组装焊接，无损探伤，补口及防腐检漏，在完成管沟开挖等基础工作以后管道下沟，分段试压，站间连接，通球扫线，阴极保护，竣工验收后投入使用。</w:t>
      </w:r>
    </w:p>
    <w:p w:rsidR="00BD5820" w:rsidRDefault="00EA3750">
      <w:pPr>
        <w:pStyle w:val="a1"/>
        <w:ind w:firstLineChars="0" w:firstLine="0"/>
        <w:jc w:val="center"/>
        <w:rPr>
          <w:rFonts w:ascii="Times New Roman" w:cs="Times New Roman"/>
        </w:rPr>
      </w:pPr>
      <w:r w:rsidRPr="00EA3750">
        <w:pict>
          <v:shapetype id="_x0000_t202" coordsize="21600,21600" o:spt="202" path="m,l,21600r21600,l21600,xe">
            <v:stroke joinstyle="miter"/>
            <v:path gradientshapeok="t" o:connecttype="rect"/>
          </v:shapetype>
          <v:shape id="_x0000_s1054" type="#_x0000_t202" style="position:absolute;left:0;text-align:left;margin-left:71.05pt;margin-top:81.95pt;width:159.35pt;height:22.7pt;z-index:251662336;mso-width-relative:margin;mso-height-relative:margin">
            <v:textbox>
              <w:txbxContent>
                <w:p w:rsidR="004841B2" w:rsidRDefault="004841B2">
                  <w:pPr>
                    <w:spacing w:line="240" w:lineRule="auto"/>
                    <w:ind w:firstLineChars="0" w:firstLine="0"/>
                    <w:jc w:val="center"/>
                    <w:rPr>
                      <w:sz w:val="21"/>
                      <w:szCs w:val="21"/>
                    </w:rPr>
                  </w:pPr>
                  <w:r>
                    <w:rPr>
                      <w:rFonts w:hint="eastAsia"/>
                      <w:sz w:val="21"/>
                      <w:szCs w:val="21"/>
                    </w:rPr>
                    <w:t>管沟开挖</w:t>
                  </w:r>
                </w:p>
              </w:txbxContent>
            </v:textbox>
          </v:shape>
        </w:pict>
      </w:r>
      <w:r w:rsidR="00F64314">
        <w:rPr>
          <w:rFonts w:ascii="Times New Roman" w:cs="Times New Roman"/>
          <w:noProof/>
        </w:rPr>
        <w:drawing>
          <wp:inline distT="0" distB="0" distL="0" distR="0">
            <wp:extent cx="4867275" cy="4322445"/>
            <wp:effectExtent l="19050" t="0" r="9525" b="0"/>
            <wp:docPr id="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7"/>
                    <pic:cNvPicPr>
                      <a:picLocks noChangeAspect="1" noChangeArrowheads="1"/>
                    </pic:cNvPicPr>
                  </pic:nvPicPr>
                  <pic:blipFill>
                    <a:blip r:embed="rId47" cstate="print"/>
                    <a:srcRect/>
                    <a:stretch>
                      <a:fillRect/>
                    </a:stretch>
                  </pic:blipFill>
                  <pic:spPr>
                    <a:xfrm>
                      <a:off x="0" y="0"/>
                      <a:ext cx="4867275" cy="4322445"/>
                    </a:xfrm>
                    <a:prstGeom prst="rect">
                      <a:avLst/>
                    </a:prstGeom>
                    <a:noFill/>
                    <a:ln w="9525">
                      <a:noFill/>
                      <a:miter lim="800000"/>
                      <a:headEnd/>
                      <a:tailEnd/>
                    </a:ln>
                  </pic:spPr>
                </pic:pic>
              </a:graphicData>
            </a:graphic>
          </wp:inline>
        </w:drawing>
      </w:r>
    </w:p>
    <w:p w:rsidR="00BD5820" w:rsidRDefault="00F64314">
      <w:pPr>
        <w:pStyle w:val="a1"/>
        <w:ind w:firstLine="422"/>
        <w:jc w:val="center"/>
        <w:rPr>
          <w:rFonts w:ascii="Times New Roman" w:cs="Times New Roman"/>
          <w:b/>
          <w:sz w:val="21"/>
          <w:szCs w:val="21"/>
        </w:rPr>
      </w:pPr>
      <w:r>
        <w:rPr>
          <w:rFonts w:ascii="Times New Roman" w:cs="Times New Roman"/>
          <w:b/>
          <w:sz w:val="21"/>
          <w:szCs w:val="21"/>
        </w:rPr>
        <w:t>图</w:t>
      </w:r>
      <w:r>
        <w:rPr>
          <w:rFonts w:ascii="Times New Roman" w:cs="Times New Roman"/>
          <w:b/>
          <w:sz w:val="21"/>
          <w:szCs w:val="21"/>
        </w:rPr>
        <w:t xml:space="preserve">4.1-1  </w:t>
      </w:r>
      <w:r>
        <w:rPr>
          <w:rFonts w:ascii="Times New Roman" w:cs="Times New Roman"/>
          <w:b/>
          <w:sz w:val="21"/>
          <w:szCs w:val="21"/>
        </w:rPr>
        <w:t>新建站场及管线工艺流程及产污情况</w:t>
      </w:r>
    </w:p>
    <w:p w:rsidR="00BD5820" w:rsidRDefault="00F64314">
      <w:pPr>
        <w:pStyle w:val="affa"/>
        <w:ind w:firstLine="480"/>
      </w:pPr>
      <w:r>
        <w:lastRenderedPageBreak/>
        <w:t>施工一般可分为线路施工和站场施工，管道施工分为若干个标段分别施工，标段按行政区划和地貌类型划分。施工由装备先进的专业施工队伍完成。</w:t>
      </w:r>
    </w:p>
    <w:p w:rsidR="00BD5820" w:rsidRDefault="00F64314">
      <w:pPr>
        <w:pStyle w:val="affa"/>
        <w:ind w:firstLine="480"/>
      </w:pPr>
      <w:r>
        <w:t>（</w:t>
      </w:r>
      <w:r>
        <w:t>1</w:t>
      </w:r>
      <w:r>
        <w:t>）管道线路施工工艺</w:t>
      </w:r>
    </w:p>
    <w:p w:rsidR="00BD5820" w:rsidRDefault="00F64314">
      <w:pPr>
        <w:pStyle w:val="affa"/>
        <w:ind w:firstLine="480"/>
      </w:pPr>
      <w:r>
        <w:rPr>
          <w:rFonts w:ascii="宋体" w:hAnsi="宋体" w:cs="宋体" w:hint="eastAsia"/>
        </w:rPr>
        <w:t>①</w:t>
      </w:r>
      <w:r>
        <w:t>现场勘查，确认路由后进行作业线路的清理。在完成管沟开挖等基础工程后，将钢管运至各施工现场。将管段及必要的弯头等组装后，用人工或自动方式焊接，然后进行防腐工艺的施工，最后按管道施工规范下到管沟内，覆土回填。</w:t>
      </w:r>
    </w:p>
    <w:p w:rsidR="00BD5820" w:rsidRDefault="00F64314">
      <w:pPr>
        <w:pStyle w:val="affa"/>
        <w:ind w:firstLine="480"/>
      </w:pPr>
      <w:r>
        <w:rPr>
          <w:rFonts w:ascii="宋体" w:hAnsi="宋体" w:cs="宋体" w:hint="eastAsia"/>
        </w:rPr>
        <w:t>②</w:t>
      </w:r>
      <w:r>
        <w:t>对管线进行清管、吹扫试压，清理作业现场，恢复地貌。</w:t>
      </w:r>
    </w:p>
    <w:p w:rsidR="00BD5820" w:rsidRDefault="00F64314">
      <w:pPr>
        <w:pStyle w:val="affa"/>
        <w:ind w:firstLine="480"/>
      </w:pPr>
      <w:r>
        <w:rPr>
          <w:rFonts w:ascii="宋体" w:hAnsi="宋体" w:cs="宋体" w:hint="eastAsia"/>
        </w:rPr>
        <w:t>③</w:t>
      </w:r>
      <w:r>
        <w:t>管线试运行正常后正式投产输气。</w:t>
      </w:r>
    </w:p>
    <w:p w:rsidR="00BD5820" w:rsidRDefault="00F64314">
      <w:pPr>
        <w:pStyle w:val="affa"/>
        <w:ind w:firstLine="480"/>
      </w:pPr>
      <w:r>
        <w:t>（</w:t>
      </w:r>
      <w:r>
        <w:t>2</w:t>
      </w:r>
      <w:r>
        <w:t>）站场施工工艺</w:t>
      </w:r>
    </w:p>
    <w:p w:rsidR="00BD5820" w:rsidRDefault="00F64314">
      <w:pPr>
        <w:pStyle w:val="affa"/>
        <w:ind w:firstLine="480"/>
      </w:pPr>
      <w:r>
        <w:t>本项目站场施工</w:t>
      </w:r>
      <w:r>
        <w:rPr>
          <w:rFonts w:hint="eastAsia"/>
        </w:rPr>
        <w:t>主要为表土剥离、</w:t>
      </w:r>
      <w:r>
        <w:t>土石方开挖、</w:t>
      </w:r>
      <w:r>
        <w:rPr>
          <w:rFonts w:hint="eastAsia"/>
        </w:rPr>
        <w:t>场地平整、</w:t>
      </w:r>
      <w:r>
        <w:t>安装工艺装置，并建设相应的辅助设施</w:t>
      </w:r>
      <w:r>
        <w:rPr>
          <w:rFonts w:hint="eastAsia"/>
        </w:rPr>
        <w:t>等</w:t>
      </w:r>
      <w:r>
        <w:t>。上述工程建设完成后，对管沟覆土回填，清理作业现场，恢复地貌、恢复地表植被，竣工验收。</w:t>
      </w:r>
    </w:p>
    <w:p w:rsidR="00BD5820" w:rsidRDefault="00F64314">
      <w:pPr>
        <w:pStyle w:val="3"/>
        <w:rPr>
          <w:rFonts w:eastAsia="宋体"/>
        </w:rPr>
      </w:pPr>
      <w:r>
        <w:rPr>
          <w:rFonts w:eastAsia="宋体"/>
        </w:rPr>
        <w:t xml:space="preserve">4.1.2 </w:t>
      </w:r>
      <w:r>
        <w:rPr>
          <w:rFonts w:eastAsia="宋体"/>
        </w:rPr>
        <w:t>施工工艺流程</w:t>
      </w:r>
    </w:p>
    <w:p w:rsidR="00BD5820" w:rsidRDefault="00F64314">
      <w:pPr>
        <w:pStyle w:val="affa"/>
        <w:ind w:firstLine="482"/>
        <w:rPr>
          <w:b/>
          <w:bCs/>
        </w:rPr>
      </w:pPr>
      <w:r>
        <w:rPr>
          <w:b/>
          <w:bCs/>
        </w:rPr>
        <w:t>（一）管道施工</w:t>
      </w:r>
    </w:p>
    <w:p w:rsidR="00BD5820" w:rsidRDefault="00F64314">
      <w:pPr>
        <w:pStyle w:val="affa"/>
        <w:ind w:firstLine="482"/>
        <w:rPr>
          <w:b/>
          <w:bCs/>
        </w:rPr>
      </w:pPr>
      <w:r>
        <w:rPr>
          <w:b/>
          <w:bCs/>
        </w:rPr>
        <w:t>1</w:t>
      </w:r>
      <w:r>
        <w:rPr>
          <w:b/>
          <w:bCs/>
        </w:rPr>
        <w:t>、施工作业带清理和管沟开挖</w:t>
      </w:r>
    </w:p>
    <w:p w:rsidR="00BD5820" w:rsidRDefault="00F64314">
      <w:pPr>
        <w:pStyle w:val="affa"/>
        <w:ind w:firstLine="480"/>
      </w:pPr>
      <w:r>
        <w:t>（</w:t>
      </w:r>
      <w:r>
        <w:t>1</w:t>
      </w:r>
      <w:r>
        <w:t>）作业带清理</w:t>
      </w:r>
    </w:p>
    <w:p w:rsidR="00BD5820" w:rsidRDefault="00F64314">
      <w:pPr>
        <w:pStyle w:val="affa"/>
        <w:ind w:firstLine="480"/>
      </w:pPr>
      <w:r>
        <w:t>一般线路段管道采用沟埋方式敷设，管道施工作业带应以少占良田、好地为原则，根据管道施工特点并结合</w:t>
      </w:r>
      <w:r>
        <w:rPr>
          <w:rFonts w:hint="eastAsia"/>
        </w:rPr>
        <w:t>本项目</w:t>
      </w:r>
      <w:r>
        <w:t>实际，在一般地段，施工作业带考虑机械化施工所需要的宽度。</w:t>
      </w:r>
      <w:r>
        <w:rPr>
          <w:rFonts w:hint="eastAsia"/>
        </w:rPr>
        <w:t>本项目</w:t>
      </w:r>
      <w:r>
        <w:t>输气管道施工作业带宽度为</w:t>
      </w:r>
      <w:r>
        <w:rPr>
          <w:rFonts w:hint="eastAsia"/>
        </w:rPr>
        <w:t>12</w:t>
      </w:r>
      <w:r>
        <w:t>m</w:t>
      </w:r>
      <w:r>
        <w:t>。局部地形受限制地段，可适当减少施工作业带宽度。</w:t>
      </w:r>
    </w:p>
    <w:p w:rsidR="00BD5820" w:rsidRDefault="00F64314">
      <w:pPr>
        <w:pStyle w:val="affa"/>
        <w:ind w:firstLine="480"/>
      </w:pPr>
      <w:r>
        <w:t>本项目</w:t>
      </w:r>
      <w:r>
        <w:rPr>
          <w:rFonts w:hint="eastAsia"/>
        </w:rPr>
        <w:t>管线</w:t>
      </w:r>
      <w:r>
        <w:t>施工作业带共清理面积约</w:t>
      </w:r>
      <w:r>
        <w:rPr>
          <w:rFonts w:hint="eastAsia"/>
        </w:rPr>
        <w:t>324</w:t>
      </w:r>
      <w:r>
        <w:t>00m</w:t>
      </w:r>
      <w:r>
        <w:rPr>
          <w:vertAlign w:val="superscript"/>
        </w:rPr>
        <w:t>2</w:t>
      </w:r>
      <w:r>
        <w:t>。在管道通过经济作物区等特殊地带，尽量采取沟下组焊等占地宽度较小的施工作业方式，减少施工作业带宽度。在施工作业带范围内，对于影响施工机具通行或施工作业的石块、杂草、树木应清理干净，沟、坎应予以平整。有积水的</w:t>
      </w:r>
      <w:r>
        <w:rPr>
          <w:rFonts w:hint="eastAsia"/>
        </w:rPr>
        <w:t>地势</w:t>
      </w:r>
      <w:r>
        <w:t>低洼地段应排水，施工作业带清理时，应注意对土地的保护，减少或防止产生水土流失。清理和平整施工作业带时，应注意保护标志桩，如果破坏应立即恢复。在耕地开挖管沟时，应严格将表层耕作土和底层生土分层堆放。</w:t>
      </w:r>
    </w:p>
    <w:p w:rsidR="00BD5820" w:rsidRDefault="00F64314">
      <w:pPr>
        <w:pStyle w:val="affa"/>
        <w:ind w:firstLine="480"/>
      </w:pPr>
      <w:r>
        <w:t>（</w:t>
      </w:r>
      <w:r>
        <w:t>2</w:t>
      </w:r>
      <w:r>
        <w:t>）管沟开挖</w:t>
      </w:r>
    </w:p>
    <w:p w:rsidR="00BD5820" w:rsidRDefault="00F64314">
      <w:pPr>
        <w:pStyle w:val="affa"/>
        <w:ind w:firstLine="480"/>
      </w:pPr>
      <w:r>
        <w:t>管沟开挖的方式有人工开挖和机械开挖，必要时还可采用爆破开挖。</w:t>
      </w:r>
    </w:p>
    <w:p w:rsidR="00BD5820" w:rsidRDefault="00F64314">
      <w:pPr>
        <w:pStyle w:val="affa"/>
        <w:ind w:firstLine="480"/>
      </w:pPr>
      <w:r>
        <w:lastRenderedPageBreak/>
        <w:t>一般地段管沟开挖时，管顶覆土深度要求不小于</w:t>
      </w:r>
      <w:r>
        <w:t>1.0m</w:t>
      </w:r>
      <w:r>
        <w:t>，管道通过岩石层、卵砾石地段时，管沟应超挖</w:t>
      </w:r>
      <w:r>
        <w:t>0.2m</w:t>
      </w:r>
      <w:r>
        <w:t>，并用细土或砂浆深挖部分垫平后方可下管。管沟回填时，应先用细土回填至管顶以上</w:t>
      </w:r>
      <w:r>
        <w:t>0.3m</w:t>
      </w:r>
      <w:r>
        <w:t>，方可用土、砂或粒径小于</w:t>
      </w:r>
      <w:r>
        <w:t>100mm</w:t>
      </w:r>
      <w:r>
        <w:t>的碎石回填压实。管沟回填土应高出地面</w:t>
      </w:r>
      <w:r>
        <w:t>0.3m</w:t>
      </w:r>
      <w:r>
        <w:t>。在经过一些河流、沟渠、陡坡、陡坎时，为满足管道的弹性敷设要求及管道的轴向稳定性，局部地段应适当挖深，管沟宽度适当放大。</w:t>
      </w:r>
    </w:p>
    <w:p w:rsidR="00BD5820" w:rsidRDefault="00F64314">
      <w:pPr>
        <w:pStyle w:val="affa"/>
        <w:ind w:firstLine="480"/>
      </w:pPr>
      <w:r>
        <w:t>（</w:t>
      </w:r>
      <w:r>
        <w:t>3</w:t>
      </w:r>
      <w:r>
        <w:t>）管沟边坡</w:t>
      </w:r>
    </w:p>
    <w:p w:rsidR="00BD5820" w:rsidRDefault="00F64314">
      <w:pPr>
        <w:pStyle w:val="affa"/>
        <w:ind w:firstLine="480"/>
      </w:pPr>
      <w:r>
        <w:t>根据线路的特点，一般地段管沟边坡坡度执行以下规定：</w:t>
      </w:r>
    </w:p>
    <w:p w:rsidR="00BD5820" w:rsidRDefault="00F64314">
      <w:pPr>
        <w:pStyle w:val="10"/>
        <w:rPr>
          <w:rFonts w:cs="Times New Roman"/>
        </w:rPr>
      </w:pPr>
      <w:r>
        <w:rPr>
          <w:rFonts w:cs="Times New Roman"/>
        </w:rPr>
        <w:t>表</w:t>
      </w:r>
      <w:r>
        <w:rPr>
          <w:rFonts w:cs="Times New Roman"/>
        </w:rPr>
        <w:t xml:space="preserve">4.1-1  </w:t>
      </w:r>
      <w:r>
        <w:rPr>
          <w:rFonts w:cs="Times New Roman"/>
        </w:rPr>
        <w:t>深度在</w:t>
      </w:r>
      <w:r>
        <w:rPr>
          <w:rFonts w:cs="Times New Roman"/>
        </w:rPr>
        <w:t>5m</w:t>
      </w:r>
      <w:r>
        <w:rPr>
          <w:rFonts w:cs="Times New Roman"/>
        </w:rPr>
        <w:t>以内管沟最陡边坡坡度</w:t>
      </w:r>
    </w:p>
    <w:tbl>
      <w:tblPr>
        <w:tblW w:w="8998" w:type="dxa"/>
        <w:jc w:val="center"/>
        <w:tblBorders>
          <w:top w:val="single" w:sz="12" w:space="0" w:color="auto"/>
          <w:bottom w:val="single" w:sz="12" w:space="0" w:color="auto"/>
          <w:insideH w:val="single" w:sz="4" w:space="0" w:color="auto"/>
          <w:insideV w:val="single" w:sz="4" w:space="0" w:color="auto"/>
        </w:tblBorders>
        <w:tblLook w:val="04A0"/>
      </w:tblPr>
      <w:tblGrid>
        <w:gridCol w:w="3096"/>
        <w:gridCol w:w="1793"/>
        <w:gridCol w:w="2054"/>
        <w:gridCol w:w="2055"/>
      </w:tblGrid>
      <w:tr w:rsidR="00BD5820">
        <w:trPr>
          <w:cantSplit/>
          <w:trHeight w:val="272"/>
          <w:jc w:val="center"/>
        </w:trPr>
        <w:tc>
          <w:tcPr>
            <w:tcW w:w="3096" w:type="dxa"/>
            <w:vMerge w:val="restart"/>
            <w:vAlign w:val="center"/>
          </w:tcPr>
          <w:p w:rsidR="00BD5820" w:rsidRDefault="00F64314">
            <w:pPr>
              <w:tabs>
                <w:tab w:val="left" w:pos="1500"/>
              </w:tabs>
              <w:snapToGrid w:val="0"/>
              <w:spacing w:line="240" w:lineRule="auto"/>
              <w:ind w:firstLineChars="0" w:firstLine="0"/>
              <w:jc w:val="center"/>
              <w:rPr>
                <w:rFonts w:ascii="Times New Roman" w:cs="Times New Roman"/>
                <w:b/>
                <w:bCs/>
                <w:sz w:val="21"/>
                <w:szCs w:val="18"/>
              </w:rPr>
            </w:pPr>
            <w:r>
              <w:rPr>
                <w:rFonts w:ascii="Times New Roman" w:cs="Times New Roman"/>
                <w:b/>
                <w:bCs/>
                <w:sz w:val="21"/>
                <w:szCs w:val="18"/>
              </w:rPr>
              <w:t>土壤类别</w:t>
            </w:r>
          </w:p>
        </w:tc>
        <w:tc>
          <w:tcPr>
            <w:tcW w:w="5902" w:type="dxa"/>
            <w:gridSpan w:val="3"/>
            <w:vAlign w:val="center"/>
          </w:tcPr>
          <w:p w:rsidR="00BD5820" w:rsidRDefault="00F64314">
            <w:pPr>
              <w:tabs>
                <w:tab w:val="left" w:pos="1500"/>
              </w:tabs>
              <w:snapToGrid w:val="0"/>
              <w:spacing w:line="240" w:lineRule="auto"/>
              <w:ind w:firstLineChars="0" w:firstLine="0"/>
              <w:jc w:val="center"/>
              <w:rPr>
                <w:rFonts w:ascii="Times New Roman" w:cs="Times New Roman"/>
                <w:b/>
                <w:bCs/>
                <w:sz w:val="21"/>
                <w:szCs w:val="18"/>
              </w:rPr>
            </w:pPr>
            <w:r>
              <w:rPr>
                <w:rFonts w:ascii="Times New Roman" w:cs="Times New Roman"/>
                <w:b/>
                <w:bCs/>
                <w:sz w:val="21"/>
                <w:szCs w:val="18"/>
              </w:rPr>
              <w:t>最陡边坡坡度</w:t>
            </w:r>
          </w:p>
        </w:tc>
      </w:tr>
      <w:tr w:rsidR="00BD5820">
        <w:trPr>
          <w:cantSplit/>
          <w:trHeight w:val="272"/>
          <w:jc w:val="center"/>
        </w:trPr>
        <w:tc>
          <w:tcPr>
            <w:tcW w:w="3096" w:type="dxa"/>
            <w:vMerge/>
            <w:vAlign w:val="center"/>
          </w:tcPr>
          <w:p w:rsidR="00BD5820" w:rsidRDefault="00BD5820">
            <w:pPr>
              <w:tabs>
                <w:tab w:val="left" w:pos="1500"/>
              </w:tabs>
              <w:snapToGrid w:val="0"/>
              <w:spacing w:line="240" w:lineRule="auto"/>
              <w:ind w:firstLineChars="0" w:firstLine="0"/>
              <w:jc w:val="center"/>
              <w:rPr>
                <w:rFonts w:ascii="Times New Roman" w:cs="Times New Roman"/>
                <w:b/>
                <w:bCs/>
                <w:sz w:val="21"/>
                <w:szCs w:val="18"/>
              </w:rPr>
            </w:pPr>
          </w:p>
        </w:tc>
        <w:tc>
          <w:tcPr>
            <w:tcW w:w="1793" w:type="dxa"/>
            <w:vAlign w:val="center"/>
          </w:tcPr>
          <w:p w:rsidR="00BD5820" w:rsidRDefault="00F64314">
            <w:pPr>
              <w:tabs>
                <w:tab w:val="left" w:pos="1500"/>
              </w:tabs>
              <w:snapToGrid w:val="0"/>
              <w:spacing w:line="240" w:lineRule="auto"/>
              <w:ind w:firstLineChars="0" w:firstLine="0"/>
              <w:jc w:val="center"/>
              <w:rPr>
                <w:rFonts w:ascii="Times New Roman" w:cs="Times New Roman"/>
                <w:b/>
                <w:bCs/>
                <w:sz w:val="21"/>
                <w:szCs w:val="18"/>
              </w:rPr>
            </w:pPr>
            <w:r>
              <w:rPr>
                <w:rFonts w:ascii="Times New Roman" w:cs="Times New Roman"/>
                <w:b/>
                <w:bCs/>
                <w:sz w:val="21"/>
                <w:szCs w:val="18"/>
              </w:rPr>
              <w:t>坡顶无载荷</w:t>
            </w:r>
          </w:p>
        </w:tc>
        <w:tc>
          <w:tcPr>
            <w:tcW w:w="2054" w:type="dxa"/>
            <w:vAlign w:val="center"/>
          </w:tcPr>
          <w:p w:rsidR="00BD5820" w:rsidRDefault="00F64314">
            <w:pPr>
              <w:tabs>
                <w:tab w:val="left" w:pos="1500"/>
              </w:tabs>
              <w:snapToGrid w:val="0"/>
              <w:spacing w:line="240" w:lineRule="auto"/>
              <w:ind w:firstLineChars="0" w:firstLine="0"/>
              <w:jc w:val="center"/>
              <w:rPr>
                <w:rFonts w:ascii="Times New Roman" w:cs="Times New Roman"/>
                <w:b/>
                <w:bCs/>
                <w:sz w:val="21"/>
                <w:szCs w:val="18"/>
              </w:rPr>
            </w:pPr>
            <w:r>
              <w:rPr>
                <w:rFonts w:ascii="Times New Roman" w:cs="Times New Roman"/>
                <w:b/>
                <w:bCs/>
                <w:sz w:val="21"/>
                <w:szCs w:val="18"/>
              </w:rPr>
              <w:t>坡顶有静载荷</w:t>
            </w:r>
          </w:p>
        </w:tc>
        <w:tc>
          <w:tcPr>
            <w:tcW w:w="2055" w:type="dxa"/>
            <w:vAlign w:val="center"/>
          </w:tcPr>
          <w:p w:rsidR="00BD5820" w:rsidRDefault="00F64314">
            <w:pPr>
              <w:tabs>
                <w:tab w:val="left" w:pos="1500"/>
              </w:tabs>
              <w:snapToGrid w:val="0"/>
              <w:spacing w:line="240" w:lineRule="auto"/>
              <w:ind w:firstLineChars="0" w:firstLine="0"/>
              <w:jc w:val="center"/>
              <w:rPr>
                <w:rFonts w:ascii="Times New Roman" w:cs="Times New Roman"/>
                <w:b/>
                <w:bCs/>
                <w:sz w:val="21"/>
                <w:szCs w:val="18"/>
              </w:rPr>
            </w:pPr>
            <w:r>
              <w:rPr>
                <w:rFonts w:ascii="Times New Roman" w:cs="Times New Roman"/>
                <w:b/>
                <w:bCs/>
                <w:sz w:val="21"/>
                <w:szCs w:val="18"/>
              </w:rPr>
              <w:t>坡顶有动载荷</w:t>
            </w:r>
          </w:p>
        </w:tc>
      </w:tr>
      <w:tr w:rsidR="00BD5820">
        <w:trPr>
          <w:cantSplit/>
          <w:trHeight w:val="272"/>
          <w:jc w:val="center"/>
        </w:trPr>
        <w:tc>
          <w:tcPr>
            <w:tcW w:w="3096" w:type="dxa"/>
            <w:vAlign w:val="center"/>
          </w:tcPr>
          <w:p w:rsidR="00BD5820" w:rsidRDefault="00F64314">
            <w:pPr>
              <w:tabs>
                <w:tab w:val="left" w:pos="1500"/>
              </w:tabs>
              <w:snapToGrid w:val="0"/>
              <w:spacing w:line="240" w:lineRule="auto"/>
              <w:ind w:firstLineChars="0" w:firstLine="0"/>
              <w:jc w:val="center"/>
              <w:rPr>
                <w:rFonts w:ascii="Times New Roman" w:cs="Times New Roman"/>
                <w:sz w:val="21"/>
                <w:szCs w:val="18"/>
              </w:rPr>
            </w:pPr>
            <w:r>
              <w:rPr>
                <w:rFonts w:ascii="Times New Roman" w:cs="Times New Roman"/>
                <w:sz w:val="21"/>
                <w:szCs w:val="18"/>
              </w:rPr>
              <w:t>中密的沙土</w:t>
            </w:r>
          </w:p>
        </w:tc>
        <w:tc>
          <w:tcPr>
            <w:tcW w:w="1793" w:type="dxa"/>
            <w:vAlign w:val="center"/>
          </w:tcPr>
          <w:p w:rsidR="00BD5820" w:rsidRDefault="00F64314">
            <w:pPr>
              <w:tabs>
                <w:tab w:val="left" w:pos="1500"/>
              </w:tabs>
              <w:snapToGrid w:val="0"/>
              <w:spacing w:line="240" w:lineRule="auto"/>
              <w:ind w:firstLineChars="0" w:firstLine="0"/>
              <w:jc w:val="center"/>
              <w:rPr>
                <w:rFonts w:ascii="Times New Roman" w:cs="Times New Roman"/>
                <w:sz w:val="21"/>
                <w:szCs w:val="18"/>
              </w:rPr>
            </w:pPr>
            <w:r>
              <w:rPr>
                <w:rFonts w:ascii="Times New Roman" w:cs="Times New Roman"/>
                <w:sz w:val="21"/>
                <w:szCs w:val="18"/>
              </w:rPr>
              <w:t>1</w:t>
            </w:r>
            <w:r>
              <w:rPr>
                <w:rFonts w:ascii="Times New Roman" w:cs="Times New Roman"/>
                <w:sz w:val="21"/>
                <w:szCs w:val="18"/>
              </w:rPr>
              <w:t>：</w:t>
            </w:r>
            <w:r>
              <w:rPr>
                <w:rFonts w:ascii="Times New Roman" w:cs="Times New Roman"/>
                <w:sz w:val="21"/>
                <w:szCs w:val="18"/>
              </w:rPr>
              <w:t>1.00</w:t>
            </w:r>
          </w:p>
        </w:tc>
        <w:tc>
          <w:tcPr>
            <w:tcW w:w="2054" w:type="dxa"/>
            <w:vAlign w:val="center"/>
          </w:tcPr>
          <w:p w:rsidR="00BD5820" w:rsidRDefault="00F64314">
            <w:pPr>
              <w:tabs>
                <w:tab w:val="left" w:pos="1500"/>
              </w:tabs>
              <w:snapToGrid w:val="0"/>
              <w:spacing w:line="240" w:lineRule="auto"/>
              <w:ind w:firstLineChars="0" w:firstLine="0"/>
              <w:jc w:val="center"/>
              <w:rPr>
                <w:rFonts w:ascii="Times New Roman" w:cs="Times New Roman"/>
                <w:sz w:val="21"/>
                <w:szCs w:val="18"/>
              </w:rPr>
            </w:pPr>
            <w:r>
              <w:rPr>
                <w:rFonts w:ascii="Times New Roman" w:cs="Times New Roman"/>
                <w:sz w:val="21"/>
                <w:szCs w:val="18"/>
              </w:rPr>
              <w:t>1</w:t>
            </w:r>
            <w:r>
              <w:rPr>
                <w:rFonts w:ascii="Times New Roman" w:cs="Times New Roman"/>
                <w:sz w:val="21"/>
                <w:szCs w:val="18"/>
              </w:rPr>
              <w:t>：</w:t>
            </w:r>
            <w:r>
              <w:rPr>
                <w:rFonts w:ascii="Times New Roman" w:cs="Times New Roman"/>
                <w:sz w:val="21"/>
                <w:szCs w:val="18"/>
              </w:rPr>
              <w:t>1.25</w:t>
            </w:r>
          </w:p>
        </w:tc>
        <w:tc>
          <w:tcPr>
            <w:tcW w:w="2055" w:type="dxa"/>
            <w:vAlign w:val="center"/>
          </w:tcPr>
          <w:p w:rsidR="00BD5820" w:rsidRDefault="00F64314">
            <w:pPr>
              <w:tabs>
                <w:tab w:val="left" w:pos="1500"/>
              </w:tabs>
              <w:snapToGrid w:val="0"/>
              <w:spacing w:line="240" w:lineRule="auto"/>
              <w:ind w:firstLineChars="0" w:firstLine="0"/>
              <w:jc w:val="center"/>
              <w:rPr>
                <w:rFonts w:ascii="Times New Roman" w:cs="Times New Roman"/>
                <w:sz w:val="21"/>
                <w:szCs w:val="18"/>
              </w:rPr>
            </w:pPr>
            <w:r>
              <w:rPr>
                <w:rFonts w:ascii="Times New Roman" w:cs="Times New Roman"/>
                <w:sz w:val="21"/>
                <w:szCs w:val="18"/>
              </w:rPr>
              <w:t>1</w:t>
            </w:r>
            <w:r>
              <w:rPr>
                <w:rFonts w:ascii="Times New Roman" w:cs="Times New Roman"/>
                <w:sz w:val="21"/>
                <w:szCs w:val="18"/>
              </w:rPr>
              <w:t>：</w:t>
            </w:r>
            <w:r>
              <w:rPr>
                <w:rFonts w:ascii="Times New Roman" w:cs="Times New Roman"/>
                <w:sz w:val="21"/>
                <w:szCs w:val="18"/>
              </w:rPr>
              <w:t>1.5</w:t>
            </w:r>
          </w:p>
        </w:tc>
      </w:tr>
      <w:tr w:rsidR="00BD5820">
        <w:trPr>
          <w:cantSplit/>
          <w:trHeight w:val="272"/>
          <w:jc w:val="center"/>
        </w:trPr>
        <w:tc>
          <w:tcPr>
            <w:tcW w:w="3096" w:type="dxa"/>
            <w:vAlign w:val="center"/>
          </w:tcPr>
          <w:p w:rsidR="00BD5820" w:rsidRDefault="00F64314">
            <w:pPr>
              <w:tabs>
                <w:tab w:val="left" w:pos="1500"/>
              </w:tabs>
              <w:snapToGrid w:val="0"/>
              <w:spacing w:line="240" w:lineRule="auto"/>
              <w:ind w:firstLineChars="0" w:firstLine="0"/>
              <w:jc w:val="center"/>
              <w:rPr>
                <w:rFonts w:ascii="Times New Roman" w:cs="Times New Roman"/>
                <w:sz w:val="21"/>
                <w:szCs w:val="18"/>
              </w:rPr>
            </w:pPr>
            <w:r>
              <w:rPr>
                <w:rFonts w:ascii="Times New Roman" w:cs="Times New Roman"/>
                <w:sz w:val="21"/>
                <w:szCs w:val="18"/>
              </w:rPr>
              <w:t>中密的碎石类土</w:t>
            </w:r>
          </w:p>
          <w:p w:rsidR="00BD5820" w:rsidRDefault="00F64314">
            <w:pPr>
              <w:tabs>
                <w:tab w:val="left" w:pos="1500"/>
              </w:tabs>
              <w:snapToGrid w:val="0"/>
              <w:spacing w:line="240" w:lineRule="auto"/>
              <w:ind w:firstLineChars="0" w:firstLine="0"/>
              <w:jc w:val="center"/>
              <w:rPr>
                <w:rFonts w:ascii="Times New Roman" w:cs="Times New Roman"/>
                <w:sz w:val="21"/>
                <w:szCs w:val="18"/>
              </w:rPr>
            </w:pPr>
            <w:r>
              <w:rPr>
                <w:rFonts w:ascii="Times New Roman" w:cs="Times New Roman"/>
                <w:sz w:val="21"/>
                <w:szCs w:val="18"/>
              </w:rPr>
              <w:t>（充填物为沙土）</w:t>
            </w:r>
          </w:p>
        </w:tc>
        <w:tc>
          <w:tcPr>
            <w:tcW w:w="1793" w:type="dxa"/>
            <w:vAlign w:val="center"/>
          </w:tcPr>
          <w:p w:rsidR="00BD5820" w:rsidRDefault="00F64314">
            <w:pPr>
              <w:tabs>
                <w:tab w:val="left" w:pos="1500"/>
              </w:tabs>
              <w:snapToGrid w:val="0"/>
              <w:spacing w:line="240" w:lineRule="auto"/>
              <w:ind w:firstLineChars="0" w:firstLine="0"/>
              <w:jc w:val="center"/>
              <w:rPr>
                <w:rFonts w:ascii="Times New Roman" w:cs="Times New Roman"/>
                <w:sz w:val="21"/>
                <w:szCs w:val="18"/>
              </w:rPr>
            </w:pPr>
            <w:r>
              <w:rPr>
                <w:rFonts w:ascii="Times New Roman" w:cs="Times New Roman"/>
                <w:sz w:val="21"/>
                <w:szCs w:val="18"/>
              </w:rPr>
              <w:t>1</w:t>
            </w:r>
            <w:r>
              <w:rPr>
                <w:rFonts w:ascii="Times New Roman" w:cs="Times New Roman"/>
                <w:sz w:val="21"/>
                <w:szCs w:val="18"/>
              </w:rPr>
              <w:t>：</w:t>
            </w:r>
            <w:r>
              <w:rPr>
                <w:rFonts w:ascii="Times New Roman" w:cs="Times New Roman"/>
                <w:sz w:val="21"/>
                <w:szCs w:val="18"/>
              </w:rPr>
              <w:t>0.75</w:t>
            </w:r>
          </w:p>
        </w:tc>
        <w:tc>
          <w:tcPr>
            <w:tcW w:w="2054" w:type="dxa"/>
            <w:vAlign w:val="center"/>
          </w:tcPr>
          <w:p w:rsidR="00BD5820" w:rsidRDefault="00F64314">
            <w:pPr>
              <w:tabs>
                <w:tab w:val="left" w:pos="1500"/>
              </w:tabs>
              <w:snapToGrid w:val="0"/>
              <w:spacing w:line="240" w:lineRule="auto"/>
              <w:ind w:firstLineChars="0" w:firstLine="0"/>
              <w:jc w:val="center"/>
              <w:rPr>
                <w:rFonts w:ascii="Times New Roman" w:cs="Times New Roman"/>
                <w:sz w:val="21"/>
                <w:szCs w:val="18"/>
              </w:rPr>
            </w:pPr>
            <w:r>
              <w:rPr>
                <w:rFonts w:ascii="Times New Roman" w:cs="Times New Roman"/>
                <w:sz w:val="21"/>
                <w:szCs w:val="18"/>
              </w:rPr>
              <w:t>1</w:t>
            </w:r>
            <w:r>
              <w:rPr>
                <w:rFonts w:ascii="Times New Roman" w:cs="Times New Roman"/>
                <w:sz w:val="21"/>
                <w:szCs w:val="18"/>
              </w:rPr>
              <w:t>：</w:t>
            </w:r>
            <w:r>
              <w:rPr>
                <w:rFonts w:ascii="Times New Roman" w:cs="Times New Roman"/>
                <w:sz w:val="21"/>
                <w:szCs w:val="18"/>
              </w:rPr>
              <w:t>1.00</w:t>
            </w:r>
          </w:p>
        </w:tc>
        <w:tc>
          <w:tcPr>
            <w:tcW w:w="2055" w:type="dxa"/>
            <w:vAlign w:val="center"/>
          </w:tcPr>
          <w:p w:rsidR="00BD5820" w:rsidRDefault="00F64314">
            <w:pPr>
              <w:tabs>
                <w:tab w:val="left" w:pos="1500"/>
              </w:tabs>
              <w:snapToGrid w:val="0"/>
              <w:spacing w:line="240" w:lineRule="auto"/>
              <w:ind w:firstLineChars="0" w:firstLine="0"/>
              <w:jc w:val="center"/>
              <w:rPr>
                <w:rFonts w:ascii="Times New Roman" w:cs="Times New Roman"/>
                <w:sz w:val="21"/>
                <w:szCs w:val="18"/>
              </w:rPr>
            </w:pPr>
            <w:r>
              <w:rPr>
                <w:rFonts w:ascii="Times New Roman" w:cs="Times New Roman"/>
                <w:sz w:val="21"/>
                <w:szCs w:val="18"/>
              </w:rPr>
              <w:t>1</w:t>
            </w:r>
            <w:r>
              <w:rPr>
                <w:rFonts w:ascii="Times New Roman" w:cs="Times New Roman"/>
                <w:sz w:val="21"/>
                <w:szCs w:val="18"/>
              </w:rPr>
              <w:t>：</w:t>
            </w:r>
            <w:r>
              <w:rPr>
                <w:rFonts w:ascii="Times New Roman" w:cs="Times New Roman"/>
                <w:sz w:val="21"/>
                <w:szCs w:val="18"/>
              </w:rPr>
              <w:t>1.25</w:t>
            </w:r>
          </w:p>
        </w:tc>
      </w:tr>
      <w:tr w:rsidR="00BD5820">
        <w:trPr>
          <w:cantSplit/>
          <w:trHeight w:val="272"/>
          <w:jc w:val="center"/>
        </w:trPr>
        <w:tc>
          <w:tcPr>
            <w:tcW w:w="3096" w:type="dxa"/>
            <w:vAlign w:val="center"/>
          </w:tcPr>
          <w:p w:rsidR="00BD5820" w:rsidRDefault="00F64314">
            <w:pPr>
              <w:tabs>
                <w:tab w:val="left" w:pos="1500"/>
              </w:tabs>
              <w:snapToGrid w:val="0"/>
              <w:spacing w:line="240" w:lineRule="auto"/>
              <w:ind w:firstLineChars="0" w:firstLine="0"/>
              <w:jc w:val="center"/>
              <w:rPr>
                <w:rFonts w:ascii="Times New Roman" w:cs="Times New Roman"/>
                <w:sz w:val="21"/>
                <w:szCs w:val="18"/>
              </w:rPr>
            </w:pPr>
            <w:r>
              <w:rPr>
                <w:rFonts w:ascii="Times New Roman" w:cs="Times New Roman"/>
                <w:sz w:val="21"/>
                <w:szCs w:val="18"/>
              </w:rPr>
              <w:t>硬塑的粉土</w:t>
            </w:r>
          </w:p>
        </w:tc>
        <w:tc>
          <w:tcPr>
            <w:tcW w:w="1793" w:type="dxa"/>
            <w:vAlign w:val="center"/>
          </w:tcPr>
          <w:p w:rsidR="00BD5820" w:rsidRDefault="00F64314">
            <w:pPr>
              <w:tabs>
                <w:tab w:val="left" w:pos="1500"/>
              </w:tabs>
              <w:snapToGrid w:val="0"/>
              <w:spacing w:line="240" w:lineRule="auto"/>
              <w:ind w:firstLineChars="0" w:firstLine="0"/>
              <w:jc w:val="center"/>
              <w:rPr>
                <w:rFonts w:ascii="Times New Roman" w:cs="Times New Roman"/>
                <w:sz w:val="21"/>
                <w:szCs w:val="18"/>
              </w:rPr>
            </w:pPr>
            <w:r>
              <w:rPr>
                <w:rFonts w:ascii="Times New Roman" w:cs="Times New Roman"/>
                <w:sz w:val="21"/>
                <w:szCs w:val="18"/>
              </w:rPr>
              <w:t>1</w:t>
            </w:r>
            <w:r>
              <w:rPr>
                <w:rFonts w:ascii="Times New Roman" w:cs="Times New Roman"/>
                <w:sz w:val="21"/>
                <w:szCs w:val="18"/>
              </w:rPr>
              <w:t>：</w:t>
            </w:r>
            <w:r>
              <w:rPr>
                <w:rFonts w:ascii="Times New Roman" w:cs="Times New Roman"/>
                <w:sz w:val="21"/>
                <w:szCs w:val="18"/>
              </w:rPr>
              <w:t>0.67</w:t>
            </w:r>
          </w:p>
        </w:tc>
        <w:tc>
          <w:tcPr>
            <w:tcW w:w="2054" w:type="dxa"/>
            <w:vAlign w:val="center"/>
          </w:tcPr>
          <w:p w:rsidR="00BD5820" w:rsidRDefault="00F64314">
            <w:pPr>
              <w:tabs>
                <w:tab w:val="left" w:pos="1500"/>
              </w:tabs>
              <w:snapToGrid w:val="0"/>
              <w:spacing w:line="240" w:lineRule="auto"/>
              <w:ind w:firstLineChars="0" w:firstLine="0"/>
              <w:jc w:val="center"/>
              <w:rPr>
                <w:rFonts w:ascii="Times New Roman" w:cs="Times New Roman"/>
                <w:sz w:val="21"/>
                <w:szCs w:val="18"/>
              </w:rPr>
            </w:pPr>
            <w:r>
              <w:rPr>
                <w:rFonts w:ascii="Times New Roman" w:cs="Times New Roman"/>
                <w:sz w:val="21"/>
                <w:szCs w:val="18"/>
              </w:rPr>
              <w:t>1</w:t>
            </w:r>
            <w:r>
              <w:rPr>
                <w:rFonts w:ascii="Times New Roman" w:cs="Times New Roman"/>
                <w:sz w:val="21"/>
                <w:szCs w:val="18"/>
              </w:rPr>
              <w:t>：</w:t>
            </w:r>
            <w:r>
              <w:rPr>
                <w:rFonts w:ascii="Times New Roman" w:cs="Times New Roman"/>
                <w:sz w:val="21"/>
                <w:szCs w:val="18"/>
              </w:rPr>
              <w:t>0.75</w:t>
            </w:r>
          </w:p>
        </w:tc>
        <w:tc>
          <w:tcPr>
            <w:tcW w:w="2055" w:type="dxa"/>
            <w:vAlign w:val="center"/>
          </w:tcPr>
          <w:p w:rsidR="00BD5820" w:rsidRDefault="00F64314">
            <w:pPr>
              <w:tabs>
                <w:tab w:val="left" w:pos="1500"/>
              </w:tabs>
              <w:snapToGrid w:val="0"/>
              <w:spacing w:line="240" w:lineRule="auto"/>
              <w:ind w:firstLineChars="0" w:firstLine="0"/>
              <w:jc w:val="center"/>
              <w:rPr>
                <w:rFonts w:ascii="Times New Roman" w:cs="Times New Roman"/>
                <w:sz w:val="21"/>
                <w:szCs w:val="18"/>
              </w:rPr>
            </w:pPr>
            <w:r>
              <w:rPr>
                <w:rFonts w:ascii="Times New Roman" w:cs="Times New Roman"/>
                <w:sz w:val="21"/>
                <w:szCs w:val="18"/>
              </w:rPr>
              <w:t>1</w:t>
            </w:r>
            <w:r>
              <w:rPr>
                <w:rFonts w:ascii="Times New Roman" w:cs="Times New Roman"/>
                <w:sz w:val="21"/>
                <w:szCs w:val="18"/>
              </w:rPr>
              <w:t>：</w:t>
            </w:r>
            <w:r>
              <w:rPr>
                <w:rFonts w:ascii="Times New Roman" w:cs="Times New Roman"/>
                <w:sz w:val="21"/>
                <w:szCs w:val="18"/>
              </w:rPr>
              <w:t>1.00</w:t>
            </w:r>
          </w:p>
        </w:tc>
      </w:tr>
      <w:tr w:rsidR="00BD5820">
        <w:trPr>
          <w:cantSplit/>
          <w:trHeight w:val="272"/>
          <w:jc w:val="center"/>
        </w:trPr>
        <w:tc>
          <w:tcPr>
            <w:tcW w:w="3096" w:type="dxa"/>
            <w:vAlign w:val="center"/>
          </w:tcPr>
          <w:p w:rsidR="00BD5820" w:rsidRDefault="00F64314">
            <w:pPr>
              <w:tabs>
                <w:tab w:val="left" w:pos="1500"/>
              </w:tabs>
              <w:snapToGrid w:val="0"/>
              <w:spacing w:line="240" w:lineRule="auto"/>
              <w:ind w:firstLineChars="0" w:firstLine="0"/>
              <w:jc w:val="center"/>
              <w:rPr>
                <w:rFonts w:ascii="Times New Roman" w:cs="Times New Roman"/>
                <w:sz w:val="21"/>
                <w:szCs w:val="18"/>
              </w:rPr>
            </w:pPr>
            <w:r>
              <w:rPr>
                <w:rFonts w:ascii="Times New Roman" w:cs="Times New Roman"/>
                <w:sz w:val="21"/>
                <w:szCs w:val="18"/>
              </w:rPr>
              <w:t>中密的碎石类土</w:t>
            </w:r>
          </w:p>
          <w:p w:rsidR="00BD5820" w:rsidRDefault="00F64314">
            <w:pPr>
              <w:tabs>
                <w:tab w:val="left" w:pos="1500"/>
              </w:tabs>
              <w:snapToGrid w:val="0"/>
              <w:spacing w:line="240" w:lineRule="auto"/>
              <w:ind w:firstLineChars="0" w:firstLine="0"/>
              <w:jc w:val="center"/>
              <w:rPr>
                <w:rFonts w:ascii="Times New Roman" w:cs="Times New Roman"/>
                <w:sz w:val="21"/>
                <w:szCs w:val="18"/>
              </w:rPr>
            </w:pPr>
            <w:r>
              <w:rPr>
                <w:rFonts w:ascii="Times New Roman" w:cs="Times New Roman"/>
                <w:sz w:val="21"/>
                <w:szCs w:val="18"/>
              </w:rPr>
              <w:t>（充填物为粘性土）</w:t>
            </w:r>
          </w:p>
        </w:tc>
        <w:tc>
          <w:tcPr>
            <w:tcW w:w="1793" w:type="dxa"/>
            <w:vAlign w:val="center"/>
          </w:tcPr>
          <w:p w:rsidR="00BD5820" w:rsidRDefault="00F64314">
            <w:pPr>
              <w:tabs>
                <w:tab w:val="left" w:pos="1500"/>
              </w:tabs>
              <w:snapToGrid w:val="0"/>
              <w:spacing w:line="240" w:lineRule="auto"/>
              <w:ind w:firstLineChars="0" w:firstLine="0"/>
              <w:jc w:val="center"/>
              <w:rPr>
                <w:rFonts w:ascii="Times New Roman" w:cs="Times New Roman"/>
                <w:sz w:val="21"/>
                <w:szCs w:val="18"/>
              </w:rPr>
            </w:pPr>
            <w:r>
              <w:rPr>
                <w:rFonts w:ascii="Times New Roman" w:cs="Times New Roman"/>
                <w:sz w:val="21"/>
                <w:szCs w:val="18"/>
              </w:rPr>
              <w:t>1</w:t>
            </w:r>
            <w:r>
              <w:rPr>
                <w:rFonts w:ascii="Times New Roman" w:cs="Times New Roman"/>
                <w:sz w:val="21"/>
                <w:szCs w:val="18"/>
              </w:rPr>
              <w:t>：</w:t>
            </w:r>
            <w:r>
              <w:rPr>
                <w:rFonts w:ascii="Times New Roman" w:cs="Times New Roman"/>
                <w:sz w:val="21"/>
                <w:szCs w:val="18"/>
              </w:rPr>
              <w:t>0.5</w:t>
            </w:r>
          </w:p>
        </w:tc>
        <w:tc>
          <w:tcPr>
            <w:tcW w:w="2054" w:type="dxa"/>
            <w:vAlign w:val="center"/>
          </w:tcPr>
          <w:p w:rsidR="00BD5820" w:rsidRDefault="00F64314">
            <w:pPr>
              <w:tabs>
                <w:tab w:val="left" w:pos="1500"/>
              </w:tabs>
              <w:snapToGrid w:val="0"/>
              <w:spacing w:line="240" w:lineRule="auto"/>
              <w:ind w:firstLineChars="0" w:firstLine="0"/>
              <w:jc w:val="center"/>
              <w:rPr>
                <w:rFonts w:ascii="Times New Roman" w:cs="Times New Roman"/>
                <w:sz w:val="21"/>
                <w:szCs w:val="18"/>
              </w:rPr>
            </w:pPr>
            <w:r>
              <w:rPr>
                <w:rFonts w:ascii="Times New Roman" w:cs="Times New Roman"/>
                <w:sz w:val="21"/>
                <w:szCs w:val="18"/>
              </w:rPr>
              <w:t>1</w:t>
            </w:r>
            <w:r>
              <w:rPr>
                <w:rFonts w:ascii="Times New Roman" w:cs="Times New Roman"/>
                <w:sz w:val="21"/>
                <w:szCs w:val="18"/>
              </w:rPr>
              <w:t>：</w:t>
            </w:r>
            <w:r>
              <w:rPr>
                <w:rFonts w:ascii="Times New Roman" w:cs="Times New Roman"/>
                <w:sz w:val="21"/>
                <w:szCs w:val="18"/>
              </w:rPr>
              <w:t>0.67</w:t>
            </w:r>
          </w:p>
        </w:tc>
        <w:tc>
          <w:tcPr>
            <w:tcW w:w="2055" w:type="dxa"/>
            <w:vAlign w:val="center"/>
          </w:tcPr>
          <w:p w:rsidR="00BD5820" w:rsidRDefault="00F64314">
            <w:pPr>
              <w:tabs>
                <w:tab w:val="left" w:pos="1500"/>
              </w:tabs>
              <w:snapToGrid w:val="0"/>
              <w:spacing w:line="240" w:lineRule="auto"/>
              <w:ind w:firstLineChars="0" w:firstLine="0"/>
              <w:jc w:val="center"/>
              <w:rPr>
                <w:rFonts w:ascii="Times New Roman" w:cs="Times New Roman"/>
                <w:sz w:val="21"/>
                <w:szCs w:val="18"/>
              </w:rPr>
            </w:pPr>
            <w:r>
              <w:rPr>
                <w:rFonts w:ascii="Times New Roman" w:cs="Times New Roman"/>
                <w:sz w:val="21"/>
                <w:szCs w:val="18"/>
              </w:rPr>
              <w:t>1</w:t>
            </w:r>
            <w:r>
              <w:rPr>
                <w:rFonts w:ascii="Times New Roman" w:cs="Times New Roman"/>
                <w:sz w:val="21"/>
                <w:szCs w:val="18"/>
              </w:rPr>
              <w:t>：</w:t>
            </w:r>
            <w:r>
              <w:rPr>
                <w:rFonts w:ascii="Times New Roman" w:cs="Times New Roman"/>
                <w:sz w:val="21"/>
                <w:szCs w:val="18"/>
              </w:rPr>
              <w:t>0.75</w:t>
            </w:r>
          </w:p>
        </w:tc>
      </w:tr>
      <w:tr w:rsidR="00BD5820">
        <w:trPr>
          <w:cantSplit/>
          <w:trHeight w:val="272"/>
          <w:jc w:val="center"/>
        </w:trPr>
        <w:tc>
          <w:tcPr>
            <w:tcW w:w="3096" w:type="dxa"/>
            <w:vAlign w:val="center"/>
          </w:tcPr>
          <w:p w:rsidR="00BD5820" w:rsidRDefault="00F64314">
            <w:pPr>
              <w:tabs>
                <w:tab w:val="left" w:pos="1500"/>
              </w:tabs>
              <w:snapToGrid w:val="0"/>
              <w:spacing w:line="240" w:lineRule="auto"/>
              <w:ind w:firstLineChars="0" w:firstLine="0"/>
              <w:jc w:val="center"/>
              <w:rPr>
                <w:rFonts w:ascii="Times New Roman" w:cs="Times New Roman"/>
                <w:sz w:val="21"/>
                <w:szCs w:val="18"/>
              </w:rPr>
            </w:pPr>
            <w:r>
              <w:rPr>
                <w:rFonts w:ascii="Times New Roman" w:cs="Times New Roman"/>
                <w:sz w:val="21"/>
                <w:szCs w:val="18"/>
              </w:rPr>
              <w:t>硬塑的粉质粘土、粘土</w:t>
            </w:r>
          </w:p>
        </w:tc>
        <w:tc>
          <w:tcPr>
            <w:tcW w:w="1793" w:type="dxa"/>
            <w:vAlign w:val="center"/>
          </w:tcPr>
          <w:p w:rsidR="00BD5820" w:rsidRDefault="00F64314">
            <w:pPr>
              <w:tabs>
                <w:tab w:val="left" w:pos="1500"/>
              </w:tabs>
              <w:snapToGrid w:val="0"/>
              <w:spacing w:line="240" w:lineRule="auto"/>
              <w:ind w:firstLineChars="0" w:firstLine="0"/>
              <w:jc w:val="center"/>
              <w:rPr>
                <w:rFonts w:ascii="Times New Roman" w:cs="Times New Roman"/>
                <w:sz w:val="21"/>
                <w:szCs w:val="18"/>
              </w:rPr>
            </w:pPr>
            <w:r>
              <w:rPr>
                <w:rFonts w:ascii="Times New Roman" w:cs="Times New Roman"/>
                <w:sz w:val="21"/>
                <w:szCs w:val="18"/>
              </w:rPr>
              <w:t>1</w:t>
            </w:r>
            <w:r>
              <w:rPr>
                <w:rFonts w:ascii="Times New Roman" w:cs="Times New Roman"/>
                <w:sz w:val="21"/>
                <w:szCs w:val="18"/>
              </w:rPr>
              <w:t>：</w:t>
            </w:r>
            <w:r>
              <w:rPr>
                <w:rFonts w:ascii="Times New Roman" w:cs="Times New Roman"/>
                <w:sz w:val="21"/>
                <w:szCs w:val="18"/>
              </w:rPr>
              <w:t>0.33</w:t>
            </w:r>
          </w:p>
        </w:tc>
        <w:tc>
          <w:tcPr>
            <w:tcW w:w="2054" w:type="dxa"/>
            <w:vAlign w:val="center"/>
          </w:tcPr>
          <w:p w:rsidR="00BD5820" w:rsidRDefault="00F64314">
            <w:pPr>
              <w:tabs>
                <w:tab w:val="left" w:pos="1500"/>
              </w:tabs>
              <w:snapToGrid w:val="0"/>
              <w:spacing w:line="240" w:lineRule="auto"/>
              <w:ind w:firstLineChars="0" w:firstLine="0"/>
              <w:jc w:val="center"/>
              <w:rPr>
                <w:rFonts w:ascii="Times New Roman" w:cs="Times New Roman"/>
                <w:sz w:val="21"/>
                <w:szCs w:val="18"/>
              </w:rPr>
            </w:pPr>
            <w:r>
              <w:rPr>
                <w:rFonts w:ascii="Times New Roman" w:cs="Times New Roman"/>
                <w:sz w:val="21"/>
                <w:szCs w:val="18"/>
              </w:rPr>
              <w:t>1</w:t>
            </w:r>
            <w:r>
              <w:rPr>
                <w:rFonts w:ascii="Times New Roman" w:cs="Times New Roman"/>
                <w:sz w:val="21"/>
                <w:szCs w:val="18"/>
              </w:rPr>
              <w:t>：</w:t>
            </w:r>
            <w:r>
              <w:rPr>
                <w:rFonts w:ascii="Times New Roman" w:cs="Times New Roman"/>
                <w:sz w:val="21"/>
                <w:szCs w:val="18"/>
              </w:rPr>
              <w:t>0.50</w:t>
            </w:r>
          </w:p>
        </w:tc>
        <w:tc>
          <w:tcPr>
            <w:tcW w:w="2055" w:type="dxa"/>
            <w:vAlign w:val="center"/>
          </w:tcPr>
          <w:p w:rsidR="00BD5820" w:rsidRDefault="00F64314">
            <w:pPr>
              <w:tabs>
                <w:tab w:val="left" w:pos="1500"/>
              </w:tabs>
              <w:snapToGrid w:val="0"/>
              <w:spacing w:line="240" w:lineRule="auto"/>
              <w:ind w:firstLineChars="0" w:firstLine="0"/>
              <w:jc w:val="center"/>
              <w:rPr>
                <w:rFonts w:ascii="Times New Roman" w:cs="Times New Roman"/>
                <w:sz w:val="21"/>
                <w:szCs w:val="18"/>
              </w:rPr>
            </w:pPr>
            <w:r>
              <w:rPr>
                <w:rFonts w:ascii="Times New Roman" w:cs="Times New Roman"/>
                <w:sz w:val="21"/>
                <w:szCs w:val="18"/>
              </w:rPr>
              <w:t>1</w:t>
            </w:r>
            <w:r>
              <w:rPr>
                <w:rFonts w:ascii="Times New Roman" w:cs="Times New Roman"/>
                <w:sz w:val="21"/>
                <w:szCs w:val="18"/>
              </w:rPr>
              <w:t>：</w:t>
            </w:r>
            <w:r>
              <w:rPr>
                <w:rFonts w:ascii="Times New Roman" w:cs="Times New Roman"/>
                <w:sz w:val="21"/>
                <w:szCs w:val="18"/>
              </w:rPr>
              <w:t>0.67</w:t>
            </w:r>
          </w:p>
        </w:tc>
      </w:tr>
      <w:tr w:rsidR="00BD5820">
        <w:trPr>
          <w:cantSplit/>
          <w:trHeight w:val="272"/>
          <w:jc w:val="center"/>
        </w:trPr>
        <w:tc>
          <w:tcPr>
            <w:tcW w:w="3096" w:type="dxa"/>
            <w:vAlign w:val="center"/>
          </w:tcPr>
          <w:p w:rsidR="00BD5820" w:rsidRDefault="00F64314">
            <w:pPr>
              <w:tabs>
                <w:tab w:val="left" w:pos="1500"/>
              </w:tabs>
              <w:snapToGrid w:val="0"/>
              <w:spacing w:line="240" w:lineRule="auto"/>
              <w:ind w:firstLineChars="0" w:firstLine="0"/>
              <w:jc w:val="center"/>
              <w:rPr>
                <w:rFonts w:ascii="Times New Roman" w:cs="Times New Roman"/>
                <w:sz w:val="21"/>
                <w:szCs w:val="18"/>
              </w:rPr>
            </w:pPr>
            <w:r>
              <w:rPr>
                <w:rFonts w:ascii="Times New Roman" w:cs="Times New Roman"/>
                <w:sz w:val="21"/>
                <w:szCs w:val="18"/>
              </w:rPr>
              <w:t>老黄土</w:t>
            </w:r>
          </w:p>
        </w:tc>
        <w:tc>
          <w:tcPr>
            <w:tcW w:w="1793" w:type="dxa"/>
            <w:vAlign w:val="center"/>
          </w:tcPr>
          <w:p w:rsidR="00BD5820" w:rsidRDefault="00F64314">
            <w:pPr>
              <w:tabs>
                <w:tab w:val="left" w:pos="1500"/>
              </w:tabs>
              <w:snapToGrid w:val="0"/>
              <w:spacing w:line="240" w:lineRule="auto"/>
              <w:ind w:firstLineChars="0" w:firstLine="0"/>
              <w:jc w:val="center"/>
              <w:rPr>
                <w:rFonts w:ascii="Times New Roman" w:cs="Times New Roman"/>
                <w:sz w:val="21"/>
                <w:szCs w:val="18"/>
              </w:rPr>
            </w:pPr>
            <w:r>
              <w:rPr>
                <w:rFonts w:ascii="Times New Roman" w:cs="Times New Roman"/>
                <w:sz w:val="21"/>
                <w:szCs w:val="18"/>
              </w:rPr>
              <w:t>1</w:t>
            </w:r>
            <w:r>
              <w:rPr>
                <w:rFonts w:ascii="Times New Roman" w:cs="Times New Roman"/>
                <w:sz w:val="21"/>
                <w:szCs w:val="18"/>
              </w:rPr>
              <w:t>：</w:t>
            </w:r>
            <w:r>
              <w:rPr>
                <w:rFonts w:ascii="Times New Roman" w:cs="Times New Roman"/>
                <w:sz w:val="21"/>
                <w:szCs w:val="18"/>
              </w:rPr>
              <w:t>0.10</w:t>
            </w:r>
          </w:p>
        </w:tc>
        <w:tc>
          <w:tcPr>
            <w:tcW w:w="2054" w:type="dxa"/>
            <w:vAlign w:val="center"/>
          </w:tcPr>
          <w:p w:rsidR="00BD5820" w:rsidRDefault="00F64314">
            <w:pPr>
              <w:tabs>
                <w:tab w:val="left" w:pos="1500"/>
              </w:tabs>
              <w:snapToGrid w:val="0"/>
              <w:spacing w:line="240" w:lineRule="auto"/>
              <w:ind w:firstLineChars="0" w:firstLine="0"/>
              <w:jc w:val="center"/>
              <w:rPr>
                <w:rFonts w:ascii="Times New Roman" w:cs="Times New Roman"/>
                <w:sz w:val="21"/>
                <w:szCs w:val="18"/>
              </w:rPr>
            </w:pPr>
            <w:r>
              <w:rPr>
                <w:rFonts w:ascii="Times New Roman" w:cs="Times New Roman"/>
                <w:sz w:val="21"/>
                <w:szCs w:val="18"/>
              </w:rPr>
              <w:t>1</w:t>
            </w:r>
            <w:r>
              <w:rPr>
                <w:rFonts w:ascii="Times New Roman" w:cs="Times New Roman"/>
                <w:sz w:val="21"/>
                <w:szCs w:val="18"/>
              </w:rPr>
              <w:t>：</w:t>
            </w:r>
            <w:r>
              <w:rPr>
                <w:rFonts w:ascii="Times New Roman" w:cs="Times New Roman"/>
                <w:sz w:val="21"/>
                <w:szCs w:val="18"/>
              </w:rPr>
              <w:t>0.25</w:t>
            </w:r>
          </w:p>
        </w:tc>
        <w:tc>
          <w:tcPr>
            <w:tcW w:w="2055" w:type="dxa"/>
            <w:vAlign w:val="center"/>
          </w:tcPr>
          <w:p w:rsidR="00BD5820" w:rsidRDefault="00F64314">
            <w:pPr>
              <w:tabs>
                <w:tab w:val="left" w:pos="1500"/>
              </w:tabs>
              <w:snapToGrid w:val="0"/>
              <w:spacing w:line="240" w:lineRule="auto"/>
              <w:ind w:firstLineChars="0" w:firstLine="0"/>
              <w:jc w:val="center"/>
              <w:rPr>
                <w:rFonts w:ascii="Times New Roman" w:cs="Times New Roman"/>
                <w:sz w:val="21"/>
                <w:szCs w:val="18"/>
              </w:rPr>
            </w:pPr>
            <w:r>
              <w:rPr>
                <w:rFonts w:ascii="Times New Roman" w:cs="Times New Roman"/>
                <w:sz w:val="21"/>
                <w:szCs w:val="18"/>
              </w:rPr>
              <w:t>1</w:t>
            </w:r>
            <w:r>
              <w:rPr>
                <w:rFonts w:ascii="Times New Roman" w:cs="Times New Roman"/>
                <w:sz w:val="21"/>
                <w:szCs w:val="18"/>
              </w:rPr>
              <w:t>：</w:t>
            </w:r>
            <w:r>
              <w:rPr>
                <w:rFonts w:ascii="Times New Roman" w:cs="Times New Roman"/>
                <w:sz w:val="21"/>
                <w:szCs w:val="18"/>
              </w:rPr>
              <w:t>0.33</w:t>
            </w:r>
          </w:p>
        </w:tc>
      </w:tr>
      <w:tr w:rsidR="00BD5820">
        <w:trPr>
          <w:cantSplit/>
          <w:trHeight w:val="272"/>
          <w:jc w:val="center"/>
        </w:trPr>
        <w:tc>
          <w:tcPr>
            <w:tcW w:w="3096" w:type="dxa"/>
            <w:vAlign w:val="center"/>
          </w:tcPr>
          <w:p w:rsidR="00BD5820" w:rsidRDefault="00F64314">
            <w:pPr>
              <w:tabs>
                <w:tab w:val="left" w:pos="1500"/>
              </w:tabs>
              <w:snapToGrid w:val="0"/>
              <w:spacing w:line="240" w:lineRule="auto"/>
              <w:ind w:firstLineChars="0" w:firstLine="0"/>
              <w:jc w:val="center"/>
              <w:rPr>
                <w:rFonts w:ascii="Times New Roman" w:cs="Times New Roman"/>
                <w:sz w:val="21"/>
                <w:szCs w:val="18"/>
              </w:rPr>
            </w:pPr>
            <w:r>
              <w:rPr>
                <w:rFonts w:ascii="Times New Roman" w:cs="Times New Roman"/>
                <w:sz w:val="21"/>
                <w:szCs w:val="18"/>
              </w:rPr>
              <w:t>软土（经井点降水）</w:t>
            </w:r>
          </w:p>
        </w:tc>
        <w:tc>
          <w:tcPr>
            <w:tcW w:w="1793" w:type="dxa"/>
            <w:vAlign w:val="center"/>
          </w:tcPr>
          <w:p w:rsidR="00BD5820" w:rsidRDefault="00F64314">
            <w:pPr>
              <w:tabs>
                <w:tab w:val="left" w:pos="1500"/>
              </w:tabs>
              <w:snapToGrid w:val="0"/>
              <w:spacing w:line="240" w:lineRule="auto"/>
              <w:ind w:firstLineChars="0" w:firstLine="0"/>
              <w:jc w:val="center"/>
              <w:rPr>
                <w:rFonts w:ascii="Times New Roman" w:cs="Times New Roman"/>
                <w:sz w:val="21"/>
                <w:szCs w:val="18"/>
              </w:rPr>
            </w:pPr>
            <w:r>
              <w:rPr>
                <w:rFonts w:ascii="Times New Roman" w:cs="Times New Roman"/>
                <w:sz w:val="21"/>
                <w:szCs w:val="18"/>
              </w:rPr>
              <w:t>1</w:t>
            </w:r>
            <w:r>
              <w:rPr>
                <w:rFonts w:ascii="Times New Roman" w:cs="Times New Roman"/>
                <w:sz w:val="21"/>
                <w:szCs w:val="18"/>
              </w:rPr>
              <w:t>：</w:t>
            </w:r>
            <w:r>
              <w:rPr>
                <w:rFonts w:ascii="Times New Roman" w:cs="Times New Roman"/>
                <w:sz w:val="21"/>
                <w:szCs w:val="18"/>
              </w:rPr>
              <w:t>1.00</w:t>
            </w:r>
          </w:p>
        </w:tc>
        <w:tc>
          <w:tcPr>
            <w:tcW w:w="2054" w:type="dxa"/>
            <w:vAlign w:val="center"/>
          </w:tcPr>
          <w:p w:rsidR="00BD5820" w:rsidRDefault="00F64314">
            <w:pPr>
              <w:tabs>
                <w:tab w:val="left" w:pos="1500"/>
              </w:tabs>
              <w:snapToGrid w:val="0"/>
              <w:spacing w:line="240" w:lineRule="auto"/>
              <w:ind w:firstLineChars="0" w:firstLine="0"/>
              <w:jc w:val="center"/>
              <w:rPr>
                <w:rFonts w:ascii="Times New Roman" w:cs="Times New Roman"/>
                <w:sz w:val="21"/>
                <w:szCs w:val="18"/>
              </w:rPr>
            </w:pPr>
            <w:r>
              <w:rPr>
                <w:rFonts w:ascii="Times New Roman" w:cs="Times New Roman"/>
                <w:sz w:val="21"/>
                <w:szCs w:val="18"/>
              </w:rPr>
              <w:t>－</w:t>
            </w:r>
          </w:p>
        </w:tc>
        <w:tc>
          <w:tcPr>
            <w:tcW w:w="2055" w:type="dxa"/>
            <w:vAlign w:val="center"/>
          </w:tcPr>
          <w:p w:rsidR="00BD5820" w:rsidRDefault="00F64314">
            <w:pPr>
              <w:tabs>
                <w:tab w:val="left" w:pos="1500"/>
              </w:tabs>
              <w:snapToGrid w:val="0"/>
              <w:spacing w:line="240" w:lineRule="auto"/>
              <w:ind w:firstLineChars="0" w:firstLine="0"/>
              <w:jc w:val="center"/>
              <w:rPr>
                <w:rFonts w:ascii="Times New Roman" w:cs="Times New Roman"/>
                <w:sz w:val="21"/>
                <w:szCs w:val="18"/>
              </w:rPr>
            </w:pPr>
            <w:r>
              <w:rPr>
                <w:rFonts w:ascii="Times New Roman" w:cs="Times New Roman"/>
                <w:sz w:val="21"/>
                <w:szCs w:val="18"/>
              </w:rPr>
              <w:t>－</w:t>
            </w:r>
          </w:p>
        </w:tc>
      </w:tr>
      <w:tr w:rsidR="00BD5820">
        <w:trPr>
          <w:cantSplit/>
          <w:trHeight w:val="272"/>
          <w:jc w:val="center"/>
        </w:trPr>
        <w:tc>
          <w:tcPr>
            <w:tcW w:w="3096" w:type="dxa"/>
            <w:vAlign w:val="center"/>
          </w:tcPr>
          <w:p w:rsidR="00BD5820" w:rsidRDefault="00F64314">
            <w:pPr>
              <w:tabs>
                <w:tab w:val="left" w:pos="1500"/>
              </w:tabs>
              <w:snapToGrid w:val="0"/>
              <w:spacing w:line="240" w:lineRule="auto"/>
              <w:ind w:firstLineChars="0" w:firstLine="0"/>
              <w:jc w:val="center"/>
              <w:rPr>
                <w:rFonts w:ascii="Times New Roman" w:cs="Times New Roman"/>
                <w:sz w:val="21"/>
                <w:szCs w:val="18"/>
              </w:rPr>
            </w:pPr>
            <w:r>
              <w:rPr>
                <w:rFonts w:ascii="Times New Roman" w:cs="Times New Roman"/>
                <w:sz w:val="21"/>
                <w:szCs w:val="18"/>
              </w:rPr>
              <w:t>硬质岩</w:t>
            </w:r>
          </w:p>
        </w:tc>
        <w:tc>
          <w:tcPr>
            <w:tcW w:w="1793" w:type="dxa"/>
            <w:vAlign w:val="center"/>
          </w:tcPr>
          <w:p w:rsidR="00BD5820" w:rsidRDefault="00F64314">
            <w:pPr>
              <w:tabs>
                <w:tab w:val="left" w:pos="1500"/>
              </w:tabs>
              <w:snapToGrid w:val="0"/>
              <w:spacing w:line="240" w:lineRule="auto"/>
              <w:ind w:firstLineChars="0" w:firstLine="0"/>
              <w:jc w:val="center"/>
              <w:rPr>
                <w:rFonts w:ascii="Times New Roman" w:cs="Times New Roman"/>
                <w:sz w:val="21"/>
                <w:szCs w:val="18"/>
              </w:rPr>
            </w:pPr>
            <w:r>
              <w:rPr>
                <w:rFonts w:ascii="Times New Roman" w:cs="Times New Roman"/>
                <w:sz w:val="21"/>
                <w:szCs w:val="18"/>
              </w:rPr>
              <w:t>1</w:t>
            </w:r>
            <w:r>
              <w:rPr>
                <w:rFonts w:ascii="Times New Roman" w:cs="Times New Roman"/>
                <w:sz w:val="21"/>
                <w:szCs w:val="18"/>
              </w:rPr>
              <w:t>：</w:t>
            </w:r>
            <w:r>
              <w:rPr>
                <w:rFonts w:ascii="Times New Roman" w:cs="Times New Roman"/>
                <w:sz w:val="21"/>
                <w:szCs w:val="18"/>
              </w:rPr>
              <w:t>0</w:t>
            </w:r>
          </w:p>
        </w:tc>
        <w:tc>
          <w:tcPr>
            <w:tcW w:w="2054" w:type="dxa"/>
            <w:vAlign w:val="center"/>
          </w:tcPr>
          <w:p w:rsidR="00BD5820" w:rsidRDefault="00F64314">
            <w:pPr>
              <w:tabs>
                <w:tab w:val="left" w:pos="1500"/>
              </w:tabs>
              <w:snapToGrid w:val="0"/>
              <w:spacing w:line="240" w:lineRule="auto"/>
              <w:ind w:firstLineChars="0" w:firstLine="0"/>
              <w:jc w:val="center"/>
              <w:rPr>
                <w:rFonts w:ascii="Times New Roman" w:cs="Times New Roman"/>
                <w:sz w:val="21"/>
                <w:szCs w:val="18"/>
              </w:rPr>
            </w:pPr>
            <w:r>
              <w:rPr>
                <w:rFonts w:ascii="Times New Roman" w:cs="Times New Roman"/>
                <w:sz w:val="21"/>
                <w:szCs w:val="18"/>
              </w:rPr>
              <w:t>1</w:t>
            </w:r>
            <w:r>
              <w:rPr>
                <w:rFonts w:ascii="Times New Roman" w:cs="Times New Roman"/>
                <w:sz w:val="21"/>
                <w:szCs w:val="18"/>
              </w:rPr>
              <w:t>：</w:t>
            </w:r>
            <w:r>
              <w:rPr>
                <w:rFonts w:ascii="Times New Roman" w:cs="Times New Roman"/>
                <w:sz w:val="21"/>
                <w:szCs w:val="18"/>
              </w:rPr>
              <w:t>0</w:t>
            </w:r>
          </w:p>
        </w:tc>
        <w:tc>
          <w:tcPr>
            <w:tcW w:w="2055" w:type="dxa"/>
            <w:vAlign w:val="center"/>
          </w:tcPr>
          <w:p w:rsidR="00BD5820" w:rsidRDefault="00F64314">
            <w:pPr>
              <w:tabs>
                <w:tab w:val="left" w:pos="1500"/>
              </w:tabs>
              <w:snapToGrid w:val="0"/>
              <w:spacing w:line="240" w:lineRule="auto"/>
              <w:ind w:firstLineChars="0" w:firstLine="0"/>
              <w:jc w:val="center"/>
              <w:rPr>
                <w:rFonts w:ascii="Times New Roman" w:cs="Times New Roman"/>
                <w:sz w:val="21"/>
                <w:szCs w:val="18"/>
              </w:rPr>
            </w:pPr>
            <w:r>
              <w:rPr>
                <w:rFonts w:ascii="Times New Roman" w:cs="Times New Roman"/>
                <w:sz w:val="21"/>
                <w:szCs w:val="18"/>
              </w:rPr>
              <w:t>1</w:t>
            </w:r>
            <w:r>
              <w:rPr>
                <w:rFonts w:ascii="Times New Roman" w:cs="Times New Roman"/>
                <w:sz w:val="21"/>
                <w:szCs w:val="18"/>
              </w:rPr>
              <w:t>：</w:t>
            </w:r>
            <w:r>
              <w:rPr>
                <w:rFonts w:ascii="Times New Roman" w:cs="Times New Roman"/>
                <w:sz w:val="21"/>
                <w:szCs w:val="18"/>
              </w:rPr>
              <w:t>0</w:t>
            </w:r>
          </w:p>
        </w:tc>
      </w:tr>
    </w:tbl>
    <w:p w:rsidR="00BD5820" w:rsidRDefault="00F64314">
      <w:pPr>
        <w:pStyle w:val="affa"/>
        <w:ind w:firstLine="480"/>
      </w:pPr>
      <w:r>
        <w:t>特殊地段、管沟挖深超过</w:t>
      </w:r>
      <w:r>
        <w:t>5m</w:t>
      </w:r>
      <w:r>
        <w:t>时，可根据实际情况，采取边坡适当放缓，加支撑或采取阶梯式开挖措施。</w:t>
      </w:r>
    </w:p>
    <w:p w:rsidR="00BD5820" w:rsidRDefault="00F64314">
      <w:pPr>
        <w:pStyle w:val="affa"/>
        <w:ind w:firstLine="480"/>
      </w:pPr>
      <w:r>
        <w:t>（</w:t>
      </w:r>
      <w:r>
        <w:t>4</w:t>
      </w:r>
      <w:r>
        <w:t>）管沟底宽</w:t>
      </w:r>
    </w:p>
    <w:p w:rsidR="00BD5820" w:rsidRDefault="00F64314">
      <w:pPr>
        <w:pStyle w:val="affa"/>
        <w:ind w:firstLine="480"/>
      </w:pPr>
      <w:r>
        <w:t>当管沟深度小于或等于</w:t>
      </w:r>
      <w:r>
        <w:t>3m</w:t>
      </w:r>
      <w:r>
        <w:t>时，沟底宽度应按下式计算：</w:t>
      </w:r>
    </w:p>
    <w:p w:rsidR="00BD5820" w:rsidRDefault="00F64314">
      <w:pPr>
        <w:pStyle w:val="affa"/>
        <w:ind w:firstLineChars="0" w:firstLine="0"/>
        <w:jc w:val="center"/>
        <w:rPr>
          <w:bCs/>
        </w:rPr>
      </w:pPr>
      <w:r>
        <w:rPr>
          <w:bCs/>
        </w:rPr>
        <w:t>B</w:t>
      </w:r>
      <w:r>
        <w:rPr>
          <w:bCs/>
        </w:rPr>
        <w:t>＝</w:t>
      </w:r>
      <w:r>
        <w:rPr>
          <w:bCs/>
        </w:rPr>
        <w:t>D</w:t>
      </w:r>
      <w:r>
        <w:rPr>
          <w:bCs/>
        </w:rPr>
        <w:t>＋</w:t>
      </w:r>
      <w:r>
        <w:rPr>
          <w:bCs/>
        </w:rPr>
        <w:t>K</w:t>
      </w:r>
    </w:p>
    <w:p w:rsidR="00BD5820" w:rsidRDefault="00F64314">
      <w:pPr>
        <w:pStyle w:val="affa"/>
        <w:ind w:firstLine="480"/>
        <w:rPr>
          <w:bCs/>
        </w:rPr>
      </w:pPr>
      <w:r>
        <w:rPr>
          <w:bCs/>
        </w:rPr>
        <w:t>式中：</w:t>
      </w:r>
    </w:p>
    <w:p w:rsidR="00BD5820" w:rsidRDefault="00F64314">
      <w:pPr>
        <w:pStyle w:val="affa"/>
        <w:ind w:firstLine="480"/>
        <w:rPr>
          <w:bCs/>
        </w:rPr>
      </w:pPr>
      <w:r>
        <w:rPr>
          <w:bCs/>
        </w:rPr>
        <w:t>B—</w:t>
      </w:r>
      <w:r>
        <w:rPr>
          <w:bCs/>
        </w:rPr>
        <w:t>沟底宽度（</w:t>
      </w:r>
      <w:r>
        <w:rPr>
          <w:bCs/>
        </w:rPr>
        <w:t>m</w:t>
      </w:r>
      <w:r>
        <w:rPr>
          <w:bCs/>
        </w:rPr>
        <w:t>）；</w:t>
      </w:r>
    </w:p>
    <w:p w:rsidR="00BD5820" w:rsidRDefault="00F64314">
      <w:pPr>
        <w:pStyle w:val="affa"/>
        <w:ind w:firstLine="480"/>
        <w:rPr>
          <w:bCs/>
        </w:rPr>
      </w:pPr>
      <w:r>
        <w:rPr>
          <w:bCs/>
        </w:rPr>
        <w:t>D—</w:t>
      </w:r>
      <w:r>
        <w:rPr>
          <w:bCs/>
        </w:rPr>
        <w:t>钢管的结构外径（包括防腐、保温层的厚度）（</w:t>
      </w:r>
      <w:r>
        <w:rPr>
          <w:bCs/>
        </w:rPr>
        <w:t>m</w:t>
      </w:r>
      <w:r>
        <w:rPr>
          <w:bCs/>
        </w:rPr>
        <w:t>）；</w:t>
      </w:r>
    </w:p>
    <w:p w:rsidR="00BD5820" w:rsidRDefault="00F64314">
      <w:pPr>
        <w:pStyle w:val="affa"/>
        <w:ind w:firstLine="480"/>
        <w:rPr>
          <w:bCs/>
        </w:rPr>
      </w:pPr>
      <w:r>
        <w:rPr>
          <w:bCs/>
        </w:rPr>
        <w:t>K—</w:t>
      </w:r>
      <w:r>
        <w:rPr>
          <w:bCs/>
        </w:rPr>
        <w:t>沟底加宽裕量（</w:t>
      </w:r>
      <w:r>
        <w:rPr>
          <w:bCs/>
        </w:rPr>
        <w:t>m</w:t>
      </w:r>
      <w:r>
        <w:rPr>
          <w:bCs/>
        </w:rPr>
        <w:t>）。按表</w:t>
      </w:r>
      <w:r>
        <w:rPr>
          <w:bCs/>
        </w:rPr>
        <w:t>4.1-2</w:t>
      </w:r>
      <w:r>
        <w:rPr>
          <w:bCs/>
        </w:rPr>
        <w:t>取值。</w:t>
      </w:r>
    </w:p>
    <w:p w:rsidR="00BD5820" w:rsidRDefault="00F64314">
      <w:pPr>
        <w:pStyle w:val="10"/>
        <w:rPr>
          <w:rFonts w:cs="Times New Roman"/>
        </w:rPr>
      </w:pPr>
      <w:r>
        <w:rPr>
          <w:rFonts w:cs="Times New Roman"/>
        </w:rPr>
        <w:t>表</w:t>
      </w:r>
      <w:r>
        <w:rPr>
          <w:rFonts w:cs="Times New Roman"/>
        </w:rPr>
        <w:t xml:space="preserve">4.1-2  </w:t>
      </w:r>
      <w:r>
        <w:rPr>
          <w:rFonts w:cs="Times New Roman"/>
        </w:rPr>
        <w:t>沟底加宽裕量</w:t>
      </w:r>
      <w:r>
        <w:rPr>
          <w:rFonts w:cs="Times New Roman"/>
        </w:rPr>
        <w:t>K</w:t>
      </w:r>
      <w:r>
        <w:rPr>
          <w:rFonts w:cs="Times New Roman"/>
        </w:rPr>
        <w:t>值</w:t>
      </w:r>
      <w:r>
        <w:rPr>
          <w:rFonts w:cs="Times New Roman"/>
        </w:rPr>
        <w:t xml:space="preserve"> (m)</w:t>
      </w:r>
    </w:p>
    <w:tbl>
      <w:tblPr>
        <w:tblW w:w="8824" w:type="dxa"/>
        <w:jc w:val="center"/>
        <w:tblBorders>
          <w:top w:val="single" w:sz="12" w:space="0" w:color="auto"/>
          <w:bottom w:val="single" w:sz="12" w:space="0" w:color="auto"/>
          <w:insideH w:val="single" w:sz="4" w:space="0" w:color="auto"/>
          <w:insideV w:val="single" w:sz="4" w:space="0" w:color="auto"/>
        </w:tblBorders>
        <w:tblLook w:val="04A0"/>
      </w:tblPr>
      <w:tblGrid>
        <w:gridCol w:w="2509"/>
        <w:gridCol w:w="1642"/>
        <w:gridCol w:w="2747"/>
        <w:gridCol w:w="1926"/>
      </w:tblGrid>
      <w:tr w:rsidR="00BD5820">
        <w:trPr>
          <w:cantSplit/>
          <w:trHeight w:val="275"/>
          <w:jc w:val="center"/>
        </w:trPr>
        <w:tc>
          <w:tcPr>
            <w:tcW w:w="2509" w:type="dxa"/>
            <w:vAlign w:val="center"/>
          </w:tcPr>
          <w:p w:rsidR="00BD5820" w:rsidRDefault="00F64314">
            <w:pPr>
              <w:tabs>
                <w:tab w:val="left" w:pos="1500"/>
              </w:tabs>
              <w:snapToGrid w:val="0"/>
              <w:spacing w:line="240" w:lineRule="auto"/>
              <w:ind w:firstLineChars="0" w:firstLine="0"/>
              <w:jc w:val="center"/>
              <w:rPr>
                <w:rFonts w:ascii="Times New Roman" w:cs="Times New Roman"/>
                <w:b/>
                <w:bCs/>
                <w:sz w:val="21"/>
                <w:szCs w:val="18"/>
              </w:rPr>
            </w:pPr>
            <w:r>
              <w:rPr>
                <w:rFonts w:ascii="Times New Roman" w:cs="Times New Roman"/>
                <w:b/>
                <w:bCs/>
                <w:sz w:val="21"/>
                <w:szCs w:val="18"/>
              </w:rPr>
              <w:t>施工方法</w:t>
            </w:r>
          </w:p>
        </w:tc>
        <w:tc>
          <w:tcPr>
            <w:tcW w:w="6315" w:type="dxa"/>
            <w:gridSpan w:val="3"/>
            <w:vAlign w:val="center"/>
          </w:tcPr>
          <w:p w:rsidR="00BD5820" w:rsidRDefault="00F64314">
            <w:pPr>
              <w:tabs>
                <w:tab w:val="left" w:pos="1500"/>
              </w:tabs>
              <w:snapToGrid w:val="0"/>
              <w:spacing w:line="240" w:lineRule="auto"/>
              <w:ind w:firstLineChars="0" w:firstLine="0"/>
              <w:jc w:val="center"/>
              <w:rPr>
                <w:rFonts w:ascii="Times New Roman" w:cs="Times New Roman"/>
                <w:b/>
                <w:bCs/>
                <w:sz w:val="21"/>
                <w:szCs w:val="18"/>
              </w:rPr>
            </w:pPr>
            <w:r>
              <w:rPr>
                <w:rFonts w:ascii="Times New Roman" w:cs="Times New Roman"/>
                <w:b/>
                <w:bCs/>
                <w:sz w:val="21"/>
                <w:szCs w:val="18"/>
              </w:rPr>
              <w:t>沟下组装焊接</w:t>
            </w:r>
          </w:p>
        </w:tc>
      </w:tr>
      <w:tr w:rsidR="00BD5820">
        <w:trPr>
          <w:cantSplit/>
          <w:trHeight w:val="275"/>
          <w:jc w:val="center"/>
        </w:trPr>
        <w:tc>
          <w:tcPr>
            <w:tcW w:w="2509" w:type="dxa"/>
            <w:vAlign w:val="center"/>
          </w:tcPr>
          <w:p w:rsidR="00BD5820" w:rsidRDefault="00F64314">
            <w:pPr>
              <w:tabs>
                <w:tab w:val="left" w:pos="1500"/>
              </w:tabs>
              <w:snapToGrid w:val="0"/>
              <w:spacing w:line="240" w:lineRule="auto"/>
              <w:ind w:firstLineChars="0" w:firstLine="0"/>
              <w:jc w:val="center"/>
              <w:rPr>
                <w:rFonts w:ascii="Times New Roman" w:cs="Times New Roman"/>
                <w:sz w:val="21"/>
                <w:szCs w:val="18"/>
              </w:rPr>
            </w:pPr>
            <w:r>
              <w:rPr>
                <w:rFonts w:ascii="Times New Roman" w:cs="Times New Roman"/>
                <w:sz w:val="21"/>
                <w:szCs w:val="18"/>
              </w:rPr>
              <w:t>地质条件</w:t>
            </w:r>
          </w:p>
        </w:tc>
        <w:tc>
          <w:tcPr>
            <w:tcW w:w="1642" w:type="dxa"/>
            <w:vAlign w:val="center"/>
          </w:tcPr>
          <w:p w:rsidR="00BD5820" w:rsidRDefault="00F64314">
            <w:pPr>
              <w:tabs>
                <w:tab w:val="left" w:pos="1500"/>
              </w:tabs>
              <w:snapToGrid w:val="0"/>
              <w:spacing w:line="240" w:lineRule="auto"/>
              <w:ind w:firstLineChars="0" w:firstLine="0"/>
              <w:jc w:val="center"/>
              <w:rPr>
                <w:rFonts w:ascii="Times New Roman" w:cs="Times New Roman"/>
                <w:sz w:val="21"/>
                <w:szCs w:val="18"/>
              </w:rPr>
            </w:pPr>
            <w:r>
              <w:rPr>
                <w:rFonts w:ascii="Times New Roman" w:cs="Times New Roman"/>
                <w:sz w:val="21"/>
                <w:szCs w:val="18"/>
              </w:rPr>
              <w:t>旱地</w:t>
            </w:r>
          </w:p>
        </w:tc>
        <w:tc>
          <w:tcPr>
            <w:tcW w:w="2747" w:type="dxa"/>
            <w:vAlign w:val="center"/>
          </w:tcPr>
          <w:p w:rsidR="00BD5820" w:rsidRDefault="00F64314">
            <w:pPr>
              <w:tabs>
                <w:tab w:val="left" w:pos="1500"/>
              </w:tabs>
              <w:snapToGrid w:val="0"/>
              <w:spacing w:line="240" w:lineRule="auto"/>
              <w:ind w:firstLineChars="0" w:firstLine="0"/>
              <w:jc w:val="center"/>
              <w:rPr>
                <w:rFonts w:ascii="Times New Roman" w:cs="Times New Roman"/>
                <w:sz w:val="21"/>
                <w:szCs w:val="18"/>
              </w:rPr>
            </w:pPr>
            <w:r>
              <w:rPr>
                <w:rFonts w:ascii="Times New Roman" w:cs="Times New Roman"/>
                <w:sz w:val="21"/>
                <w:szCs w:val="18"/>
              </w:rPr>
              <w:t>沟内有积水</w:t>
            </w:r>
          </w:p>
        </w:tc>
        <w:tc>
          <w:tcPr>
            <w:tcW w:w="1926" w:type="dxa"/>
            <w:vAlign w:val="center"/>
          </w:tcPr>
          <w:p w:rsidR="00BD5820" w:rsidRDefault="00F64314">
            <w:pPr>
              <w:tabs>
                <w:tab w:val="left" w:pos="1500"/>
              </w:tabs>
              <w:snapToGrid w:val="0"/>
              <w:spacing w:line="240" w:lineRule="auto"/>
              <w:ind w:firstLineChars="0" w:firstLine="0"/>
              <w:jc w:val="center"/>
              <w:rPr>
                <w:rFonts w:ascii="Times New Roman" w:cs="Times New Roman"/>
                <w:sz w:val="21"/>
                <w:szCs w:val="18"/>
              </w:rPr>
            </w:pPr>
            <w:r>
              <w:rPr>
                <w:rFonts w:ascii="Times New Roman" w:cs="Times New Roman"/>
                <w:sz w:val="21"/>
                <w:szCs w:val="18"/>
              </w:rPr>
              <w:t>岩石</w:t>
            </w:r>
          </w:p>
        </w:tc>
      </w:tr>
      <w:tr w:rsidR="00BD5820">
        <w:trPr>
          <w:cantSplit/>
          <w:trHeight w:val="275"/>
          <w:jc w:val="center"/>
        </w:trPr>
        <w:tc>
          <w:tcPr>
            <w:tcW w:w="2509" w:type="dxa"/>
            <w:vAlign w:val="center"/>
          </w:tcPr>
          <w:p w:rsidR="00BD5820" w:rsidRDefault="00F64314">
            <w:pPr>
              <w:tabs>
                <w:tab w:val="left" w:pos="1500"/>
              </w:tabs>
              <w:snapToGrid w:val="0"/>
              <w:spacing w:line="240" w:lineRule="auto"/>
              <w:ind w:firstLineChars="0" w:firstLine="0"/>
              <w:jc w:val="center"/>
              <w:rPr>
                <w:rFonts w:ascii="Times New Roman" w:cs="Times New Roman"/>
                <w:sz w:val="21"/>
                <w:szCs w:val="18"/>
              </w:rPr>
            </w:pPr>
            <w:r>
              <w:rPr>
                <w:rFonts w:ascii="Times New Roman" w:cs="Times New Roman"/>
                <w:sz w:val="21"/>
                <w:szCs w:val="18"/>
              </w:rPr>
              <w:t>B</w:t>
            </w:r>
            <w:r>
              <w:rPr>
                <w:rFonts w:ascii="Times New Roman" w:cs="Times New Roman"/>
                <w:sz w:val="21"/>
                <w:szCs w:val="18"/>
              </w:rPr>
              <w:t>（</w:t>
            </w:r>
            <w:r>
              <w:rPr>
                <w:rFonts w:ascii="Times New Roman" w:cs="Times New Roman"/>
                <w:sz w:val="21"/>
                <w:szCs w:val="18"/>
              </w:rPr>
              <w:t>m</w:t>
            </w:r>
            <w:r>
              <w:rPr>
                <w:rFonts w:ascii="Times New Roman" w:cs="Times New Roman"/>
                <w:sz w:val="21"/>
                <w:szCs w:val="18"/>
              </w:rPr>
              <w:t>）</w:t>
            </w:r>
          </w:p>
        </w:tc>
        <w:tc>
          <w:tcPr>
            <w:tcW w:w="1642" w:type="dxa"/>
            <w:vAlign w:val="center"/>
          </w:tcPr>
          <w:p w:rsidR="00BD5820" w:rsidRDefault="00F64314">
            <w:pPr>
              <w:tabs>
                <w:tab w:val="left" w:pos="1500"/>
              </w:tabs>
              <w:snapToGrid w:val="0"/>
              <w:spacing w:line="240" w:lineRule="auto"/>
              <w:ind w:firstLineChars="0" w:firstLine="0"/>
              <w:jc w:val="center"/>
              <w:rPr>
                <w:rFonts w:ascii="Times New Roman" w:cs="Times New Roman"/>
                <w:sz w:val="21"/>
                <w:szCs w:val="18"/>
              </w:rPr>
            </w:pPr>
            <w:r>
              <w:rPr>
                <w:rFonts w:ascii="Times New Roman" w:cs="Times New Roman"/>
                <w:sz w:val="21"/>
                <w:szCs w:val="18"/>
              </w:rPr>
              <w:t>0.8</w:t>
            </w:r>
          </w:p>
        </w:tc>
        <w:tc>
          <w:tcPr>
            <w:tcW w:w="2747" w:type="dxa"/>
            <w:vAlign w:val="center"/>
          </w:tcPr>
          <w:p w:rsidR="00BD5820" w:rsidRDefault="00F64314">
            <w:pPr>
              <w:tabs>
                <w:tab w:val="left" w:pos="1500"/>
              </w:tabs>
              <w:snapToGrid w:val="0"/>
              <w:spacing w:line="240" w:lineRule="auto"/>
              <w:ind w:firstLineChars="0" w:firstLine="0"/>
              <w:jc w:val="center"/>
              <w:rPr>
                <w:rFonts w:ascii="Times New Roman" w:cs="Times New Roman"/>
                <w:sz w:val="21"/>
                <w:szCs w:val="18"/>
              </w:rPr>
            </w:pPr>
            <w:r>
              <w:rPr>
                <w:rFonts w:ascii="Times New Roman" w:cs="Times New Roman"/>
                <w:sz w:val="21"/>
                <w:szCs w:val="18"/>
              </w:rPr>
              <w:t>1.0</w:t>
            </w:r>
          </w:p>
        </w:tc>
        <w:tc>
          <w:tcPr>
            <w:tcW w:w="1926" w:type="dxa"/>
            <w:vAlign w:val="center"/>
          </w:tcPr>
          <w:p w:rsidR="00BD5820" w:rsidRDefault="00F64314">
            <w:pPr>
              <w:tabs>
                <w:tab w:val="left" w:pos="1500"/>
              </w:tabs>
              <w:snapToGrid w:val="0"/>
              <w:spacing w:line="240" w:lineRule="auto"/>
              <w:ind w:firstLineChars="0" w:firstLine="0"/>
              <w:jc w:val="center"/>
              <w:rPr>
                <w:rFonts w:ascii="Times New Roman" w:cs="Times New Roman"/>
                <w:sz w:val="21"/>
                <w:szCs w:val="18"/>
              </w:rPr>
            </w:pPr>
            <w:r>
              <w:rPr>
                <w:rFonts w:ascii="Times New Roman" w:cs="Times New Roman"/>
                <w:sz w:val="21"/>
                <w:szCs w:val="18"/>
              </w:rPr>
              <w:t>0.9</w:t>
            </w:r>
          </w:p>
        </w:tc>
      </w:tr>
    </w:tbl>
    <w:p w:rsidR="00BD5820" w:rsidRDefault="00F64314">
      <w:pPr>
        <w:pStyle w:val="affa"/>
        <w:ind w:firstLine="480"/>
      </w:pPr>
      <w:r>
        <w:t>当管沟深度大于</w:t>
      </w:r>
      <w:r>
        <w:t>3m</w:t>
      </w:r>
      <w:r>
        <w:t>而小于</w:t>
      </w:r>
      <w:r>
        <w:t>5m</w:t>
      </w:r>
      <w:r>
        <w:t>时，管沟沟底宽度应按上式计算值再加宽</w:t>
      </w:r>
      <w:r>
        <w:lastRenderedPageBreak/>
        <w:t>0.2m</w:t>
      </w:r>
      <w:r>
        <w:t>；当管沟深度超过</w:t>
      </w:r>
      <w:r>
        <w:t>5m</w:t>
      </w:r>
      <w:r>
        <w:t>时，管沟沟底宽度应根据工程地质情况酌情处理。</w:t>
      </w:r>
    </w:p>
    <w:p w:rsidR="00BD5820" w:rsidRDefault="00F64314">
      <w:pPr>
        <w:pStyle w:val="affa"/>
        <w:ind w:firstLine="480"/>
      </w:pPr>
      <w:r>
        <w:t>（</w:t>
      </w:r>
      <w:r>
        <w:t>5</w:t>
      </w:r>
      <w:r>
        <w:t>）管沟回填</w:t>
      </w:r>
    </w:p>
    <w:p w:rsidR="00BD5820" w:rsidRDefault="00F64314">
      <w:pPr>
        <w:pStyle w:val="affa"/>
        <w:ind w:firstLine="480"/>
      </w:pPr>
      <w:r>
        <w:t>岩石、砾石区的管沟，应在沟底先铺设</w:t>
      </w:r>
      <w:r>
        <w:t>0.2m</w:t>
      </w:r>
      <w:r>
        <w:t>厚的细土或细砂垫层且平整后方可管线下沟，对于管沟坡度较大，散土无法固定，细土垫层必须全部用编织袋或草口袋装袋，由下而上堆码回填，在堆码时必须分层交叉；有空隙的地方，再用散土填充。回填岩石、砾石区的管沟时，</w:t>
      </w:r>
    </w:p>
    <w:p w:rsidR="00BD5820" w:rsidRDefault="00F64314">
      <w:pPr>
        <w:pStyle w:val="affa"/>
        <w:ind w:firstLine="480"/>
      </w:pPr>
      <w:r>
        <w:t>必须用细土或砂（最大粒径不超过</w:t>
      </w:r>
      <w:r>
        <w:t>3mm</w:t>
      </w:r>
      <w:r>
        <w:t>）回填至管顶以上</w:t>
      </w:r>
      <w:r>
        <w:t>0.3m</w:t>
      </w:r>
      <w:r>
        <w:t>后，方可用原土，回填压实，其回填土的岩石和砾石块径不得超过</w:t>
      </w:r>
      <w:r>
        <w:t>100mm</w:t>
      </w:r>
      <w:r>
        <w:t>。管沟回填应留有沉降裕量，一般高出地面</w:t>
      </w:r>
      <w:r>
        <w:t>0.3m</w:t>
      </w:r>
      <w:r>
        <w:t>。管道出土端、弯头两侧非嵌固端及稳管墩处，回填土时应分层夯实。管沟回填后，应恢复原地貌，并保护耕植层，防止水土流失和积水。</w:t>
      </w:r>
    </w:p>
    <w:p w:rsidR="00BD5820" w:rsidRDefault="00F64314">
      <w:pPr>
        <w:pStyle w:val="a1"/>
        <w:ind w:firstLine="482"/>
        <w:rPr>
          <w:rFonts w:ascii="Times New Roman" w:cs="Times New Roman"/>
          <w:b/>
          <w:bCs/>
        </w:rPr>
      </w:pPr>
      <w:bookmarkStart w:id="234" w:name="_Toc12288486"/>
      <w:r>
        <w:rPr>
          <w:rFonts w:ascii="Times New Roman" w:cs="Times New Roman" w:hint="eastAsia"/>
          <w:b/>
          <w:bCs/>
        </w:rPr>
        <w:t>2</w:t>
      </w:r>
      <w:r>
        <w:rPr>
          <w:rFonts w:ascii="Times New Roman" w:cs="Times New Roman"/>
          <w:b/>
          <w:bCs/>
        </w:rPr>
        <w:t>、施工作业地带</w:t>
      </w:r>
    </w:p>
    <w:p w:rsidR="00BD5820" w:rsidRDefault="00F64314">
      <w:pPr>
        <w:pStyle w:val="affa"/>
        <w:ind w:firstLine="480"/>
      </w:pPr>
      <w:r>
        <w:t>管道施工作业带在石方段、有地方要求的规划区、经济作物带等特殊地段应在保证施工手段展开的前提下，尽量减小作业带宽度。作业带开拓必须能满足大型车辆和大型施工机械作业要求，本项目新建管道结合线路地形，作业带宽度</w:t>
      </w:r>
      <w:r>
        <w:rPr>
          <w:rFonts w:hint="eastAsia"/>
        </w:rPr>
        <w:t>为</w:t>
      </w:r>
      <w:r>
        <w:rPr>
          <w:rFonts w:hint="eastAsia"/>
        </w:rPr>
        <w:t>12</w:t>
      </w:r>
      <w:r>
        <w:t>m</w:t>
      </w:r>
      <w:r>
        <w:t>。施工作业带清理、平整应遵循保护植被及配套设施，减少或防止产生水土流失的原则。管沟开挖前应弄清施工作业带内是否埋设有管道、电缆、光缆，以及其它建构筑物或设施。探明的地下设施处应设立标志，并在竣工图中注明，施工时采取相应的保护措施。</w:t>
      </w:r>
    </w:p>
    <w:p w:rsidR="00BD5820" w:rsidRDefault="00F64314">
      <w:pPr>
        <w:pStyle w:val="a1"/>
        <w:ind w:firstLine="480"/>
        <w:jc w:val="left"/>
        <w:rPr>
          <w:rFonts w:ascii="Times New Roman" w:cs="Times New Roman"/>
        </w:rPr>
      </w:pPr>
      <w:r>
        <w:rPr>
          <w:rFonts w:ascii="Times New Roman" w:cs="Times New Roman"/>
        </w:rPr>
        <w:t>按有关法规对管道施工作业带只进行临时性使用土地，施工完毕后应立即还耕复种，并恢复原地貌。本项目管道的施工方式断面下图所示：</w:t>
      </w:r>
    </w:p>
    <w:p w:rsidR="00BD5820" w:rsidRDefault="00F64314">
      <w:pPr>
        <w:pStyle w:val="a1"/>
        <w:ind w:firstLineChars="0" w:firstLine="0"/>
        <w:jc w:val="center"/>
        <w:rPr>
          <w:rFonts w:ascii="Times New Roman" w:cs="Times New Roman"/>
          <w:b/>
        </w:rPr>
      </w:pPr>
      <w:r>
        <w:rPr>
          <w:rFonts w:ascii="Times New Roman" w:cs="Times New Roman"/>
          <w:b/>
          <w:noProof/>
        </w:rPr>
        <w:lastRenderedPageBreak/>
        <w:drawing>
          <wp:inline distT="0" distB="0" distL="0" distR="0">
            <wp:extent cx="5080000" cy="3094355"/>
            <wp:effectExtent l="19050" t="0" r="6350" b="0"/>
            <wp:docPr id="8" name="图片 24" descr="图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4" descr="图7.jpg"/>
                    <pic:cNvPicPr>
                      <a:picLocks noChangeAspect="1" noChangeArrowheads="1"/>
                    </pic:cNvPicPr>
                  </pic:nvPicPr>
                  <pic:blipFill>
                    <a:blip r:embed="rId48" cstate="print"/>
                    <a:srcRect b="9174"/>
                    <a:stretch>
                      <a:fillRect/>
                    </a:stretch>
                  </pic:blipFill>
                  <pic:spPr>
                    <a:xfrm>
                      <a:off x="0" y="0"/>
                      <a:ext cx="5080000" cy="3094355"/>
                    </a:xfrm>
                    <a:prstGeom prst="rect">
                      <a:avLst/>
                    </a:prstGeom>
                    <a:noFill/>
                    <a:ln w="9525">
                      <a:noFill/>
                      <a:miter lim="800000"/>
                      <a:headEnd/>
                      <a:tailEnd/>
                    </a:ln>
                  </pic:spPr>
                </pic:pic>
              </a:graphicData>
            </a:graphic>
          </wp:inline>
        </w:drawing>
      </w:r>
    </w:p>
    <w:p w:rsidR="00BD5820" w:rsidRDefault="00F64314">
      <w:pPr>
        <w:pStyle w:val="10"/>
        <w:rPr>
          <w:rFonts w:cs="Times New Roman"/>
        </w:rPr>
      </w:pPr>
      <w:r>
        <w:rPr>
          <w:rFonts w:cs="Times New Roman"/>
        </w:rPr>
        <w:t>图</w:t>
      </w:r>
      <w:r>
        <w:rPr>
          <w:rFonts w:cs="Times New Roman"/>
        </w:rPr>
        <w:t xml:space="preserve">4.1-2 </w:t>
      </w:r>
      <w:r>
        <w:rPr>
          <w:rFonts w:cs="Times New Roman"/>
        </w:rPr>
        <w:t>管道施工方式断面示意图</w:t>
      </w:r>
    </w:p>
    <w:p w:rsidR="00BD5820" w:rsidRDefault="00F64314">
      <w:pPr>
        <w:pStyle w:val="a1"/>
        <w:ind w:firstLine="482"/>
        <w:rPr>
          <w:rFonts w:ascii="Times New Roman" w:cs="Times New Roman"/>
          <w:b/>
        </w:rPr>
      </w:pPr>
      <w:bookmarkStart w:id="235" w:name="_Toc12288494"/>
      <w:bookmarkEnd w:id="234"/>
      <w:r>
        <w:rPr>
          <w:rFonts w:ascii="Times New Roman" w:cs="Times New Roman" w:hint="eastAsia"/>
          <w:b/>
        </w:rPr>
        <w:t>3</w:t>
      </w:r>
      <w:r>
        <w:rPr>
          <w:rFonts w:ascii="Times New Roman" w:cs="Times New Roman"/>
          <w:b/>
        </w:rPr>
        <w:t>、</w:t>
      </w:r>
      <w:bookmarkEnd w:id="235"/>
      <w:r>
        <w:rPr>
          <w:rFonts w:ascii="Times New Roman" w:cs="Times New Roman"/>
          <w:b/>
        </w:rPr>
        <w:t>焊接、清管试压干燥置换</w:t>
      </w:r>
    </w:p>
    <w:p w:rsidR="00BD5820" w:rsidRDefault="00F64314">
      <w:pPr>
        <w:pStyle w:val="affa"/>
        <w:ind w:firstLine="480"/>
        <w:rPr>
          <w:szCs w:val="24"/>
        </w:rPr>
      </w:pPr>
      <w:r>
        <w:rPr>
          <w:szCs w:val="24"/>
        </w:rPr>
        <w:t>（</w:t>
      </w:r>
      <w:r>
        <w:rPr>
          <w:szCs w:val="24"/>
        </w:rPr>
        <w:t>1</w:t>
      </w:r>
      <w:r>
        <w:rPr>
          <w:szCs w:val="24"/>
        </w:rPr>
        <w:t>）管道焊接</w:t>
      </w:r>
    </w:p>
    <w:p w:rsidR="00BD5820" w:rsidRDefault="00F64314">
      <w:pPr>
        <w:pStyle w:val="affa"/>
        <w:ind w:firstLine="480"/>
        <w:rPr>
          <w:szCs w:val="24"/>
        </w:rPr>
      </w:pPr>
      <w:r>
        <w:rPr>
          <w:rFonts w:hint="eastAsia"/>
          <w:szCs w:val="24"/>
        </w:rPr>
        <w:t>本项目</w:t>
      </w:r>
      <w:r>
        <w:rPr>
          <w:szCs w:val="24"/>
        </w:rPr>
        <w:t>推荐采用采用氩弧焊打底，手工电弧焊接盖面，施工单位可根据现场情况及自身设备及技术条件调整焊接方式，但必须满足焊接工艺评定相关要求。管道焊缝质量先进行外观检查，外观检查标准应符合《油水长输管道工程施工及验收规范》（</w:t>
      </w:r>
      <w:r>
        <w:rPr>
          <w:szCs w:val="24"/>
        </w:rPr>
        <w:t>GB50369-2006</w:t>
      </w:r>
      <w:r>
        <w:rPr>
          <w:szCs w:val="24"/>
        </w:rPr>
        <w:t>）的规定，合格后方可进行无损检测。</w:t>
      </w:r>
    </w:p>
    <w:p w:rsidR="00BD5820" w:rsidRDefault="00F64314">
      <w:pPr>
        <w:pStyle w:val="affa"/>
        <w:ind w:firstLine="480"/>
      </w:pPr>
      <w:r>
        <w:t>（</w:t>
      </w:r>
      <w:r>
        <w:t>2</w:t>
      </w:r>
      <w:r>
        <w:t>）探伤</w:t>
      </w:r>
    </w:p>
    <w:p w:rsidR="00BD5820" w:rsidRDefault="00F64314">
      <w:pPr>
        <w:pStyle w:val="affa"/>
        <w:ind w:firstLine="480"/>
      </w:pPr>
      <w:r>
        <w:t>本项目管道探伤采用</w:t>
      </w:r>
      <w:r>
        <w:t>100%</w:t>
      </w:r>
      <w:r>
        <w:t>全周长超声波探伤，合格后再进行</w:t>
      </w:r>
      <w:r>
        <w:t>100%</w:t>
      </w:r>
      <w:r>
        <w:t>的</w:t>
      </w:r>
      <w:r>
        <w:t>X</w:t>
      </w:r>
      <w:r>
        <w:t>射线探伤检验。工程探伤检验由专业队伍开展，应按照《工业</w:t>
      </w:r>
      <w:r>
        <w:t>X</w:t>
      </w:r>
      <w:r>
        <w:t>射线探伤放射防护要求》（</w:t>
      </w:r>
      <w:r>
        <w:t>GBZ117—2015</w:t>
      </w:r>
      <w:r>
        <w:t>）对管道探伤</w:t>
      </w:r>
      <w:r>
        <w:t>X</w:t>
      </w:r>
      <w:r>
        <w:t>射线复验进行。采用</w:t>
      </w:r>
      <w:r>
        <w:t>X</w:t>
      </w:r>
      <w:r>
        <w:t>射线探伤设备功率为</w:t>
      </w:r>
      <w:r>
        <w:t>700W</w:t>
      </w:r>
      <w:r>
        <w:t>，专业队伍在开展探伤工作前，应对项目使用探伤设备到相应环保部门进行登记，取得《辐射许可证》后方可进行。工程探伤检验由专业队伍开展，应按照《工业</w:t>
      </w:r>
      <w:r>
        <w:t>X</w:t>
      </w:r>
      <w:r>
        <w:t>射线探伤放射防护要求》（</w:t>
      </w:r>
      <w:r>
        <w:t>GBZ117—2015</w:t>
      </w:r>
      <w:r>
        <w:t>）对管道探伤</w:t>
      </w:r>
      <w:r>
        <w:t>X</w:t>
      </w:r>
      <w:r>
        <w:t>射线复验进行。</w:t>
      </w:r>
      <w:r>
        <w:rPr>
          <w:b/>
          <w:bCs/>
        </w:rPr>
        <w:t>不在本次评价范围内。</w:t>
      </w:r>
    </w:p>
    <w:p w:rsidR="00BD5820" w:rsidRDefault="00F64314">
      <w:pPr>
        <w:pStyle w:val="affa"/>
        <w:ind w:firstLine="480"/>
        <w:rPr>
          <w:szCs w:val="24"/>
        </w:rPr>
      </w:pPr>
      <w:r>
        <w:rPr>
          <w:szCs w:val="24"/>
        </w:rPr>
        <w:t>（</w:t>
      </w:r>
      <w:r>
        <w:rPr>
          <w:szCs w:val="24"/>
        </w:rPr>
        <w:t>3</w:t>
      </w:r>
      <w:r>
        <w:rPr>
          <w:szCs w:val="24"/>
        </w:rPr>
        <w:t>）清管</w:t>
      </w:r>
    </w:p>
    <w:p w:rsidR="00BD5820" w:rsidRDefault="00F64314">
      <w:pPr>
        <w:pStyle w:val="affa"/>
        <w:ind w:firstLine="480"/>
        <w:rPr>
          <w:szCs w:val="24"/>
        </w:rPr>
      </w:pPr>
      <w:r>
        <w:rPr>
          <w:szCs w:val="24"/>
        </w:rPr>
        <w:t>分段试压前，应采用清管球（器）进行清管，清管介质应用空气。清管次数不少于</w:t>
      </w:r>
      <w:r>
        <w:rPr>
          <w:szCs w:val="24"/>
        </w:rPr>
        <w:t>3</w:t>
      </w:r>
      <w:r>
        <w:rPr>
          <w:szCs w:val="24"/>
        </w:rPr>
        <w:t>次，以开口端不再排除杂物为合格。分段清管应设临时清管器收发装置，清管器接受装置应选择在地势较高且</w:t>
      </w:r>
      <w:r>
        <w:rPr>
          <w:szCs w:val="24"/>
        </w:rPr>
        <w:t>50m</w:t>
      </w:r>
      <w:r>
        <w:rPr>
          <w:szCs w:val="24"/>
        </w:rPr>
        <w:t>范围内没有建筑物和人口的区域内，</w:t>
      </w:r>
      <w:r>
        <w:rPr>
          <w:szCs w:val="24"/>
        </w:rPr>
        <w:lastRenderedPageBreak/>
        <w:t>并应设警示标志。清管选用复合式清管器，清管球充水后直径过盈量应为管内径的</w:t>
      </w:r>
      <w:r>
        <w:rPr>
          <w:szCs w:val="24"/>
        </w:rPr>
        <w:t>5%~8%</w:t>
      </w:r>
      <w:r>
        <w:rPr>
          <w:szCs w:val="24"/>
        </w:rPr>
        <w:t>。清管时的最大压力不得超过管材最小屈服强度的</w:t>
      </w:r>
      <w:r>
        <w:rPr>
          <w:szCs w:val="24"/>
        </w:rPr>
        <w:t>30%</w:t>
      </w:r>
      <w:r>
        <w:rPr>
          <w:szCs w:val="24"/>
        </w:rPr>
        <w:t>。清管器应适用于管线弯管的曲率半径。</w:t>
      </w:r>
    </w:p>
    <w:p w:rsidR="00BD5820" w:rsidRDefault="00F64314">
      <w:pPr>
        <w:ind w:firstLine="480"/>
        <w:rPr>
          <w:rFonts w:ascii="Times New Roman" w:cs="Times New Roman"/>
        </w:rPr>
      </w:pPr>
      <w:r>
        <w:rPr>
          <w:rFonts w:ascii="Times New Roman" w:cs="Times New Roman"/>
        </w:rPr>
        <w:t>（</w:t>
      </w:r>
      <w:r>
        <w:rPr>
          <w:rFonts w:ascii="Times New Roman" w:cs="Times New Roman"/>
        </w:rPr>
        <w:t>4</w:t>
      </w:r>
      <w:r>
        <w:rPr>
          <w:rFonts w:ascii="Times New Roman" w:cs="Times New Roman"/>
        </w:rPr>
        <w:t>）管道试压</w:t>
      </w:r>
    </w:p>
    <w:p w:rsidR="00BD5820" w:rsidRDefault="00F64314">
      <w:pPr>
        <w:pStyle w:val="affa"/>
        <w:ind w:firstLine="480"/>
      </w:pPr>
      <w:r>
        <w:rPr>
          <w:rFonts w:hint="eastAsia"/>
        </w:rPr>
        <w:t>本项目</w:t>
      </w:r>
      <w:r>
        <w:t>线路段管道应进行分段试压，用</w:t>
      </w:r>
      <w:r>
        <w:rPr>
          <w:bCs/>
        </w:rPr>
        <w:t>洁净水</w:t>
      </w:r>
      <w:r>
        <w:t>作为试压介质时，每段自然高度应保证最低点管道环向应力不大于</w:t>
      </w:r>
      <w:r>
        <w:t>0.95σs</w:t>
      </w:r>
      <w:r>
        <w:t>。水质为无腐蚀性洁净水，试压时水温不得低于</w:t>
      </w:r>
      <w:r>
        <w:t>5℃</w:t>
      </w:r>
      <w:r>
        <w:t>，否则应采取防冻措施。注水宜连续，排除管道内的气体。水试压合格后，必须将管段内积水清扫干净。</w:t>
      </w:r>
    </w:p>
    <w:p w:rsidR="00BD5820" w:rsidRDefault="00F64314">
      <w:pPr>
        <w:pStyle w:val="affa"/>
        <w:ind w:firstLine="480"/>
      </w:pPr>
      <w:r>
        <w:rPr>
          <w:rFonts w:hint="eastAsia"/>
        </w:rPr>
        <w:t>本项目</w:t>
      </w:r>
      <w:r>
        <w:t>管道试验压力应为：</w:t>
      </w:r>
    </w:p>
    <w:p w:rsidR="00BD5820" w:rsidRDefault="00F64314">
      <w:pPr>
        <w:pStyle w:val="affa"/>
        <w:ind w:firstLine="480"/>
      </w:pPr>
      <w:r>
        <w:t>强度试验压力为管道设计压力的</w:t>
      </w:r>
      <w:r>
        <w:t>1.5</w:t>
      </w:r>
      <w:r>
        <w:t>倍，严密性试验的压力为管道的设计压力。</w:t>
      </w:r>
    </w:p>
    <w:p w:rsidR="00BD5820" w:rsidRDefault="00F64314">
      <w:pPr>
        <w:pStyle w:val="affa"/>
        <w:ind w:firstLine="480"/>
      </w:pPr>
      <w:r>
        <w:t>管道强度试验时，应缓慢升压，压力分别升至试验压力的</w:t>
      </w:r>
      <w:r>
        <w:t>30%</w:t>
      </w:r>
      <w:r>
        <w:t>和</w:t>
      </w:r>
      <w:r>
        <w:t>60%</w:t>
      </w:r>
      <w:r>
        <w:t>，各稳压</w:t>
      </w:r>
      <w:r>
        <w:t>30min</w:t>
      </w:r>
      <w:r>
        <w:t>，检查管道无变形、无渗漏后，继续升至强度试验压力，稳压</w:t>
      </w:r>
      <w:r>
        <w:t>4h</w:t>
      </w:r>
      <w:r>
        <w:t>，管道无断裂，目测无变形、无渗漏、压降小于或等于试验压力的</w:t>
      </w:r>
      <w:r>
        <w:t>1%</w:t>
      </w:r>
      <w:r>
        <w:t>且不大于</w:t>
      </w:r>
      <w:r>
        <w:t>0.1MPa</w:t>
      </w:r>
      <w:r>
        <w:t>为合格。强度试压合格后，应对整个管道进行卸压，卸压后应采取如通球等措施将水排除。</w:t>
      </w:r>
    </w:p>
    <w:p w:rsidR="00BD5820" w:rsidRDefault="00F64314">
      <w:pPr>
        <w:pStyle w:val="affa"/>
        <w:ind w:firstLine="480"/>
        <w:rPr>
          <w:bCs/>
        </w:rPr>
      </w:pPr>
      <w:r>
        <w:rPr>
          <w:bCs/>
        </w:rPr>
        <w:t>严密性试验应在强度试验合格后进行。</w:t>
      </w:r>
    </w:p>
    <w:p w:rsidR="00BD5820" w:rsidRDefault="00F64314">
      <w:pPr>
        <w:pStyle w:val="affa"/>
        <w:ind w:firstLine="480"/>
        <w:rPr>
          <w:bCs/>
        </w:rPr>
      </w:pPr>
      <w:r>
        <w:rPr>
          <w:bCs/>
        </w:rPr>
        <w:t>采用无腐蚀性洁净水进行严密性试验时，应将管道内压力值降至设计压力，后</w:t>
      </w:r>
      <w:r>
        <w:rPr>
          <w:bCs/>
        </w:rPr>
        <w:tab/>
      </w:r>
      <w:r>
        <w:rPr>
          <w:bCs/>
        </w:rPr>
        <w:t>稳压</w:t>
      </w:r>
      <w:r>
        <w:rPr>
          <w:bCs/>
        </w:rPr>
        <w:t>24h</w:t>
      </w:r>
      <w:r>
        <w:rPr>
          <w:bCs/>
        </w:rPr>
        <w:t>，若巡线检查管道无断裂，目测无变形、无渗漏。压降率不大于试验压力值的</w:t>
      </w:r>
      <w:r>
        <w:rPr>
          <w:bCs/>
        </w:rPr>
        <w:t>1%</w:t>
      </w:r>
      <w:r>
        <w:rPr>
          <w:bCs/>
        </w:rPr>
        <w:t>且不大于</w:t>
      </w:r>
      <w:r>
        <w:rPr>
          <w:bCs/>
        </w:rPr>
        <w:t>0.1MPa</w:t>
      </w:r>
      <w:r>
        <w:rPr>
          <w:bCs/>
        </w:rPr>
        <w:t>为合格。管道稳压时间内的压降</w:t>
      </w:r>
      <w:r>
        <w:rPr>
          <w:rFonts w:ascii="宋体" w:hAnsi="宋体" w:cs="宋体" w:hint="eastAsia"/>
          <w:bCs/>
        </w:rPr>
        <w:t>△</w:t>
      </w:r>
      <w:r>
        <w:rPr>
          <w:bCs/>
        </w:rPr>
        <w:t>P</w:t>
      </w:r>
      <w:r>
        <w:rPr>
          <w:bCs/>
        </w:rPr>
        <w:t>应按《高含硫化氢气田集输管道工程施工技术规范》（</w:t>
      </w:r>
      <w:r>
        <w:rPr>
          <w:bCs/>
        </w:rPr>
        <w:t>SY/T 4119-2016</w:t>
      </w:r>
      <w:r>
        <w:rPr>
          <w:bCs/>
        </w:rPr>
        <w:t>）的要求计算。</w:t>
      </w:r>
    </w:p>
    <w:p w:rsidR="00BD5820" w:rsidRDefault="00F64314">
      <w:pPr>
        <w:ind w:firstLine="480"/>
        <w:rPr>
          <w:rFonts w:ascii="Times New Roman" w:cs="Times New Roman"/>
        </w:rPr>
      </w:pPr>
      <w:r>
        <w:rPr>
          <w:rFonts w:ascii="Times New Roman" w:cs="Times New Roman"/>
        </w:rPr>
        <w:t>（</w:t>
      </w:r>
      <w:r>
        <w:rPr>
          <w:rFonts w:ascii="Times New Roman" w:cs="Times New Roman"/>
        </w:rPr>
        <w:t>5</w:t>
      </w:r>
      <w:r>
        <w:rPr>
          <w:rFonts w:ascii="Times New Roman" w:cs="Times New Roman"/>
        </w:rPr>
        <w:t>）管道干燥</w:t>
      </w:r>
    </w:p>
    <w:p w:rsidR="00BD5820" w:rsidRDefault="00F64314">
      <w:pPr>
        <w:pStyle w:val="affa"/>
        <w:ind w:firstLine="480"/>
      </w:pPr>
      <w:r>
        <w:rPr>
          <w:rFonts w:hint="eastAsia"/>
        </w:rPr>
        <w:t>本项目</w:t>
      </w:r>
      <w:r>
        <w:t>为湿气输送，故原料气管道可不进行干燥。</w:t>
      </w:r>
    </w:p>
    <w:p w:rsidR="00BD5820" w:rsidRDefault="00F64314">
      <w:pPr>
        <w:pStyle w:val="affa"/>
        <w:ind w:firstLine="480"/>
      </w:pPr>
      <w:r>
        <w:t>燃料气管道在投运前应进行彻底干燥。干燥前，应先用清管器连续三次清扫管道内残余水，后用干燥的空气吹扫干净，当测量管道内空气水露点低于</w:t>
      </w:r>
      <w:r>
        <w:t>-15℃</w:t>
      </w:r>
      <w:r>
        <w:t>为合格。</w:t>
      </w:r>
    </w:p>
    <w:p w:rsidR="00BD5820" w:rsidRDefault="00F64314">
      <w:pPr>
        <w:ind w:firstLine="480"/>
        <w:rPr>
          <w:rFonts w:ascii="Times New Roman" w:cs="Times New Roman"/>
        </w:rPr>
      </w:pPr>
      <w:r>
        <w:rPr>
          <w:rFonts w:ascii="Times New Roman" w:cs="Times New Roman"/>
        </w:rPr>
        <w:t>（</w:t>
      </w:r>
      <w:r>
        <w:rPr>
          <w:rFonts w:ascii="Times New Roman" w:cs="Times New Roman"/>
        </w:rPr>
        <w:t>6</w:t>
      </w:r>
      <w:r>
        <w:rPr>
          <w:rFonts w:ascii="Times New Roman" w:cs="Times New Roman"/>
        </w:rPr>
        <w:t>）管道置换</w:t>
      </w:r>
    </w:p>
    <w:p w:rsidR="00BD5820" w:rsidRDefault="00F64314">
      <w:pPr>
        <w:pStyle w:val="affa"/>
        <w:ind w:firstLine="480"/>
      </w:pPr>
      <w:r>
        <w:t>管道及设备投用前需用氮气对天然气系统进行置换。置换氮气压力为</w:t>
      </w:r>
      <w:r>
        <w:t>0.2</w:t>
      </w:r>
      <w:r>
        <w:t>～</w:t>
      </w:r>
      <w:r>
        <w:t>0.3MPa</w:t>
      </w:r>
      <w:r>
        <w:t>，置换宜分段反复进行，直至置换排气中氧含量小于</w:t>
      </w:r>
      <w:r>
        <w:t>2%</w:t>
      </w:r>
      <w:r>
        <w:t>为止。氮气置换</w:t>
      </w:r>
      <w:r>
        <w:lastRenderedPageBreak/>
        <w:t>合格后用天然气进行系统置换。</w:t>
      </w:r>
    </w:p>
    <w:p w:rsidR="00BD5820" w:rsidRDefault="00F64314">
      <w:pPr>
        <w:pStyle w:val="affa"/>
        <w:ind w:firstLine="480"/>
      </w:pPr>
      <w:r>
        <w:t>（</w:t>
      </w:r>
      <w:r>
        <w:t>7</w:t>
      </w:r>
      <w:r>
        <w:t>）投运</w:t>
      </w:r>
    </w:p>
    <w:p w:rsidR="00BD5820" w:rsidRDefault="00F64314">
      <w:pPr>
        <w:pStyle w:val="affa"/>
        <w:ind w:firstLine="480"/>
      </w:pPr>
      <w:r>
        <w:t>试压合格后，管道管理单位应根据《天然气管道运行规范》（</w:t>
      </w:r>
      <w:r>
        <w:t>SY/T5922-2012</w:t>
      </w:r>
      <w:r>
        <w:t>）相关规定制定投运方案及相应的安全应急预案，经相关部门审查通过后实施。</w:t>
      </w:r>
    </w:p>
    <w:p w:rsidR="00BD5820" w:rsidRDefault="00F64314">
      <w:pPr>
        <w:pStyle w:val="affa"/>
        <w:ind w:firstLine="482"/>
        <w:rPr>
          <w:b/>
          <w:bCs/>
        </w:rPr>
      </w:pPr>
      <w:bookmarkStart w:id="236" w:name="OLE_LINK149"/>
      <w:bookmarkStart w:id="237" w:name="OLE_LINK150"/>
      <w:r>
        <w:rPr>
          <w:b/>
          <w:bCs/>
        </w:rPr>
        <w:t>（二）站场工程</w:t>
      </w:r>
    </w:p>
    <w:p w:rsidR="00BD5820" w:rsidRDefault="00F64314">
      <w:pPr>
        <w:pStyle w:val="affa"/>
        <w:ind w:firstLine="480"/>
      </w:pPr>
      <w:r>
        <w:rPr>
          <w:rFonts w:hint="eastAsia"/>
        </w:rPr>
        <w:t>本项目</w:t>
      </w:r>
      <w:bookmarkEnd w:id="236"/>
      <w:bookmarkEnd w:id="237"/>
      <w:r>
        <w:rPr>
          <w:rFonts w:hint="eastAsia"/>
          <w:bCs/>
        </w:rPr>
        <w:t>普光气田</w:t>
      </w:r>
      <w:r>
        <w:rPr>
          <w:bCs/>
        </w:rPr>
        <w:t>1#</w:t>
      </w:r>
      <w:r>
        <w:rPr>
          <w:rFonts w:hint="eastAsia"/>
          <w:bCs/>
        </w:rPr>
        <w:t>增压站位于</w:t>
      </w:r>
      <w:r>
        <w:rPr>
          <w:bCs/>
        </w:rPr>
        <w:t>P102</w:t>
      </w:r>
      <w:r>
        <w:rPr>
          <w:rFonts w:hint="eastAsia"/>
          <w:bCs/>
        </w:rPr>
        <w:t>集气站东侧（四川省宣汉县普光镇北斗村岳家坡），普光气田</w:t>
      </w:r>
      <w:r>
        <w:rPr>
          <w:rFonts w:hint="eastAsia"/>
          <w:bCs/>
        </w:rPr>
        <w:t>2</w:t>
      </w:r>
      <w:r>
        <w:rPr>
          <w:bCs/>
        </w:rPr>
        <w:t>#</w:t>
      </w:r>
      <w:r>
        <w:rPr>
          <w:rFonts w:hint="eastAsia"/>
          <w:bCs/>
        </w:rPr>
        <w:t>增压站位于净化厂外</w:t>
      </w:r>
      <w:r>
        <w:rPr>
          <w:bCs/>
        </w:rPr>
        <w:t xml:space="preserve">SEI </w:t>
      </w:r>
      <w:r>
        <w:rPr>
          <w:rFonts w:hint="eastAsia"/>
          <w:bCs/>
        </w:rPr>
        <w:t>临时料仓独立建设（四川省宣汉县普光镇铜坎村）</w:t>
      </w:r>
      <w:r>
        <w:t>。站场建设过程产生扬尘、机械设备噪声、施工队生活污水、</w:t>
      </w:r>
      <w:r>
        <w:rPr>
          <w:rFonts w:hint="eastAsia"/>
        </w:rPr>
        <w:t>施工机械、车辆清洗</w:t>
      </w:r>
      <w:r>
        <w:t>废水、生活垃圾及建筑垃圾等。</w:t>
      </w:r>
    </w:p>
    <w:p w:rsidR="00BD5820" w:rsidRDefault="00F64314">
      <w:pPr>
        <w:pStyle w:val="affa"/>
        <w:ind w:firstLine="482"/>
        <w:rPr>
          <w:b/>
          <w:bCs/>
        </w:rPr>
      </w:pPr>
      <w:r>
        <w:rPr>
          <w:b/>
          <w:bCs/>
        </w:rPr>
        <w:t>（三）施工期产污环节分析</w:t>
      </w:r>
    </w:p>
    <w:p w:rsidR="00BD5820" w:rsidRDefault="00F64314">
      <w:pPr>
        <w:pStyle w:val="affa"/>
        <w:ind w:firstLine="480"/>
      </w:pPr>
      <w:r>
        <w:t>根据项目工艺流程分析可知，管道在施工过程中由于施工作业带的清理、管沟的开挖、布管、施工便道修建、临时材料堆场修建等施工活动将不可避免地会对周围环境产生不利影响。一种影响是对土壤扰动和自然植被等的破坏，这种影响是比较持久的，在管道施工完成后的一段时间内仍将存在。另一种是在施工</w:t>
      </w:r>
      <w:bookmarkStart w:id="238" w:name="OLE_LINK167"/>
      <w:r>
        <w:t>过程中产生的</w:t>
      </w:r>
      <w:r>
        <w:t>“</w:t>
      </w:r>
      <w:r>
        <w:t>三废</w:t>
      </w:r>
      <w:r>
        <w:t>”</w:t>
      </w:r>
      <w:r>
        <w:t>排放对环境造成的影响</w:t>
      </w:r>
      <w:bookmarkEnd w:id="238"/>
      <w:r>
        <w:rPr>
          <w:rFonts w:hint="eastAsia"/>
        </w:rPr>
        <w:t>，同时施工</w:t>
      </w:r>
      <w:r>
        <w:t>过程中</w:t>
      </w:r>
      <w:r>
        <w:rPr>
          <w:rFonts w:hint="eastAsia"/>
        </w:rPr>
        <w:t>主要</w:t>
      </w:r>
      <w:r>
        <w:t>产生的</w:t>
      </w:r>
      <w:r>
        <w:t>“</w:t>
      </w:r>
      <w:r>
        <w:t>三废</w:t>
      </w:r>
      <w:r>
        <w:t>”</w:t>
      </w:r>
      <w:r>
        <w:t>排放对环境造成的影响，这种影响是短暂的，待施工结束后将随之消失。</w:t>
      </w:r>
    </w:p>
    <w:p w:rsidR="00BD5820" w:rsidRDefault="00F64314">
      <w:pPr>
        <w:pStyle w:val="affa"/>
        <w:ind w:firstLine="480"/>
      </w:pPr>
      <w:r>
        <w:t>工程施工期间对环境的影响主要表现在以下几方面：</w:t>
      </w:r>
    </w:p>
    <w:p w:rsidR="00BD5820" w:rsidRDefault="00F64314">
      <w:pPr>
        <w:pStyle w:val="affa"/>
        <w:ind w:firstLine="480"/>
      </w:pPr>
      <w:r>
        <w:t>1</w:t>
      </w:r>
      <w:r>
        <w:t>、施工中产生的施工扬尘、噪声、固废等</w:t>
      </w:r>
      <w:r>
        <w:t>“</w:t>
      </w:r>
      <w:r>
        <w:t>三废</w:t>
      </w:r>
      <w:r>
        <w:t>”</w:t>
      </w:r>
      <w:r>
        <w:t>排放对环境的影响；</w:t>
      </w:r>
    </w:p>
    <w:p w:rsidR="00BD5820" w:rsidRDefault="00F64314">
      <w:pPr>
        <w:pStyle w:val="affa"/>
        <w:ind w:firstLine="480"/>
      </w:pPr>
      <w:r>
        <w:t>2</w:t>
      </w:r>
      <w:r>
        <w:t>、在工程施工前期准备阶段，路线方案的选择、施工场地的准备，施工便道的修建，对土地利用产生明显的影响；</w:t>
      </w:r>
    </w:p>
    <w:p w:rsidR="00BD5820" w:rsidRDefault="00F64314">
      <w:pPr>
        <w:pStyle w:val="affa"/>
        <w:ind w:firstLine="480"/>
      </w:pPr>
      <w:r>
        <w:t>3</w:t>
      </w:r>
      <w:r>
        <w:t>、施工期间土石方工程的开挖引起自然地貌的改变和地表自然及人工植被的破坏，生物量和生产力的变化，由此引发的区域生态环境的破坏；</w:t>
      </w:r>
    </w:p>
    <w:p w:rsidR="00BD5820" w:rsidRDefault="00F64314">
      <w:pPr>
        <w:pStyle w:val="affa"/>
        <w:ind w:firstLine="480"/>
      </w:pPr>
      <w:r>
        <w:t>4</w:t>
      </w:r>
      <w:r>
        <w:t>、施工中施工便道、管线敷设、临时材料堆场占用导致农业生态系统发生变化；</w:t>
      </w:r>
    </w:p>
    <w:p w:rsidR="00BD5820" w:rsidRDefault="00F64314">
      <w:pPr>
        <w:pStyle w:val="affa"/>
        <w:ind w:firstLine="480"/>
      </w:pPr>
      <w:r>
        <w:t>5</w:t>
      </w:r>
      <w:r>
        <w:t>、</w:t>
      </w:r>
      <w:r>
        <w:rPr>
          <w:rFonts w:hint="eastAsia"/>
        </w:rPr>
        <w:t>施工中对地表土壤进行扰动，造成新的水土流失，增加区域内的水土流失量，会加剧生态环境的破坏</w:t>
      </w:r>
      <w:r>
        <w:t>。</w:t>
      </w:r>
    </w:p>
    <w:p w:rsidR="00BD5820" w:rsidRDefault="00F64314">
      <w:pPr>
        <w:pStyle w:val="3"/>
        <w:rPr>
          <w:rFonts w:eastAsia="宋体"/>
        </w:rPr>
      </w:pPr>
      <w:bookmarkStart w:id="239" w:name="_Toc19815989"/>
      <w:bookmarkStart w:id="240" w:name="_Toc12288515"/>
      <w:bookmarkStart w:id="241" w:name="_Toc19815988"/>
      <w:bookmarkStart w:id="242" w:name="_Toc12288508"/>
      <w:r>
        <w:rPr>
          <w:rFonts w:eastAsia="宋体"/>
        </w:rPr>
        <w:t xml:space="preserve">4.1.3 </w:t>
      </w:r>
      <w:r>
        <w:rPr>
          <w:rFonts w:eastAsia="宋体"/>
        </w:rPr>
        <w:t>生态影响及治理措施</w:t>
      </w:r>
    </w:p>
    <w:p w:rsidR="00BD5820" w:rsidRDefault="00F64314">
      <w:pPr>
        <w:pStyle w:val="affa"/>
        <w:ind w:firstLine="482"/>
        <w:rPr>
          <w:b/>
          <w:bCs/>
        </w:rPr>
      </w:pPr>
      <w:r>
        <w:rPr>
          <w:b/>
          <w:bCs/>
        </w:rPr>
        <w:t>1</w:t>
      </w:r>
      <w:r>
        <w:rPr>
          <w:b/>
          <w:bCs/>
        </w:rPr>
        <w:t>、工程占地分析</w:t>
      </w:r>
    </w:p>
    <w:bookmarkEnd w:id="239"/>
    <w:bookmarkEnd w:id="240"/>
    <w:p w:rsidR="00BD5820" w:rsidRDefault="00F64314">
      <w:pPr>
        <w:pStyle w:val="a1"/>
        <w:ind w:firstLine="480"/>
        <w:rPr>
          <w:rFonts w:ascii="Times New Roman" w:cs="Times New Roman"/>
        </w:rPr>
      </w:pPr>
      <w:r>
        <w:rPr>
          <w:rFonts w:ascii="Times New Roman" w:cs="Times New Roman"/>
        </w:rPr>
        <w:t>本项目建设</w:t>
      </w:r>
      <w:r>
        <w:rPr>
          <w:rFonts w:ascii="Times New Roman" w:cs="Times New Roman" w:hint="eastAsia"/>
        </w:rPr>
        <w:t>新增</w:t>
      </w:r>
      <w:r>
        <w:rPr>
          <w:rFonts w:ascii="Times New Roman" w:cs="Times New Roman"/>
        </w:rPr>
        <w:t>总占地面积</w:t>
      </w:r>
      <w:r>
        <w:rPr>
          <w:rFonts w:ascii="Times New Roman" w:cs="Times New Roman" w:hint="eastAsia"/>
        </w:rPr>
        <w:t>54960</w:t>
      </w:r>
      <w:r>
        <w:rPr>
          <w:rFonts w:ascii="Times New Roman" w:cs="Times New Roman" w:hint="eastAsia"/>
          <w:bCs/>
        </w:rPr>
        <w:t>m</w:t>
      </w:r>
      <w:r>
        <w:rPr>
          <w:rFonts w:ascii="Times New Roman" w:cs="Times New Roman" w:hint="eastAsia"/>
          <w:bCs/>
          <w:vertAlign w:val="superscript"/>
        </w:rPr>
        <w:t>2</w:t>
      </w:r>
      <w:r>
        <w:rPr>
          <w:rFonts w:ascii="Times New Roman" w:cs="Times New Roman"/>
        </w:rPr>
        <w:t>（</w:t>
      </w:r>
      <w:r>
        <w:rPr>
          <w:rFonts w:ascii="Times New Roman" w:cs="Times New Roman" w:hint="eastAsia"/>
        </w:rPr>
        <w:t>本项目</w:t>
      </w:r>
      <w:r>
        <w:rPr>
          <w:rFonts w:ascii="Times New Roman" w:cs="Times New Roman" w:hint="eastAsia"/>
        </w:rPr>
        <w:t>1#</w:t>
      </w:r>
      <w:r>
        <w:rPr>
          <w:rFonts w:ascii="Times New Roman" w:cs="Times New Roman" w:hint="eastAsia"/>
        </w:rPr>
        <w:t>增压站等新增临时占地</w:t>
      </w:r>
      <w:bookmarkStart w:id="243" w:name="OLE_LINK171"/>
      <w:bookmarkStart w:id="244" w:name="OLE_LINK172"/>
      <w:bookmarkStart w:id="245" w:name="OLE_LINK173"/>
      <w:bookmarkStart w:id="246" w:name="OLE_LINK177"/>
      <w:bookmarkStart w:id="247" w:name="OLE_LINK170"/>
      <w:r>
        <w:rPr>
          <w:rFonts w:ascii="Times New Roman" w:cs="Times New Roman" w:hint="eastAsia"/>
        </w:rPr>
        <w:lastRenderedPageBreak/>
        <w:t>18900</w:t>
      </w:r>
      <w:r>
        <w:rPr>
          <w:rFonts w:ascii="Times New Roman" w:cs="Times New Roman" w:hint="eastAsia"/>
          <w:bCs/>
        </w:rPr>
        <w:t>m</w:t>
      </w:r>
      <w:r>
        <w:rPr>
          <w:rFonts w:ascii="Times New Roman" w:cs="Times New Roman" w:hint="eastAsia"/>
          <w:bCs/>
          <w:vertAlign w:val="superscript"/>
        </w:rPr>
        <w:t>2</w:t>
      </w:r>
      <w:bookmarkEnd w:id="243"/>
      <w:bookmarkEnd w:id="244"/>
      <w:bookmarkEnd w:id="245"/>
      <w:bookmarkEnd w:id="246"/>
      <w:bookmarkEnd w:id="247"/>
      <w:r>
        <w:rPr>
          <w:rFonts w:ascii="Times New Roman" w:cs="Times New Roman" w:hint="eastAsia"/>
        </w:rPr>
        <w:t>，施工作业带等新增临时占地</w:t>
      </w:r>
      <w:r>
        <w:rPr>
          <w:rFonts w:ascii="Times New Roman" w:cs="Times New Roman" w:hint="eastAsia"/>
        </w:rPr>
        <w:t>36060</w:t>
      </w:r>
      <w:r>
        <w:rPr>
          <w:rFonts w:ascii="Times New Roman" w:cs="Times New Roman" w:hint="eastAsia"/>
          <w:bCs/>
        </w:rPr>
        <w:t>m</w:t>
      </w:r>
      <w:r>
        <w:rPr>
          <w:rFonts w:ascii="Times New Roman" w:cs="Times New Roman" w:hint="eastAsia"/>
          <w:bCs/>
          <w:vertAlign w:val="superscript"/>
        </w:rPr>
        <w:t>2</w:t>
      </w:r>
      <w:r>
        <w:rPr>
          <w:rFonts w:ascii="Times New Roman" w:cs="Times New Roman"/>
        </w:rPr>
        <w:t>）。</w:t>
      </w:r>
    </w:p>
    <w:p w:rsidR="00BD5820" w:rsidRDefault="00F64314">
      <w:pPr>
        <w:pStyle w:val="a1"/>
        <w:ind w:firstLine="482"/>
        <w:rPr>
          <w:rFonts w:ascii="Times New Roman" w:cs="Times New Roman"/>
          <w:b/>
          <w:bCs/>
        </w:rPr>
      </w:pPr>
      <w:bookmarkStart w:id="248" w:name="_Hlk53002324"/>
      <w:r>
        <w:rPr>
          <w:rFonts w:ascii="Times New Roman" w:cs="Times New Roman"/>
          <w:b/>
          <w:bCs/>
        </w:rPr>
        <w:t>（</w:t>
      </w:r>
      <w:r>
        <w:rPr>
          <w:rFonts w:ascii="Times New Roman" w:cs="Times New Roman"/>
          <w:b/>
          <w:bCs/>
        </w:rPr>
        <w:t>1</w:t>
      </w:r>
      <w:r>
        <w:rPr>
          <w:rFonts w:ascii="Times New Roman" w:cs="Times New Roman"/>
          <w:b/>
          <w:bCs/>
        </w:rPr>
        <w:t>）</w:t>
      </w:r>
      <w:r>
        <w:rPr>
          <w:rFonts w:ascii="Times New Roman" w:cs="Times New Roman" w:hint="eastAsia"/>
          <w:b/>
          <w:bCs/>
        </w:rPr>
        <w:t>站场新增永久</w:t>
      </w:r>
      <w:r>
        <w:rPr>
          <w:rFonts w:ascii="Times New Roman" w:cs="Times New Roman"/>
          <w:b/>
          <w:bCs/>
        </w:rPr>
        <w:t>占地</w:t>
      </w:r>
    </w:p>
    <w:p w:rsidR="00BD5820" w:rsidRDefault="00F64314">
      <w:pPr>
        <w:pStyle w:val="a1"/>
        <w:ind w:firstLine="480"/>
        <w:rPr>
          <w:rFonts w:ascii="Times New Roman" w:cs="Times New Roman"/>
        </w:rPr>
      </w:pPr>
      <w:r>
        <w:rPr>
          <w:rFonts w:hAnsi="宋体" w:hint="eastAsia"/>
        </w:rPr>
        <w:t>①站场新增永久</w:t>
      </w:r>
      <w:r>
        <w:rPr>
          <w:rFonts w:ascii="Times New Roman" w:cs="Times New Roman"/>
        </w:rPr>
        <w:t>占地情况</w:t>
      </w:r>
    </w:p>
    <w:p w:rsidR="00BD5820" w:rsidRDefault="00F64314">
      <w:pPr>
        <w:pStyle w:val="a1"/>
        <w:ind w:firstLine="480"/>
        <w:rPr>
          <w:rFonts w:ascii="Times New Roman" w:cs="Times New Roman"/>
        </w:rPr>
      </w:pPr>
      <w:r>
        <w:rPr>
          <w:rFonts w:ascii="Times New Roman" w:cs="Times New Roman" w:hint="eastAsia"/>
        </w:rPr>
        <w:t>本项目</w:t>
      </w:r>
      <w:r>
        <w:rPr>
          <w:rFonts w:ascii="Times New Roman" w:cs="Times New Roman" w:hint="eastAsia"/>
        </w:rPr>
        <w:t>1#</w:t>
      </w:r>
      <w:r>
        <w:rPr>
          <w:rFonts w:ascii="Times New Roman" w:cs="Times New Roman" w:hint="eastAsia"/>
        </w:rPr>
        <w:t>增压站新增</w:t>
      </w:r>
      <w:r>
        <w:rPr>
          <w:rFonts w:hint="eastAsia"/>
        </w:rPr>
        <w:t>永久占地</w:t>
      </w:r>
      <w:r>
        <w:rPr>
          <w:rFonts w:ascii="Times New Roman" w:cs="Times New Roman" w:hint="eastAsia"/>
        </w:rPr>
        <w:t>18900</w:t>
      </w:r>
      <w:r>
        <w:rPr>
          <w:rFonts w:ascii="Times New Roman" w:cs="Times New Roman" w:hint="eastAsia"/>
          <w:bCs/>
        </w:rPr>
        <w:t>m</w:t>
      </w:r>
      <w:r>
        <w:rPr>
          <w:rFonts w:ascii="Times New Roman" w:cs="Times New Roman" w:hint="eastAsia"/>
          <w:bCs/>
          <w:vertAlign w:val="superscript"/>
        </w:rPr>
        <w:t>2</w:t>
      </w:r>
      <w:r>
        <w:rPr>
          <w:rFonts w:ascii="Times New Roman" w:cs="Times New Roman"/>
        </w:rPr>
        <w:t>，</w:t>
      </w:r>
      <w:r>
        <w:rPr>
          <w:rFonts w:ascii="Times New Roman" w:cs="Times New Roman" w:hint="eastAsia"/>
        </w:rPr>
        <w:t>其中变电站新增</w:t>
      </w:r>
      <w:r>
        <w:rPr>
          <w:rFonts w:hint="eastAsia"/>
        </w:rPr>
        <w:t>永久占地</w:t>
      </w:r>
      <w:r>
        <w:rPr>
          <w:rFonts w:ascii="Times New Roman" w:cs="Times New Roman" w:hint="eastAsia"/>
        </w:rPr>
        <w:t>面积约</w:t>
      </w:r>
      <w:r>
        <w:rPr>
          <w:rFonts w:ascii="Times New Roman" w:cs="Times New Roman" w:hint="eastAsia"/>
          <w:bCs/>
        </w:rPr>
        <w:t>1800m</w:t>
      </w:r>
      <w:r>
        <w:rPr>
          <w:rFonts w:ascii="Times New Roman" w:cs="Times New Roman" w:hint="eastAsia"/>
          <w:bCs/>
          <w:vertAlign w:val="superscript"/>
        </w:rPr>
        <w:t>2</w:t>
      </w:r>
      <w:r>
        <w:rPr>
          <w:rFonts w:ascii="Times New Roman" w:cs="Times New Roman" w:hint="eastAsia"/>
        </w:rPr>
        <w:t>、增压站新增</w:t>
      </w:r>
      <w:r>
        <w:rPr>
          <w:rFonts w:hint="eastAsia"/>
        </w:rPr>
        <w:t>永久占地</w:t>
      </w:r>
      <w:r>
        <w:rPr>
          <w:rFonts w:ascii="Times New Roman" w:cs="Times New Roman" w:hint="eastAsia"/>
        </w:rPr>
        <w:t>171</w:t>
      </w:r>
      <w:r>
        <w:rPr>
          <w:rFonts w:ascii="Times New Roman" w:cs="Times New Roman"/>
        </w:rPr>
        <w:t>00</w:t>
      </w:r>
      <w:r>
        <w:rPr>
          <w:rFonts w:ascii="Times New Roman" w:cs="Times New Roman"/>
          <w:bCs/>
        </w:rPr>
        <w:t>m</w:t>
      </w:r>
      <w:r>
        <w:rPr>
          <w:rFonts w:ascii="Times New Roman" w:cs="Times New Roman"/>
          <w:bCs/>
          <w:vertAlign w:val="superscript"/>
        </w:rPr>
        <w:t>2</w:t>
      </w:r>
      <w:r>
        <w:rPr>
          <w:rFonts w:ascii="Times New Roman" w:cs="Times New Roman"/>
        </w:rPr>
        <w:t>。不占用永久基本农田，不涉及基本农田保护区，符合基本农田保护相关规范及要求。</w:t>
      </w:r>
    </w:p>
    <w:p w:rsidR="00BD5820" w:rsidRDefault="00F64314">
      <w:pPr>
        <w:pStyle w:val="10"/>
        <w:rPr>
          <w:rFonts w:cs="Times New Roman"/>
        </w:rPr>
      </w:pPr>
      <w:bookmarkStart w:id="249" w:name="_Hlk81157643"/>
      <w:r>
        <w:rPr>
          <w:rFonts w:cs="Times New Roman"/>
        </w:rPr>
        <w:t>表</w:t>
      </w:r>
      <w:r>
        <w:rPr>
          <w:rFonts w:cs="Times New Roman"/>
        </w:rPr>
        <w:t xml:space="preserve">4.1-4  </w:t>
      </w:r>
      <w:r>
        <w:rPr>
          <w:rFonts w:cs="Times New Roman"/>
        </w:rPr>
        <w:t>项目</w:t>
      </w:r>
      <w:r>
        <w:rPr>
          <w:rFonts w:cs="Times New Roman" w:hint="eastAsia"/>
        </w:rPr>
        <w:t>1#</w:t>
      </w:r>
      <w:r>
        <w:rPr>
          <w:rFonts w:cs="Times New Roman" w:hint="eastAsia"/>
        </w:rPr>
        <w:t>增压站新增永久</w:t>
      </w:r>
      <w:r>
        <w:rPr>
          <w:rFonts w:cs="Times New Roman"/>
        </w:rPr>
        <w:t>占地面积统计表</w:t>
      </w:r>
    </w:p>
    <w:tbl>
      <w:tblPr>
        <w:tblW w:w="8315" w:type="dxa"/>
        <w:jc w:val="center"/>
        <w:tblBorders>
          <w:top w:val="single" w:sz="12" w:space="0" w:color="auto"/>
          <w:bottom w:val="single" w:sz="12" w:space="0" w:color="auto"/>
          <w:insideH w:val="single" w:sz="4" w:space="0" w:color="000000"/>
          <w:insideV w:val="single" w:sz="2" w:space="0" w:color="auto"/>
        </w:tblBorders>
        <w:tblLayout w:type="fixed"/>
        <w:tblLook w:val="04A0"/>
      </w:tblPr>
      <w:tblGrid>
        <w:gridCol w:w="1560"/>
        <w:gridCol w:w="990"/>
        <w:gridCol w:w="852"/>
        <w:gridCol w:w="1134"/>
        <w:gridCol w:w="1418"/>
        <w:gridCol w:w="850"/>
        <w:gridCol w:w="1511"/>
      </w:tblGrid>
      <w:tr w:rsidR="00BD5820">
        <w:trPr>
          <w:trHeight w:val="218"/>
          <w:jc w:val="center"/>
        </w:trPr>
        <w:tc>
          <w:tcPr>
            <w:tcW w:w="1560" w:type="dxa"/>
            <w:vMerge w:val="restart"/>
            <w:vAlign w:val="center"/>
          </w:tcPr>
          <w:p w:rsidR="00BD5820" w:rsidRDefault="00F64314">
            <w:pPr>
              <w:pStyle w:val="aff2"/>
              <w:rPr>
                <w:b/>
                <w:bCs/>
              </w:rPr>
            </w:pPr>
            <w:r>
              <w:rPr>
                <w:b/>
                <w:bCs/>
              </w:rPr>
              <w:t>项目组成</w:t>
            </w:r>
          </w:p>
        </w:tc>
        <w:tc>
          <w:tcPr>
            <w:tcW w:w="4394" w:type="dxa"/>
            <w:gridSpan w:val="4"/>
            <w:vAlign w:val="center"/>
          </w:tcPr>
          <w:p w:rsidR="00BD5820" w:rsidRDefault="00F64314">
            <w:pPr>
              <w:pStyle w:val="aff2"/>
              <w:rPr>
                <w:b/>
                <w:bCs/>
              </w:rPr>
            </w:pPr>
            <w:r>
              <w:rPr>
                <w:b/>
                <w:bCs/>
              </w:rPr>
              <w:t>占地类型（</w:t>
            </w:r>
            <w:r>
              <w:rPr>
                <w:rFonts w:hint="eastAsia"/>
                <w:b/>
                <w:bCs/>
              </w:rPr>
              <w:t>m</w:t>
            </w:r>
            <w:r>
              <w:rPr>
                <w:rFonts w:hint="eastAsia"/>
                <w:b/>
                <w:bCs/>
                <w:vertAlign w:val="superscript"/>
              </w:rPr>
              <w:t>2</w:t>
            </w:r>
            <w:r>
              <w:rPr>
                <w:b/>
                <w:bCs/>
              </w:rPr>
              <w:t>）</w:t>
            </w:r>
          </w:p>
        </w:tc>
        <w:tc>
          <w:tcPr>
            <w:tcW w:w="850" w:type="dxa"/>
            <w:vMerge w:val="restart"/>
            <w:vAlign w:val="center"/>
          </w:tcPr>
          <w:p w:rsidR="00BD5820" w:rsidRDefault="00F64314">
            <w:pPr>
              <w:pStyle w:val="aff2"/>
              <w:rPr>
                <w:b/>
                <w:bCs/>
              </w:rPr>
            </w:pPr>
            <w:r>
              <w:rPr>
                <w:b/>
                <w:bCs/>
              </w:rPr>
              <w:t>合计</w:t>
            </w:r>
          </w:p>
        </w:tc>
        <w:tc>
          <w:tcPr>
            <w:tcW w:w="1511" w:type="dxa"/>
            <w:vMerge w:val="restart"/>
            <w:vAlign w:val="center"/>
          </w:tcPr>
          <w:p w:rsidR="00BD5820" w:rsidRDefault="00F64314">
            <w:pPr>
              <w:pStyle w:val="aff2"/>
              <w:rPr>
                <w:b/>
                <w:bCs/>
              </w:rPr>
            </w:pPr>
            <w:r>
              <w:rPr>
                <w:b/>
                <w:bCs/>
              </w:rPr>
              <w:t>占地性质</w:t>
            </w:r>
          </w:p>
        </w:tc>
      </w:tr>
      <w:tr w:rsidR="00BD5820">
        <w:trPr>
          <w:trHeight w:val="63"/>
          <w:jc w:val="center"/>
        </w:trPr>
        <w:tc>
          <w:tcPr>
            <w:tcW w:w="1560" w:type="dxa"/>
            <w:vMerge/>
            <w:vAlign w:val="center"/>
          </w:tcPr>
          <w:p w:rsidR="00BD5820" w:rsidRDefault="00BD5820">
            <w:pPr>
              <w:pStyle w:val="aff2"/>
              <w:rPr>
                <w:b/>
                <w:bCs/>
              </w:rPr>
            </w:pPr>
          </w:p>
        </w:tc>
        <w:tc>
          <w:tcPr>
            <w:tcW w:w="990" w:type="dxa"/>
            <w:vAlign w:val="center"/>
          </w:tcPr>
          <w:p w:rsidR="00BD5820" w:rsidRDefault="00F64314">
            <w:pPr>
              <w:pStyle w:val="aff2"/>
              <w:rPr>
                <w:b/>
                <w:bCs/>
              </w:rPr>
            </w:pPr>
            <w:r>
              <w:rPr>
                <w:b/>
                <w:bCs/>
              </w:rPr>
              <w:t>耕地</w:t>
            </w:r>
          </w:p>
        </w:tc>
        <w:tc>
          <w:tcPr>
            <w:tcW w:w="852" w:type="dxa"/>
            <w:vAlign w:val="center"/>
          </w:tcPr>
          <w:p w:rsidR="00BD5820" w:rsidRDefault="00F64314">
            <w:pPr>
              <w:pStyle w:val="aff2"/>
              <w:rPr>
                <w:b/>
                <w:bCs/>
              </w:rPr>
            </w:pPr>
            <w:r>
              <w:rPr>
                <w:b/>
                <w:bCs/>
              </w:rPr>
              <w:t>林地</w:t>
            </w:r>
          </w:p>
        </w:tc>
        <w:tc>
          <w:tcPr>
            <w:tcW w:w="1134" w:type="dxa"/>
            <w:vAlign w:val="center"/>
          </w:tcPr>
          <w:p w:rsidR="00BD5820" w:rsidRDefault="00F64314">
            <w:pPr>
              <w:pStyle w:val="aff2"/>
              <w:rPr>
                <w:b/>
                <w:bCs/>
              </w:rPr>
            </w:pPr>
            <w:r>
              <w:rPr>
                <w:b/>
                <w:bCs/>
              </w:rPr>
              <w:t>草地</w:t>
            </w:r>
          </w:p>
        </w:tc>
        <w:tc>
          <w:tcPr>
            <w:tcW w:w="1418" w:type="dxa"/>
            <w:vAlign w:val="center"/>
          </w:tcPr>
          <w:p w:rsidR="00BD5820" w:rsidRDefault="00F64314">
            <w:pPr>
              <w:pStyle w:val="aff2"/>
              <w:rPr>
                <w:b/>
                <w:bCs/>
              </w:rPr>
            </w:pPr>
            <w:r>
              <w:rPr>
                <w:b/>
                <w:bCs/>
              </w:rPr>
              <w:t>其他土地</w:t>
            </w:r>
          </w:p>
        </w:tc>
        <w:tc>
          <w:tcPr>
            <w:tcW w:w="850" w:type="dxa"/>
            <w:vMerge/>
            <w:vAlign w:val="center"/>
          </w:tcPr>
          <w:p w:rsidR="00BD5820" w:rsidRDefault="00BD5820">
            <w:pPr>
              <w:pStyle w:val="aff2"/>
              <w:rPr>
                <w:b/>
                <w:bCs/>
              </w:rPr>
            </w:pPr>
          </w:p>
        </w:tc>
        <w:tc>
          <w:tcPr>
            <w:tcW w:w="1511" w:type="dxa"/>
            <w:vMerge/>
            <w:vAlign w:val="center"/>
          </w:tcPr>
          <w:p w:rsidR="00BD5820" w:rsidRDefault="00BD5820">
            <w:pPr>
              <w:pStyle w:val="aff2"/>
              <w:rPr>
                <w:b/>
                <w:bCs/>
              </w:rPr>
            </w:pPr>
          </w:p>
        </w:tc>
      </w:tr>
      <w:tr w:rsidR="00BD5820">
        <w:trPr>
          <w:trHeight w:val="63"/>
          <w:jc w:val="center"/>
        </w:trPr>
        <w:tc>
          <w:tcPr>
            <w:tcW w:w="1560" w:type="dxa"/>
            <w:vAlign w:val="center"/>
          </w:tcPr>
          <w:p w:rsidR="00BD5820" w:rsidRDefault="00F64314">
            <w:pPr>
              <w:pStyle w:val="aff2"/>
            </w:pPr>
            <w:r>
              <w:rPr>
                <w:rFonts w:hint="eastAsia"/>
              </w:rPr>
              <w:t>变电站</w:t>
            </w:r>
          </w:p>
        </w:tc>
        <w:tc>
          <w:tcPr>
            <w:tcW w:w="990" w:type="dxa"/>
            <w:vAlign w:val="center"/>
          </w:tcPr>
          <w:p w:rsidR="00BD5820" w:rsidRDefault="00F64314">
            <w:pPr>
              <w:pStyle w:val="aff2"/>
            </w:pPr>
            <w:r>
              <w:rPr>
                <w:rFonts w:hint="eastAsia"/>
              </w:rPr>
              <w:t>/</w:t>
            </w:r>
          </w:p>
        </w:tc>
        <w:tc>
          <w:tcPr>
            <w:tcW w:w="852" w:type="dxa"/>
            <w:vAlign w:val="center"/>
          </w:tcPr>
          <w:p w:rsidR="00BD5820" w:rsidRDefault="00F64314">
            <w:pPr>
              <w:pStyle w:val="aff2"/>
            </w:pPr>
            <w:r>
              <w:rPr>
                <w:rFonts w:hint="eastAsia"/>
              </w:rPr>
              <w:t>600</w:t>
            </w:r>
          </w:p>
        </w:tc>
        <w:tc>
          <w:tcPr>
            <w:tcW w:w="1134" w:type="dxa"/>
            <w:vAlign w:val="center"/>
          </w:tcPr>
          <w:p w:rsidR="00BD5820" w:rsidRDefault="00F64314">
            <w:pPr>
              <w:pStyle w:val="aff2"/>
            </w:pPr>
            <w:r>
              <w:rPr>
                <w:rFonts w:hint="eastAsia"/>
              </w:rPr>
              <w:t>1100</w:t>
            </w:r>
          </w:p>
        </w:tc>
        <w:tc>
          <w:tcPr>
            <w:tcW w:w="1418" w:type="dxa"/>
            <w:vAlign w:val="center"/>
          </w:tcPr>
          <w:p w:rsidR="00BD5820" w:rsidRDefault="00F64314">
            <w:pPr>
              <w:pStyle w:val="aff2"/>
            </w:pPr>
            <w:r>
              <w:rPr>
                <w:rFonts w:hint="eastAsia"/>
              </w:rPr>
              <w:t>100</w:t>
            </w:r>
          </w:p>
        </w:tc>
        <w:tc>
          <w:tcPr>
            <w:tcW w:w="850" w:type="dxa"/>
            <w:vAlign w:val="center"/>
          </w:tcPr>
          <w:p w:rsidR="00BD5820" w:rsidRDefault="00F64314">
            <w:pPr>
              <w:pStyle w:val="aff2"/>
            </w:pPr>
            <w:r>
              <w:rPr>
                <w:rFonts w:hint="eastAsia"/>
              </w:rPr>
              <w:t>1800</w:t>
            </w:r>
          </w:p>
        </w:tc>
        <w:tc>
          <w:tcPr>
            <w:tcW w:w="1511" w:type="dxa"/>
            <w:vMerge w:val="restart"/>
            <w:tcBorders>
              <w:top w:val="single" w:sz="4" w:space="0" w:color="auto"/>
            </w:tcBorders>
            <w:vAlign w:val="center"/>
          </w:tcPr>
          <w:p w:rsidR="00BD5820" w:rsidRDefault="00F64314">
            <w:pPr>
              <w:pStyle w:val="aff2"/>
            </w:pPr>
            <w:r>
              <w:rPr>
                <w:rFonts w:hint="eastAsia"/>
              </w:rPr>
              <w:t>永久</w:t>
            </w:r>
            <w:r>
              <w:t>占地</w:t>
            </w:r>
          </w:p>
        </w:tc>
      </w:tr>
      <w:tr w:rsidR="00BD5820">
        <w:trPr>
          <w:trHeight w:val="63"/>
          <w:jc w:val="center"/>
        </w:trPr>
        <w:tc>
          <w:tcPr>
            <w:tcW w:w="1560" w:type="dxa"/>
            <w:vAlign w:val="center"/>
          </w:tcPr>
          <w:p w:rsidR="00BD5820" w:rsidRDefault="00F64314">
            <w:pPr>
              <w:pStyle w:val="aff2"/>
            </w:pPr>
            <w:r>
              <w:rPr>
                <w:rFonts w:hint="eastAsia"/>
              </w:rPr>
              <w:t>增压站</w:t>
            </w:r>
          </w:p>
        </w:tc>
        <w:tc>
          <w:tcPr>
            <w:tcW w:w="990" w:type="dxa"/>
            <w:vAlign w:val="center"/>
          </w:tcPr>
          <w:p w:rsidR="00BD5820" w:rsidRDefault="00F64314">
            <w:pPr>
              <w:pStyle w:val="aff2"/>
            </w:pPr>
            <w:r>
              <w:rPr>
                <w:rFonts w:hint="eastAsia"/>
              </w:rPr>
              <w:t>/</w:t>
            </w:r>
          </w:p>
        </w:tc>
        <w:tc>
          <w:tcPr>
            <w:tcW w:w="852" w:type="dxa"/>
            <w:vAlign w:val="center"/>
          </w:tcPr>
          <w:p w:rsidR="00BD5820" w:rsidRDefault="00F64314">
            <w:pPr>
              <w:pStyle w:val="aff2"/>
            </w:pPr>
            <w:r>
              <w:rPr>
                <w:rFonts w:hint="eastAsia"/>
              </w:rPr>
              <w:t>14000</w:t>
            </w:r>
          </w:p>
        </w:tc>
        <w:tc>
          <w:tcPr>
            <w:tcW w:w="1134" w:type="dxa"/>
            <w:vAlign w:val="center"/>
          </w:tcPr>
          <w:p w:rsidR="00BD5820" w:rsidRDefault="00F64314">
            <w:pPr>
              <w:pStyle w:val="aff2"/>
            </w:pPr>
            <w:r>
              <w:rPr>
                <w:rFonts w:hint="eastAsia"/>
              </w:rPr>
              <w:t>2500</w:t>
            </w:r>
          </w:p>
        </w:tc>
        <w:tc>
          <w:tcPr>
            <w:tcW w:w="1418" w:type="dxa"/>
            <w:vAlign w:val="center"/>
          </w:tcPr>
          <w:p w:rsidR="00BD5820" w:rsidRDefault="00F64314">
            <w:pPr>
              <w:pStyle w:val="aff2"/>
            </w:pPr>
            <w:r>
              <w:rPr>
                <w:rFonts w:hint="eastAsia"/>
              </w:rPr>
              <w:t>600</w:t>
            </w:r>
          </w:p>
        </w:tc>
        <w:tc>
          <w:tcPr>
            <w:tcW w:w="850" w:type="dxa"/>
            <w:vAlign w:val="center"/>
          </w:tcPr>
          <w:p w:rsidR="00BD5820" w:rsidRDefault="00F64314">
            <w:pPr>
              <w:pStyle w:val="aff2"/>
            </w:pPr>
            <w:r>
              <w:rPr>
                <w:rFonts w:hint="eastAsia"/>
              </w:rPr>
              <w:t>17100</w:t>
            </w:r>
          </w:p>
        </w:tc>
        <w:tc>
          <w:tcPr>
            <w:tcW w:w="1511" w:type="dxa"/>
            <w:vMerge/>
            <w:vAlign w:val="center"/>
          </w:tcPr>
          <w:p w:rsidR="00BD5820" w:rsidRDefault="00BD5820">
            <w:pPr>
              <w:pStyle w:val="aff2"/>
            </w:pPr>
          </w:p>
        </w:tc>
      </w:tr>
      <w:tr w:rsidR="00BD5820">
        <w:trPr>
          <w:trHeight w:val="63"/>
          <w:jc w:val="center"/>
        </w:trPr>
        <w:tc>
          <w:tcPr>
            <w:tcW w:w="1560" w:type="dxa"/>
            <w:vAlign w:val="center"/>
          </w:tcPr>
          <w:p w:rsidR="00BD5820" w:rsidRDefault="00F64314">
            <w:pPr>
              <w:pStyle w:val="aff2"/>
            </w:pPr>
            <w:r>
              <w:t>合计</w:t>
            </w:r>
          </w:p>
        </w:tc>
        <w:tc>
          <w:tcPr>
            <w:tcW w:w="990" w:type="dxa"/>
            <w:vAlign w:val="center"/>
          </w:tcPr>
          <w:p w:rsidR="00BD5820" w:rsidRDefault="00F64314">
            <w:pPr>
              <w:pStyle w:val="aff2"/>
            </w:pPr>
            <w:r>
              <w:rPr>
                <w:rFonts w:hint="eastAsia"/>
              </w:rPr>
              <w:t>/</w:t>
            </w:r>
          </w:p>
        </w:tc>
        <w:tc>
          <w:tcPr>
            <w:tcW w:w="852" w:type="dxa"/>
            <w:vAlign w:val="center"/>
          </w:tcPr>
          <w:p w:rsidR="00BD5820" w:rsidRDefault="00F64314">
            <w:pPr>
              <w:pStyle w:val="aff2"/>
            </w:pPr>
            <w:r>
              <w:rPr>
                <w:rFonts w:hint="eastAsia"/>
              </w:rPr>
              <w:t>14600</w:t>
            </w:r>
          </w:p>
        </w:tc>
        <w:tc>
          <w:tcPr>
            <w:tcW w:w="1134" w:type="dxa"/>
            <w:vAlign w:val="center"/>
          </w:tcPr>
          <w:p w:rsidR="00BD5820" w:rsidRDefault="00F64314">
            <w:pPr>
              <w:pStyle w:val="aff2"/>
            </w:pPr>
            <w:r>
              <w:rPr>
                <w:rFonts w:hint="eastAsia"/>
              </w:rPr>
              <w:t>3600</w:t>
            </w:r>
          </w:p>
        </w:tc>
        <w:tc>
          <w:tcPr>
            <w:tcW w:w="1418" w:type="dxa"/>
            <w:vAlign w:val="center"/>
          </w:tcPr>
          <w:p w:rsidR="00BD5820" w:rsidRDefault="00F64314">
            <w:pPr>
              <w:pStyle w:val="aff2"/>
            </w:pPr>
            <w:r>
              <w:rPr>
                <w:rFonts w:hint="eastAsia"/>
              </w:rPr>
              <w:t>700</w:t>
            </w:r>
          </w:p>
        </w:tc>
        <w:tc>
          <w:tcPr>
            <w:tcW w:w="850" w:type="dxa"/>
            <w:vAlign w:val="center"/>
          </w:tcPr>
          <w:p w:rsidR="00BD5820" w:rsidRDefault="00F64314">
            <w:pPr>
              <w:pStyle w:val="aff2"/>
            </w:pPr>
            <w:r>
              <w:rPr>
                <w:rFonts w:hint="eastAsia"/>
              </w:rPr>
              <w:t>18900</w:t>
            </w:r>
          </w:p>
        </w:tc>
        <w:tc>
          <w:tcPr>
            <w:tcW w:w="1511" w:type="dxa"/>
            <w:vAlign w:val="center"/>
          </w:tcPr>
          <w:p w:rsidR="00BD5820" w:rsidRDefault="00BD5820">
            <w:pPr>
              <w:pStyle w:val="aff2"/>
            </w:pPr>
          </w:p>
        </w:tc>
      </w:tr>
    </w:tbl>
    <w:p w:rsidR="00BD5820" w:rsidRDefault="00F64314">
      <w:pPr>
        <w:pStyle w:val="a1"/>
        <w:ind w:firstLine="480"/>
        <w:rPr>
          <w:rFonts w:ascii="Times New Roman" w:cs="Times New Roman"/>
          <w:bCs/>
        </w:rPr>
      </w:pPr>
      <w:bookmarkStart w:id="250" w:name="_Toc12288517"/>
      <w:bookmarkEnd w:id="249"/>
      <w:r>
        <w:rPr>
          <w:rFonts w:ascii="Times New Roman" w:cs="Times New Roman"/>
          <w:bCs/>
        </w:rPr>
        <w:t>环评要求建设单位在施工前需取得相应国土部门的出具的征用地许可。</w:t>
      </w:r>
    </w:p>
    <w:p w:rsidR="00BD5820" w:rsidRDefault="00F64314">
      <w:pPr>
        <w:pStyle w:val="a1"/>
        <w:ind w:firstLine="480"/>
        <w:rPr>
          <w:rFonts w:ascii="Times New Roman" w:cs="Times New Roman"/>
          <w:bCs/>
        </w:rPr>
      </w:pPr>
      <w:r>
        <w:rPr>
          <w:rFonts w:hAnsi="宋体" w:hint="eastAsia"/>
          <w:bCs/>
        </w:rPr>
        <w:t>②</w:t>
      </w:r>
      <w:r>
        <w:rPr>
          <w:rFonts w:ascii="Times New Roman" w:cs="Times New Roman"/>
          <w:bCs/>
        </w:rPr>
        <w:t>占地影响分析</w:t>
      </w:r>
    </w:p>
    <w:p w:rsidR="00BD5820" w:rsidRDefault="00F64314">
      <w:pPr>
        <w:pStyle w:val="a1"/>
        <w:ind w:firstLine="480"/>
        <w:rPr>
          <w:rFonts w:ascii="Times New Roman" w:cs="Times New Roman"/>
          <w:bCs/>
        </w:rPr>
      </w:pPr>
      <w:r>
        <w:rPr>
          <w:rFonts w:ascii="Times New Roman" w:cs="Times New Roman"/>
          <w:bCs/>
        </w:rPr>
        <w:t>由于本项目</w:t>
      </w:r>
      <w:r>
        <w:rPr>
          <w:rFonts w:ascii="Times New Roman" w:cs="Times New Roman" w:hint="eastAsia"/>
          <w:bCs/>
        </w:rPr>
        <w:t>永久</w:t>
      </w:r>
      <w:r>
        <w:rPr>
          <w:rFonts w:ascii="Times New Roman" w:cs="Times New Roman"/>
          <w:bCs/>
        </w:rPr>
        <w:t>占用土地类型</w:t>
      </w:r>
      <w:r>
        <w:rPr>
          <w:rFonts w:ascii="Times New Roman" w:cs="Times New Roman"/>
        </w:rPr>
        <w:t>不占用永久基本农田，不涉及基本农田保护区</w:t>
      </w:r>
      <w:r>
        <w:rPr>
          <w:rFonts w:ascii="Times New Roman" w:cs="Times New Roman"/>
          <w:bCs/>
        </w:rPr>
        <w:t>。</w:t>
      </w:r>
    </w:p>
    <w:p w:rsidR="00BD5820" w:rsidRDefault="00F64314">
      <w:pPr>
        <w:pStyle w:val="a1"/>
        <w:ind w:firstLine="480"/>
        <w:rPr>
          <w:rFonts w:ascii="Times New Roman" w:cs="Times New Roman"/>
          <w:bCs/>
        </w:rPr>
      </w:pPr>
      <w:r>
        <w:rPr>
          <w:rFonts w:ascii="Times New Roman" w:cs="Times New Roman"/>
          <w:bCs/>
        </w:rPr>
        <w:t>项目建设前，建设单位应向沿线地区的国土部门提出工程用地申请，得到主管部门的批复后方可动工；建设单位要与地方政府及有关职能部门积极协调，在施工前认真落实地方有关征地补偿手续及其费用，配合地方政府解决工程沿线扰动区域内的土地占补平衡问题；同时在施工和运行期间要落实本报告书中的有关环境保护措施，将永久性工程占地对沿线地区土地利用的影响到最小。</w:t>
      </w:r>
    </w:p>
    <w:bookmarkEnd w:id="250"/>
    <w:p w:rsidR="00BD5820" w:rsidRDefault="00F64314">
      <w:pPr>
        <w:pStyle w:val="a1"/>
        <w:ind w:firstLine="482"/>
        <w:rPr>
          <w:rFonts w:ascii="Times New Roman" w:cs="Times New Roman"/>
          <w:b/>
          <w:bCs/>
        </w:rPr>
      </w:pPr>
      <w:r>
        <w:rPr>
          <w:rFonts w:ascii="Times New Roman" w:cs="Times New Roman"/>
          <w:b/>
          <w:bCs/>
        </w:rPr>
        <w:t>（</w:t>
      </w:r>
      <w:r>
        <w:rPr>
          <w:rFonts w:ascii="Times New Roman" w:cs="Times New Roman"/>
          <w:b/>
          <w:bCs/>
        </w:rPr>
        <w:t>2</w:t>
      </w:r>
      <w:r>
        <w:rPr>
          <w:rFonts w:ascii="Times New Roman" w:cs="Times New Roman"/>
          <w:b/>
          <w:bCs/>
        </w:rPr>
        <w:t>）</w:t>
      </w:r>
      <w:r>
        <w:rPr>
          <w:rFonts w:ascii="Times New Roman" w:cs="Times New Roman" w:hint="eastAsia"/>
          <w:b/>
          <w:bCs/>
        </w:rPr>
        <w:t>施工作业带等</w:t>
      </w:r>
      <w:r>
        <w:rPr>
          <w:rFonts w:ascii="Times New Roman" w:cs="Times New Roman"/>
          <w:b/>
          <w:bCs/>
        </w:rPr>
        <w:t>临时占地</w:t>
      </w:r>
    </w:p>
    <w:p w:rsidR="00BD5820" w:rsidRDefault="00F64314">
      <w:pPr>
        <w:pStyle w:val="a1"/>
        <w:ind w:firstLine="482"/>
        <w:rPr>
          <w:rFonts w:ascii="Times New Roman" w:cs="Times New Roman"/>
          <w:b/>
          <w:bCs/>
        </w:rPr>
      </w:pPr>
      <w:r>
        <w:rPr>
          <w:rFonts w:hAnsi="宋体" w:hint="eastAsia"/>
          <w:b/>
          <w:bCs/>
        </w:rPr>
        <w:t>①</w:t>
      </w:r>
      <w:r>
        <w:rPr>
          <w:rFonts w:ascii="Times New Roman" w:cs="Times New Roman"/>
          <w:b/>
          <w:bCs/>
        </w:rPr>
        <w:t>占地情况</w:t>
      </w:r>
    </w:p>
    <w:p w:rsidR="00BD5820" w:rsidRDefault="00F64314">
      <w:pPr>
        <w:pStyle w:val="a1"/>
        <w:ind w:firstLine="480"/>
        <w:rPr>
          <w:rFonts w:ascii="Times New Roman" w:cs="Times New Roman"/>
          <w:bCs/>
        </w:rPr>
      </w:pPr>
      <w:r>
        <w:rPr>
          <w:rFonts w:ascii="Times New Roman" w:cs="Times New Roman"/>
        </w:rPr>
        <w:t>本项目</w:t>
      </w:r>
      <w:r>
        <w:rPr>
          <w:rFonts w:ascii="Times New Roman" w:cs="Times New Roman" w:hint="eastAsia"/>
        </w:rPr>
        <w:t>施工作业带等</w:t>
      </w:r>
      <w:r>
        <w:rPr>
          <w:rFonts w:ascii="Times New Roman" w:cs="Times New Roman"/>
          <w:bCs/>
        </w:rPr>
        <w:t>临时占地</w:t>
      </w:r>
      <w:r>
        <w:rPr>
          <w:rFonts w:ascii="Times New Roman" w:cs="Times New Roman" w:hint="eastAsia"/>
          <w:bCs/>
        </w:rPr>
        <w:t>36060</w:t>
      </w:r>
      <w:r>
        <w:rPr>
          <w:rFonts w:ascii="Times New Roman" w:cs="Times New Roman"/>
          <w:bCs/>
        </w:rPr>
        <w:t>m</w:t>
      </w:r>
      <w:r>
        <w:rPr>
          <w:rFonts w:ascii="Times New Roman" w:cs="Times New Roman"/>
          <w:bCs/>
          <w:vertAlign w:val="superscript"/>
        </w:rPr>
        <w:t>2</w:t>
      </w:r>
      <w:r>
        <w:rPr>
          <w:rFonts w:ascii="Times New Roman" w:cs="Times New Roman"/>
        </w:rPr>
        <w:t>，其中管道作业带（</w:t>
      </w:r>
      <w:r>
        <w:rPr>
          <w:rFonts w:ascii="Times New Roman" w:cs="Times New Roman" w:hint="eastAsia"/>
        </w:rPr>
        <w:t>12</w:t>
      </w:r>
      <w:r>
        <w:rPr>
          <w:rFonts w:ascii="Times New Roman" w:cs="Times New Roman"/>
        </w:rPr>
        <w:t>m</w:t>
      </w:r>
      <w:r>
        <w:rPr>
          <w:rFonts w:ascii="Times New Roman" w:cs="Times New Roman"/>
        </w:rPr>
        <w:t>）临时占地</w:t>
      </w:r>
      <w:r>
        <w:rPr>
          <w:rFonts w:ascii="Times New Roman" w:cs="Times New Roman" w:hint="eastAsia"/>
        </w:rPr>
        <w:t>324</w:t>
      </w:r>
      <w:r>
        <w:rPr>
          <w:rFonts w:ascii="Times New Roman" w:cs="Times New Roman"/>
        </w:rPr>
        <w:t>00</w:t>
      </w:r>
      <w:r>
        <w:rPr>
          <w:rFonts w:ascii="Times New Roman" w:cs="Times New Roman"/>
          <w:bCs/>
        </w:rPr>
        <w:t>m</w:t>
      </w:r>
      <w:r>
        <w:rPr>
          <w:rFonts w:ascii="Times New Roman" w:cs="Times New Roman"/>
          <w:bCs/>
          <w:vertAlign w:val="superscript"/>
        </w:rPr>
        <w:t>2</w:t>
      </w:r>
      <w:r>
        <w:rPr>
          <w:rFonts w:ascii="Times New Roman" w:cs="Times New Roman"/>
        </w:rPr>
        <w:t>，管道工程区堆管点临时占地</w:t>
      </w:r>
      <w:r>
        <w:rPr>
          <w:rFonts w:ascii="Times New Roman" w:cs="Times New Roman" w:hint="eastAsia"/>
        </w:rPr>
        <w:t>122</w:t>
      </w:r>
      <w:r>
        <w:rPr>
          <w:rFonts w:ascii="Times New Roman" w:cs="Times New Roman"/>
        </w:rPr>
        <w:t>0</w:t>
      </w:r>
      <w:r>
        <w:rPr>
          <w:rFonts w:ascii="Times New Roman" w:cs="Times New Roman"/>
          <w:bCs/>
        </w:rPr>
        <w:t>m</w:t>
      </w:r>
      <w:r>
        <w:rPr>
          <w:rFonts w:ascii="Times New Roman" w:cs="Times New Roman"/>
          <w:bCs/>
          <w:vertAlign w:val="superscript"/>
        </w:rPr>
        <w:t>2</w:t>
      </w:r>
      <w:r>
        <w:rPr>
          <w:rFonts w:ascii="Times New Roman" w:cs="Times New Roman"/>
        </w:rPr>
        <w:t>，施工便道区临时占地</w:t>
      </w:r>
      <w:r>
        <w:rPr>
          <w:rFonts w:ascii="Times New Roman" w:cs="Times New Roman"/>
        </w:rPr>
        <w:t>2</w:t>
      </w:r>
      <w:r>
        <w:rPr>
          <w:rFonts w:ascii="Times New Roman" w:cs="Times New Roman" w:hint="eastAsia"/>
        </w:rPr>
        <w:t>44</w:t>
      </w:r>
      <w:r>
        <w:rPr>
          <w:rFonts w:ascii="Times New Roman" w:cs="Times New Roman"/>
        </w:rPr>
        <w:t>0</w:t>
      </w:r>
      <w:bookmarkStart w:id="251" w:name="OLE_LINK182"/>
      <w:bookmarkStart w:id="252" w:name="OLE_LINK181"/>
      <w:r>
        <w:rPr>
          <w:rFonts w:ascii="Times New Roman" w:cs="Times New Roman"/>
          <w:bCs/>
        </w:rPr>
        <w:t>m</w:t>
      </w:r>
      <w:r>
        <w:rPr>
          <w:rFonts w:ascii="Times New Roman" w:cs="Times New Roman"/>
          <w:bCs/>
          <w:vertAlign w:val="superscript"/>
        </w:rPr>
        <w:t>2</w:t>
      </w:r>
      <w:bookmarkEnd w:id="251"/>
      <w:bookmarkEnd w:id="252"/>
      <w:r>
        <w:rPr>
          <w:rFonts w:ascii="Times New Roman" w:cs="Times New Roman"/>
          <w:bCs/>
        </w:rPr>
        <w:t>。</w:t>
      </w:r>
      <w:r>
        <w:rPr>
          <w:rFonts w:ascii="Times New Roman" w:cs="Times New Roman"/>
        </w:rPr>
        <w:t>不占用永久基本农田，不涉及基本农田保护区，符合基本农田保护相关规范及要求。</w:t>
      </w:r>
    </w:p>
    <w:p w:rsidR="00BD5820" w:rsidRDefault="00F64314">
      <w:pPr>
        <w:pStyle w:val="10"/>
        <w:rPr>
          <w:rFonts w:cs="Times New Roman"/>
        </w:rPr>
      </w:pPr>
      <w:bookmarkStart w:id="253" w:name="_Hlk81157639"/>
      <w:r>
        <w:rPr>
          <w:rFonts w:cs="Times New Roman"/>
        </w:rPr>
        <w:t>表</w:t>
      </w:r>
      <w:r>
        <w:rPr>
          <w:rFonts w:cs="Times New Roman"/>
        </w:rPr>
        <w:t>4.1-</w:t>
      </w:r>
      <w:r>
        <w:rPr>
          <w:rFonts w:cs="Times New Roman" w:hint="eastAsia"/>
        </w:rPr>
        <w:t>5</w:t>
      </w:r>
      <w:r>
        <w:rPr>
          <w:rFonts w:cs="Times New Roman"/>
        </w:rPr>
        <w:t xml:space="preserve">  </w:t>
      </w:r>
      <w:r>
        <w:rPr>
          <w:rFonts w:cs="Times New Roman"/>
        </w:rPr>
        <w:t>项目</w:t>
      </w:r>
      <w:r>
        <w:rPr>
          <w:rFonts w:cs="Times New Roman" w:hint="eastAsia"/>
        </w:rPr>
        <w:t>施工作业带等临时</w:t>
      </w:r>
      <w:r>
        <w:rPr>
          <w:rFonts w:cs="Times New Roman"/>
        </w:rPr>
        <w:t>占地面积统计表</w:t>
      </w:r>
    </w:p>
    <w:tbl>
      <w:tblPr>
        <w:tblW w:w="8865" w:type="dxa"/>
        <w:jc w:val="center"/>
        <w:tblBorders>
          <w:top w:val="single" w:sz="12" w:space="0" w:color="auto"/>
          <w:bottom w:val="single" w:sz="12" w:space="0" w:color="auto"/>
          <w:insideH w:val="single" w:sz="4" w:space="0" w:color="000000"/>
          <w:insideV w:val="single" w:sz="2" w:space="0" w:color="auto"/>
        </w:tblBorders>
        <w:tblLayout w:type="fixed"/>
        <w:tblLook w:val="04A0"/>
      </w:tblPr>
      <w:tblGrid>
        <w:gridCol w:w="1663"/>
        <w:gridCol w:w="906"/>
        <w:gridCol w:w="907"/>
        <w:gridCol w:w="1199"/>
        <w:gridCol w:w="1417"/>
        <w:gridCol w:w="1276"/>
        <w:gridCol w:w="794"/>
        <w:gridCol w:w="703"/>
      </w:tblGrid>
      <w:tr w:rsidR="00BD5820">
        <w:trPr>
          <w:trHeight w:val="174"/>
          <w:jc w:val="center"/>
        </w:trPr>
        <w:tc>
          <w:tcPr>
            <w:tcW w:w="1663" w:type="dxa"/>
            <w:vMerge w:val="restart"/>
            <w:vAlign w:val="center"/>
          </w:tcPr>
          <w:p w:rsidR="00BD5820" w:rsidRDefault="00F64314">
            <w:pPr>
              <w:pStyle w:val="aff2"/>
              <w:rPr>
                <w:b/>
                <w:bCs/>
              </w:rPr>
            </w:pPr>
            <w:r>
              <w:rPr>
                <w:b/>
                <w:bCs/>
              </w:rPr>
              <w:t>项目组成</w:t>
            </w:r>
          </w:p>
        </w:tc>
        <w:tc>
          <w:tcPr>
            <w:tcW w:w="5705" w:type="dxa"/>
            <w:gridSpan w:val="5"/>
            <w:vAlign w:val="center"/>
          </w:tcPr>
          <w:p w:rsidR="00BD5820" w:rsidRDefault="00F64314">
            <w:pPr>
              <w:pStyle w:val="aff2"/>
              <w:rPr>
                <w:b/>
                <w:bCs/>
              </w:rPr>
            </w:pPr>
            <w:r>
              <w:rPr>
                <w:b/>
                <w:bCs/>
              </w:rPr>
              <w:t>占地类型（</w:t>
            </w:r>
            <w:r>
              <w:rPr>
                <w:b/>
                <w:bCs/>
              </w:rPr>
              <w:t>m</w:t>
            </w:r>
            <w:r>
              <w:rPr>
                <w:b/>
                <w:bCs/>
                <w:vertAlign w:val="superscript"/>
              </w:rPr>
              <w:t>2</w:t>
            </w:r>
            <w:r>
              <w:rPr>
                <w:b/>
                <w:bCs/>
              </w:rPr>
              <w:t>）</w:t>
            </w:r>
          </w:p>
        </w:tc>
        <w:tc>
          <w:tcPr>
            <w:tcW w:w="794" w:type="dxa"/>
            <w:vMerge w:val="restart"/>
            <w:vAlign w:val="center"/>
          </w:tcPr>
          <w:p w:rsidR="00BD5820" w:rsidRDefault="00F64314">
            <w:pPr>
              <w:pStyle w:val="aff2"/>
              <w:rPr>
                <w:b/>
                <w:bCs/>
              </w:rPr>
            </w:pPr>
            <w:r>
              <w:rPr>
                <w:b/>
                <w:bCs/>
              </w:rPr>
              <w:t>合计</w:t>
            </w:r>
          </w:p>
        </w:tc>
        <w:tc>
          <w:tcPr>
            <w:tcW w:w="703" w:type="dxa"/>
            <w:vMerge w:val="restart"/>
            <w:vAlign w:val="center"/>
          </w:tcPr>
          <w:p w:rsidR="00BD5820" w:rsidRDefault="00F64314">
            <w:pPr>
              <w:pStyle w:val="aff2"/>
              <w:rPr>
                <w:b/>
                <w:bCs/>
              </w:rPr>
            </w:pPr>
            <w:r>
              <w:rPr>
                <w:b/>
                <w:bCs/>
              </w:rPr>
              <w:t>占地性质</w:t>
            </w:r>
          </w:p>
        </w:tc>
      </w:tr>
      <w:tr w:rsidR="00BD5820">
        <w:trPr>
          <w:trHeight w:val="50"/>
          <w:jc w:val="center"/>
        </w:trPr>
        <w:tc>
          <w:tcPr>
            <w:tcW w:w="1663" w:type="dxa"/>
            <w:vMerge/>
            <w:vAlign w:val="center"/>
          </w:tcPr>
          <w:p w:rsidR="00BD5820" w:rsidRDefault="00BD5820">
            <w:pPr>
              <w:pStyle w:val="aff2"/>
              <w:rPr>
                <w:b/>
                <w:bCs/>
              </w:rPr>
            </w:pPr>
          </w:p>
        </w:tc>
        <w:tc>
          <w:tcPr>
            <w:tcW w:w="906" w:type="dxa"/>
            <w:vAlign w:val="center"/>
          </w:tcPr>
          <w:p w:rsidR="00BD5820" w:rsidRDefault="00F64314">
            <w:pPr>
              <w:pStyle w:val="aff2"/>
              <w:rPr>
                <w:b/>
                <w:bCs/>
              </w:rPr>
            </w:pPr>
            <w:r>
              <w:rPr>
                <w:b/>
                <w:bCs/>
              </w:rPr>
              <w:t>耕地</w:t>
            </w:r>
          </w:p>
        </w:tc>
        <w:tc>
          <w:tcPr>
            <w:tcW w:w="907" w:type="dxa"/>
            <w:vAlign w:val="center"/>
          </w:tcPr>
          <w:p w:rsidR="00BD5820" w:rsidRDefault="00F64314">
            <w:pPr>
              <w:pStyle w:val="aff2"/>
              <w:rPr>
                <w:b/>
                <w:bCs/>
              </w:rPr>
            </w:pPr>
            <w:r>
              <w:rPr>
                <w:b/>
                <w:bCs/>
              </w:rPr>
              <w:t>水田</w:t>
            </w:r>
          </w:p>
        </w:tc>
        <w:tc>
          <w:tcPr>
            <w:tcW w:w="1199" w:type="dxa"/>
            <w:vAlign w:val="center"/>
          </w:tcPr>
          <w:p w:rsidR="00BD5820" w:rsidRDefault="00F64314">
            <w:pPr>
              <w:pStyle w:val="aff2"/>
              <w:rPr>
                <w:b/>
                <w:bCs/>
              </w:rPr>
            </w:pPr>
            <w:r>
              <w:rPr>
                <w:b/>
                <w:bCs/>
              </w:rPr>
              <w:t>林地</w:t>
            </w:r>
          </w:p>
        </w:tc>
        <w:tc>
          <w:tcPr>
            <w:tcW w:w="1417" w:type="dxa"/>
            <w:tcBorders>
              <w:left w:val="single" w:sz="2" w:space="0" w:color="auto"/>
            </w:tcBorders>
            <w:vAlign w:val="center"/>
          </w:tcPr>
          <w:p w:rsidR="00BD5820" w:rsidRDefault="00F64314">
            <w:pPr>
              <w:pStyle w:val="aff2"/>
              <w:rPr>
                <w:b/>
                <w:bCs/>
              </w:rPr>
            </w:pPr>
            <w:r>
              <w:rPr>
                <w:b/>
                <w:bCs/>
              </w:rPr>
              <w:t>草地</w:t>
            </w:r>
          </w:p>
        </w:tc>
        <w:tc>
          <w:tcPr>
            <w:tcW w:w="1276" w:type="dxa"/>
            <w:tcBorders>
              <w:left w:val="single" w:sz="2" w:space="0" w:color="auto"/>
            </w:tcBorders>
            <w:vAlign w:val="center"/>
          </w:tcPr>
          <w:p w:rsidR="00BD5820" w:rsidRDefault="00F64314">
            <w:pPr>
              <w:pStyle w:val="aff2"/>
              <w:rPr>
                <w:b/>
                <w:bCs/>
              </w:rPr>
            </w:pPr>
            <w:r>
              <w:rPr>
                <w:b/>
                <w:bCs/>
              </w:rPr>
              <w:t>其他土地</w:t>
            </w:r>
          </w:p>
        </w:tc>
        <w:tc>
          <w:tcPr>
            <w:tcW w:w="794" w:type="dxa"/>
            <w:vMerge/>
            <w:vAlign w:val="center"/>
          </w:tcPr>
          <w:p w:rsidR="00BD5820" w:rsidRDefault="00BD5820">
            <w:pPr>
              <w:pStyle w:val="aff2"/>
              <w:rPr>
                <w:b/>
                <w:bCs/>
              </w:rPr>
            </w:pPr>
          </w:p>
        </w:tc>
        <w:tc>
          <w:tcPr>
            <w:tcW w:w="703" w:type="dxa"/>
            <w:vMerge/>
            <w:vAlign w:val="center"/>
          </w:tcPr>
          <w:p w:rsidR="00BD5820" w:rsidRDefault="00BD5820">
            <w:pPr>
              <w:pStyle w:val="aff2"/>
              <w:rPr>
                <w:b/>
                <w:bCs/>
              </w:rPr>
            </w:pPr>
          </w:p>
        </w:tc>
      </w:tr>
      <w:tr w:rsidR="00BD5820">
        <w:trPr>
          <w:trHeight w:val="50"/>
          <w:jc w:val="center"/>
        </w:trPr>
        <w:tc>
          <w:tcPr>
            <w:tcW w:w="1663" w:type="dxa"/>
            <w:vAlign w:val="center"/>
          </w:tcPr>
          <w:p w:rsidR="00BD5820" w:rsidRDefault="00F64314">
            <w:pPr>
              <w:pStyle w:val="aff2"/>
              <w:rPr>
                <w:bCs/>
              </w:rPr>
            </w:pPr>
            <w:r>
              <w:rPr>
                <w:bCs/>
              </w:rPr>
              <w:t>管道作业带</w:t>
            </w:r>
          </w:p>
        </w:tc>
        <w:tc>
          <w:tcPr>
            <w:tcW w:w="906" w:type="dxa"/>
            <w:vAlign w:val="center"/>
          </w:tcPr>
          <w:p w:rsidR="00BD5820" w:rsidRDefault="00F64314">
            <w:pPr>
              <w:pStyle w:val="aff2"/>
              <w:rPr>
                <w:bCs/>
              </w:rPr>
            </w:pPr>
            <w:r>
              <w:rPr>
                <w:rFonts w:hint="eastAsia"/>
                <w:bCs/>
              </w:rPr>
              <w:t>2400</w:t>
            </w:r>
          </w:p>
        </w:tc>
        <w:tc>
          <w:tcPr>
            <w:tcW w:w="907" w:type="dxa"/>
            <w:vAlign w:val="center"/>
          </w:tcPr>
          <w:p w:rsidR="00BD5820" w:rsidRDefault="00F64314">
            <w:pPr>
              <w:pStyle w:val="aff2"/>
              <w:rPr>
                <w:bCs/>
              </w:rPr>
            </w:pPr>
            <w:r>
              <w:rPr>
                <w:rFonts w:hint="eastAsia"/>
                <w:bCs/>
              </w:rPr>
              <w:t>/</w:t>
            </w:r>
          </w:p>
        </w:tc>
        <w:tc>
          <w:tcPr>
            <w:tcW w:w="1199" w:type="dxa"/>
            <w:vAlign w:val="center"/>
          </w:tcPr>
          <w:p w:rsidR="00BD5820" w:rsidRDefault="00F64314">
            <w:pPr>
              <w:pStyle w:val="aff2"/>
              <w:rPr>
                <w:bCs/>
              </w:rPr>
            </w:pPr>
            <w:r>
              <w:rPr>
                <w:rFonts w:hint="eastAsia"/>
                <w:bCs/>
              </w:rPr>
              <w:t>12000</w:t>
            </w:r>
          </w:p>
        </w:tc>
        <w:tc>
          <w:tcPr>
            <w:tcW w:w="1417" w:type="dxa"/>
            <w:tcBorders>
              <w:left w:val="single" w:sz="2" w:space="0" w:color="auto"/>
            </w:tcBorders>
            <w:vAlign w:val="center"/>
          </w:tcPr>
          <w:p w:rsidR="00BD5820" w:rsidRDefault="00F64314">
            <w:pPr>
              <w:pStyle w:val="aff2"/>
              <w:rPr>
                <w:bCs/>
              </w:rPr>
            </w:pPr>
            <w:r>
              <w:rPr>
                <w:rFonts w:hint="eastAsia"/>
                <w:bCs/>
              </w:rPr>
              <w:t>18000</w:t>
            </w:r>
          </w:p>
        </w:tc>
        <w:tc>
          <w:tcPr>
            <w:tcW w:w="1276" w:type="dxa"/>
            <w:tcBorders>
              <w:left w:val="single" w:sz="2" w:space="0" w:color="auto"/>
            </w:tcBorders>
            <w:vAlign w:val="center"/>
          </w:tcPr>
          <w:p w:rsidR="00BD5820" w:rsidRDefault="00F64314">
            <w:pPr>
              <w:pStyle w:val="aff2"/>
              <w:rPr>
                <w:bCs/>
              </w:rPr>
            </w:pPr>
            <w:r>
              <w:rPr>
                <w:rFonts w:hint="eastAsia"/>
                <w:bCs/>
              </w:rPr>
              <w:t>/</w:t>
            </w:r>
          </w:p>
        </w:tc>
        <w:tc>
          <w:tcPr>
            <w:tcW w:w="794" w:type="dxa"/>
            <w:vAlign w:val="center"/>
          </w:tcPr>
          <w:p w:rsidR="00BD5820" w:rsidRDefault="00F64314">
            <w:pPr>
              <w:pStyle w:val="aff2"/>
              <w:rPr>
                <w:bCs/>
              </w:rPr>
            </w:pPr>
            <w:r>
              <w:rPr>
                <w:rFonts w:hint="eastAsia"/>
                <w:bCs/>
              </w:rPr>
              <w:t>32400</w:t>
            </w:r>
          </w:p>
        </w:tc>
        <w:tc>
          <w:tcPr>
            <w:tcW w:w="703" w:type="dxa"/>
            <w:vMerge w:val="restart"/>
            <w:vAlign w:val="center"/>
          </w:tcPr>
          <w:p w:rsidR="00BD5820" w:rsidRDefault="00F64314">
            <w:pPr>
              <w:pStyle w:val="aff2"/>
              <w:rPr>
                <w:bCs/>
              </w:rPr>
            </w:pPr>
            <w:r>
              <w:rPr>
                <w:bCs/>
              </w:rPr>
              <w:t>临时占地</w:t>
            </w:r>
          </w:p>
        </w:tc>
      </w:tr>
      <w:tr w:rsidR="00BD5820">
        <w:trPr>
          <w:trHeight w:val="50"/>
          <w:jc w:val="center"/>
        </w:trPr>
        <w:tc>
          <w:tcPr>
            <w:tcW w:w="1663" w:type="dxa"/>
            <w:vAlign w:val="center"/>
          </w:tcPr>
          <w:p w:rsidR="00BD5820" w:rsidRDefault="00F64314">
            <w:pPr>
              <w:pStyle w:val="aff2"/>
              <w:rPr>
                <w:bCs/>
              </w:rPr>
            </w:pPr>
            <w:r>
              <w:rPr>
                <w:bCs/>
              </w:rPr>
              <w:t>堆管点</w:t>
            </w:r>
          </w:p>
        </w:tc>
        <w:tc>
          <w:tcPr>
            <w:tcW w:w="906" w:type="dxa"/>
            <w:vAlign w:val="center"/>
          </w:tcPr>
          <w:p w:rsidR="00BD5820" w:rsidRDefault="00F64314">
            <w:pPr>
              <w:pStyle w:val="aff2"/>
              <w:rPr>
                <w:bCs/>
              </w:rPr>
            </w:pPr>
            <w:r>
              <w:rPr>
                <w:rFonts w:hint="eastAsia"/>
                <w:bCs/>
              </w:rPr>
              <w:t>200</w:t>
            </w:r>
          </w:p>
        </w:tc>
        <w:tc>
          <w:tcPr>
            <w:tcW w:w="907" w:type="dxa"/>
            <w:vAlign w:val="center"/>
          </w:tcPr>
          <w:p w:rsidR="00BD5820" w:rsidRDefault="00F64314">
            <w:pPr>
              <w:pStyle w:val="aff2"/>
              <w:rPr>
                <w:bCs/>
              </w:rPr>
            </w:pPr>
            <w:r>
              <w:rPr>
                <w:rFonts w:hint="eastAsia"/>
                <w:bCs/>
              </w:rPr>
              <w:t>/</w:t>
            </w:r>
          </w:p>
        </w:tc>
        <w:tc>
          <w:tcPr>
            <w:tcW w:w="1199" w:type="dxa"/>
            <w:vAlign w:val="center"/>
          </w:tcPr>
          <w:p w:rsidR="00BD5820" w:rsidRDefault="00F64314">
            <w:pPr>
              <w:pStyle w:val="aff2"/>
              <w:rPr>
                <w:bCs/>
              </w:rPr>
            </w:pPr>
            <w:r>
              <w:rPr>
                <w:rFonts w:hint="eastAsia"/>
                <w:bCs/>
              </w:rPr>
              <w:t>/</w:t>
            </w:r>
          </w:p>
        </w:tc>
        <w:tc>
          <w:tcPr>
            <w:tcW w:w="1417" w:type="dxa"/>
            <w:tcBorders>
              <w:left w:val="single" w:sz="2" w:space="0" w:color="auto"/>
            </w:tcBorders>
            <w:vAlign w:val="center"/>
          </w:tcPr>
          <w:p w:rsidR="00BD5820" w:rsidRDefault="00F64314">
            <w:pPr>
              <w:pStyle w:val="aff2"/>
              <w:rPr>
                <w:bCs/>
              </w:rPr>
            </w:pPr>
            <w:r>
              <w:rPr>
                <w:rFonts w:hint="eastAsia"/>
                <w:bCs/>
              </w:rPr>
              <w:t>/</w:t>
            </w:r>
          </w:p>
        </w:tc>
        <w:tc>
          <w:tcPr>
            <w:tcW w:w="1276" w:type="dxa"/>
            <w:tcBorders>
              <w:left w:val="single" w:sz="2" w:space="0" w:color="auto"/>
            </w:tcBorders>
            <w:vAlign w:val="center"/>
          </w:tcPr>
          <w:p w:rsidR="00BD5820" w:rsidRDefault="00F64314">
            <w:pPr>
              <w:pStyle w:val="aff2"/>
              <w:rPr>
                <w:bCs/>
              </w:rPr>
            </w:pPr>
            <w:r>
              <w:rPr>
                <w:rFonts w:hint="eastAsia"/>
                <w:bCs/>
              </w:rPr>
              <w:t>1020</w:t>
            </w:r>
          </w:p>
        </w:tc>
        <w:tc>
          <w:tcPr>
            <w:tcW w:w="794" w:type="dxa"/>
            <w:vAlign w:val="center"/>
          </w:tcPr>
          <w:p w:rsidR="00BD5820" w:rsidRDefault="00F64314">
            <w:pPr>
              <w:pStyle w:val="aff2"/>
              <w:rPr>
                <w:bCs/>
              </w:rPr>
            </w:pPr>
            <w:r>
              <w:rPr>
                <w:rFonts w:hint="eastAsia"/>
                <w:bCs/>
              </w:rPr>
              <w:t>1220</w:t>
            </w:r>
          </w:p>
        </w:tc>
        <w:tc>
          <w:tcPr>
            <w:tcW w:w="703" w:type="dxa"/>
            <w:vMerge/>
            <w:vAlign w:val="center"/>
          </w:tcPr>
          <w:p w:rsidR="00BD5820" w:rsidRDefault="00BD5820">
            <w:pPr>
              <w:pStyle w:val="aff2"/>
              <w:rPr>
                <w:bCs/>
              </w:rPr>
            </w:pPr>
          </w:p>
        </w:tc>
      </w:tr>
      <w:tr w:rsidR="00BD5820">
        <w:trPr>
          <w:trHeight w:val="50"/>
          <w:jc w:val="center"/>
        </w:trPr>
        <w:tc>
          <w:tcPr>
            <w:tcW w:w="1663" w:type="dxa"/>
            <w:vAlign w:val="center"/>
          </w:tcPr>
          <w:p w:rsidR="00BD5820" w:rsidRDefault="00F64314">
            <w:pPr>
              <w:pStyle w:val="aff2"/>
              <w:rPr>
                <w:bCs/>
              </w:rPr>
            </w:pPr>
            <w:r>
              <w:rPr>
                <w:bCs/>
              </w:rPr>
              <w:t>施工便道</w:t>
            </w:r>
          </w:p>
        </w:tc>
        <w:tc>
          <w:tcPr>
            <w:tcW w:w="906" w:type="dxa"/>
            <w:vAlign w:val="center"/>
          </w:tcPr>
          <w:p w:rsidR="00BD5820" w:rsidRDefault="00F64314">
            <w:pPr>
              <w:pStyle w:val="aff2"/>
              <w:rPr>
                <w:bCs/>
              </w:rPr>
            </w:pPr>
            <w:r>
              <w:rPr>
                <w:rFonts w:hint="eastAsia"/>
                <w:bCs/>
              </w:rPr>
              <w:t>/</w:t>
            </w:r>
          </w:p>
        </w:tc>
        <w:tc>
          <w:tcPr>
            <w:tcW w:w="907" w:type="dxa"/>
            <w:vAlign w:val="center"/>
          </w:tcPr>
          <w:p w:rsidR="00BD5820" w:rsidRDefault="00F64314">
            <w:pPr>
              <w:pStyle w:val="aff2"/>
              <w:rPr>
                <w:bCs/>
              </w:rPr>
            </w:pPr>
            <w:r>
              <w:rPr>
                <w:rFonts w:hint="eastAsia"/>
                <w:bCs/>
              </w:rPr>
              <w:t>/</w:t>
            </w:r>
          </w:p>
        </w:tc>
        <w:tc>
          <w:tcPr>
            <w:tcW w:w="1199" w:type="dxa"/>
            <w:vAlign w:val="center"/>
          </w:tcPr>
          <w:p w:rsidR="00BD5820" w:rsidRDefault="00F64314">
            <w:pPr>
              <w:pStyle w:val="aff2"/>
              <w:rPr>
                <w:bCs/>
              </w:rPr>
            </w:pPr>
            <w:r>
              <w:rPr>
                <w:rFonts w:hint="eastAsia"/>
                <w:bCs/>
              </w:rPr>
              <w:t>500</w:t>
            </w:r>
          </w:p>
        </w:tc>
        <w:tc>
          <w:tcPr>
            <w:tcW w:w="1417" w:type="dxa"/>
            <w:tcBorders>
              <w:left w:val="single" w:sz="2" w:space="0" w:color="auto"/>
            </w:tcBorders>
            <w:vAlign w:val="center"/>
          </w:tcPr>
          <w:p w:rsidR="00BD5820" w:rsidRDefault="00F64314">
            <w:pPr>
              <w:pStyle w:val="aff2"/>
              <w:rPr>
                <w:bCs/>
              </w:rPr>
            </w:pPr>
            <w:r>
              <w:rPr>
                <w:rFonts w:hint="eastAsia"/>
                <w:bCs/>
              </w:rPr>
              <w:t>1500</w:t>
            </w:r>
          </w:p>
        </w:tc>
        <w:tc>
          <w:tcPr>
            <w:tcW w:w="1276" w:type="dxa"/>
            <w:tcBorders>
              <w:left w:val="single" w:sz="2" w:space="0" w:color="auto"/>
            </w:tcBorders>
            <w:vAlign w:val="center"/>
          </w:tcPr>
          <w:p w:rsidR="00BD5820" w:rsidRDefault="00F64314">
            <w:pPr>
              <w:pStyle w:val="aff2"/>
              <w:rPr>
                <w:bCs/>
              </w:rPr>
            </w:pPr>
            <w:r>
              <w:rPr>
                <w:rFonts w:hint="eastAsia"/>
                <w:bCs/>
              </w:rPr>
              <w:t>440</w:t>
            </w:r>
          </w:p>
        </w:tc>
        <w:tc>
          <w:tcPr>
            <w:tcW w:w="794" w:type="dxa"/>
            <w:vAlign w:val="center"/>
          </w:tcPr>
          <w:p w:rsidR="00BD5820" w:rsidRDefault="00F64314">
            <w:pPr>
              <w:pStyle w:val="aff2"/>
              <w:rPr>
                <w:bCs/>
              </w:rPr>
            </w:pPr>
            <w:r>
              <w:rPr>
                <w:rFonts w:hint="eastAsia"/>
                <w:bCs/>
              </w:rPr>
              <w:t>2440</w:t>
            </w:r>
          </w:p>
        </w:tc>
        <w:tc>
          <w:tcPr>
            <w:tcW w:w="703" w:type="dxa"/>
            <w:vMerge/>
            <w:vAlign w:val="center"/>
          </w:tcPr>
          <w:p w:rsidR="00BD5820" w:rsidRDefault="00BD5820">
            <w:pPr>
              <w:pStyle w:val="aff2"/>
              <w:rPr>
                <w:bCs/>
              </w:rPr>
            </w:pPr>
          </w:p>
        </w:tc>
      </w:tr>
      <w:tr w:rsidR="00BD5820">
        <w:trPr>
          <w:trHeight w:val="50"/>
          <w:jc w:val="center"/>
        </w:trPr>
        <w:tc>
          <w:tcPr>
            <w:tcW w:w="1663" w:type="dxa"/>
            <w:vAlign w:val="center"/>
          </w:tcPr>
          <w:p w:rsidR="00BD5820" w:rsidRDefault="00F64314">
            <w:pPr>
              <w:pStyle w:val="aff2"/>
              <w:rPr>
                <w:bCs/>
              </w:rPr>
            </w:pPr>
            <w:r>
              <w:rPr>
                <w:bCs/>
              </w:rPr>
              <w:t>合计</w:t>
            </w:r>
          </w:p>
        </w:tc>
        <w:tc>
          <w:tcPr>
            <w:tcW w:w="906" w:type="dxa"/>
            <w:vAlign w:val="center"/>
          </w:tcPr>
          <w:p w:rsidR="00BD5820" w:rsidRDefault="00F64314">
            <w:pPr>
              <w:pStyle w:val="aff2"/>
              <w:rPr>
                <w:bCs/>
              </w:rPr>
            </w:pPr>
            <w:r>
              <w:rPr>
                <w:rFonts w:hint="eastAsia"/>
                <w:bCs/>
              </w:rPr>
              <w:t>2600</w:t>
            </w:r>
          </w:p>
        </w:tc>
        <w:tc>
          <w:tcPr>
            <w:tcW w:w="907" w:type="dxa"/>
            <w:vAlign w:val="center"/>
          </w:tcPr>
          <w:p w:rsidR="00BD5820" w:rsidRDefault="00F64314">
            <w:pPr>
              <w:pStyle w:val="aff2"/>
              <w:rPr>
                <w:bCs/>
              </w:rPr>
            </w:pPr>
            <w:r>
              <w:rPr>
                <w:rFonts w:hint="eastAsia"/>
                <w:bCs/>
              </w:rPr>
              <w:t>/</w:t>
            </w:r>
          </w:p>
        </w:tc>
        <w:tc>
          <w:tcPr>
            <w:tcW w:w="1199" w:type="dxa"/>
            <w:vAlign w:val="center"/>
          </w:tcPr>
          <w:p w:rsidR="00BD5820" w:rsidRDefault="00F64314">
            <w:pPr>
              <w:pStyle w:val="aff2"/>
              <w:rPr>
                <w:bCs/>
              </w:rPr>
            </w:pPr>
            <w:r>
              <w:rPr>
                <w:rFonts w:hint="eastAsia"/>
                <w:bCs/>
              </w:rPr>
              <w:t>12500</w:t>
            </w:r>
          </w:p>
        </w:tc>
        <w:tc>
          <w:tcPr>
            <w:tcW w:w="1417" w:type="dxa"/>
            <w:tcBorders>
              <w:left w:val="single" w:sz="2" w:space="0" w:color="auto"/>
            </w:tcBorders>
            <w:vAlign w:val="center"/>
          </w:tcPr>
          <w:p w:rsidR="00BD5820" w:rsidRDefault="00F64314">
            <w:pPr>
              <w:pStyle w:val="aff2"/>
              <w:rPr>
                <w:bCs/>
              </w:rPr>
            </w:pPr>
            <w:r>
              <w:rPr>
                <w:rFonts w:hint="eastAsia"/>
                <w:bCs/>
              </w:rPr>
              <w:t>19500</w:t>
            </w:r>
          </w:p>
        </w:tc>
        <w:tc>
          <w:tcPr>
            <w:tcW w:w="1276" w:type="dxa"/>
            <w:tcBorders>
              <w:left w:val="single" w:sz="2" w:space="0" w:color="auto"/>
            </w:tcBorders>
            <w:vAlign w:val="center"/>
          </w:tcPr>
          <w:p w:rsidR="00BD5820" w:rsidRDefault="00F64314">
            <w:pPr>
              <w:pStyle w:val="aff2"/>
              <w:rPr>
                <w:bCs/>
              </w:rPr>
            </w:pPr>
            <w:r>
              <w:rPr>
                <w:rFonts w:hint="eastAsia"/>
                <w:bCs/>
              </w:rPr>
              <w:t>1460</w:t>
            </w:r>
          </w:p>
        </w:tc>
        <w:tc>
          <w:tcPr>
            <w:tcW w:w="794" w:type="dxa"/>
            <w:vAlign w:val="center"/>
          </w:tcPr>
          <w:p w:rsidR="00BD5820" w:rsidRDefault="00F64314">
            <w:pPr>
              <w:pStyle w:val="aff2"/>
              <w:rPr>
                <w:bCs/>
              </w:rPr>
            </w:pPr>
            <w:r>
              <w:rPr>
                <w:rFonts w:hint="eastAsia"/>
                <w:bCs/>
              </w:rPr>
              <w:t>36060</w:t>
            </w:r>
          </w:p>
        </w:tc>
        <w:tc>
          <w:tcPr>
            <w:tcW w:w="703" w:type="dxa"/>
            <w:vAlign w:val="center"/>
          </w:tcPr>
          <w:p w:rsidR="00BD5820" w:rsidRDefault="00BD5820">
            <w:pPr>
              <w:pStyle w:val="aff2"/>
              <w:rPr>
                <w:bCs/>
              </w:rPr>
            </w:pPr>
          </w:p>
        </w:tc>
      </w:tr>
    </w:tbl>
    <w:bookmarkEnd w:id="248"/>
    <w:bookmarkEnd w:id="253"/>
    <w:p w:rsidR="00BD5820" w:rsidRDefault="00F64314">
      <w:pPr>
        <w:pStyle w:val="a1"/>
        <w:ind w:firstLine="482"/>
        <w:rPr>
          <w:rFonts w:ascii="Times New Roman" w:cs="Times New Roman"/>
          <w:b/>
        </w:rPr>
      </w:pPr>
      <w:r>
        <w:rPr>
          <w:rFonts w:hAnsi="宋体" w:hint="eastAsia"/>
          <w:b/>
        </w:rPr>
        <w:lastRenderedPageBreak/>
        <w:t>②</w:t>
      </w:r>
      <w:r>
        <w:rPr>
          <w:rFonts w:ascii="Times New Roman" w:cs="Times New Roman"/>
          <w:b/>
        </w:rPr>
        <w:t>占地影响</w:t>
      </w:r>
    </w:p>
    <w:p w:rsidR="00BD5820" w:rsidRDefault="00F64314">
      <w:pPr>
        <w:pStyle w:val="affa"/>
        <w:ind w:firstLine="480"/>
      </w:pPr>
      <w:r>
        <w:t>项目的临时占地主要在施工期。在管线及站场施工过程中，施工作业带、施工便道等均为临时占用土地，一般仅在施工阶段造成沿线土地利用的暂时改变，大部分用地在施工结束后短期内（</w:t>
      </w:r>
      <w:r>
        <w:t>1</w:t>
      </w:r>
      <w:r>
        <w:t>年～</w:t>
      </w:r>
      <w:r>
        <w:t>2</w:t>
      </w:r>
      <w:r>
        <w:t>年）能恢复原有的利用功能。</w:t>
      </w:r>
    </w:p>
    <w:p w:rsidR="00BD5820" w:rsidRDefault="00F64314">
      <w:pPr>
        <w:pStyle w:val="affa"/>
        <w:ind w:firstLine="480"/>
      </w:pPr>
      <w:r>
        <w:t>A.</w:t>
      </w:r>
      <w:r>
        <w:t>管道施工作业带占地</w:t>
      </w:r>
    </w:p>
    <w:p w:rsidR="00BD5820" w:rsidRDefault="00F64314">
      <w:pPr>
        <w:pStyle w:val="affa"/>
        <w:ind w:firstLine="480"/>
      </w:pPr>
      <w:r>
        <w:t>管道工程大部分临时占地是在管道开挖埋设施工过程中，由于管道施工分段进行，施工时间较短，每段管线从施工到重新覆土约为三个月的时间，施工完毕后，管道敷设完成，该地段土地利用大部分可恢复为原利用状态。</w:t>
      </w:r>
    </w:p>
    <w:p w:rsidR="00BD5820" w:rsidRDefault="00F64314">
      <w:pPr>
        <w:pStyle w:val="affa"/>
        <w:ind w:firstLine="480"/>
      </w:pPr>
      <w:r>
        <w:t>施工完成后，管道两侧</w:t>
      </w:r>
      <w:r>
        <w:t>5m</w:t>
      </w:r>
      <w:r>
        <w:t>范围内不能再种植深根植物，一般情况下，该地段可以种植根系不发达的草本植物，以改善景观、防止水土流失。因此从用地类型看对林地、灌丛等用地有一定的影响。</w:t>
      </w:r>
    </w:p>
    <w:p w:rsidR="00BD5820" w:rsidRDefault="00F64314">
      <w:pPr>
        <w:pStyle w:val="affa"/>
        <w:ind w:firstLine="480"/>
      </w:pPr>
      <w:r>
        <w:t>从宏观整体区域看，施工作业带为线性施工，相较于所占地类型面积比例极小，施工临时区域不会影响该区域的土地利用结构。管道施工完毕，管线两侧</w:t>
      </w:r>
      <w:r>
        <w:t>5m</w:t>
      </w:r>
      <w:r>
        <w:t>范围外可以重新种植深根作物，对土地利用的影响也将逐渐消失。</w:t>
      </w:r>
    </w:p>
    <w:p w:rsidR="00BD5820" w:rsidRDefault="00F64314">
      <w:pPr>
        <w:pStyle w:val="affa"/>
        <w:ind w:firstLine="480"/>
      </w:pPr>
      <w:r>
        <w:t>B.</w:t>
      </w:r>
      <w:r>
        <w:t>施工便道占地</w:t>
      </w:r>
    </w:p>
    <w:p w:rsidR="00BD5820" w:rsidRDefault="00F64314">
      <w:pPr>
        <w:pStyle w:val="affa"/>
        <w:ind w:firstLine="480"/>
      </w:pPr>
      <w:r>
        <w:t>管线施工便道属于临时性工程占地，施工结束后大部分即可恢复原有用地使用性质，一部分的施工便道将作为农村道路或者为了管道维护的方便而保持下来，虽然改变了其原有的用地性质，但由于保留的施工便道比较少，不会对区域土地利用产生较大影响。</w:t>
      </w:r>
    </w:p>
    <w:p w:rsidR="00BD5820" w:rsidRDefault="00F64314">
      <w:pPr>
        <w:pStyle w:val="affa"/>
        <w:ind w:firstLine="480"/>
      </w:pPr>
      <w:r>
        <w:t>施工便道多按具体的施工工段设置，各工段占地一般为</w:t>
      </w:r>
      <w:r>
        <w:t>30</w:t>
      </w:r>
      <w:r>
        <w:t>天～</w:t>
      </w:r>
      <w:r>
        <w:t>45</w:t>
      </w:r>
      <w:r>
        <w:t>天，施工便道以依托现有县乡道路为主，新建道路基本是在管道两侧</w:t>
      </w:r>
      <w:r>
        <w:rPr>
          <w:rFonts w:hint="eastAsia"/>
        </w:rPr>
        <w:t>8</w:t>
      </w:r>
      <w:r>
        <w:t>m</w:t>
      </w:r>
      <w:r>
        <w:t>内。施工期，施工范围内的农作物将被清除铲掉，施工便道需压实；施工结束后，施工便道占用的耕地可恢复原有种植。施工期施工便道对沿线生态环境的影响主要有：</w:t>
      </w:r>
    </w:p>
    <w:p w:rsidR="00BD5820" w:rsidRDefault="00F64314">
      <w:pPr>
        <w:pStyle w:val="affa"/>
        <w:ind w:firstLine="480"/>
      </w:pPr>
      <w:r>
        <w:t>a</w:t>
      </w:r>
      <w:r>
        <w:t>、临时占地将破坏地表原有植被作物，其中对农作物而言将减少一季收成；</w:t>
      </w:r>
    </w:p>
    <w:p w:rsidR="00BD5820" w:rsidRDefault="00F64314">
      <w:pPr>
        <w:pStyle w:val="affa"/>
        <w:ind w:firstLine="480"/>
      </w:pPr>
      <w:r>
        <w:t>b</w:t>
      </w:r>
      <w:r>
        <w:t>、施工过程中车辆碾压使占地范围内的土壤紧实度增加，对土地复耕后作物根系发育和生长不利；</w:t>
      </w:r>
    </w:p>
    <w:p w:rsidR="00BD5820" w:rsidRDefault="00F64314">
      <w:pPr>
        <w:pStyle w:val="affa"/>
        <w:ind w:firstLine="480"/>
      </w:pPr>
      <w:r>
        <w:t>c</w:t>
      </w:r>
      <w:r>
        <w:t>、在干燥天气下，车辆行驶扬尘，使便道两侧作物叶面覆盖降尘，光合作用弱，影响作物生长；降雨天气，施工车辆进出施工场地，施工便道上的泥土将影响到公路路面的清洁，干燥后会产生扬尘污染。</w:t>
      </w:r>
    </w:p>
    <w:p w:rsidR="00BD5820" w:rsidRDefault="00F64314">
      <w:pPr>
        <w:pStyle w:val="affa"/>
        <w:ind w:firstLine="480"/>
      </w:pPr>
      <w:r>
        <w:lastRenderedPageBreak/>
        <w:t>总之，临时性工程占地短期内将影响沿线土地的利用状况，施工结束后，随着生态补偿或生态恢复措施的实施，这一影响将逐渐小或消失。</w:t>
      </w:r>
    </w:p>
    <w:bookmarkEnd w:id="241"/>
    <w:bookmarkEnd w:id="242"/>
    <w:p w:rsidR="00BD5820" w:rsidRDefault="00F64314">
      <w:pPr>
        <w:pStyle w:val="a1"/>
        <w:ind w:firstLine="482"/>
        <w:rPr>
          <w:rFonts w:ascii="Times New Roman" w:cs="Times New Roman"/>
          <w:b/>
          <w:bCs/>
        </w:rPr>
      </w:pPr>
      <w:r>
        <w:rPr>
          <w:rFonts w:ascii="Times New Roman" w:cs="Times New Roman"/>
          <w:b/>
          <w:bCs/>
        </w:rPr>
        <w:t>2</w:t>
      </w:r>
      <w:r>
        <w:rPr>
          <w:rFonts w:ascii="Times New Roman" w:cs="Times New Roman"/>
          <w:b/>
          <w:bCs/>
        </w:rPr>
        <w:t>、生态环境影响分析</w:t>
      </w:r>
    </w:p>
    <w:p w:rsidR="00BD5820" w:rsidRDefault="00F64314">
      <w:pPr>
        <w:pStyle w:val="a1"/>
        <w:ind w:firstLine="482"/>
        <w:rPr>
          <w:rFonts w:ascii="Times New Roman" w:cs="Times New Roman"/>
          <w:b/>
        </w:rPr>
      </w:pPr>
      <w:r>
        <w:rPr>
          <w:rFonts w:ascii="Times New Roman" w:cs="Times New Roman"/>
          <w:b/>
        </w:rPr>
        <w:t>（</w:t>
      </w:r>
      <w:r>
        <w:rPr>
          <w:rFonts w:ascii="Times New Roman" w:cs="Times New Roman"/>
          <w:b/>
        </w:rPr>
        <w:t>1</w:t>
      </w:r>
      <w:r>
        <w:rPr>
          <w:rFonts w:ascii="Times New Roman" w:cs="Times New Roman"/>
          <w:b/>
        </w:rPr>
        <w:t>）生态影响分析</w:t>
      </w:r>
    </w:p>
    <w:p w:rsidR="00BD5820" w:rsidRDefault="00F64314">
      <w:pPr>
        <w:pStyle w:val="a1"/>
        <w:ind w:firstLine="480"/>
        <w:rPr>
          <w:rFonts w:ascii="Times New Roman" w:cs="Times New Roman"/>
        </w:rPr>
      </w:pPr>
      <w:r>
        <w:rPr>
          <w:rFonts w:hAnsi="宋体" w:hint="eastAsia"/>
        </w:rPr>
        <w:t>①</w:t>
      </w:r>
      <w:r>
        <w:rPr>
          <w:rFonts w:ascii="Times New Roman" w:cs="Times New Roman"/>
        </w:rPr>
        <w:t>在工程施工前期准备阶段，路线方案的选择、施工场地的准备，施工便道的修建，对土地利用产生明显的影响。</w:t>
      </w:r>
    </w:p>
    <w:p w:rsidR="00BD5820" w:rsidRDefault="00F64314">
      <w:pPr>
        <w:pStyle w:val="a1"/>
        <w:ind w:firstLine="480"/>
        <w:rPr>
          <w:rFonts w:ascii="Times New Roman" w:cs="Times New Roman"/>
        </w:rPr>
      </w:pPr>
      <w:r>
        <w:rPr>
          <w:rFonts w:hAnsi="宋体" w:hint="eastAsia"/>
        </w:rPr>
        <w:t>②</w:t>
      </w:r>
      <w:r>
        <w:rPr>
          <w:rFonts w:ascii="Times New Roman" w:cs="Times New Roman"/>
        </w:rPr>
        <w:t>施工期间土石方工程的开挖引起自然地貌的改变和地表自然及人工植被的破坏，生物量和生产力的变化，由此引发的区域生态环境的破坏。</w:t>
      </w:r>
    </w:p>
    <w:p w:rsidR="00BD5820" w:rsidRDefault="00F64314">
      <w:pPr>
        <w:pStyle w:val="a1"/>
        <w:ind w:firstLine="480"/>
        <w:rPr>
          <w:rFonts w:ascii="Times New Roman" w:cs="Times New Roman"/>
        </w:rPr>
      </w:pPr>
      <w:r>
        <w:rPr>
          <w:rFonts w:hAnsi="宋体" w:hint="eastAsia"/>
        </w:rPr>
        <w:t>③</w:t>
      </w:r>
      <w:r>
        <w:rPr>
          <w:rFonts w:ascii="Times New Roman" w:cs="Times New Roman"/>
        </w:rPr>
        <w:t>施工中临时道路、施工工场、管线敷设导致农业生态系统发生较大变化。</w:t>
      </w:r>
    </w:p>
    <w:p w:rsidR="00BD5820" w:rsidRDefault="00F64314">
      <w:pPr>
        <w:pStyle w:val="a1"/>
        <w:ind w:firstLine="482"/>
        <w:rPr>
          <w:rFonts w:ascii="Times New Roman" w:cs="Times New Roman"/>
          <w:b/>
        </w:rPr>
      </w:pPr>
      <w:bookmarkStart w:id="254" w:name="_Toc12288510"/>
      <w:r>
        <w:rPr>
          <w:rFonts w:ascii="Times New Roman" w:cs="Times New Roman"/>
          <w:b/>
        </w:rPr>
        <w:t>（</w:t>
      </w:r>
      <w:r>
        <w:rPr>
          <w:rFonts w:ascii="Times New Roman" w:cs="Times New Roman"/>
          <w:b/>
        </w:rPr>
        <w:t>2</w:t>
      </w:r>
      <w:r>
        <w:rPr>
          <w:rFonts w:ascii="Times New Roman" w:cs="Times New Roman"/>
          <w:b/>
        </w:rPr>
        <w:t>）拟采取的生态保护措施</w:t>
      </w:r>
      <w:bookmarkEnd w:id="254"/>
    </w:p>
    <w:p w:rsidR="00BD5820" w:rsidRDefault="00F64314">
      <w:pPr>
        <w:pStyle w:val="a1"/>
        <w:ind w:firstLine="480"/>
        <w:rPr>
          <w:rFonts w:ascii="Times New Roman" w:cs="Times New Roman"/>
        </w:rPr>
      </w:pPr>
      <w:r>
        <w:rPr>
          <w:rFonts w:hAnsi="宋体" w:hint="eastAsia"/>
        </w:rPr>
        <w:t>①</w:t>
      </w:r>
      <w:r>
        <w:rPr>
          <w:rFonts w:ascii="Times New Roman" w:cs="Times New Roman"/>
        </w:rPr>
        <w:t>线路方案选择过程中，在确定线路走向时，充分考虑对生态环境的保护，在满足线路走向和工艺要求的同时，线路尽量避开或减少了通过林区地段；在无法避免的林地段施工时，严格控制作业带宽度，采用人工开挖的方式，减少对林地的保护。</w:t>
      </w:r>
    </w:p>
    <w:p w:rsidR="00BD5820" w:rsidRDefault="00F64314">
      <w:pPr>
        <w:pStyle w:val="a1"/>
        <w:ind w:firstLine="480"/>
        <w:rPr>
          <w:rFonts w:ascii="Times New Roman" w:cs="Times New Roman"/>
        </w:rPr>
      </w:pPr>
      <w:r>
        <w:rPr>
          <w:rFonts w:hAnsi="宋体" w:hint="eastAsia"/>
        </w:rPr>
        <w:t>②</w:t>
      </w:r>
      <w:r>
        <w:rPr>
          <w:rFonts w:ascii="Times New Roman" w:cs="Times New Roman"/>
        </w:rPr>
        <w:t>通过农业区时，管道保持足够埋深（国家强制规范要求埋深，车行道下不低于</w:t>
      </w:r>
      <w:r>
        <w:rPr>
          <w:rFonts w:ascii="Times New Roman" w:cs="Times New Roman"/>
        </w:rPr>
        <w:t>0.9m</w:t>
      </w:r>
      <w:r>
        <w:rPr>
          <w:rFonts w:ascii="Times New Roman" w:cs="Times New Roman"/>
        </w:rPr>
        <w:t>，非车行道下</w:t>
      </w:r>
      <w:r>
        <w:rPr>
          <w:rFonts w:ascii="Times New Roman" w:cs="Times New Roman"/>
        </w:rPr>
        <w:t>0.6m</w:t>
      </w:r>
      <w:r>
        <w:rPr>
          <w:rFonts w:ascii="Times New Roman" w:cs="Times New Roman"/>
        </w:rPr>
        <w:t>，绿化带内</w:t>
      </w:r>
      <w:r>
        <w:rPr>
          <w:rFonts w:ascii="Times New Roman" w:cs="Times New Roman"/>
        </w:rPr>
        <w:t>0.3m</w:t>
      </w:r>
      <w:r>
        <w:rPr>
          <w:rFonts w:ascii="Times New Roman" w:cs="Times New Roman"/>
        </w:rPr>
        <w:t>。田内应该参考管顶</w:t>
      </w:r>
      <w:r>
        <w:rPr>
          <w:rFonts w:ascii="Times New Roman" w:cs="Times New Roman"/>
        </w:rPr>
        <w:t>0.6m</w:t>
      </w:r>
      <w:r>
        <w:rPr>
          <w:rFonts w:ascii="Times New Roman" w:cs="Times New Roman"/>
        </w:rPr>
        <w:t>埋深执行），不影响耕作。表土开挖采取分层堆放，分层回填，对熟土的保护做到措施到位，尽量不造成熟土养分流失，减少营运期内对农作物生长造成的经济损失。</w:t>
      </w:r>
    </w:p>
    <w:p w:rsidR="00BD5820" w:rsidRDefault="00F64314">
      <w:pPr>
        <w:pStyle w:val="a1"/>
        <w:ind w:firstLine="480"/>
        <w:rPr>
          <w:rFonts w:ascii="Times New Roman" w:cs="Times New Roman"/>
        </w:rPr>
      </w:pPr>
      <w:r>
        <w:rPr>
          <w:rFonts w:hAnsi="宋体" w:hint="eastAsia"/>
        </w:rPr>
        <w:t>③</w:t>
      </w:r>
      <w:r>
        <w:rPr>
          <w:rFonts w:ascii="Times New Roman" w:cs="Times New Roman"/>
        </w:rPr>
        <w:t>线路尽量避开滑坡、崩塌地带。施工中控制施工作业带范围，施工作业带以外不得破坏树木植被。林地做好还林、补林和林木移栽工作措施。</w:t>
      </w:r>
    </w:p>
    <w:p w:rsidR="00BD5820" w:rsidRDefault="00F64314">
      <w:pPr>
        <w:pStyle w:val="a1"/>
        <w:ind w:firstLine="480"/>
        <w:rPr>
          <w:rFonts w:ascii="Times New Roman" w:cs="Times New Roman"/>
        </w:rPr>
      </w:pPr>
      <w:r>
        <w:rPr>
          <w:rFonts w:hAnsi="宋体" w:hint="eastAsia"/>
        </w:rPr>
        <w:t>④</w:t>
      </w:r>
      <w:r>
        <w:rPr>
          <w:rFonts w:ascii="Times New Roman" w:cs="Times New Roman"/>
        </w:rPr>
        <w:t>管沟开挖产生的多余土石方不随意丢弃，并采取相应的拦挡措施，防止水土流失。管道经过深沟、陡坎地段，做好护坡、堡坎和排泄水设施。</w:t>
      </w:r>
    </w:p>
    <w:p w:rsidR="00BD5820" w:rsidRDefault="00F64314">
      <w:pPr>
        <w:pStyle w:val="a1"/>
        <w:ind w:firstLine="480"/>
        <w:rPr>
          <w:rFonts w:ascii="Times New Roman" w:cs="Times New Roman"/>
        </w:rPr>
      </w:pPr>
      <w:r>
        <w:rPr>
          <w:rFonts w:hAnsi="宋体" w:hint="eastAsia"/>
        </w:rPr>
        <w:t>⑤</w:t>
      </w:r>
      <w:r>
        <w:rPr>
          <w:rFonts w:ascii="Times New Roman" w:cs="Times New Roman"/>
        </w:rPr>
        <w:t>施工作业应避开暴雨季节，减少降雨引发的水土流失机率。应尽量避开农作物生长季节，减少农业生产的损失。</w:t>
      </w:r>
    </w:p>
    <w:p w:rsidR="00BD5820" w:rsidRDefault="00F64314">
      <w:pPr>
        <w:pStyle w:val="a1"/>
        <w:ind w:firstLine="480"/>
        <w:rPr>
          <w:rFonts w:ascii="Times New Roman" w:cs="Times New Roman"/>
        </w:rPr>
      </w:pPr>
      <w:r>
        <w:rPr>
          <w:rFonts w:hAnsi="宋体" w:hint="eastAsia"/>
        </w:rPr>
        <w:t>⑥</w:t>
      </w:r>
      <w:r>
        <w:rPr>
          <w:rFonts w:ascii="Times New Roman" w:cs="Times New Roman"/>
        </w:rPr>
        <w:t>妥善处理施工期产生的各类污染物，防止其对生态环境造成污染，特别是对河流和土壤的影响。施工回填时，应尽量按原有土壤层次进行回填，以恢复土壤的生产能力。回填后多余的土应平铺在田间或作为田埂等，不得随意丢弃。回填完成后，应立即开展复耕、复植工作，完善相应的水土保持工程。</w:t>
      </w:r>
    </w:p>
    <w:p w:rsidR="00BD5820" w:rsidRDefault="00F64314">
      <w:pPr>
        <w:pStyle w:val="a1"/>
        <w:ind w:firstLine="480"/>
        <w:rPr>
          <w:rFonts w:ascii="Times New Roman" w:cs="Times New Roman"/>
        </w:rPr>
      </w:pPr>
      <w:r>
        <w:rPr>
          <w:rFonts w:hAnsi="宋体" w:hint="eastAsia"/>
        </w:rPr>
        <w:t>⑦</w:t>
      </w:r>
      <w:r>
        <w:rPr>
          <w:rFonts w:ascii="Times New Roman" w:cs="Times New Roman" w:hint="eastAsia"/>
        </w:rPr>
        <w:t>妥善处理施工期产生的各类污染物，防止其对生态环境造成污染，特别是</w:t>
      </w:r>
      <w:r>
        <w:rPr>
          <w:rFonts w:ascii="Times New Roman" w:cs="Times New Roman" w:hint="eastAsia"/>
        </w:rPr>
        <w:lastRenderedPageBreak/>
        <w:t>对河流和土壤的影响。施工回填时，应尽量按原有土壤层次进行回填，以恢复土壤的生产能力。回填后多余的土应平铺在田间或作为田埂等，不得随意丢弃。回填完成后，应立即开展复耕、复植工作，完善相应的水土保持工程</w:t>
      </w:r>
      <w:r>
        <w:rPr>
          <w:rFonts w:ascii="Times New Roman" w:cs="Times New Roman"/>
        </w:rPr>
        <w:t>。</w:t>
      </w:r>
    </w:p>
    <w:p w:rsidR="00BD5820" w:rsidRDefault="00F64314">
      <w:pPr>
        <w:pStyle w:val="a1"/>
        <w:ind w:firstLine="480"/>
        <w:rPr>
          <w:rFonts w:ascii="Times New Roman" w:cs="Times New Roman"/>
        </w:rPr>
      </w:pPr>
      <w:r>
        <w:rPr>
          <w:rFonts w:hAnsi="宋体" w:hint="eastAsia"/>
        </w:rPr>
        <w:t>⑧</w:t>
      </w:r>
      <w:r>
        <w:rPr>
          <w:rFonts w:ascii="Times New Roman" w:cs="Times New Roman"/>
        </w:rPr>
        <w:t>加大对作业带有机肥料的投入，增加土壤有机质含量，恢复土壤团粒结构，减轻对土壤的压实效应。</w:t>
      </w:r>
    </w:p>
    <w:p w:rsidR="00BD5820" w:rsidRDefault="00F64314">
      <w:pPr>
        <w:pStyle w:val="3"/>
        <w:rPr>
          <w:rStyle w:val="aff"/>
          <w:b/>
          <w:bCs/>
        </w:rPr>
      </w:pPr>
      <w:bookmarkStart w:id="255" w:name="_Toc12288511"/>
      <w:r>
        <w:rPr>
          <w:rStyle w:val="aff"/>
          <w:b/>
          <w:bCs/>
        </w:rPr>
        <w:t>4.1.</w:t>
      </w:r>
      <w:bookmarkEnd w:id="255"/>
      <w:r>
        <w:rPr>
          <w:rStyle w:val="aff"/>
          <w:b/>
          <w:bCs/>
        </w:rPr>
        <w:t xml:space="preserve">4 </w:t>
      </w:r>
      <w:r>
        <w:rPr>
          <w:rStyle w:val="aff"/>
          <w:b/>
          <w:bCs/>
        </w:rPr>
        <w:t>废气产生情况及治理措施</w:t>
      </w:r>
    </w:p>
    <w:p w:rsidR="00BD5820" w:rsidRDefault="00F64314">
      <w:pPr>
        <w:pStyle w:val="a1"/>
        <w:ind w:firstLine="480"/>
        <w:rPr>
          <w:rFonts w:ascii="Times New Roman" w:cs="Times New Roman"/>
        </w:rPr>
      </w:pPr>
      <w:r>
        <w:rPr>
          <w:rFonts w:ascii="Times New Roman" w:cs="Times New Roman" w:hint="eastAsia"/>
        </w:rPr>
        <w:t>本项目</w:t>
      </w:r>
      <w:r>
        <w:rPr>
          <w:rFonts w:ascii="Times New Roman" w:cs="Times New Roman"/>
        </w:rPr>
        <w:t>施工大气污染源包括管沟土石方开挖产生的扬尘、裸露地面扬尘、施工运输车辆扬尘、施工机械及运输车辆燃油废气、焊接烟气</w:t>
      </w:r>
      <w:r>
        <w:rPr>
          <w:rFonts w:ascii="Times New Roman" w:cs="Times New Roman" w:hint="eastAsia"/>
        </w:rPr>
        <w:t>、食堂油烟</w:t>
      </w:r>
      <w:r>
        <w:rPr>
          <w:rFonts w:ascii="Times New Roman" w:cs="Times New Roman"/>
        </w:rPr>
        <w:t>。</w:t>
      </w:r>
    </w:p>
    <w:p w:rsidR="00BD5820" w:rsidRDefault="00F64314">
      <w:pPr>
        <w:pStyle w:val="affa"/>
        <w:ind w:firstLine="482"/>
        <w:rPr>
          <w:b/>
          <w:bCs/>
        </w:rPr>
      </w:pPr>
      <w:r>
        <w:rPr>
          <w:b/>
          <w:bCs/>
        </w:rPr>
        <w:t>1</w:t>
      </w:r>
      <w:r>
        <w:rPr>
          <w:b/>
          <w:bCs/>
        </w:rPr>
        <w:t>、污染源分析</w:t>
      </w:r>
    </w:p>
    <w:p w:rsidR="00BD5820" w:rsidRDefault="00F64314">
      <w:pPr>
        <w:pStyle w:val="affa"/>
        <w:ind w:firstLine="482"/>
        <w:rPr>
          <w:b/>
          <w:bCs/>
        </w:rPr>
      </w:pPr>
      <w:bookmarkStart w:id="256" w:name="_Hlk52895135"/>
      <w:r>
        <w:rPr>
          <w:b/>
          <w:bCs/>
        </w:rPr>
        <w:t>（</w:t>
      </w:r>
      <w:r>
        <w:rPr>
          <w:b/>
          <w:bCs/>
        </w:rPr>
        <w:t>1</w:t>
      </w:r>
      <w:r>
        <w:rPr>
          <w:b/>
          <w:bCs/>
        </w:rPr>
        <w:t>）施工扬尘</w:t>
      </w:r>
    </w:p>
    <w:p w:rsidR="00BD5820" w:rsidRDefault="00F64314">
      <w:pPr>
        <w:pStyle w:val="affa"/>
        <w:ind w:firstLine="480"/>
        <w:rPr>
          <w:highlight w:val="yellow"/>
        </w:rPr>
      </w:pPr>
      <w:r>
        <w:t>裸露地表在工程扰动或风力扰动的情况下会产生一定的扬尘，扬尘的产生量及产生浓度与扰动的严重程度有关，但在去除外界扰动的情況下扬尘会随自身重力降至地面。同时，根据相关经验表明，裸露地表在扰动的情況下所产生的扬尘量及浓度还与地表土壤的湿润程度有很大的联系，地表土壤所含水分越多，越不容易产生扬尘、放空废气。</w:t>
      </w:r>
    </w:p>
    <w:p w:rsidR="00BD5820" w:rsidRDefault="00F64314">
      <w:pPr>
        <w:pStyle w:val="affa"/>
        <w:ind w:firstLine="482"/>
        <w:rPr>
          <w:b/>
          <w:bCs/>
        </w:rPr>
      </w:pPr>
      <w:r>
        <w:rPr>
          <w:b/>
          <w:bCs/>
        </w:rPr>
        <w:t>（</w:t>
      </w:r>
      <w:r>
        <w:rPr>
          <w:b/>
          <w:bCs/>
        </w:rPr>
        <w:t>2</w:t>
      </w:r>
      <w:r>
        <w:rPr>
          <w:b/>
          <w:bCs/>
        </w:rPr>
        <w:t>）堆场所产生的扬尘</w:t>
      </w:r>
    </w:p>
    <w:p w:rsidR="00BD5820" w:rsidRDefault="00F64314">
      <w:pPr>
        <w:pStyle w:val="affa"/>
        <w:ind w:firstLine="480"/>
      </w:pPr>
      <w:r>
        <w:t>管线施工阶段扬尘的另一个来源是临时堆场和裸露场地的风力扬尘。在气候干燥的情况下会产生扬尘，其扬尘可按堆场起尘的经验公式计算。</w:t>
      </w:r>
    </w:p>
    <w:p w:rsidR="00BD5820" w:rsidRDefault="00F64314">
      <w:pPr>
        <w:pStyle w:val="affa"/>
        <w:ind w:firstLine="480"/>
      </w:pPr>
      <m:oMathPara>
        <m:oMath>
          <m:r>
            <m:rPr>
              <m:sty m:val="p"/>
            </m:rPr>
            <w:rPr>
              <w:rFonts w:ascii="Cambria Math" w:hAnsi="Cambria Math"/>
            </w:rPr>
            <m:t>Q=2.1</m:t>
          </m:r>
          <m:d>
            <m:dPr>
              <m:ctrlPr>
                <w:rPr>
                  <w:rFonts w:ascii="Cambria Math" w:hAnsi="Cambria Math"/>
                </w:rPr>
              </m:ctrlPr>
            </m:dPr>
            <m:e>
              <m:sSub>
                <m:sSubPr>
                  <m:ctrlPr>
                    <w:rPr>
                      <w:rFonts w:ascii="Cambria Math" w:hAnsi="Cambria Math"/>
                      <w:i/>
                    </w:rPr>
                  </m:ctrlPr>
                </m:sSubPr>
                <m:e>
                  <m:r>
                    <w:rPr>
                      <w:rFonts w:ascii="Cambria Math" w:hAnsi="Cambria Math"/>
                    </w:rPr>
                    <m:t>V</m:t>
                  </m:r>
                </m:e>
                <m:sub>
                  <m:r>
                    <w:rPr>
                      <w:rFonts w:ascii="Cambria Math" w:hAnsi="Cambria Math"/>
                    </w:rPr>
                    <m:t>50</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0</m:t>
                  </m:r>
                </m:sub>
              </m:sSub>
            </m:e>
          </m:d>
          <m:sSup>
            <m:sSupPr>
              <m:ctrlPr>
                <w:rPr>
                  <w:rFonts w:ascii="Cambria Math" w:hAnsi="Cambria Math"/>
                  <w:i/>
                </w:rPr>
              </m:ctrlPr>
            </m:sSupPr>
            <m:e>
              <m:r>
                <w:rPr>
                  <w:rFonts w:ascii="Cambria Math" w:hAnsi="Cambria Math"/>
                </w:rPr>
                <m:t xml:space="preserve"> </m:t>
              </m:r>
            </m:e>
            <m:sup>
              <m:r>
                <w:rPr>
                  <w:rFonts w:ascii="Cambria Math" w:hAnsi="Cambria Math"/>
                </w:rPr>
                <m:t>3</m:t>
              </m:r>
            </m:sup>
          </m:sSup>
          <m:sSup>
            <m:sSupPr>
              <m:ctrlPr>
                <w:rPr>
                  <w:rFonts w:ascii="Cambria Math" w:hAnsi="Cambria Math"/>
                  <w:i/>
                </w:rPr>
              </m:ctrlPr>
            </m:sSupPr>
            <m:e>
              <m:r>
                <w:rPr>
                  <w:rFonts w:ascii="Cambria Math" w:hAnsi="Cambria Math"/>
                </w:rPr>
                <m:t>e</m:t>
              </m:r>
            </m:e>
            <m:sup>
              <m:r>
                <w:rPr>
                  <w:rFonts w:ascii="Cambria Math" w:hAnsi="Cambria Math"/>
                </w:rPr>
                <m:t>-1.023W</m:t>
              </m:r>
            </m:sup>
          </m:sSup>
        </m:oMath>
      </m:oMathPara>
    </w:p>
    <w:p w:rsidR="00BD5820" w:rsidRDefault="00F64314">
      <w:pPr>
        <w:pStyle w:val="affa"/>
        <w:ind w:firstLine="480"/>
      </w:pPr>
      <w:r>
        <w:t>其中：</w:t>
      </w:r>
      <w:r>
        <w:t>Q—</w:t>
      </w:r>
      <w:r>
        <w:t>起尘量，</w:t>
      </w:r>
      <w:r>
        <w:t>kg/</w:t>
      </w:r>
      <w:r>
        <w:t>吨</w:t>
      </w:r>
      <w:r>
        <w:t>·</w:t>
      </w:r>
      <w:r>
        <w:t>年</w:t>
      </w:r>
    </w:p>
    <w:p w:rsidR="00BD5820" w:rsidRDefault="00F64314">
      <w:pPr>
        <w:pStyle w:val="affa"/>
        <w:ind w:firstLine="480"/>
      </w:pPr>
      <w:r>
        <w:t>V</w:t>
      </w:r>
      <w:r>
        <w:rPr>
          <w:vertAlign w:val="subscript"/>
        </w:rPr>
        <w:t>50</w:t>
      </w:r>
      <w:r>
        <w:t>—</w:t>
      </w:r>
      <w:r>
        <w:t>距地面</w:t>
      </w:r>
      <w:r>
        <w:t>50m</w:t>
      </w:r>
      <w:r>
        <w:t>处风速，</w:t>
      </w:r>
      <w:r>
        <w:t>m/s</w:t>
      </w:r>
      <w:r>
        <w:t>；</w:t>
      </w:r>
    </w:p>
    <w:p w:rsidR="00BD5820" w:rsidRDefault="00F64314">
      <w:pPr>
        <w:pStyle w:val="affa"/>
        <w:ind w:firstLine="480"/>
      </w:pPr>
      <w:r>
        <w:t>V</w:t>
      </w:r>
      <w:r>
        <w:rPr>
          <w:vertAlign w:val="subscript"/>
        </w:rPr>
        <w:t>0</w:t>
      </w:r>
      <w:r>
        <w:t>—</w:t>
      </w:r>
      <w:r>
        <w:t>起尘风速，</w:t>
      </w:r>
      <w:r>
        <w:t>m/s</w:t>
      </w:r>
      <w:r>
        <w:t>；</w:t>
      </w:r>
    </w:p>
    <w:p w:rsidR="00BD5820" w:rsidRDefault="00F64314">
      <w:pPr>
        <w:pStyle w:val="affa"/>
        <w:ind w:firstLine="480"/>
      </w:pPr>
      <w:r>
        <w:t>W—</w:t>
      </w:r>
      <w:r>
        <w:t>尘粒的含水率，</w:t>
      </w:r>
      <w:r>
        <w:t>%</w:t>
      </w:r>
    </w:p>
    <w:p w:rsidR="00BD5820" w:rsidRDefault="00F64314">
      <w:pPr>
        <w:pStyle w:val="affa"/>
        <w:ind w:firstLine="480"/>
      </w:pPr>
      <w:r>
        <w:t>V</w:t>
      </w:r>
      <w:r>
        <w:rPr>
          <w:vertAlign w:val="subscript"/>
        </w:rPr>
        <w:t>0</w:t>
      </w:r>
      <w:r>
        <w:t>与粒径和含水率有关，因此，减少露天堆放和保证一定的含水率及减少裸露地面是减少风力起尘的有效手段。</w:t>
      </w:r>
    </w:p>
    <w:p w:rsidR="00BD5820" w:rsidRDefault="00F64314">
      <w:pPr>
        <w:pStyle w:val="affa"/>
        <w:ind w:firstLine="480"/>
      </w:pPr>
      <w:r>
        <w:t>尘粒在空气中的传播扩散情况与风速等气象条件有关，也与尘粒本身的沉降速度有关。不同粒径的尘粒的沉降速度见表</w:t>
      </w:r>
      <w:r>
        <w:t>4.1-</w:t>
      </w:r>
      <w:r>
        <w:rPr>
          <w:rFonts w:hint="eastAsia"/>
        </w:rPr>
        <w:t>6</w:t>
      </w:r>
      <w:r>
        <w:t>。</w:t>
      </w:r>
    </w:p>
    <w:p w:rsidR="00BD5820" w:rsidRDefault="00F64314">
      <w:pPr>
        <w:pStyle w:val="10"/>
        <w:rPr>
          <w:rFonts w:cs="Times New Roman"/>
        </w:rPr>
      </w:pPr>
      <w:r>
        <w:rPr>
          <w:rFonts w:cs="Times New Roman"/>
        </w:rPr>
        <w:t>表</w:t>
      </w:r>
      <w:r>
        <w:rPr>
          <w:rFonts w:cs="Times New Roman"/>
        </w:rPr>
        <w:t>4.1-</w:t>
      </w:r>
      <w:r>
        <w:rPr>
          <w:rFonts w:cs="Times New Roman" w:hint="eastAsia"/>
        </w:rPr>
        <w:t>6</w:t>
      </w:r>
      <w:r>
        <w:rPr>
          <w:rFonts w:cs="Times New Roman"/>
        </w:rPr>
        <w:t xml:space="preserve">  </w:t>
      </w:r>
      <w:r>
        <w:rPr>
          <w:rFonts w:cs="Times New Roman"/>
        </w:rPr>
        <w:t>不同粒径尘粒的沉降速度</w:t>
      </w:r>
    </w:p>
    <w:tbl>
      <w:tblPr>
        <w:tblW w:w="8703" w:type="dxa"/>
        <w:jc w:val="center"/>
        <w:tblBorders>
          <w:top w:val="single" w:sz="12" w:space="0" w:color="000000"/>
          <w:bottom w:val="single" w:sz="12" w:space="0" w:color="000000"/>
          <w:insideH w:val="single" w:sz="2" w:space="0" w:color="auto"/>
          <w:insideV w:val="single" w:sz="2" w:space="0" w:color="auto"/>
        </w:tblBorders>
        <w:tblLayout w:type="fixed"/>
        <w:tblLook w:val="04A0"/>
      </w:tblPr>
      <w:tblGrid>
        <w:gridCol w:w="2127"/>
        <w:gridCol w:w="850"/>
        <w:gridCol w:w="851"/>
        <w:gridCol w:w="992"/>
        <w:gridCol w:w="850"/>
        <w:gridCol w:w="1076"/>
        <w:gridCol w:w="926"/>
        <w:gridCol w:w="1031"/>
      </w:tblGrid>
      <w:tr w:rsidR="00BD5820">
        <w:trPr>
          <w:trHeight w:val="52"/>
          <w:jc w:val="center"/>
        </w:trPr>
        <w:tc>
          <w:tcPr>
            <w:tcW w:w="2127" w:type="dxa"/>
            <w:vAlign w:val="center"/>
          </w:tcPr>
          <w:p w:rsidR="00BD5820" w:rsidRDefault="00F64314">
            <w:pPr>
              <w:pStyle w:val="afff1"/>
            </w:pPr>
            <w:r>
              <w:t>粉尘粒径（</w:t>
            </w:r>
            <w:r>
              <w:rPr>
                <w:kern w:val="0"/>
              </w:rPr>
              <w:t>μm</w:t>
            </w:r>
            <w:r>
              <w:t>）</w:t>
            </w:r>
          </w:p>
        </w:tc>
        <w:tc>
          <w:tcPr>
            <w:tcW w:w="850" w:type="dxa"/>
            <w:vAlign w:val="center"/>
          </w:tcPr>
          <w:p w:rsidR="00BD5820" w:rsidRDefault="00F64314">
            <w:pPr>
              <w:pStyle w:val="afff1"/>
            </w:pPr>
            <w:r>
              <w:t>10</w:t>
            </w:r>
          </w:p>
        </w:tc>
        <w:tc>
          <w:tcPr>
            <w:tcW w:w="851" w:type="dxa"/>
            <w:vAlign w:val="center"/>
          </w:tcPr>
          <w:p w:rsidR="00BD5820" w:rsidRDefault="00F64314">
            <w:pPr>
              <w:pStyle w:val="afff1"/>
            </w:pPr>
            <w:r>
              <w:t>20</w:t>
            </w:r>
          </w:p>
        </w:tc>
        <w:tc>
          <w:tcPr>
            <w:tcW w:w="992" w:type="dxa"/>
            <w:vAlign w:val="center"/>
          </w:tcPr>
          <w:p w:rsidR="00BD5820" w:rsidRDefault="00F64314">
            <w:pPr>
              <w:pStyle w:val="afff1"/>
            </w:pPr>
            <w:r>
              <w:t>30</w:t>
            </w:r>
          </w:p>
        </w:tc>
        <w:tc>
          <w:tcPr>
            <w:tcW w:w="850" w:type="dxa"/>
            <w:vAlign w:val="center"/>
          </w:tcPr>
          <w:p w:rsidR="00BD5820" w:rsidRDefault="00F64314">
            <w:pPr>
              <w:pStyle w:val="afff1"/>
            </w:pPr>
            <w:r>
              <w:t>40</w:t>
            </w:r>
          </w:p>
        </w:tc>
        <w:tc>
          <w:tcPr>
            <w:tcW w:w="1076" w:type="dxa"/>
            <w:vAlign w:val="center"/>
          </w:tcPr>
          <w:p w:rsidR="00BD5820" w:rsidRDefault="00F64314">
            <w:pPr>
              <w:pStyle w:val="afff1"/>
            </w:pPr>
            <w:r>
              <w:t>50</w:t>
            </w:r>
          </w:p>
        </w:tc>
        <w:tc>
          <w:tcPr>
            <w:tcW w:w="926" w:type="dxa"/>
            <w:vAlign w:val="center"/>
          </w:tcPr>
          <w:p w:rsidR="00BD5820" w:rsidRDefault="00F64314">
            <w:pPr>
              <w:pStyle w:val="afff1"/>
            </w:pPr>
            <w:r>
              <w:t>60</w:t>
            </w:r>
          </w:p>
        </w:tc>
        <w:tc>
          <w:tcPr>
            <w:tcW w:w="1031" w:type="dxa"/>
            <w:vAlign w:val="center"/>
          </w:tcPr>
          <w:p w:rsidR="00BD5820" w:rsidRDefault="00F64314">
            <w:pPr>
              <w:pStyle w:val="afff1"/>
            </w:pPr>
            <w:r>
              <w:t>70</w:t>
            </w:r>
          </w:p>
        </w:tc>
      </w:tr>
      <w:tr w:rsidR="00BD5820">
        <w:trPr>
          <w:trHeight w:val="75"/>
          <w:jc w:val="center"/>
        </w:trPr>
        <w:tc>
          <w:tcPr>
            <w:tcW w:w="2127" w:type="dxa"/>
            <w:vAlign w:val="center"/>
          </w:tcPr>
          <w:p w:rsidR="00BD5820" w:rsidRDefault="00F64314">
            <w:pPr>
              <w:pStyle w:val="afff1"/>
            </w:pPr>
            <w:r>
              <w:t>沉降速度（</w:t>
            </w:r>
            <w:r>
              <w:t>m/s</w:t>
            </w:r>
            <w:r>
              <w:t>）</w:t>
            </w:r>
          </w:p>
        </w:tc>
        <w:tc>
          <w:tcPr>
            <w:tcW w:w="850" w:type="dxa"/>
            <w:vAlign w:val="center"/>
          </w:tcPr>
          <w:p w:rsidR="00BD5820" w:rsidRDefault="00F64314">
            <w:pPr>
              <w:pStyle w:val="afff1"/>
            </w:pPr>
            <w:r>
              <w:t>0.003</w:t>
            </w:r>
          </w:p>
        </w:tc>
        <w:tc>
          <w:tcPr>
            <w:tcW w:w="851" w:type="dxa"/>
            <w:vAlign w:val="center"/>
          </w:tcPr>
          <w:p w:rsidR="00BD5820" w:rsidRDefault="00F64314">
            <w:pPr>
              <w:pStyle w:val="afff1"/>
            </w:pPr>
            <w:r>
              <w:t>0.012</w:t>
            </w:r>
          </w:p>
        </w:tc>
        <w:tc>
          <w:tcPr>
            <w:tcW w:w="992" w:type="dxa"/>
            <w:vAlign w:val="center"/>
          </w:tcPr>
          <w:p w:rsidR="00BD5820" w:rsidRDefault="00F64314">
            <w:pPr>
              <w:pStyle w:val="afff1"/>
            </w:pPr>
            <w:r>
              <w:t>0.027</w:t>
            </w:r>
          </w:p>
        </w:tc>
        <w:tc>
          <w:tcPr>
            <w:tcW w:w="850" w:type="dxa"/>
            <w:vAlign w:val="center"/>
          </w:tcPr>
          <w:p w:rsidR="00BD5820" w:rsidRDefault="00F64314">
            <w:pPr>
              <w:pStyle w:val="afff1"/>
            </w:pPr>
            <w:r>
              <w:t>0.048</w:t>
            </w:r>
          </w:p>
        </w:tc>
        <w:tc>
          <w:tcPr>
            <w:tcW w:w="1076" w:type="dxa"/>
            <w:vAlign w:val="center"/>
          </w:tcPr>
          <w:p w:rsidR="00BD5820" w:rsidRDefault="00F64314">
            <w:pPr>
              <w:pStyle w:val="afff1"/>
            </w:pPr>
            <w:r>
              <w:t>0.075</w:t>
            </w:r>
          </w:p>
        </w:tc>
        <w:tc>
          <w:tcPr>
            <w:tcW w:w="926" w:type="dxa"/>
            <w:vAlign w:val="center"/>
          </w:tcPr>
          <w:p w:rsidR="00BD5820" w:rsidRDefault="00F64314">
            <w:pPr>
              <w:pStyle w:val="afff1"/>
            </w:pPr>
            <w:r>
              <w:t>0.108</w:t>
            </w:r>
          </w:p>
        </w:tc>
        <w:tc>
          <w:tcPr>
            <w:tcW w:w="1031" w:type="dxa"/>
            <w:vAlign w:val="center"/>
          </w:tcPr>
          <w:p w:rsidR="00BD5820" w:rsidRDefault="00F64314">
            <w:pPr>
              <w:pStyle w:val="afff1"/>
            </w:pPr>
            <w:r>
              <w:t>0.147</w:t>
            </w:r>
          </w:p>
        </w:tc>
      </w:tr>
      <w:tr w:rsidR="00BD5820">
        <w:trPr>
          <w:trHeight w:val="75"/>
          <w:jc w:val="center"/>
        </w:trPr>
        <w:tc>
          <w:tcPr>
            <w:tcW w:w="2127" w:type="dxa"/>
            <w:vAlign w:val="center"/>
          </w:tcPr>
          <w:p w:rsidR="00BD5820" w:rsidRDefault="00F64314">
            <w:pPr>
              <w:pStyle w:val="afff1"/>
            </w:pPr>
            <w:r>
              <w:lastRenderedPageBreak/>
              <w:t>粉尘粒径（</w:t>
            </w:r>
            <w:r>
              <w:rPr>
                <w:kern w:val="0"/>
              </w:rPr>
              <w:t>μm</w:t>
            </w:r>
            <w:r>
              <w:t>）</w:t>
            </w:r>
          </w:p>
        </w:tc>
        <w:tc>
          <w:tcPr>
            <w:tcW w:w="850" w:type="dxa"/>
            <w:vAlign w:val="center"/>
          </w:tcPr>
          <w:p w:rsidR="00BD5820" w:rsidRDefault="00F64314">
            <w:pPr>
              <w:pStyle w:val="afff1"/>
            </w:pPr>
            <w:r>
              <w:t>80</w:t>
            </w:r>
          </w:p>
        </w:tc>
        <w:tc>
          <w:tcPr>
            <w:tcW w:w="851" w:type="dxa"/>
            <w:vAlign w:val="center"/>
          </w:tcPr>
          <w:p w:rsidR="00BD5820" w:rsidRDefault="00F64314">
            <w:pPr>
              <w:pStyle w:val="afff1"/>
            </w:pPr>
            <w:r>
              <w:t>90</w:t>
            </w:r>
          </w:p>
        </w:tc>
        <w:tc>
          <w:tcPr>
            <w:tcW w:w="992" w:type="dxa"/>
            <w:vAlign w:val="center"/>
          </w:tcPr>
          <w:p w:rsidR="00BD5820" w:rsidRDefault="00F64314">
            <w:pPr>
              <w:pStyle w:val="afff1"/>
            </w:pPr>
            <w:r>
              <w:t>100</w:t>
            </w:r>
          </w:p>
        </w:tc>
        <w:tc>
          <w:tcPr>
            <w:tcW w:w="850" w:type="dxa"/>
            <w:vAlign w:val="center"/>
          </w:tcPr>
          <w:p w:rsidR="00BD5820" w:rsidRDefault="00F64314">
            <w:pPr>
              <w:pStyle w:val="afff1"/>
            </w:pPr>
            <w:r>
              <w:t>150</w:t>
            </w:r>
          </w:p>
        </w:tc>
        <w:tc>
          <w:tcPr>
            <w:tcW w:w="1076" w:type="dxa"/>
            <w:vAlign w:val="center"/>
          </w:tcPr>
          <w:p w:rsidR="00BD5820" w:rsidRDefault="00F64314">
            <w:pPr>
              <w:pStyle w:val="afff1"/>
            </w:pPr>
            <w:r>
              <w:t>200</w:t>
            </w:r>
          </w:p>
        </w:tc>
        <w:tc>
          <w:tcPr>
            <w:tcW w:w="926" w:type="dxa"/>
            <w:vAlign w:val="center"/>
          </w:tcPr>
          <w:p w:rsidR="00BD5820" w:rsidRDefault="00F64314">
            <w:pPr>
              <w:pStyle w:val="afff1"/>
            </w:pPr>
            <w:r>
              <w:t>250</w:t>
            </w:r>
          </w:p>
        </w:tc>
        <w:tc>
          <w:tcPr>
            <w:tcW w:w="1031" w:type="dxa"/>
            <w:vAlign w:val="center"/>
          </w:tcPr>
          <w:p w:rsidR="00BD5820" w:rsidRDefault="00F64314">
            <w:pPr>
              <w:pStyle w:val="afff1"/>
            </w:pPr>
            <w:r>
              <w:t>350</w:t>
            </w:r>
          </w:p>
        </w:tc>
      </w:tr>
      <w:tr w:rsidR="00BD5820">
        <w:trPr>
          <w:trHeight w:val="75"/>
          <w:jc w:val="center"/>
        </w:trPr>
        <w:tc>
          <w:tcPr>
            <w:tcW w:w="2127" w:type="dxa"/>
            <w:vAlign w:val="center"/>
          </w:tcPr>
          <w:p w:rsidR="00BD5820" w:rsidRDefault="00F64314">
            <w:pPr>
              <w:pStyle w:val="afff1"/>
            </w:pPr>
            <w:r>
              <w:t>沉降速度（</w:t>
            </w:r>
            <w:r>
              <w:t>m/s</w:t>
            </w:r>
            <w:r>
              <w:t>）</w:t>
            </w:r>
          </w:p>
        </w:tc>
        <w:tc>
          <w:tcPr>
            <w:tcW w:w="850" w:type="dxa"/>
            <w:vAlign w:val="center"/>
          </w:tcPr>
          <w:p w:rsidR="00BD5820" w:rsidRDefault="00F64314">
            <w:pPr>
              <w:pStyle w:val="afff1"/>
            </w:pPr>
            <w:r>
              <w:t>0.158</w:t>
            </w:r>
          </w:p>
        </w:tc>
        <w:tc>
          <w:tcPr>
            <w:tcW w:w="851" w:type="dxa"/>
            <w:vAlign w:val="center"/>
          </w:tcPr>
          <w:p w:rsidR="00BD5820" w:rsidRDefault="00F64314">
            <w:pPr>
              <w:pStyle w:val="afff1"/>
            </w:pPr>
            <w:r>
              <w:t>0.170</w:t>
            </w:r>
          </w:p>
        </w:tc>
        <w:tc>
          <w:tcPr>
            <w:tcW w:w="992" w:type="dxa"/>
            <w:vAlign w:val="center"/>
          </w:tcPr>
          <w:p w:rsidR="00BD5820" w:rsidRDefault="00F64314">
            <w:pPr>
              <w:pStyle w:val="afff1"/>
            </w:pPr>
            <w:r>
              <w:t>0.182</w:t>
            </w:r>
          </w:p>
        </w:tc>
        <w:tc>
          <w:tcPr>
            <w:tcW w:w="850" w:type="dxa"/>
            <w:vAlign w:val="center"/>
          </w:tcPr>
          <w:p w:rsidR="00BD5820" w:rsidRDefault="00F64314">
            <w:pPr>
              <w:pStyle w:val="afff1"/>
            </w:pPr>
            <w:r>
              <w:t>0.239</w:t>
            </w:r>
          </w:p>
        </w:tc>
        <w:tc>
          <w:tcPr>
            <w:tcW w:w="1076" w:type="dxa"/>
            <w:vAlign w:val="center"/>
          </w:tcPr>
          <w:p w:rsidR="00BD5820" w:rsidRDefault="00F64314">
            <w:pPr>
              <w:pStyle w:val="afff1"/>
            </w:pPr>
            <w:r>
              <w:t>0.804</w:t>
            </w:r>
          </w:p>
        </w:tc>
        <w:tc>
          <w:tcPr>
            <w:tcW w:w="926" w:type="dxa"/>
            <w:vAlign w:val="center"/>
          </w:tcPr>
          <w:p w:rsidR="00BD5820" w:rsidRDefault="00F64314">
            <w:pPr>
              <w:pStyle w:val="afff1"/>
            </w:pPr>
            <w:r>
              <w:t>1.005</w:t>
            </w:r>
          </w:p>
        </w:tc>
        <w:tc>
          <w:tcPr>
            <w:tcW w:w="1031" w:type="dxa"/>
            <w:vAlign w:val="center"/>
          </w:tcPr>
          <w:p w:rsidR="00BD5820" w:rsidRDefault="00F64314">
            <w:pPr>
              <w:pStyle w:val="afff1"/>
            </w:pPr>
            <w:r>
              <w:t>1.829</w:t>
            </w:r>
          </w:p>
        </w:tc>
      </w:tr>
      <w:tr w:rsidR="00BD5820">
        <w:trPr>
          <w:trHeight w:val="75"/>
          <w:jc w:val="center"/>
        </w:trPr>
        <w:tc>
          <w:tcPr>
            <w:tcW w:w="2127" w:type="dxa"/>
            <w:vAlign w:val="center"/>
          </w:tcPr>
          <w:p w:rsidR="00BD5820" w:rsidRDefault="00F64314">
            <w:pPr>
              <w:pStyle w:val="afff1"/>
            </w:pPr>
            <w:r>
              <w:t>粉尘粒径（</w:t>
            </w:r>
            <w:r>
              <w:rPr>
                <w:kern w:val="0"/>
              </w:rPr>
              <w:t>μm</w:t>
            </w:r>
            <w:r>
              <w:t>）</w:t>
            </w:r>
          </w:p>
        </w:tc>
        <w:tc>
          <w:tcPr>
            <w:tcW w:w="850" w:type="dxa"/>
            <w:vAlign w:val="center"/>
          </w:tcPr>
          <w:p w:rsidR="00BD5820" w:rsidRDefault="00F64314">
            <w:pPr>
              <w:pStyle w:val="afff1"/>
            </w:pPr>
            <w:r>
              <w:t>450</w:t>
            </w:r>
          </w:p>
        </w:tc>
        <w:tc>
          <w:tcPr>
            <w:tcW w:w="851" w:type="dxa"/>
            <w:vAlign w:val="center"/>
          </w:tcPr>
          <w:p w:rsidR="00BD5820" w:rsidRDefault="00F64314">
            <w:pPr>
              <w:pStyle w:val="afff1"/>
            </w:pPr>
            <w:r>
              <w:t>550</w:t>
            </w:r>
          </w:p>
        </w:tc>
        <w:tc>
          <w:tcPr>
            <w:tcW w:w="992" w:type="dxa"/>
            <w:vAlign w:val="center"/>
          </w:tcPr>
          <w:p w:rsidR="00BD5820" w:rsidRDefault="00F64314">
            <w:pPr>
              <w:pStyle w:val="afff1"/>
            </w:pPr>
            <w:r>
              <w:t>650</w:t>
            </w:r>
          </w:p>
        </w:tc>
        <w:tc>
          <w:tcPr>
            <w:tcW w:w="850" w:type="dxa"/>
            <w:vAlign w:val="center"/>
          </w:tcPr>
          <w:p w:rsidR="00BD5820" w:rsidRDefault="00F64314">
            <w:pPr>
              <w:pStyle w:val="afff1"/>
            </w:pPr>
            <w:r>
              <w:t>750</w:t>
            </w:r>
          </w:p>
        </w:tc>
        <w:tc>
          <w:tcPr>
            <w:tcW w:w="1076" w:type="dxa"/>
            <w:vAlign w:val="center"/>
          </w:tcPr>
          <w:p w:rsidR="00BD5820" w:rsidRDefault="00F64314">
            <w:pPr>
              <w:pStyle w:val="afff1"/>
            </w:pPr>
            <w:r>
              <w:t>850</w:t>
            </w:r>
          </w:p>
        </w:tc>
        <w:tc>
          <w:tcPr>
            <w:tcW w:w="926" w:type="dxa"/>
            <w:vAlign w:val="center"/>
          </w:tcPr>
          <w:p w:rsidR="00BD5820" w:rsidRDefault="00F64314">
            <w:pPr>
              <w:pStyle w:val="afff1"/>
            </w:pPr>
            <w:r>
              <w:t>950</w:t>
            </w:r>
          </w:p>
        </w:tc>
        <w:tc>
          <w:tcPr>
            <w:tcW w:w="1031" w:type="dxa"/>
            <w:vAlign w:val="center"/>
          </w:tcPr>
          <w:p w:rsidR="00BD5820" w:rsidRDefault="00F64314">
            <w:pPr>
              <w:pStyle w:val="afff1"/>
            </w:pPr>
            <w:r>
              <w:t>1050</w:t>
            </w:r>
          </w:p>
        </w:tc>
      </w:tr>
      <w:tr w:rsidR="00BD5820">
        <w:trPr>
          <w:trHeight w:val="75"/>
          <w:jc w:val="center"/>
        </w:trPr>
        <w:tc>
          <w:tcPr>
            <w:tcW w:w="2127" w:type="dxa"/>
            <w:vAlign w:val="center"/>
          </w:tcPr>
          <w:p w:rsidR="00BD5820" w:rsidRDefault="00F64314">
            <w:pPr>
              <w:pStyle w:val="afff1"/>
            </w:pPr>
            <w:r>
              <w:t>沉降速度（</w:t>
            </w:r>
            <w:r>
              <w:t>m/s</w:t>
            </w:r>
            <w:r>
              <w:t>）</w:t>
            </w:r>
          </w:p>
        </w:tc>
        <w:tc>
          <w:tcPr>
            <w:tcW w:w="850" w:type="dxa"/>
            <w:vAlign w:val="center"/>
          </w:tcPr>
          <w:p w:rsidR="00BD5820" w:rsidRDefault="00F64314">
            <w:pPr>
              <w:pStyle w:val="afff1"/>
            </w:pPr>
            <w:r>
              <w:t>2.211</w:t>
            </w:r>
          </w:p>
        </w:tc>
        <w:tc>
          <w:tcPr>
            <w:tcW w:w="851" w:type="dxa"/>
            <w:vAlign w:val="center"/>
          </w:tcPr>
          <w:p w:rsidR="00BD5820" w:rsidRDefault="00F64314">
            <w:pPr>
              <w:pStyle w:val="afff1"/>
            </w:pPr>
            <w:r>
              <w:t>2.514</w:t>
            </w:r>
          </w:p>
        </w:tc>
        <w:tc>
          <w:tcPr>
            <w:tcW w:w="992" w:type="dxa"/>
            <w:vAlign w:val="center"/>
          </w:tcPr>
          <w:p w:rsidR="00BD5820" w:rsidRDefault="00F64314">
            <w:pPr>
              <w:pStyle w:val="afff1"/>
            </w:pPr>
            <w:r>
              <w:t>3.016</w:t>
            </w:r>
          </w:p>
        </w:tc>
        <w:tc>
          <w:tcPr>
            <w:tcW w:w="850" w:type="dxa"/>
            <w:vAlign w:val="center"/>
          </w:tcPr>
          <w:p w:rsidR="00BD5820" w:rsidRDefault="00F64314">
            <w:pPr>
              <w:pStyle w:val="afff1"/>
            </w:pPr>
            <w:r>
              <w:t>3.458</w:t>
            </w:r>
          </w:p>
        </w:tc>
        <w:tc>
          <w:tcPr>
            <w:tcW w:w="1076" w:type="dxa"/>
            <w:vAlign w:val="center"/>
          </w:tcPr>
          <w:p w:rsidR="00BD5820" w:rsidRDefault="00F64314">
            <w:pPr>
              <w:pStyle w:val="afff1"/>
            </w:pPr>
            <w:r>
              <w:t>3.820</w:t>
            </w:r>
          </w:p>
        </w:tc>
        <w:tc>
          <w:tcPr>
            <w:tcW w:w="926" w:type="dxa"/>
            <w:vAlign w:val="center"/>
          </w:tcPr>
          <w:p w:rsidR="00BD5820" w:rsidRDefault="00F64314">
            <w:pPr>
              <w:pStyle w:val="afff1"/>
            </w:pPr>
            <w:r>
              <w:t>4.222</w:t>
            </w:r>
          </w:p>
        </w:tc>
        <w:tc>
          <w:tcPr>
            <w:tcW w:w="1031" w:type="dxa"/>
            <w:vAlign w:val="center"/>
          </w:tcPr>
          <w:p w:rsidR="00BD5820" w:rsidRDefault="00F64314">
            <w:pPr>
              <w:pStyle w:val="afff1"/>
            </w:pPr>
            <w:r>
              <w:t>4.624</w:t>
            </w:r>
          </w:p>
        </w:tc>
      </w:tr>
    </w:tbl>
    <w:p w:rsidR="00BD5820" w:rsidRDefault="00F64314">
      <w:pPr>
        <w:pStyle w:val="W"/>
        <w:spacing w:line="360" w:lineRule="auto"/>
        <w:ind w:firstLine="480"/>
        <w:rPr>
          <w:rFonts w:ascii="Times New Roman" w:hAnsi="Times New Roman"/>
        </w:rPr>
      </w:pPr>
      <w:r>
        <w:rPr>
          <w:rFonts w:ascii="Times New Roman" w:hAnsi="Times New Roman"/>
        </w:rPr>
        <w:t>由此表可知，粉尘的沉降速度随粒径的增大而迅速增大。当粒径为</w:t>
      </w:r>
      <w:r>
        <w:rPr>
          <w:rFonts w:ascii="Times New Roman" w:hAnsi="Times New Roman"/>
        </w:rPr>
        <w:t>250μm</w:t>
      </w:r>
      <w:r>
        <w:rPr>
          <w:rFonts w:ascii="Times New Roman" w:hAnsi="Times New Roman"/>
        </w:rPr>
        <w:t>时，沉降速度</w:t>
      </w:r>
      <w:r>
        <w:rPr>
          <w:rFonts w:ascii="Times New Roman" w:hAnsi="Times New Roman"/>
        </w:rPr>
        <w:t>1.005m/s</w:t>
      </w:r>
      <w:r>
        <w:rPr>
          <w:rFonts w:ascii="Times New Roman" w:hAnsi="Times New Roman"/>
        </w:rPr>
        <w:t>，因此可认为当尘粒大于</w:t>
      </w:r>
      <w:r>
        <w:rPr>
          <w:rFonts w:ascii="Times New Roman" w:hAnsi="Times New Roman"/>
        </w:rPr>
        <w:t>250μm</w:t>
      </w:r>
      <w:r>
        <w:rPr>
          <w:rFonts w:ascii="Times New Roman" w:hAnsi="Times New Roman"/>
        </w:rPr>
        <w:t>时，主要影响范围在扬尘点下风向近距离范围内，而真正对外环境产生影响的是一些微小粒径的粉尘。根据现场的气候情况不同，其影响也有所不同。</w:t>
      </w:r>
    </w:p>
    <w:p w:rsidR="00BD5820" w:rsidRDefault="00F64314">
      <w:pPr>
        <w:pStyle w:val="W"/>
        <w:spacing w:line="360" w:lineRule="auto"/>
        <w:ind w:firstLine="482"/>
        <w:rPr>
          <w:rFonts w:ascii="Times New Roman" w:hAnsi="Times New Roman"/>
          <w:b/>
          <w:bCs/>
        </w:rPr>
      </w:pPr>
      <w:r>
        <w:rPr>
          <w:rFonts w:ascii="Times New Roman" w:hAnsi="Times New Roman"/>
          <w:b/>
          <w:bCs/>
        </w:rPr>
        <w:t>（</w:t>
      </w:r>
      <w:r>
        <w:rPr>
          <w:rFonts w:ascii="Times New Roman" w:hAnsi="Times New Roman"/>
          <w:b/>
          <w:bCs/>
        </w:rPr>
        <w:t>3</w:t>
      </w:r>
      <w:r>
        <w:rPr>
          <w:rFonts w:ascii="Times New Roman" w:hAnsi="Times New Roman"/>
          <w:b/>
          <w:bCs/>
        </w:rPr>
        <w:t>）运输扬尘</w:t>
      </w:r>
    </w:p>
    <w:p w:rsidR="00BD5820" w:rsidRDefault="00F64314">
      <w:pPr>
        <w:pStyle w:val="W"/>
        <w:spacing w:line="360" w:lineRule="auto"/>
        <w:ind w:firstLine="480"/>
        <w:rPr>
          <w:rFonts w:ascii="Times New Roman" w:hAnsi="Times New Roman"/>
        </w:rPr>
      </w:pPr>
      <w:r>
        <w:rPr>
          <w:rFonts w:ascii="Times New Roman" w:hAnsi="Times New Roman"/>
        </w:rPr>
        <w:t>在对大气环境的影响中，运输车辆引起的扬尘影响最大、时间较长，其影响程度因施工场地内路面破坏、泥土裸露而加重，一般扬尘量与汽车速度、汽车重量、道路表面积尘量成比例关系，据有关方面的研究，当汽车运送土方时，行车道路两侧的扬尘短期浓度可达</w:t>
      </w:r>
      <w:r>
        <w:rPr>
          <w:rFonts w:ascii="Times New Roman" w:hAnsi="Times New Roman"/>
        </w:rPr>
        <w:t>8~10mg/m</w:t>
      </w:r>
      <w:r>
        <w:rPr>
          <w:rFonts w:ascii="Times New Roman" w:hAnsi="Times New Roman"/>
          <w:vertAlign w:val="superscript"/>
        </w:rPr>
        <w:t>3</w:t>
      </w:r>
      <w:r>
        <w:rPr>
          <w:rFonts w:ascii="Times New Roman" w:hAnsi="Times New Roman"/>
        </w:rPr>
        <w:t>。但是，道路扬尘浓度随距离增加迅速下降，扬尘下风向</w:t>
      </w:r>
      <w:r>
        <w:rPr>
          <w:rFonts w:ascii="Times New Roman" w:hAnsi="Times New Roman"/>
        </w:rPr>
        <w:t>200</w:t>
      </w:r>
      <w:r>
        <w:rPr>
          <w:rFonts w:ascii="Times New Roman" w:hAnsi="Times New Roman"/>
        </w:rPr>
        <w:t>米处的浓度几乎接近上风向对照点的浓度。据对同类工程的比较分析，车辆运输产生的二次扬尘对项目周边运输路线二侧居民会造成一定影响。</w:t>
      </w:r>
    </w:p>
    <w:p w:rsidR="00BD5820" w:rsidRDefault="00F64314">
      <w:pPr>
        <w:pStyle w:val="W"/>
        <w:spacing w:line="360" w:lineRule="auto"/>
        <w:ind w:firstLine="482"/>
        <w:rPr>
          <w:rFonts w:ascii="Times New Roman" w:hAnsi="Times New Roman"/>
          <w:b/>
          <w:bCs/>
        </w:rPr>
      </w:pPr>
      <w:r>
        <w:rPr>
          <w:rFonts w:ascii="Times New Roman" w:hAnsi="Times New Roman"/>
          <w:b/>
          <w:bCs/>
        </w:rPr>
        <w:t>（</w:t>
      </w:r>
      <w:r>
        <w:rPr>
          <w:rFonts w:ascii="Times New Roman" w:hAnsi="Times New Roman"/>
          <w:b/>
          <w:bCs/>
        </w:rPr>
        <w:t>4</w:t>
      </w:r>
      <w:r>
        <w:rPr>
          <w:rFonts w:ascii="Times New Roman" w:hAnsi="Times New Roman"/>
          <w:b/>
          <w:bCs/>
        </w:rPr>
        <w:t>）运输车辆和施工机械运行过程中排放的尾气</w:t>
      </w:r>
    </w:p>
    <w:p w:rsidR="00BD5820" w:rsidRDefault="00F64314">
      <w:pPr>
        <w:pStyle w:val="W"/>
        <w:spacing w:line="360" w:lineRule="auto"/>
        <w:ind w:firstLine="480"/>
        <w:rPr>
          <w:rFonts w:ascii="Times New Roman" w:hAnsi="Times New Roman"/>
        </w:rPr>
      </w:pPr>
      <w:r>
        <w:rPr>
          <w:rFonts w:ascii="Times New Roman" w:hAnsi="Times New Roman"/>
        </w:rPr>
        <w:t>其主要污染物是未完全燃烧的</w:t>
      </w:r>
      <w:r>
        <w:rPr>
          <w:rFonts w:ascii="Times New Roman" w:hAnsi="Times New Roman"/>
        </w:rPr>
        <w:t>CmHn</w:t>
      </w:r>
      <w:r>
        <w:rPr>
          <w:rFonts w:ascii="Times New Roman" w:hAnsi="Times New Roman"/>
        </w:rPr>
        <w:t>和</w:t>
      </w:r>
      <w:r>
        <w:rPr>
          <w:rFonts w:ascii="Times New Roman" w:hAnsi="Times New Roman"/>
        </w:rPr>
        <w:t>CO</w:t>
      </w:r>
      <w:r>
        <w:rPr>
          <w:rFonts w:ascii="Times New Roman" w:hAnsi="Times New Roman"/>
        </w:rPr>
        <w:t>、</w:t>
      </w:r>
      <w:r>
        <w:rPr>
          <w:rFonts w:ascii="Times New Roman" w:hAnsi="Times New Roman"/>
        </w:rPr>
        <w:t>NOx</w:t>
      </w:r>
      <w:r>
        <w:rPr>
          <w:rFonts w:ascii="Times New Roman" w:hAnsi="Times New Roman"/>
        </w:rPr>
        <w:t>等，其特点是产生量较小，属间歇式、分散式排放。本项目工程量小，施工机械、车辆少，施工车辆尾气很少，本次评价不定量分析。</w:t>
      </w:r>
    </w:p>
    <w:p w:rsidR="00BD5820" w:rsidRDefault="00F64314">
      <w:pPr>
        <w:ind w:firstLine="482"/>
        <w:rPr>
          <w:rFonts w:ascii="Times New Roman" w:cs="Times New Roman"/>
          <w:b/>
          <w:bCs/>
        </w:rPr>
      </w:pPr>
      <w:bookmarkStart w:id="257" w:name="OLE_LINK186"/>
      <w:bookmarkStart w:id="258" w:name="OLE_LINK185"/>
      <w:r>
        <w:rPr>
          <w:rFonts w:ascii="Times New Roman" w:cs="Times New Roman"/>
          <w:b/>
          <w:bCs/>
        </w:rPr>
        <w:t>（</w:t>
      </w:r>
      <w:r>
        <w:rPr>
          <w:rFonts w:ascii="Times New Roman" w:cs="Times New Roman"/>
          <w:b/>
          <w:bCs/>
        </w:rPr>
        <w:t>5</w:t>
      </w:r>
      <w:r>
        <w:rPr>
          <w:rFonts w:ascii="Times New Roman" w:cs="Times New Roman"/>
          <w:b/>
          <w:bCs/>
        </w:rPr>
        <w:t>）焊接烟尘</w:t>
      </w:r>
    </w:p>
    <w:bookmarkEnd w:id="257"/>
    <w:bookmarkEnd w:id="258"/>
    <w:p w:rsidR="00BD5820" w:rsidRDefault="00F64314">
      <w:pPr>
        <w:ind w:firstLine="480"/>
        <w:rPr>
          <w:rFonts w:ascii="Times New Roman" w:cs="Times New Roman"/>
        </w:rPr>
      </w:pPr>
      <w:r>
        <w:rPr>
          <w:rFonts w:ascii="Times New Roman" w:cs="Times New Roman" w:hint="eastAsia"/>
        </w:rPr>
        <w:t>本项目</w:t>
      </w:r>
      <w:r>
        <w:rPr>
          <w:rFonts w:ascii="Times New Roman" w:cs="Times New Roman"/>
        </w:rPr>
        <w:t>管道采用</w:t>
      </w:r>
      <w:r>
        <w:rPr>
          <w:rFonts w:ascii="Times New Roman" w:cs="Times New Roman"/>
          <w:bCs/>
        </w:rPr>
        <w:t>氩弧焊打底，手工电弧焊接盖面。</w:t>
      </w:r>
      <w:r>
        <w:rPr>
          <w:rFonts w:ascii="Times New Roman" w:cs="Times New Roman"/>
        </w:rPr>
        <w:t>每公里消耗约</w:t>
      </w:r>
      <w:r>
        <w:rPr>
          <w:rFonts w:ascii="Times New Roman" w:cs="Times New Roman"/>
        </w:rPr>
        <w:t>400kg</w:t>
      </w:r>
      <w:r>
        <w:rPr>
          <w:rFonts w:ascii="Times New Roman" w:cs="Times New Roman"/>
        </w:rPr>
        <w:t>的焊条，根据类比资料分析，每公斤焊条产生的焊烟约</w:t>
      </w:r>
      <w:r>
        <w:rPr>
          <w:rFonts w:ascii="Times New Roman" w:cs="Times New Roman"/>
        </w:rPr>
        <w:t>30g</w:t>
      </w:r>
      <w:r>
        <w:rPr>
          <w:rFonts w:ascii="Times New Roman" w:cs="Times New Roman"/>
        </w:rPr>
        <w:t>，则焊接烟尘产生量约为</w:t>
      </w:r>
      <w:r>
        <w:rPr>
          <w:rFonts w:ascii="Times New Roman" w:cs="Times New Roman"/>
        </w:rPr>
        <w:t>12kg/km</w:t>
      </w:r>
      <w:r>
        <w:rPr>
          <w:rFonts w:ascii="Times New Roman" w:cs="Times New Roman"/>
        </w:rPr>
        <w:t>，</w:t>
      </w:r>
      <w:r>
        <w:rPr>
          <w:rFonts w:ascii="Times New Roman" w:cs="Times New Roman" w:hint="eastAsia"/>
        </w:rPr>
        <w:t>本项目</w:t>
      </w:r>
      <w:r>
        <w:rPr>
          <w:rFonts w:ascii="Times New Roman" w:cs="Times New Roman"/>
        </w:rPr>
        <w:t>管道长度为</w:t>
      </w:r>
      <w:r>
        <w:rPr>
          <w:rFonts w:ascii="Times New Roman" w:cs="Times New Roman" w:hint="eastAsia"/>
        </w:rPr>
        <w:t>4.1</w:t>
      </w:r>
      <w:r>
        <w:rPr>
          <w:rFonts w:ascii="Times New Roman" w:cs="Times New Roman"/>
        </w:rPr>
        <w:t>km</w:t>
      </w:r>
      <w:r>
        <w:rPr>
          <w:rFonts w:ascii="Times New Roman" w:cs="Times New Roman"/>
        </w:rPr>
        <w:t>，则焊接烟尘产生量约为</w:t>
      </w:r>
      <w:r>
        <w:rPr>
          <w:rFonts w:ascii="Times New Roman" w:cs="Times New Roman" w:hint="eastAsia"/>
        </w:rPr>
        <w:t>49.2</w:t>
      </w:r>
      <w:r>
        <w:rPr>
          <w:rFonts w:ascii="Times New Roman" w:cs="Times New Roman"/>
        </w:rPr>
        <w:t>kg</w:t>
      </w:r>
      <w:r>
        <w:rPr>
          <w:rFonts w:ascii="Times New Roman" w:cs="Times New Roman"/>
        </w:rPr>
        <w:t>。由于焊接烟尘的排放具有分散、间断排放和排放量小的特点，故焊接烟尘对周围空气质量影响较小。</w:t>
      </w:r>
    </w:p>
    <w:p w:rsidR="00BD5820" w:rsidRDefault="00F64314">
      <w:pPr>
        <w:pStyle w:val="affa"/>
        <w:ind w:firstLine="482"/>
        <w:rPr>
          <w:b/>
          <w:bCs/>
        </w:rPr>
      </w:pPr>
      <w:bookmarkStart w:id="259" w:name="OLE_LINK189"/>
      <w:r>
        <w:rPr>
          <w:b/>
          <w:bCs/>
        </w:rPr>
        <w:t>（</w:t>
      </w:r>
      <w:r>
        <w:rPr>
          <w:rFonts w:hint="eastAsia"/>
          <w:b/>
          <w:bCs/>
        </w:rPr>
        <w:t>6</w:t>
      </w:r>
      <w:r>
        <w:rPr>
          <w:b/>
          <w:bCs/>
        </w:rPr>
        <w:t>）</w:t>
      </w:r>
      <w:bookmarkEnd w:id="259"/>
      <w:r>
        <w:rPr>
          <w:rFonts w:hint="eastAsia"/>
          <w:b/>
          <w:bCs/>
        </w:rPr>
        <w:t>食堂油烟</w:t>
      </w:r>
    </w:p>
    <w:p w:rsidR="00BD5820" w:rsidRDefault="00F64314">
      <w:pPr>
        <w:ind w:firstLine="480"/>
        <w:rPr>
          <w:rFonts w:ascii="Times New Roman" w:cs="Times New Roman"/>
        </w:rPr>
      </w:pPr>
      <w:r>
        <w:rPr>
          <w:rFonts w:hint="eastAsia"/>
        </w:rPr>
        <w:t>施工期食堂油烟经油烟净化器处理后通过专用管道超屋顶排放。</w:t>
      </w:r>
    </w:p>
    <w:bookmarkEnd w:id="256"/>
    <w:p w:rsidR="00BD5820" w:rsidRDefault="00F64314">
      <w:pPr>
        <w:pStyle w:val="affa"/>
        <w:ind w:firstLine="482"/>
        <w:rPr>
          <w:b/>
          <w:bCs/>
        </w:rPr>
      </w:pPr>
      <w:r>
        <w:rPr>
          <w:b/>
          <w:bCs/>
        </w:rPr>
        <w:t>2</w:t>
      </w:r>
      <w:r>
        <w:rPr>
          <w:b/>
          <w:bCs/>
        </w:rPr>
        <w:t>、防治措施</w:t>
      </w:r>
    </w:p>
    <w:p w:rsidR="00BD5820" w:rsidRDefault="00F64314">
      <w:pPr>
        <w:pStyle w:val="affa"/>
        <w:ind w:firstLine="480"/>
      </w:pPr>
      <w:r>
        <w:t>本项目在施工建设中应严格按照《四川省〈中华人民共和国大气污染防治法〉实施办法》等相关扬尘防治管理规定进行施工建设，最大程度减少大气污染物产</w:t>
      </w:r>
      <w:r>
        <w:lastRenderedPageBreak/>
        <w:t>生的环境污染。针对本项目特点和区域特征，本项目施工期的具体大气污染物治理措施如下：</w:t>
      </w:r>
    </w:p>
    <w:p w:rsidR="00BD5820" w:rsidRDefault="00F64314">
      <w:pPr>
        <w:pStyle w:val="affa"/>
        <w:ind w:firstLine="480"/>
      </w:pPr>
      <w:r>
        <w:rPr>
          <w:rFonts w:ascii="宋体" w:hAnsi="宋体" w:cs="宋体" w:hint="eastAsia"/>
        </w:rPr>
        <w:t>①</w:t>
      </w:r>
      <w:r>
        <w:t>施工期间，大风天禁止施工作业；</w:t>
      </w:r>
    </w:p>
    <w:p w:rsidR="00BD5820" w:rsidRDefault="00F64314">
      <w:pPr>
        <w:pStyle w:val="affa"/>
        <w:ind w:firstLine="480"/>
      </w:pPr>
      <w:r>
        <w:rPr>
          <w:rFonts w:ascii="宋体" w:hAnsi="宋体" w:cs="宋体" w:hint="eastAsia"/>
        </w:rPr>
        <w:t>②</w:t>
      </w:r>
      <w:r>
        <w:t>散体材料装卸必须采取防风遮挡等降尘措施；</w:t>
      </w:r>
    </w:p>
    <w:p w:rsidR="00BD5820" w:rsidRDefault="00F64314">
      <w:pPr>
        <w:pStyle w:val="affa"/>
        <w:ind w:firstLine="480"/>
      </w:pPr>
      <w:r>
        <w:rPr>
          <w:rFonts w:ascii="宋体" w:hAnsi="宋体" w:cs="宋体" w:hint="eastAsia"/>
        </w:rPr>
        <w:t>③</w:t>
      </w:r>
      <w:r>
        <w:t>定期对作业面和土堆洒水，使其保持一定湿度，降低施工期的粉尘散发量；</w:t>
      </w:r>
    </w:p>
    <w:p w:rsidR="00BD5820" w:rsidRDefault="00F64314">
      <w:pPr>
        <w:pStyle w:val="affa"/>
        <w:ind w:firstLine="480"/>
      </w:pPr>
      <w:r>
        <w:rPr>
          <w:rFonts w:ascii="宋体" w:hAnsi="宋体" w:cs="宋体" w:hint="eastAsia"/>
        </w:rPr>
        <w:t>④</w:t>
      </w:r>
      <w:r>
        <w:t>对施工临时堆放的土方，应采取防护措施，如加盖防尘网、喷淋保湿等，防止扬尘污染；</w:t>
      </w:r>
    </w:p>
    <w:p w:rsidR="00BD5820" w:rsidRDefault="00F64314">
      <w:pPr>
        <w:pStyle w:val="affa"/>
        <w:ind w:firstLine="480"/>
      </w:pPr>
      <w:r>
        <w:rPr>
          <w:rFonts w:ascii="宋体" w:hAnsi="宋体" w:cs="宋体" w:hint="eastAsia"/>
        </w:rPr>
        <w:t>⑤</w:t>
      </w:r>
      <w:r>
        <w:t>对施工便道进行定期养护、清扫，确保路况良好，保持运输车辆完好，不超高超载，采取遮盖、密闭措施，减少沿程抛洒，及时清扫散落在路面上的泥土和建筑材料，冲洗轮胎，定时洒水压尘，减少运输过程中的扬尘；</w:t>
      </w:r>
    </w:p>
    <w:p w:rsidR="00BD5820" w:rsidRDefault="00F64314">
      <w:pPr>
        <w:pStyle w:val="affa"/>
        <w:ind w:firstLine="480"/>
      </w:pPr>
      <w:r>
        <w:rPr>
          <w:rFonts w:ascii="宋体" w:hAnsi="宋体" w:cs="宋体" w:hint="eastAsia"/>
        </w:rPr>
        <w:t>⑥</w:t>
      </w:r>
      <w:r>
        <w:t>施工场地进行打围和封闭</w:t>
      </w:r>
      <w:r>
        <w:rPr>
          <w:rFonts w:hint="eastAsia"/>
        </w:rPr>
        <w:t>，</w:t>
      </w:r>
      <w:r>
        <w:t>采取边坡防护等措施</w:t>
      </w:r>
      <w:r>
        <w:rPr>
          <w:rFonts w:hint="eastAsia"/>
        </w:rPr>
        <w:t>。</w:t>
      </w:r>
    </w:p>
    <w:p w:rsidR="00BD5820" w:rsidRDefault="00F64314">
      <w:pPr>
        <w:pStyle w:val="affa"/>
        <w:ind w:firstLine="480"/>
      </w:pPr>
      <w:r>
        <w:rPr>
          <w:rFonts w:ascii="宋体" w:hAnsi="宋体" w:cs="宋体" w:hint="eastAsia"/>
        </w:rPr>
        <w:t>⑦</w:t>
      </w:r>
      <w:r>
        <w:t>施工单位应严格落实本环评提出各项降尘措施。</w:t>
      </w:r>
    </w:p>
    <w:p w:rsidR="00BD5820" w:rsidRDefault="00EA3750">
      <w:pPr>
        <w:pStyle w:val="affa"/>
        <w:ind w:firstLine="480"/>
      </w:pPr>
      <w:r>
        <w:fldChar w:fldCharType="begin"/>
      </w:r>
      <w:r w:rsidR="00F64314">
        <w:instrText xml:space="preserve"> = 8 \* GB3 \* MERGEFORMAT </w:instrText>
      </w:r>
      <w:r>
        <w:fldChar w:fldCharType="separate"/>
      </w:r>
      <w:r w:rsidR="00F64314">
        <w:t>⑧</w:t>
      </w:r>
      <w:r>
        <w:fldChar w:fldCharType="end"/>
      </w:r>
      <w:r w:rsidR="00F64314">
        <w:rPr>
          <w:rFonts w:hint="eastAsia"/>
        </w:rPr>
        <w:t>施工期食堂油烟经油烟净化器处理后通过专用管道超屋顶排放。</w:t>
      </w:r>
    </w:p>
    <w:p w:rsidR="00BD5820" w:rsidRDefault="00F64314">
      <w:pPr>
        <w:pStyle w:val="affa"/>
        <w:ind w:firstLine="480"/>
      </w:pPr>
      <w:r>
        <w:t>通过采取以上措施后，可有效减少施工扬尘、燃油尾气</w:t>
      </w:r>
      <w:r>
        <w:rPr>
          <w:rFonts w:hint="eastAsia"/>
        </w:rPr>
        <w:t>、</w:t>
      </w:r>
      <w:r>
        <w:t>焊接烟气</w:t>
      </w:r>
      <w:r>
        <w:rPr>
          <w:rFonts w:hint="eastAsia"/>
        </w:rPr>
        <w:t>、食堂油烟</w:t>
      </w:r>
      <w:r>
        <w:t>对周围环境的影响。</w:t>
      </w:r>
    </w:p>
    <w:p w:rsidR="00BD5820" w:rsidRDefault="00F64314">
      <w:pPr>
        <w:pStyle w:val="3"/>
        <w:rPr>
          <w:rFonts w:eastAsia="宋体"/>
        </w:rPr>
      </w:pPr>
      <w:bookmarkStart w:id="260" w:name="_Toc12288512"/>
      <w:r>
        <w:rPr>
          <w:rFonts w:eastAsia="宋体"/>
        </w:rPr>
        <w:t xml:space="preserve">4.1.5 </w:t>
      </w:r>
      <w:r>
        <w:rPr>
          <w:rFonts w:eastAsia="宋体"/>
        </w:rPr>
        <w:t>废水</w:t>
      </w:r>
      <w:bookmarkEnd w:id="260"/>
      <w:r>
        <w:rPr>
          <w:rFonts w:eastAsia="宋体"/>
        </w:rPr>
        <w:t>产生情况及治理措施</w:t>
      </w:r>
    </w:p>
    <w:p w:rsidR="00BD5820" w:rsidRDefault="00F64314">
      <w:pPr>
        <w:pStyle w:val="affa"/>
        <w:ind w:firstLine="480"/>
      </w:pPr>
      <w:bookmarkStart w:id="261" w:name="OLE_LINK197"/>
      <w:bookmarkStart w:id="262" w:name="OLE_LINK196"/>
      <w:r>
        <w:t>管道</w:t>
      </w:r>
      <w:bookmarkEnd w:id="261"/>
      <w:bookmarkEnd w:id="262"/>
      <w:r>
        <w:t>施工</w:t>
      </w:r>
      <w:bookmarkStart w:id="263" w:name="OLE_LINK195"/>
      <w:bookmarkStart w:id="264" w:name="OLE_LINK194"/>
      <w:r>
        <w:rPr>
          <w:rFonts w:hint="eastAsia"/>
        </w:rPr>
        <w:t>、</w:t>
      </w:r>
      <w:bookmarkStart w:id="265" w:name="OLE_LINK198"/>
      <w:bookmarkStart w:id="266" w:name="OLE_LINK199"/>
      <w:bookmarkEnd w:id="263"/>
      <w:bookmarkEnd w:id="264"/>
      <w:r>
        <w:rPr>
          <w:rFonts w:hint="eastAsia"/>
        </w:rPr>
        <w:t>站场施工</w:t>
      </w:r>
      <w:bookmarkEnd w:id="265"/>
      <w:bookmarkEnd w:id="266"/>
      <w:r>
        <w:t>废水主要来自施工人员在施工作业中产生的生活污水</w:t>
      </w:r>
      <w:r>
        <w:rPr>
          <w:rFonts w:hint="eastAsia"/>
        </w:rPr>
        <w:t>、施工机械、车辆清洗废水</w:t>
      </w:r>
      <w:r>
        <w:t>、管道安装完后清管试压排放的废水。</w:t>
      </w:r>
    </w:p>
    <w:p w:rsidR="00BD5820" w:rsidRDefault="00F64314">
      <w:pPr>
        <w:pStyle w:val="affa"/>
        <w:ind w:firstLine="482"/>
        <w:rPr>
          <w:b/>
          <w:bCs/>
        </w:rPr>
      </w:pPr>
      <w:r>
        <w:rPr>
          <w:b/>
          <w:bCs/>
        </w:rPr>
        <w:t>1</w:t>
      </w:r>
      <w:r>
        <w:rPr>
          <w:b/>
          <w:bCs/>
        </w:rPr>
        <w:t>、人员生活污水</w:t>
      </w:r>
    </w:p>
    <w:p w:rsidR="00BD5820" w:rsidRDefault="00F64314">
      <w:pPr>
        <w:pStyle w:val="affa"/>
        <w:ind w:firstLine="480"/>
      </w:pPr>
      <w:r w:rsidRPr="006453D0">
        <w:rPr>
          <w:rFonts w:hint="eastAsia"/>
          <w:color w:val="FF0000"/>
        </w:rPr>
        <w:t>站场、管道施工</w:t>
      </w:r>
      <w:r w:rsidRPr="006453D0">
        <w:rPr>
          <w:color w:val="FF0000"/>
        </w:rPr>
        <w:t>时</w:t>
      </w:r>
      <w:r>
        <w:t>，施工人员生活污水的主要污染物主要为</w:t>
      </w:r>
      <w:r>
        <w:t>pH</w:t>
      </w:r>
      <w:r>
        <w:t>、</w:t>
      </w:r>
      <w:r>
        <w:t>SS</w:t>
      </w:r>
      <w:r>
        <w:t>、</w:t>
      </w:r>
      <w:r>
        <w:t>COD</w:t>
      </w:r>
      <w:r>
        <w:t>和</w:t>
      </w:r>
      <w:r>
        <w:t>BOD</w:t>
      </w:r>
      <w:r>
        <w:rPr>
          <w:vertAlign w:val="subscript"/>
        </w:rPr>
        <w:t>5</w:t>
      </w:r>
      <w:r>
        <w:t>等，施工期生活污水量按以下公式计算：</w:t>
      </w:r>
    </w:p>
    <w:p w:rsidR="00BD5820" w:rsidRDefault="00F64314">
      <w:pPr>
        <w:pStyle w:val="affa"/>
        <w:ind w:firstLineChars="0" w:firstLine="0"/>
        <w:jc w:val="center"/>
      </w:pPr>
      <w:r>
        <w:t>Qs=</w:t>
      </w:r>
      <w:r>
        <w:t>（</w:t>
      </w:r>
      <w:r>
        <w:t>k•q1</w:t>
      </w:r>
      <w:r>
        <w:t>）</w:t>
      </w:r>
      <w:r>
        <w:t>/1000</w:t>
      </w:r>
    </w:p>
    <w:p w:rsidR="00BD5820" w:rsidRDefault="00F64314">
      <w:pPr>
        <w:pStyle w:val="affa"/>
        <w:ind w:firstLine="480"/>
      </w:pPr>
      <w:r>
        <w:t>式中：</w:t>
      </w:r>
    </w:p>
    <w:p w:rsidR="00BD5820" w:rsidRDefault="00F64314">
      <w:pPr>
        <w:pStyle w:val="affa"/>
        <w:ind w:firstLine="480"/>
      </w:pPr>
      <w:r>
        <w:t>Qs—</w:t>
      </w:r>
      <w:r>
        <w:t>每人每天生活污水排放量（</w:t>
      </w:r>
      <w:r>
        <w:t>t/</w:t>
      </w:r>
      <w:r>
        <w:t>人</w:t>
      </w:r>
      <w:r>
        <w:t>·d</w:t>
      </w:r>
      <w:r>
        <w:t>）；</w:t>
      </w:r>
    </w:p>
    <w:p w:rsidR="00BD5820" w:rsidRDefault="00F64314">
      <w:pPr>
        <w:pStyle w:val="affa"/>
        <w:ind w:firstLine="480"/>
      </w:pPr>
      <w:r>
        <w:t>k—</w:t>
      </w:r>
      <w:r>
        <w:t>生活污水排放系数，一般为</w:t>
      </w:r>
      <w:r>
        <w:t>0.6</w:t>
      </w:r>
      <w:r>
        <w:t>～</w:t>
      </w:r>
      <w:r>
        <w:t>0.9</w:t>
      </w:r>
      <w:r>
        <w:t>，取</w:t>
      </w:r>
      <w:r>
        <w:t>k=0.9</w:t>
      </w:r>
      <w:r>
        <w:t>；</w:t>
      </w:r>
    </w:p>
    <w:p w:rsidR="00BD5820" w:rsidRDefault="00F64314">
      <w:pPr>
        <w:pStyle w:val="affa"/>
        <w:ind w:firstLine="480"/>
      </w:pPr>
      <w:r>
        <w:t>q1—</w:t>
      </w:r>
      <w:r>
        <w:t>每人每天生活用水量定额，</w:t>
      </w:r>
      <w:r>
        <w:t>L/</w:t>
      </w:r>
      <w:r>
        <w:t>（人</w:t>
      </w:r>
      <w:r>
        <w:t>·d</w:t>
      </w:r>
      <w:r>
        <w:t>），取</w:t>
      </w:r>
      <w:r>
        <w:t>q1=80L/</w:t>
      </w:r>
      <w:r>
        <w:t>（人</w:t>
      </w:r>
      <w:r>
        <w:t>·d</w:t>
      </w:r>
      <w:r>
        <w:t>）。</w:t>
      </w:r>
    </w:p>
    <w:p w:rsidR="00BD5820" w:rsidRDefault="00F64314">
      <w:pPr>
        <w:pStyle w:val="affa"/>
        <w:ind w:firstLine="480"/>
      </w:pPr>
      <w:r>
        <w:t>项目施工人员主要为当地劳动力，</w:t>
      </w:r>
      <w:r>
        <w:rPr>
          <w:rFonts w:hint="eastAsia"/>
        </w:rPr>
        <w:t>站场、管道</w:t>
      </w:r>
      <w:r>
        <w:t>施工人员数量</w:t>
      </w:r>
      <w:bookmarkStart w:id="267" w:name="OLE_LINK200"/>
      <w:r>
        <w:t>按</w:t>
      </w:r>
      <w:r>
        <w:t>20</w:t>
      </w:r>
      <w:r>
        <w:t>人</w:t>
      </w:r>
      <w:bookmarkEnd w:id="267"/>
      <w:r>
        <w:t>计，</w:t>
      </w:r>
      <w:bookmarkStart w:id="268" w:name="OLE_LINK203"/>
      <w:bookmarkStart w:id="269" w:name="OLE_LINK202"/>
      <w:r>
        <w:t>则</w:t>
      </w:r>
      <w:bookmarkStart w:id="270" w:name="OLE_LINK201"/>
      <w:r>
        <w:rPr>
          <w:rFonts w:hint="eastAsia"/>
        </w:rPr>
        <w:t>管道</w:t>
      </w:r>
      <w:bookmarkEnd w:id="270"/>
      <w:r>
        <w:rPr>
          <w:rFonts w:hint="eastAsia"/>
        </w:rPr>
        <w:t>施工</w:t>
      </w:r>
      <w:r>
        <w:t>生活污水产生量约</w:t>
      </w:r>
      <w:r>
        <w:t>20×80L/</w:t>
      </w:r>
      <w:r>
        <w:t>（人</w:t>
      </w:r>
      <w:r>
        <w:t>·d</w:t>
      </w:r>
      <w:r>
        <w:t>）</w:t>
      </w:r>
      <w:r>
        <w:t>=1.6m</w:t>
      </w:r>
      <w:r>
        <w:rPr>
          <w:vertAlign w:val="superscript"/>
        </w:rPr>
        <w:t>3</w:t>
      </w:r>
      <w:r>
        <w:t>/d</w:t>
      </w:r>
      <w:r>
        <w:t>，</w:t>
      </w:r>
      <w:r>
        <w:rPr>
          <w:rFonts w:hint="eastAsia"/>
        </w:rPr>
        <w:t>站场、管道</w:t>
      </w:r>
      <w:r>
        <w:rPr>
          <w:szCs w:val="24"/>
        </w:rPr>
        <w:t>施工期废水产生量约为</w:t>
      </w:r>
      <w:r>
        <w:rPr>
          <w:rFonts w:hint="eastAsia"/>
          <w:szCs w:val="24"/>
        </w:rPr>
        <w:t>288</w:t>
      </w:r>
      <w:r>
        <w:rPr>
          <w:szCs w:val="24"/>
        </w:rPr>
        <w:t>m</w:t>
      </w:r>
      <w:r>
        <w:rPr>
          <w:szCs w:val="24"/>
          <w:vertAlign w:val="superscript"/>
        </w:rPr>
        <w:t>3</w:t>
      </w:r>
      <w:bookmarkEnd w:id="268"/>
      <w:bookmarkEnd w:id="269"/>
      <w:r>
        <w:rPr>
          <w:rFonts w:hint="eastAsia"/>
        </w:rPr>
        <w:t>。</w:t>
      </w:r>
    </w:p>
    <w:p w:rsidR="00BD5820" w:rsidRDefault="00F64314">
      <w:pPr>
        <w:pStyle w:val="affa"/>
        <w:ind w:firstLine="480"/>
      </w:pPr>
      <w:r>
        <w:lastRenderedPageBreak/>
        <w:t>施工期生活污水的水质指标浓度见下表所示：</w:t>
      </w:r>
    </w:p>
    <w:p w:rsidR="00BD5820" w:rsidRDefault="00F64314">
      <w:pPr>
        <w:pStyle w:val="10"/>
        <w:rPr>
          <w:rFonts w:cs="Times New Roman"/>
        </w:rPr>
      </w:pPr>
      <w:r>
        <w:rPr>
          <w:rFonts w:cs="Times New Roman"/>
        </w:rPr>
        <w:t>表</w:t>
      </w:r>
      <w:r>
        <w:rPr>
          <w:rFonts w:cs="Times New Roman"/>
        </w:rPr>
        <w:t>4.1-</w:t>
      </w:r>
      <w:r>
        <w:rPr>
          <w:rFonts w:cs="Times New Roman" w:hint="eastAsia"/>
        </w:rPr>
        <w:t>7</w:t>
      </w:r>
      <w:r>
        <w:rPr>
          <w:rFonts w:cs="Times New Roman"/>
        </w:rPr>
        <w:t xml:space="preserve">  </w:t>
      </w:r>
      <w:r>
        <w:rPr>
          <w:rFonts w:cs="Times New Roman"/>
        </w:rPr>
        <w:t>施工期生活污水成分及浓度表</w:t>
      </w:r>
      <w:r>
        <w:rPr>
          <w:rFonts w:cs="Times New Roman"/>
        </w:rPr>
        <w:t xml:space="preserve">   </w:t>
      </w:r>
      <w:r>
        <w:rPr>
          <w:rFonts w:cs="Times New Roman"/>
        </w:rPr>
        <w:t>单位：</w:t>
      </w:r>
      <w:r>
        <w:rPr>
          <w:rFonts w:cs="Times New Roman"/>
        </w:rPr>
        <w:t>mg/L</w:t>
      </w:r>
    </w:p>
    <w:tbl>
      <w:tblPr>
        <w:tblW w:w="8388" w:type="dxa"/>
        <w:jc w:val="center"/>
        <w:tblBorders>
          <w:top w:val="single" w:sz="12" w:space="0" w:color="000000"/>
          <w:bottom w:val="single" w:sz="12" w:space="0" w:color="000000"/>
          <w:insideH w:val="single" w:sz="2" w:space="0" w:color="auto"/>
          <w:insideV w:val="single" w:sz="2" w:space="0" w:color="auto"/>
        </w:tblBorders>
        <w:tblLayout w:type="fixed"/>
        <w:tblLook w:val="04A0"/>
      </w:tblPr>
      <w:tblGrid>
        <w:gridCol w:w="1517"/>
        <w:gridCol w:w="1087"/>
        <w:gridCol w:w="1012"/>
        <w:gridCol w:w="1302"/>
        <w:gridCol w:w="1173"/>
        <w:gridCol w:w="963"/>
        <w:gridCol w:w="1334"/>
      </w:tblGrid>
      <w:tr w:rsidR="00BD5820">
        <w:trPr>
          <w:trHeight w:val="390"/>
          <w:jc w:val="center"/>
        </w:trPr>
        <w:tc>
          <w:tcPr>
            <w:tcW w:w="1517" w:type="dxa"/>
            <w:vAlign w:val="center"/>
          </w:tcPr>
          <w:p w:rsidR="00BD5820" w:rsidRDefault="00F64314">
            <w:pPr>
              <w:pStyle w:val="afff1"/>
              <w:rPr>
                <w:b/>
                <w:bCs/>
              </w:rPr>
            </w:pPr>
            <w:r>
              <w:rPr>
                <w:b/>
                <w:bCs/>
              </w:rPr>
              <w:t>污染物</w:t>
            </w:r>
          </w:p>
        </w:tc>
        <w:tc>
          <w:tcPr>
            <w:tcW w:w="1087" w:type="dxa"/>
            <w:vAlign w:val="center"/>
          </w:tcPr>
          <w:p w:rsidR="00BD5820" w:rsidRDefault="00F64314">
            <w:pPr>
              <w:pStyle w:val="afff1"/>
              <w:rPr>
                <w:b/>
                <w:bCs/>
              </w:rPr>
            </w:pPr>
            <w:r>
              <w:rPr>
                <w:b/>
                <w:bCs/>
              </w:rPr>
              <w:t>COD</w:t>
            </w:r>
          </w:p>
        </w:tc>
        <w:tc>
          <w:tcPr>
            <w:tcW w:w="1012" w:type="dxa"/>
            <w:vAlign w:val="center"/>
          </w:tcPr>
          <w:p w:rsidR="00BD5820" w:rsidRDefault="00F64314">
            <w:pPr>
              <w:pStyle w:val="afff1"/>
              <w:rPr>
                <w:b/>
                <w:bCs/>
              </w:rPr>
            </w:pPr>
            <w:r>
              <w:rPr>
                <w:b/>
                <w:bCs/>
              </w:rPr>
              <w:t>BOD</w:t>
            </w:r>
            <w:r>
              <w:rPr>
                <w:b/>
                <w:bCs/>
                <w:vertAlign w:val="subscript"/>
              </w:rPr>
              <w:t>5</w:t>
            </w:r>
          </w:p>
        </w:tc>
        <w:tc>
          <w:tcPr>
            <w:tcW w:w="1302" w:type="dxa"/>
            <w:vAlign w:val="center"/>
          </w:tcPr>
          <w:p w:rsidR="00BD5820" w:rsidRDefault="00F64314">
            <w:pPr>
              <w:pStyle w:val="afff1"/>
              <w:rPr>
                <w:b/>
                <w:bCs/>
              </w:rPr>
            </w:pPr>
            <w:r>
              <w:rPr>
                <w:b/>
                <w:bCs/>
              </w:rPr>
              <w:t>氨氮</w:t>
            </w:r>
          </w:p>
        </w:tc>
        <w:tc>
          <w:tcPr>
            <w:tcW w:w="1173" w:type="dxa"/>
            <w:vAlign w:val="center"/>
          </w:tcPr>
          <w:p w:rsidR="00BD5820" w:rsidRDefault="00F64314">
            <w:pPr>
              <w:pStyle w:val="afff1"/>
              <w:rPr>
                <w:b/>
                <w:bCs/>
              </w:rPr>
            </w:pPr>
            <w:r>
              <w:rPr>
                <w:b/>
                <w:bCs/>
              </w:rPr>
              <w:t>SS</w:t>
            </w:r>
          </w:p>
        </w:tc>
        <w:tc>
          <w:tcPr>
            <w:tcW w:w="963" w:type="dxa"/>
            <w:vAlign w:val="center"/>
          </w:tcPr>
          <w:p w:rsidR="00BD5820" w:rsidRDefault="00F64314">
            <w:pPr>
              <w:pStyle w:val="afff1"/>
              <w:rPr>
                <w:b/>
                <w:bCs/>
              </w:rPr>
            </w:pPr>
            <w:r>
              <w:rPr>
                <w:b/>
                <w:bCs/>
              </w:rPr>
              <w:t>石油类</w:t>
            </w:r>
          </w:p>
        </w:tc>
        <w:tc>
          <w:tcPr>
            <w:tcW w:w="1334" w:type="dxa"/>
            <w:vAlign w:val="center"/>
          </w:tcPr>
          <w:p w:rsidR="00BD5820" w:rsidRDefault="00F64314">
            <w:pPr>
              <w:pStyle w:val="afff1"/>
              <w:rPr>
                <w:b/>
                <w:bCs/>
              </w:rPr>
            </w:pPr>
            <w:r>
              <w:rPr>
                <w:b/>
                <w:bCs/>
              </w:rPr>
              <w:t>动植物油</w:t>
            </w:r>
          </w:p>
        </w:tc>
      </w:tr>
      <w:tr w:rsidR="00BD5820">
        <w:trPr>
          <w:trHeight w:val="374"/>
          <w:jc w:val="center"/>
        </w:trPr>
        <w:tc>
          <w:tcPr>
            <w:tcW w:w="1517" w:type="dxa"/>
            <w:vAlign w:val="center"/>
          </w:tcPr>
          <w:p w:rsidR="00BD5820" w:rsidRDefault="00F64314">
            <w:pPr>
              <w:pStyle w:val="afff1"/>
            </w:pPr>
            <w:r>
              <w:t>浓度（</w:t>
            </w:r>
            <w:r>
              <w:t>mg/L</w:t>
            </w:r>
            <w:r>
              <w:t>）</w:t>
            </w:r>
          </w:p>
        </w:tc>
        <w:tc>
          <w:tcPr>
            <w:tcW w:w="1087" w:type="dxa"/>
            <w:vAlign w:val="center"/>
          </w:tcPr>
          <w:p w:rsidR="00BD5820" w:rsidRDefault="00F64314">
            <w:pPr>
              <w:pStyle w:val="afff1"/>
            </w:pPr>
            <w:r>
              <w:t>300</w:t>
            </w:r>
          </w:p>
        </w:tc>
        <w:tc>
          <w:tcPr>
            <w:tcW w:w="1012" w:type="dxa"/>
            <w:vAlign w:val="center"/>
          </w:tcPr>
          <w:p w:rsidR="00BD5820" w:rsidRDefault="00F64314">
            <w:pPr>
              <w:pStyle w:val="afff1"/>
            </w:pPr>
            <w:r>
              <w:t>250</w:t>
            </w:r>
          </w:p>
        </w:tc>
        <w:tc>
          <w:tcPr>
            <w:tcW w:w="1302" w:type="dxa"/>
            <w:vAlign w:val="center"/>
          </w:tcPr>
          <w:p w:rsidR="00BD5820" w:rsidRDefault="00F64314">
            <w:pPr>
              <w:pStyle w:val="afff1"/>
            </w:pPr>
            <w:r>
              <w:t>35</w:t>
            </w:r>
          </w:p>
        </w:tc>
        <w:tc>
          <w:tcPr>
            <w:tcW w:w="1173" w:type="dxa"/>
            <w:vAlign w:val="center"/>
          </w:tcPr>
          <w:p w:rsidR="00BD5820" w:rsidRDefault="00F64314">
            <w:pPr>
              <w:pStyle w:val="afff1"/>
            </w:pPr>
            <w:r>
              <w:t>200</w:t>
            </w:r>
          </w:p>
        </w:tc>
        <w:tc>
          <w:tcPr>
            <w:tcW w:w="963" w:type="dxa"/>
            <w:vAlign w:val="center"/>
          </w:tcPr>
          <w:p w:rsidR="00BD5820" w:rsidRDefault="00F64314">
            <w:pPr>
              <w:pStyle w:val="afff1"/>
            </w:pPr>
            <w:r>
              <w:t>5</w:t>
            </w:r>
          </w:p>
        </w:tc>
        <w:tc>
          <w:tcPr>
            <w:tcW w:w="1334" w:type="dxa"/>
            <w:vAlign w:val="center"/>
          </w:tcPr>
          <w:p w:rsidR="00BD5820" w:rsidRDefault="00F64314">
            <w:pPr>
              <w:pStyle w:val="afff1"/>
            </w:pPr>
            <w:r>
              <w:t>30</w:t>
            </w:r>
          </w:p>
        </w:tc>
      </w:tr>
    </w:tbl>
    <w:p w:rsidR="00BD5820" w:rsidRDefault="00F64314">
      <w:pPr>
        <w:pStyle w:val="affa"/>
        <w:ind w:firstLine="480"/>
      </w:pPr>
      <w:r>
        <w:t>项目不设置施工营地，管线施工人员生活污水依托租用附近居民房收集处理</w:t>
      </w:r>
      <w:r>
        <w:rPr>
          <w:rFonts w:hint="eastAsia"/>
        </w:rPr>
        <w:t>；</w:t>
      </w:r>
      <w:r>
        <w:rPr>
          <w:spacing w:val="-8"/>
          <w:szCs w:val="21"/>
        </w:rPr>
        <w:t>施工</w:t>
      </w:r>
      <w:r>
        <w:rPr>
          <w:rFonts w:hint="eastAsia"/>
          <w:spacing w:val="-8"/>
          <w:szCs w:val="21"/>
        </w:rPr>
        <w:t>入厕生活污水依托</w:t>
      </w:r>
      <w:r>
        <w:rPr>
          <w:spacing w:val="-8"/>
          <w:szCs w:val="21"/>
        </w:rPr>
        <w:t>经</w:t>
      </w:r>
      <w:r>
        <w:rPr>
          <w:bCs/>
          <w:spacing w:val="-8"/>
          <w:szCs w:val="21"/>
        </w:rPr>
        <w:t>生态环保厕所收集处理</w:t>
      </w:r>
      <w:r>
        <w:t>后，用作周边农肥，不外排</w:t>
      </w:r>
      <w:r>
        <w:rPr>
          <w:rFonts w:hint="eastAsia"/>
        </w:rPr>
        <w:t>；员工洗澡、食堂废水经单独收集后拉运至普光镇场镇污水处理厂处理</w:t>
      </w:r>
      <w:r>
        <w:t>。</w:t>
      </w:r>
    </w:p>
    <w:p w:rsidR="00BD5820" w:rsidRDefault="00F64314">
      <w:pPr>
        <w:pStyle w:val="a1"/>
        <w:ind w:firstLine="482"/>
        <w:rPr>
          <w:rFonts w:ascii="Times New Roman" w:cs="Times New Roman"/>
          <w:b/>
          <w:bCs/>
        </w:rPr>
      </w:pPr>
      <w:r>
        <w:rPr>
          <w:rFonts w:ascii="Times New Roman" w:cs="Times New Roman"/>
          <w:b/>
          <w:bCs/>
        </w:rPr>
        <w:t>2</w:t>
      </w:r>
      <w:r>
        <w:rPr>
          <w:rFonts w:ascii="Times New Roman" w:cs="Times New Roman"/>
          <w:b/>
          <w:bCs/>
        </w:rPr>
        <w:t>、试压废水</w:t>
      </w:r>
    </w:p>
    <w:p w:rsidR="00BD5820" w:rsidRDefault="00F64314">
      <w:pPr>
        <w:pStyle w:val="affa"/>
        <w:ind w:firstLine="480"/>
      </w:pPr>
      <w:r>
        <w:t>本项目管道试压使用洁净水，且采取分段试压的方式进行，酸气管道试压废水产生量合计约为</w:t>
      </w:r>
      <w:r>
        <w:rPr>
          <w:rFonts w:hint="eastAsia"/>
        </w:rPr>
        <w:t>1</w:t>
      </w:r>
      <w:r>
        <w:t>00m</w:t>
      </w:r>
      <w:r>
        <w:rPr>
          <w:vertAlign w:val="superscript"/>
        </w:rPr>
        <w:t>3</w:t>
      </w:r>
      <w:r>
        <w:t>，水中的主要污染物为管线敷设时掉落的少量泥沙，由于在试压前已经过清管处理，试压废水中所含污染物主要是机械杂质、泥沙等，</w:t>
      </w:r>
      <w:r>
        <w:t>SS</w:t>
      </w:r>
      <w:r>
        <w:t>浓度较低，约为</w:t>
      </w:r>
      <w:r>
        <w:t>60mg/m</w:t>
      </w:r>
      <w:r>
        <w:rPr>
          <w:vertAlign w:val="superscript"/>
        </w:rPr>
        <w:t>3</w:t>
      </w:r>
      <w:r>
        <w:t>。由于污染物相对简单，这部分废水在分段</w:t>
      </w:r>
      <w:r>
        <w:rPr>
          <w:rFonts w:hint="eastAsia"/>
        </w:rPr>
        <w:t>试压</w:t>
      </w:r>
      <w:r>
        <w:t>末端处挖一沉沙池，处置方式一般是在经沉淀池沉淀后</w:t>
      </w:r>
      <w:r>
        <w:rPr>
          <w:rFonts w:hint="eastAsia"/>
        </w:rPr>
        <w:t>回用，不外</w:t>
      </w:r>
      <w:r>
        <w:t>排。</w:t>
      </w:r>
    </w:p>
    <w:p w:rsidR="00BD5820" w:rsidRDefault="00F64314">
      <w:pPr>
        <w:pStyle w:val="affa"/>
        <w:ind w:firstLine="482"/>
        <w:rPr>
          <w:b/>
        </w:rPr>
      </w:pPr>
      <w:r>
        <w:rPr>
          <w:rFonts w:hint="eastAsia"/>
          <w:b/>
        </w:rPr>
        <w:t>3</w:t>
      </w:r>
      <w:r>
        <w:rPr>
          <w:rFonts w:hint="eastAsia"/>
          <w:b/>
        </w:rPr>
        <w:t>、站场施工废水</w:t>
      </w:r>
    </w:p>
    <w:p w:rsidR="00BD5820" w:rsidRDefault="00F64314">
      <w:pPr>
        <w:pStyle w:val="affa"/>
        <w:ind w:firstLine="480"/>
      </w:pPr>
      <w:r>
        <w:rPr>
          <w:rFonts w:hint="eastAsia"/>
        </w:rPr>
        <w:t>站场</w:t>
      </w:r>
      <w:r>
        <w:t>基础建设产生的</w:t>
      </w:r>
      <w:r>
        <w:rPr>
          <w:rFonts w:hint="eastAsia"/>
        </w:rPr>
        <w:t>施工</w:t>
      </w:r>
      <w:r>
        <w:t>废水，主要来自</w:t>
      </w:r>
      <w:r>
        <w:rPr>
          <w:rFonts w:hint="eastAsia"/>
        </w:rPr>
        <w:t>施工机械、车辆清洗、</w:t>
      </w:r>
      <w:r>
        <w:t>砂石骨料加工、混凝土搅拌及养护等过程，废水经沉淀处理后循环使用，不外排。</w:t>
      </w:r>
    </w:p>
    <w:p w:rsidR="00BD5820" w:rsidRDefault="00F64314">
      <w:pPr>
        <w:pStyle w:val="3"/>
        <w:rPr>
          <w:rFonts w:eastAsia="宋体"/>
        </w:rPr>
      </w:pPr>
      <w:bookmarkStart w:id="271" w:name="_Toc12288513"/>
      <w:r>
        <w:rPr>
          <w:rFonts w:eastAsia="宋体"/>
        </w:rPr>
        <w:t xml:space="preserve">4.1.6 </w:t>
      </w:r>
      <w:r>
        <w:rPr>
          <w:rFonts w:eastAsia="宋体"/>
        </w:rPr>
        <w:t>噪声产生情况及治理措施</w:t>
      </w:r>
    </w:p>
    <w:p w:rsidR="00BD5820" w:rsidRDefault="00F64314">
      <w:pPr>
        <w:pStyle w:val="affa"/>
        <w:ind w:firstLine="480"/>
      </w:pPr>
      <w:r>
        <w:t>噪声源主要来</w:t>
      </w:r>
      <w:r>
        <w:rPr>
          <w:rFonts w:hint="eastAsia"/>
        </w:rPr>
        <w:t>站场、管道</w:t>
      </w:r>
      <w:r>
        <w:t>施工作业机械，如挖掘机、电焊机、凿岩机等，其强度在</w:t>
      </w:r>
      <w:r>
        <w:t>85~105dB</w:t>
      </w:r>
      <w:r>
        <w:t>（</w:t>
      </w:r>
      <w:r>
        <w:t>A</w:t>
      </w:r>
      <w:r>
        <w:t>）。</w:t>
      </w:r>
    </w:p>
    <w:p w:rsidR="00BD5820" w:rsidRDefault="00F64314">
      <w:pPr>
        <w:pStyle w:val="10"/>
        <w:rPr>
          <w:rFonts w:cs="Times New Roman"/>
        </w:rPr>
      </w:pPr>
      <w:r>
        <w:rPr>
          <w:rFonts w:cs="Times New Roman"/>
        </w:rPr>
        <w:t>表</w:t>
      </w:r>
      <w:bookmarkStart w:id="272" w:name="OLE_LINK231"/>
      <w:bookmarkStart w:id="273" w:name="OLE_LINK232"/>
      <w:r>
        <w:rPr>
          <w:rFonts w:cs="Times New Roman"/>
        </w:rPr>
        <w:t>4.1-</w:t>
      </w:r>
      <w:bookmarkEnd w:id="272"/>
      <w:bookmarkEnd w:id="273"/>
      <w:r>
        <w:rPr>
          <w:rFonts w:cs="Times New Roman" w:hint="eastAsia"/>
        </w:rPr>
        <w:t>8</w:t>
      </w:r>
      <w:r>
        <w:rPr>
          <w:rFonts w:cs="Times New Roman"/>
        </w:rPr>
        <w:t xml:space="preserve">  </w:t>
      </w:r>
      <w:r>
        <w:rPr>
          <w:rFonts w:cs="Times New Roman" w:hint="eastAsia"/>
        </w:rPr>
        <w:t>站场、</w:t>
      </w:r>
      <w:r>
        <w:rPr>
          <w:rFonts w:cs="Times New Roman"/>
        </w:rPr>
        <w:t>管道工程施工机械噪声强度测试值</w:t>
      </w:r>
    </w:p>
    <w:tbl>
      <w:tblPr>
        <w:tblW w:w="5223" w:type="pct"/>
        <w:jc w:val="center"/>
        <w:tblCellMar>
          <w:left w:w="0" w:type="dxa"/>
          <w:right w:w="0" w:type="dxa"/>
        </w:tblCellMar>
        <w:tblLook w:val="04A0"/>
      </w:tblPr>
      <w:tblGrid>
        <w:gridCol w:w="832"/>
        <w:gridCol w:w="1595"/>
        <w:gridCol w:w="1572"/>
        <w:gridCol w:w="888"/>
        <w:gridCol w:w="1924"/>
        <w:gridCol w:w="1865"/>
      </w:tblGrid>
      <w:tr w:rsidR="00BD5820">
        <w:trPr>
          <w:trHeight w:val="18"/>
          <w:jc w:val="center"/>
        </w:trPr>
        <w:tc>
          <w:tcPr>
            <w:tcW w:w="479" w:type="pct"/>
            <w:tcBorders>
              <w:top w:val="single" w:sz="12" w:space="0" w:color="000000"/>
              <w:left w:val="nil"/>
              <w:bottom w:val="single" w:sz="4" w:space="0" w:color="000000"/>
              <w:right w:val="single" w:sz="4" w:space="0" w:color="000000"/>
            </w:tcBorders>
            <w:vAlign w:val="center"/>
          </w:tcPr>
          <w:p w:rsidR="00BD5820" w:rsidRDefault="00F64314">
            <w:pPr>
              <w:pStyle w:val="afff1"/>
              <w:rPr>
                <w:b/>
                <w:bCs/>
              </w:rPr>
            </w:pPr>
            <w:r>
              <w:rPr>
                <w:b/>
                <w:bCs/>
              </w:rPr>
              <w:t>序号</w:t>
            </w:r>
          </w:p>
        </w:tc>
        <w:tc>
          <w:tcPr>
            <w:tcW w:w="919" w:type="pct"/>
            <w:tcBorders>
              <w:top w:val="single" w:sz="12" w:space="0" w:color="000000"/>
              <w:left w:val="single" w:sz="4" w:space="0" w:color="000000"/>
              <w:bottom w:val="single" w:sz="4" w:space="0" w:color="000000"/>
              <w:right w:val="single" w:sz="4" w:space="0" w:color="000000"/>
            </w:tcBorders>
            <w:vAlign w:val="center"/>
          </w:tcPr>
          <w:p w:rsidR="00BD5820" w:rsidRDefault="00F64314">
            <w:pPr>
              <w:pStyle w:val="afff1"/>
              <w:rPr>
                <w:b/>
                <w:bCs/>
              </w:rPr>
            </w:pPr>
            <w:r>
              <w:rPr>
                <w:b/>
                <w:bCs/>
              </w:rPr>
              <w:t>噪声源</w:t>
            </w:r>
          </w:p>
        </w:tc>
        <w:tc>
          <w:tcPr>
            <w:tcW w:w="906" w:type="pct"/>
            <w:tcBorders>
              <w:top w:val="single" w:sz="12" w:space="0" w:color="000000"/>
              <w:left w:val="single" w:sz="4" w:space="0" w:color="000000"/>
              <w:bottom w:val="single" w:sz="4" w:space="0" w:color="000000"/>
              <w:right w:val="single" w:sz="4" w:space="0" w:color="000000"/>
            </w:tcBorders>
            <w:vAlign w:val="center"/>
          </w:tcPr>
          <w:p w:rsidR="00BD5820" w:rsidRDefault="00F64314">
            <w:pPr>
              <w:pStyle w:val="afff1"/>
              <w:rPr>
                <w:b/>
                <w:bCs/>
              </w:rPr>
            </w:pPr>
            <w:r>
              <w:rPr>
                <w:b/>
                <w:bCs/>
              </w:rPr>
              <w:t>噪声强度</w:t>
            </w:r>
            <w:r>
              <w:rPr>
                <w:b/>
                <w:bCs/>
              </w:rPr>
              <w:t>dB(A)</w:t>
            </w:r>
          </w:p>
        </w:tc>
        <w:tc>
          <w:tcPr>
            <w:tcW w:w="512" w:type="pct"/>
            <w:tcBorders>
              <w:top w:val="single" w:sz="12" w:space="0" w:color="000000"/>
              <w:left w:val="single" w:sz="4" w:space="0" w:color="000000"/>
              <w:bottom w:val="single" w:sz="4" w:space="0" w:color="000000"/>
              <w:right w:val="single" w:sz="4" w:space="0" w:color="000000"/>
            </w:tcBorders>
            <w:vAlign w:val="center"/>
          </w:tcPr>
          <w:p w:rsidR="00BD5820" w:rsidRDefault="00F64314">
            <w:pPr>
              <w:pStyle w:val="afff1"/>
              <w:rPr>
                <w:b/>
                <w:bCs/>
              </w:rPr>
            </w:pPr>
            <w:r>
              <w:rPr>
                <w:b/>
                <w:bCs/>
              </w:rPr>
              <w:t>序号</w:t>
            </w:r>
          </w:p>
        </w:tc>
        <w:tc>
          <w:tcPr>
            <w:tcW w:w="1109" w:type="pct"/>
            <w:tcBorders>
              <w:top w:val="single" w:sz="12" w:space="0" w:color="000000"/>
              <w:left w:val="single" w:sz="4" w:space="0" w:color="000000"/>
              <w:bottom w:val="single" w:sz="4" w:space="0" w:color="000000"/>
              <w:right w:val="single" w:sz="4" w:space="0" w:color="000000"/>
            </w:tcBorders>
            <w:vAlign w:val="center"/>
          </w:tcPr>
          <w:p w:rsidR="00BD5820" w:rsidRDefault="00F64314">
            <w:pPr>
              <w:pStyle w:val="afff1"/>
              <w:rPr>
                <w:b/>
                <w:bCs/>
              </w:rPr>
            </w:pPr>
            <w:r>
              <w:rPr>
                <w:b/>
                <w:bCs/>
              </w:rPr>
              <w:t>噪声源</w:t>
            </w:r>
          </w:p>
        </w:tc>
        <w:tc>
          <w:tcPr>
            <w:tcW w:w="1075" w:type="pct"/>
            <w:tcBorders>
              <w:top w:val="single" w:sz="12" w:space="0" w:color="000000"/>
              <w:left w:val="single" w:sz="4" w:space="0" w:color="000000"/>
              <w:bottom w:val="single" w:sz="4" w:space="0" w:color="000000"/>
              <w:right w:val="nil"/>
            </w:tcBorders>
            <w:vAlign w:val="center"/>
          </w:tcPr>
          <w:p w:rsidR="00BD5820" w:rsidRDefault="00F64314">
            <w:pPr>
              <w:pStyle w:val="afff1"/>
              <w:rPr>
                <w:b/>
                <w:bCs/>
              </w:rPr>
            </w:pPr>
            <w:r>
              <w:rPr>
                <w:b/>
                <w:bCs/>
              </w:rPr>
              <w:t>噪声强度</w:t>
            </w:r>
            <w:r>
              <w:rPr>
                <w:b/>
                <w:bCs/>
              </w:rPr>
              <w:t>dB(A)</w:t>
            </w:r>
          </w:p>
        </w:tc>
      </w:tr>
      <w:tr w:rsidR="00BD5820">
        <w:trPr>
          <w:trHeight w:val="18"/>
          <w:jc w:val="center"/>
        </w:trPr>
        <w:tc>
          <w:tcPr>
            <w:tcW w:w="479" w:type="pct"/>
            <w:tcBorders>
              <w:top w:val="single" w:sz="4" w:space="0" w:color="000000"/>
              <w:left w:val="nil"/>
              <w:bottom w:val="single" w:sz="4" w:space="0" w:color="000000"/>
              <w:right w:val="single" w:sz="4" w:space="0" w:color="000000"/>
            </w:tcBorders>
            <w:vAlign w:val="center"/>
          </w:tcPr>
          <w:p w:rsidR="00BD5820" w:rsidRDefault="00F64314">
            <w:pPr>
              <w:pStyle w:val="afff1"/>
            </w:pPr>
            <w:r>
              <w:t>1</w:t>
            </w:r>
          </w:p>
        </w:tc>
        <w:tc>
          <w:tcPr>
            <w:tcW w:w="919" w:type="pct"/>
            <w:tcBorders>
              <w:top w:val="single" w:sz="4" w:space="0" w:color="000000"/>
              <w:left w:val="single" w:sz="4" w:space="0" w:color="000000"/>
              <w:bottom w:val="single" w:sz="4" w:space="0" w:color="000000"/>
              <w:right w:val="single" w:sz="4" w:space="0" w:color="000000"/>
            </w:tcBorders>
            <w:vAlign w:val="center"/>
          </w:tcPr>
          <w:p w:rsidR="00BD5820" w:rsidRDefault="00F64314">
            <w:pPr>
              <w:pStyle w:val="afff1"/>
            </w:pPr>
            <w:r>
              <w:t>挖掘机</w:t>
            </w:r>
          </w:p>
        </w:tc>
        <w:tc>
          <w:tcPr>
            <w:tcW w:w="906" w:type="pct"/>
            <w:tcBorders>
              <w:top w:val="single" w:sz="4" w:space="0" w:color="000000"/>
              <w:left w:val="single" w:sz="4" w:space="0" w:color="000000"/>
              <w:bottom w:val="single" w:sz="4" w:space="0" w:color="000000"/>
              <w:right w:val="single" w:sz="4" w:space="0" w:color="000000"/>
            </w:tcBorders>
            <w:vAlign w:val="center"/>
          </w:tcPr>
          <w:p w:rsidR="00BD5820" w:rsidRDefault="00F64314">
            <w:pPr>
              <w:pStyle w:val="afff1"/>
            </w:pPr>
            <w:r>
              <w:t>92</w:t>
            </w:r>
          </w:p>
        </w:tc>
        <w:tc>
          <w:tcPr>
            <w:tcW w:w="512" w:type="pct"/>
            <w:tcBorders>
              <w:top w:val="single" w:sz="4" w:space="0" w:color="000000"/>
              <w:left w:val="single" w:sz="4" w:space="0" w:color="000000"/>
              <w:bottom w:val="single" w:sz="4" w:space="0" w:color="000000"/>
              <w:right w:val="single" w:sz="4" w:space="0" w:color="000000"/>
            </w:tcBorders>
            <w:vAlign w:val="center"/>
          </w:tcPr>
          <w:p w:rsidR="00BD5820" w:rsidRDefault="00F64314">
            <w:pPr>
              <w:pStyle w:val="afff1"/>
            </w:pPr>
            <w:r>
              <w:t>6</w:t>
            </w:r>
          </w:p>
        </w:tc>
        <w:tc>
          <w:tcPr>
            <w:tcW w:w="1109" w:type="pct"/>
            <w:tcBorders>
              <w:top w:val="single" w:sz="4" w:space="0" w:color="000000"/>
              <w:left w:val="single" w:sz="4" w:space="0" w:color="000000"/>
              <w:bottom w:val="single" w:sz="4" w:space="0" w:color="000000"/>
              <w:right w:val="single" w:sz="4" w:space="0" w:color="000000"/>
            </w:tcBorders>
            <w:vAlign w:val="center"/>
          </w:tcPr>
          <w:p w:rsidR="00BD5820" w:rsidRDefault="00F64314">
            <w:pPr>
              <w:pStyle w:val="afff1"/>
            </w:pPr>
            <w:r>
              <w:t>混凝土搅拌机</w:t>
            </w:r>
          </w:p>
        </w:tc>
        <w:tc>
          <w:tcPr>
            <w:tcW w:w="1075" w:type="pct"/>
            <w:tcBorders>
              <w:top w:val="single" w:sz="4" w:space="0" w:color="000000"/>
              <w:left w:val="single" w:sz="4" w:space="0" w:color="000000"/>
              <w:bottom w:val="single" w:sz="4" w:space="0" w:color="000000"/>
              <w:right w:val="nil"/>
            </w:tcBorders>
            <w:vAlign w:val="center"/>
          </w:tcPr>
          <w:p w:rsidR="00BD5820" w:rsidRDefault="00F64314">
            <w:pPr>
              <w:pStyle w:val="afff1"/>
            </w:pPr>
            <w:r>
              <w:t>95</w:t>
            </w:r>
          </w:p>
        </w:tc>
      </w:tr>
      <w:tr w:rsidR="00BD5820">
        <w:trPr>
          <w:trHeight w:val="18"/>
          <w:jc w:val="center"/>
        </w:trPr>
        <w:tc>
          <w:tcPr>
            <w:tcW w:w="479" w:type="pct"/>
            <w:tcBorders>
              <w:top w:val="single" w:sz="4" w:space="0" w:color="000000"/>
              <w:left w:val="nil"/>
              <w:bottom w:val="single" w:sz="4" w:space="0" w:color="000000"/>
              <w:right w:val="single" w:sz="4" w:space="0" w:color="000000"/>
            </w:tcBorders>
            <w:vAlign w:val="center"/>
          </w:tcPr>
          <w:p w:rsidR="00BD5820" w:rsidRDefault="00F64314">
            <w:pPr>
              <w:pStyle w:val="afff1"/>
            </w:pPr>
            <w:r>
              <w:t>2</w:t>
            </w:r>
          </w:p>
        </w:tc>
        <w:tc>
          <w:tcPr>
            <w:tcW w:w="919" w:type="pct"/>
            <w:tcBorders>
              <w:top w:val="single" w:sz="4" w:space="0" w:color="000000"/>
              <w:left w:val="single" w:sz="4" w:space="0" w:color="000000"/>
              <w:bottom w:val="single" w:sz="4" w:space="0" w:color="000000"/>
              <w:right w:val="single" w:sz="4" w:space="0" w:color="000000"/>
            </w:tcBorders>
            <w:vAlign w:val="center"/>
          </w:tcPr>
          <w:p w:rsidR="00BD5820" w:rsidRDefault="00F64314">
            <w:pPr>
              <w:pStyle w:val="afff1"/>
            </w:pPr>
            <w:r>
              <w:t>吊管机</w:t>
            </w:r>
          </w:p>
        </w:tc>
        <w:tc>
          <w:tcPr>
            <w:tcW w:w="906" w:type="pct"/>
            <w:tcBorders>
              <w:top w:val="single" w:sz="4" w:space="0" w:color="000000"/>
              <w:left w:val="single" w:sz="4" w:space="0" w:color="000000"/>
              <w:bottom w:val="single" w:sz="4" w:space="0" w:color="000000"/>
              <w:right w:val="single" w:sz="4" w:space="0" w:color="000000"/>
            </w:tcBorders>
            <w:vAlign w:val="center"/>
          </w:tcPr>
          <w:p w:rsidR="00BD5820" w:rsidRDefault="00F64314">
            <w:pPr>
              <w:pStyle w:val="afff1"/>
            </w:pPr>
            <w:r>
              <w:t>88</w:t>
            </w:r>
          </w:p>
        </w:tc>
        <w:tc>
          <w:tcPr>
            <w:tcW w:w="512" w:type="pct"/>
            <w:tcBorders>
              <w:top w:val="single" w:sz="4" w:space="0" w:color="000000"/>
              <w:left w:val="single" w:sz="4" w:space="0" w:color="000000"/>
              <w:bottom w:val="single" w:sz="4" w:space="0" w:color="000000"/>
              <w:right w:val="single" w:sz="4" w:space="0" w:color="000000"/>
            </w:tcBorders>
            <w:vAlign w:val="center"/>
          </w:tcPr>
          <w:p w:rsidR="00BD5820" w:rsidRDefault="00F64314">
            <w:pPr>
              <w:pStyle w:val="afff1"/>
            </w:pPr>
            <w:r>
              <w:t>7</w:t>
            </w:r>
          </w:p>
        </w:tc>
        <w:tc>
          <w:tcPr>
            <w:tcW w:w="1109" w:type="pct"/>
            <w:tcBorders>
              <w:top w:val="single" w:sz="4" w:space="0" w:color="000000"/>
              <w:left w:val="single" w:sz="4" w:space="0" w:color="000000"/>
              <w:bottom w:val="single" w:sz="4" w:space="0" w:color="000000"/>
              <w:right w:val="single" w:sz="4" w:space="0" w:color="000000"/>
            </w:tcBorders>
            <w:vAlign w:val="center"/>
          </w:tcPr>
          <w:p w:rsidR="00BD5820" w:rsidRDefault="00F64314">
            <w:pPr>
              <w:pStyle w:val="afff1"/>
            </w:pPr>
            <w:r>
              <w:t>混凝土翻斗车</w:t>
            </w:r>
          </w:p>
        </w:tc>
        <w:tc>
          <w:tcPr>
            <w:tcW w:w="1075" w:type="pct"/>
            <w:tcBorders>
              <w:top w:val="single" w:sz="4" w:space="0" w:color="000000"/>
              <w:left w:val="single" w:sz="4" w:space="0" w:color="000000"/>
              <w:bottom w:val="single" w:sz="4" w:space="0" w:color="000000"/>
              <w:right w:val="nil"/>
            </w:tcBorders>
            <w:vAlign w:val="center"/>
          </w:tcPr>
          <w:p w:rsidR="00BD5820" w:rsidRDefault="00F64314">
            <w:pPr>
              <w:pStyle w:val="afff1"/>
            </w:pPr>
            <w:r>
              <w:t>90</w:t>
            </w:r>
          </w:p>
        </w:tc>
      </w:tr>
      <w:tr w:rsidR="00BD5820">
        <w:trPr>
          <w:trHeight w:val="18"/>
          <w:jc w:val="center"/>
        </w:trPr>
        <w:tc>
          <w:tcPr>
            <w:tcW w:w="479" w:type="pct"/>
            <w:tcBorders>
              <w:top w:val="single" w:sz="4" w:space="0" w:color="000000"/>
              <w:left w:val="nil"/>
              <w:bottom w:val="single" w:sz="4" w:space="0" w:color="000000"/>
              <w:right w:val="single" w:sz="4" w:space="0" w:color="000000"/>
            </w:tcBorders>
            <w:vAlign w:val="center"/>
          </w:tcPr>
          <w:p w:rsidR="00BD5820" w:rsidRDefault="00F64314">
            <w:pPr>
              <w:pStyle w:val="afff1"/>
            </w:pPr>
            <w:r>
              <w:t>3</w:t>
            </w:r>
          </w:p>
        </w:tc>
        <w:tc>
          <w:tcPr>
            <w:tcW w:w="919" w:type="pct"/>
            <w:tcBorders>
              <w:top w:val="single" w:sz="4" w:space="0" w:color="000000"/>
              <w:left w:val="single" w:sz="4" w:space="0" w:color="000000"/>
              <w:bottom w:val="single" w:sz="4" w:space="0" w:color="000000"/>
              <w:right w:val="single" w:sz="4" w:space="0" w:color="000000"/>
            </w:tcBorders>
            <w:vAlign w:val="center"/>
          </w:tcPr>
          <w:p w:rsidR="00BD5820" w:rsidRDefault="00F64314">
            <w:pPr>
              <w:pStyle w:val="afff1"/>
            </w:pPr>
            <w:r>
              <w:t>电焊机</w:t>
            </w:r>
          </w:p>
        </w:tc>
        <w:tc>
          <w:tcPr>
            <w:tcW w:w="906" w:type="pct"/>
            <w:tcBorders>
              <w:top w:val="single" w:sz="4" w:space="0" w:color="000000"/>
              <w:left w:val="single" w:sz="4" w:space="0" w:color="000000"/>
              <w:bottom w:val="single" w:sz="4" w:space="0" w:color="000000"/>
              <w:right w:val="single" w:sz="4" w:space="0" w:color="000000"/>
            </w:tcBorders>
            <w:vAlign w:val="center"/>
          </w:tcPr>
          <w:p w:rsidR="00BD5820" w:rsidRDefault="00F64314">
            <w:pPr>
              <w:pStyle w:val="afff1"/>
            </w:pPr>
            <w:r>
              <w:t>85</w:t>
            </w:r>
          </w:p>
        </w:tc>
        <w:tc>
          <w:tcPr>
            <w:tcW w:w="512" w:type="pct"/>
            <w:tcBorders>
              <w:top w:val="single" w:sz="4" w:space="0" w:color="000000"/>
              <w:left w:val="single" w:sz="4" w:space="0" w:color="000000"/>
              <w:bottom w:val="single" w:sz="4" w:space="0" w:color="000000"/>
              <w:right w:val="single" w:sz="4" w:space="0" w:color="000000"/>
            </w:tcBorders>
            <w:vAlign w:val="center"/>
          </w:tcPr>
          <w:p w:rsidR="00BD5820" w:rsidRDefault="00F64314">
            <w:pPr>
              <w:pStyle w:val="afff1"/>
            </w:pPr>
            <w:r>
              <w:t>8</w:t>
            </w:r>
          </w:p>
        </w:tc>
        <w:tc>
          <w:tcPr>
            <w:tcW w:w="1109" w:type="pct"/>
            <w:tcBorders>
              <w:top w:val="single" w:sz="4" w:space="0" w:color="000000"/>
              <w:left w:val="single" w:sz="4" w:space="0" w:color="000000"/>
              <w:bottom w:val="single" w:sz="4" w:space="0" w:color="000000"/>
              <w:right w:val="single" w:sz="4" w:space="0" w:color="000000"/>
            </w:tcBorders>
            <w:vAlign w:val="center"/>
          </w:tcPr>
          <w:p w:rsidR="00BD5820" w:rsidRDefault="00F64314">
            <w:pPr>
              <w:pStyle w:val="afff1"/>
            </w:pPr>
            <w:r>
              <w:t>混凝土震动棒</w:t>
            </w:r>
          </w:p>
        </w:tc>
        <w:tc>
          <w:tcPr>
            <w:tcW w:w="1075" w:type="pct"/>
            <w:tcBorders>
              <w:top w:val="single" w:sz="4" w:space="0" w:color="000000"/>
              <w:left w:val="single" w:sz="4" w:space="0" w:color="000000"/>
              <w:bottom w:val="single" w:sz="4" w:space="0" w:color="000000"/>
              <w:right w:val="nil"/>
            </w:tcBorders>
            <w:vAlign w:val="center"/>
          </w:tcPr>
          <w:p w:rsidR="00BD5820" w:rsidRDefault="00F64314">
            <w:pPr>
              <w:pStyle w:val="afff1"/>
            </w:pPr>
            <w:r>
              <w:t>105</w:t>
            </w:r>
          </w:p>
        </w:tc>
      </w:tr>
      <w:tr w:rsidR="00BD5820">
        <w:trPr>
          <w:trHeight w:val="18"/>
          <w:jc w:val="center"/>
        </w:trPr>
        <w:tc>
          <w:tcPr>
            <w:tcW w:w="479" w:type="pct"/>
            <w:tcBorders>
              <w:top w:val="single" w:sz="4" w:space="0" w:color="000000"/>
              <w:left w:val="nil"/>
              <w:bottom w:val="single" w:sz="4" w:space="0" w:color="000000"/>
              <w:right w:val="single" w:sz="4" w:space="0" w:color="000000"/>
            </w:tcBorders>
            <w:vAlign w:val="center"/>
          </w:tcPr>
          <w:p w:rsidR="00BD5820" w:rsidRDefault="00F64314">
            <w:pPr>
              <w:pStyle w:val="afff1"/>
            </w:pPr>
            <w:r>
              <w:t>4</w:t>
            </w:r>
          </w:p>
        </w:tc>
        <w:tc>
          <w:tcPr>
            <w:tcW w:w="919" w:type="pct"/>
            <w:tcBorders>
              <w:top w:val="single" w:sz="4" w:space="0" w:color="000000"/>
              <w:left w:val="single" w:sz="4" w:space="0" w:color="000000"/>
              <w:bottom w:val="single" w:sz="4" w:space="0" w:color="000000"/>
              <w:right w:val="single" w:sz="4" w:space="0" w:color="000000"/>
            </w:tcBorders>
            <w:vAlign w:val="center"/>
          </w:tcPr>
          <w:p w:rsidR="00BD5820" w:rsidRDefault="00F64314">
            <w:pPr>
              <w:pStyle w:val="afff1"/>
            </w:pPr>
            <w:r>
              <w:t>定向钻机</w:t>
            </w:r>
          </w:p>
        </w:tc>
        <w:tc>
          <w:tcPr>
            <w:tcW w:w="906" w:type="pct"/>
            <w:tcBorders>
              <w:top w:val="single" w:sz="4" w:space="0" w:color="000000"/>
              <w:left w:val="single" w:sz="4" w:space="0" w:color="000000"/>
              <w:bottom w:val="single" w:sz="4" w:space="0" w:color="000000"/>
              <w:right w:val="single" w:sz="4" w:space="0" w:color="000000"/>
            </w:tcBorders>
            <w:vAlign w:val="center"/>
          </w:tcPr>
          <w:p w:rsidR="00BD5820" w:rsidRDefault="00F64314">
            <w:pPr>
              <w:pStyle w:val="afff1"/>
            </w:pPr>
            <w:r>
              <w:t>90</w:t>
            </w:r>
          </w:p>
        </w:tc>
        <w:tc>
          <w:tcPr>
            <w:tcW w:w="512" w:type="pct"/>
            <w:tcBorders>
              <w:top w:val="single" w:sz="4" w:space="0" w:color="000000"/>
              <w:left w:val="single" w:sz="4" w:space="0" w:color="000000"/>
              <w:bottom w:val="single" w:sz="4" w:space="0" w:color="000000"/>
              <w:right w:val="single" w:sz="4" w:space="0" w:color="000000"/>
            </w:tcBorders>
            <w:vAlign w:val="center"/>
          </w:tcPr>
          <w:p w:rsidR="00BD5820" w:rsidRDefault="00F64314">
            <w:pPr>
              <w:pStyle w:val="afff1"/>
            </w:pPr>
            <w:r>
              <w:t>9</w:t>
            </w:r>
          </w:p>
        </w:tc>
        <w:tc>
          <w:tcPr>
            <w:tcW w:w="1109" w:type="pct"/>
            <w:tcBorders>
              <w:top w:val="single" w:sz="4" w:space="0" w:color="000000"/>
              <w:left w:val="single" w:sz="4" w:space="0" w:color="000000"/>
              <w:bottom w:val="single" w:sz="4" w:space="0" w:color="000000"/>
              <w:right w:val="single" w:sz="4" w:space="0" w:color="000000"/>
            </w:tcBorders>
            <w:vAlign w:val="center"/>
          </w:tcPr>
          <w:p w:rsidR="00BD5820" w:rsidRDefault="00F64314">
            <w:pPr>
              <w:pStyle w:val="afff1"/>
            </w:pPr>
            <w:r>
              <w:t>切割机</w:t>
            </w:r>
          </w:p>
        </w:tc>
        <w:tc>
          <w:tcPr>
            <w:tcW w:w="1075" w:type="pct"/>
            <w:tcBorders>
              <w:top w:val="single" w:sz="4" w:space="0" w:color="000000"/>
              <w:left w:val="single" w:sz="4" w:space="0" w:color="000000"/>
              <w:bottom w:val="single" w:sz="4" w:space="0" w:color="000000"/>
              <w:right w:val="nil"/>
            </w:tcBorders>
            <w:vAlign w:val="center"/>
          </w:tcPr>
          <w:p w:rsidR="00BD5820" w:rsidRDefault="00F64314">
            <w:pPr>
              <w:pStyle w:val="afff1"/>
            </w:pPr>
            <w:r>
              <w:t>95</w:t>
            </w:r>
          </w:p>
        </w:tc>
      </w:tr>
      <w:tr w:rsidR="00BD5820">
        <w:trPr>
          <w:trHeight w:val="18"/>
          <w:jc w:val="center"/>
        </w:trPr>
        <w:tc>
          <w:tcPr>
            <w:tcW w:w="479" w:type="pct"/>
            <w:tcBorders>
              <w:top w:val="single" w:sz="4" w:space="0" w:color="000000"/>
              <w:left w:val="nil"/>
              <w:bottom w:val="single" w:sz="12" w:space="0" w:color="000000"/>
              <w:right w:val="single" w:sz="4" w:space="0" w:color="000000"/>
            </w:tcBorders>
            <w:vAlign w:val="center"/>
          </w:tcPr>
          <w:p w:rsidR="00BD5820" w:rsidRDefault="00F64314">
            <w:pPr>
              <w:pStyle w:val="afff1"/>
            </w:pPr>
            <w:r>
              <w:t>5</w:t>
            </w:r>
          </w:p>
        </w:tc>
        <w:tc>
          <w:tcPr>
            <w:tcW w:w="919" w:type="pct"/>
            <w:tcBorders>
              <w:top w:val="single" w:sz="4" w:space="0" w:color="000000"/>
              <w:left w:val="single" w:sz="4" w:space="0" w:color="000000"/>
              <w:bottom w:val="single" w:sz="12" w:space="0" w:color="000000"/>
              <w:right w:val="single" w:sz="4" w:space="0" w:color="000000"/>
            </w:tcBorders>
            <w:vAlign w:val="center"/>
          </w:tcPr>
          <w:p w:rsidR="00BD5820" w:rsidRDefault="00F64314">
            <w:pPr>
              <w:pStyle w:val="afff1"/>
            </w:pPr>
            <w:r>
              <w:t>推土机</w:t>
            </w:r>
          </w:p>
        </w:tc>
        <w:tc>
          <w:tcPr>
            <w:tcW w:w="906" w:type="pct"/>
            <w:tcBorders>
              <w:top w:val="single" w:sz="4" w:space="0" w:color="000000"/>
              <w:left w:val="single" w:sz="4" w:space="0" w:color="000000"/>
              <w:bottom w:val="single" w:sz="12" w:space="0" w:color="000000"/>
              <w:right w:val="single" w:sz="4" w:space="0" w:color="000000"/>
            </w:tcBorders>
            <w:vAlign w:val="center"/>
          </w:tcPr>
          <w:p w:rsidR="00BD5820" w:rsidRDefault="00F64314">
            <w:pPr>
              <w:pStyle w:val="afff1"/>
            </w:pPr>
            <w:r>
              <w:t>90</w:t>
            </w:r>
          </w:p>
        </w:tc>
        <w:tc>
          <w:tcPr>
            <w:tcW w:w="512" w:type="pct"/>
            <w:tcBorders>
              <w:top w:val="single" w:sz="4" w:space="0" w:color="000000"/>
              <w:left w:val="single" w:sz="4" w:space="0" w:color="000000"/>
              <w:bottom w:val="single" w:sz="12" w:space="0" w:color="000000"/>
              <w:right w:val="single" w:sz="4" w:space="0" w:color="000000"/>
            </w:tcBorders>
            <w:vAlign w:val="center"/>
          </w:tcPr>
          <w:p w:rsidR="00BD5820" w:rsidRDefault="00F64314">
            <w:pPr>
              <w:pStyle w:val="afff1"/>
            </w:pPr>
            <w:r>
              <w:t>10</w:t>
            </w:r>
          </w:p>
        </w:tc>
        <w:tc>
          <w:tcPr>
            <w:tcW w:w="1109" w:type="pct"/>
            <w:tcBorders>
              <w:top w:val="single" w:sz="4" w:space="0" w:color="000000"/>
              <w:left w:val="single" w:sz="4" w:space="0" w:color="000000"/>
              <w:bottom w:val="single" w:sz="12" w:space="0" w:color="000000"/>
              <w:right w:val="single" w:sz="4" w:space="0" w:color="000000"/>
            </w:tcBorders>
            <w:vAlign w:val="center"/>
          </w:tcPr>
          <w:p w:rsidR="00BD5820" w:rsidRDefault="00F64314">
            <w:pPr>
              <w:pStyle w:val="afff1"/>
            </w:pPr>
            <w:r>
              <w:t>润滑油发电机</w:t>
            </w:r>
          </w:p>
        </w:tc>
        <w:tc>
          <w:tcPr>
            <w:tcW w:w="1075" w:type="pct"/>
            <w:tcBorders>
              <w:top w:val="single" w:sz="4" w:space="0" w:color="000000"/>
              <w:left w:val="single" w:sz="4" w:space="0" w:color="000000"/>
              <w:bottom w:val="single" w:sz="12" w:space="0" w:color="000000"/>
              <w:right w:val="nil"/>
            </w:tcBorders>
            <w:vAlign w:val="center"/>
          </w:tcPr>
          <w:p w:rsidR="00BD5820" w:rsidRDefault="00F64314">
            <w:pPr>
              <w:pStyle w:val="afff1"/>
            </w:pPr>
            <w:r>
              <w:t>100</w:t>
            </w:r>
          </w:p>
        </w:tc>
      </w:tr>
    </w:tbl>
    <w:p w:rsidR="00BD5820" w:rsidRDefault="00F64314">
      <w:pPr>
        <w:pStyle w:val="affa"/>
        <w:ind w:firstLine="480"/>
      </w:pPr>
      <w:r>
        <w:t>环评要求：项目在施工期间</w:t>
      </w:r>
      <w:bookmarkStart w:id="274" w:name="OLE_LINK122"/>
      <w:bookmarkStart w:id="275" w:name="OLE_LINK121"/>
      <w:bookmarkStart w:id="276" w:name="OLE_LINK125"/>
      <w:bookmarkStart w:id="277" w:name="OLE_LINK126"/>
      <w:r>
        <w:t>合理安排施工作业时间，合理布局施工现场；夜间原则上禁止施工</w:t>
      </w:r>
      <w:bookmarkEnd w:id="274"/>
      <w:bookmarkEnd w:id="275"/>
      <w:r>
        <w:t>，若遇特定工艺需连续作业需报相关部门同意后，方可开展夜间施工，同时做好夜间环境保护防护及应急措施；在施工沿线居民集中点设挡声板</w:t>
      </w:r>
      <w:bookmarkEnd w:id="276"/>
      <w:bookmarkEnd w:id="277"/>
      <w:r>
        <w:t>。</w:t>
      </w:r>
    </w:p>
    <w:p w:rsidR="00BD5820" w:rsidRDefault="00F64314">
      <w:pPr>
        <w:pStyle w:val="3"/>
        <w:rPr>
          <w:rFonts w:eastAsia="宋体"/>
        </w:rPr>
      </w:pPr>
      <w:bookmarkStart w:id="278" w:name="_Toc12288514"/>
      <w:bookmarkEnd w:id="271"/>
      <w:r>
        <w:rPr>
          <w:rFonts w:eastAsia="宋体"/>
          <w:bCs/>
        </w:rPr>
        <w:t>4.1.7</w:t>
      </w:r>
      <w:r>
        <w:rPr>
          <w:rFonts w:eastAsia="宋体"/>
        </w:rPr>
        <w:t xml:space="preserve"> </w:t>
      </w:r>
      <w:bookmarkEnd w:id="278"/>
      <w:r>
        <w:rPr>
          <w:rFonts w:eastAsia="宋体"/>
        </w:rPr>
        <w:t>固体废物产生情况及治理措施</w:t>
      </w:r>
    </w:p>
    <w:p w:rsidR="00BD5820" w:rsidRDefault="00F64314">
      <w:pPr>
        <w:pStyle w:val="affa"/>
        <w:ind w:firstLine="480"/>
      </w:pPr>
      <w:bookmarkStart w:id="279" w:name="_Hlk56969655"/>
      <w:r>
        <w:t>施工期产生的固体废物主要为生活垃圾、施工废料、</w:t>
      </w:r>
      <w:bookmarkStart w:id="280" w:name="OLE_LINK239"/>
      <w:bookmarkStart w:id="281" w:name="OLE_LINK240"/>
      <w:r>
        <w:rPr>
          <w:rFonts w:hint="eastAsia"/>
        </w:rPr>
        <w:t>土石方、废油</w:t>
      </w:r>
      <w:bookmarkEnd w:id="280"/>
      <w:bookmarkEnd w:id="281"/>
      <w:r>
        <w:t>等。</w:t>
      </w:r>
    </w:p>
    <w:p w:rsidR="00BD5820" w:rsidRDefault="00F64314">
      <w:pPr>
        <w:pStyle w:val="affa"/>
        <w:ind w:firstLine="482"/>
        <w:rPr>
          <w:b/>
          <w:bCs/>
        </w:rPr>
      </w:pPr>
      <w:r>
        <w:rPr>
          <w:b/>
          <w:bCs/>
        </w:rPr>
        <w:lastRenderedPageBreak/>
        <w:t>1</w:t>
      </w:r>
      <w:r>
        <w:rPr>
          <w:b/>
          <w:bCs/>
        </w:rPr>
        <w:t>、生活垃圾</w:t>
      </w:r>
    </w:p>
    <w:p w:rsidR="00BD5820" w:rsidRDefault="00F64314">
      <w:pPr>
        <w:pStyle w:val="affa"/>
        <w:ind w:firstLine="480"/>
      </w:pPr>
      <w:bookmarkStart w:id="282" w:name="_Hlk43111258"/>
      <w:r>
        <w:t>施工人员生活垃圾主要产生于依托的当地旅馆、饭店和居民，由果皮、一次性水杯、饮料瓶、塑料袋、报纸、杂志、食品垃圾等有机物组成。施工人员生活垃圾排放量约为</w:t>
      </w:r>
      <w:r>
        <w:t>0.5kg/</w:t>
      </w:r>
      <w:r>
        <w:t>（人</w:t>
      </w:r>
      <w:r>
        <w:t>·</w:t>
      </w:r>
      <w:r>
        <w:t>日）。本项目施工期</w:t>
      </w:r>
      <w:r>
        <w:rPr>
          <w:rFonts w:hint="eastAsia"/>
        </w:rPr>
        <w:t>站场、管道</w:t>
      </w:r>
      <w:r>
        <w:t>施工</w:t>
      </w:r>
      <w:bookmarkStart w:id="283" w:name="OLE_LINK236"/>
      <w:r>
        <w:t>人员约</w:t>
      </w:r>
      <w:r>
        <w:t>20</w:t>
      </w:r>
      <w:r>
        <w:t>人</w:t>
      </w:r>
      <w:bookmarkEnd w:id="283"/>
      <w:r>
        <w:rPr>
          <w:rFonts w:hint="eastAsia"/>
        </w:rPr>
        <w:t>，</w:t>
      </w:r>
      <w:r>
        <w:t>施工人员生活垃圾排放量约为</w:t>
      </w:r>
      <w:r>
        <w:rPr>
          <w:rFonts w:hint="eastAsia"/>
        </w:rPr>
        <w:t>10</w:t>
      </w:r>
      <w:r>
        <w:t>kg/d</w:t>
      </w:r>
      <w:r>
        <w:t>，施工期排放总量约为</w:t>
      </w:r>
      <w:r>
        <w:rPr>
          <w:rFonts w:hint="eastAsia"/>
        </w:rPr>
        <w:t>1.8</w:t>
      </w:r>
      <w:r>
        <w:t>t</w:t>
      </w:r>
      <w:r>
        <w:t>。</w:t>
      </w:r>
    </w:p>
    <w:p w:rsidR="00BD5820" w:rsidRDefault="00F64314">
      <w:pPr>
        <w:pStyle w:val="affa"/>
        <w:ind w:firstLine="482"/>
      </w:pPr>
      <w:r>
        <w:rPr>
          <w:b/>
          <w:bCs/>
        </w:rPr>
        <w:t>治理措施：</w:t>
      </w:r>
      <w:r>
        <w:t>施工人员的垃圾</w:t>
      </w:r>
      <w:r>
        <w:rPr>
          <w:rFonts w:hint="eastAsia"/>
        </w:rPr>
        <w:t>经垃圾</w:t>
      </w:r>
      <w:r>
        <w:t>收集设施</w:t>
      </w:r>
      <w:r>
        <w:rPr>
          <w:rFonts w:hint="eastAsia"/>
        </w:rPr>
        <w:t>收集</w:t>
      </w:r>
      <w:r>
        <w:t>，统一送环卫部门处理。</w:t>
      </w:r>
    </w:p>
    <w:bookmarkEnd w:id="282"/>
    <w:p w:rsidR="00BD5820" w:rsidRDefault="00F64314">
      <w:pPr>
        <w:pStyle w:val="affa"/>
        <w:ind w:firstLine="482"/>
        <w:rPr>
          <w:b/>
          <w:bCs/>
        </w:rPr>
      </w:pPr>
      <w:r>
        <w:rPr>
          <w:b/>
          <w:bCs/>
        </w:rPr>
        <w:t>2</w:t>
      </w:r>
      <w:r>
        <w:rPr>
          <w:b/>
          <w:bCs/>
        </w:rPr>
        <w:t>、施工废料</w:t>
      </w:r>
    </w:p>
    <w:p w:rsidR="00BD5820" w:rsidRDefault="00F64314">
      <w:pPr>
        <w:pStyle w:val="affa"/>
        <w:ind w:firstLine="480"/>
      </w:pPr>
      <w:r>
        <w:t>项目管线防腐层均在厂家预制完成，现场无防腐层废料产生，施工废料为管道焊接后废弃的废焊条、焊渣（属于一般固废）及接口处废弃防腐材料及少量废油漆桶。根据类比调查，施工废料的产生量约为</w:t>
      </w:r>
      <w:r>
        <w:t>0.2t/km</w:t>
      </w:r>
      <w:r>
        <w:t>，本项目</w:t>
      </w:r>
      <w:r>
        <w:rPr>
          <w:rFonts w:hint="eastAsia"/>
        </w:rPr>
        <w:t>集输</w:t>
      </w:r>
      <w:r>
        <w:t>管道总长度</w:t>
      </w:r>
      <w:r>
        <w:rPr>
          <w:rFonts w:hint="eastAsia"/>
        </w:rPr>
        <w:t>4.1</w:t>
      </w:r>
      <w:r>
        <w:t>km</w:t>
      </w:r>
      <w:r>
        <w:t>，施工过程产生的施工废料约为</w:t>
      </w:r>
      <w:r>
        <w:rPr>
          <w:rFonts w:hint="eastAsia"/>
        </w:rPr>
        <w:t>0.82</w:t>
      </w:r>
      <w:r>
        <w:t>t</w:t>
      </w:r>
      <w:r>
        <w:t>。施工废料部分可回收利用，剩余废料交由当地环卫部门处置；一定量的废弃防腐材料及少量废油漆桶由施工单位集中收集，然后交有资质单位处置。</w:t>
      </w:r>
      <w:r>
        <w:t>X</w:t>
      </w:r>
      <w:r>
        <w:t>射线探伤产生一些废弃物（浸润液、感光废弃材料等），由工程探伤检验专业队伍集中收集处置，不在本次评价范围内。</w:t>
      </w:r>
    </w:p>
    <w:p w:rsidR="00BD5820" w:rsidRDefault="00F64314">
      <w:pPr>
        <w:pStyle w:val="affa"/>
        <w:ind w:firstLine="482"/>
        <w:rPr>
          <w:b/>
          <w:bCs/>
        </w:rPr>
      </w:pPr>
      <w:bookmarkStart w:id="284" w:name="OLE_LINK242"/>
      <w:bookmarkStart w:id="285" w:name="OLE_LINK241"/>
      <w:r>
        <w:rPr>
          <w:b/>
          <w:bCs/>
        </w:rPr>
        <w:t>3</w:t>
      </w:r>
      <w:r>
        <w:rPr>
          <w:b/>
          <w:bCs/>
        </w:rPr>
        <w:t>、土石方</w:t>
      </w:r>
    </w:p>
    <w:p w:rsidR="00BD5820" w:rsidRDefault="00F64314">
      <w:pPr>
        <w:pStyle w:val="aff8"/>
        <w:ind w:firstLine="480"/>
      </w:pPr>
      <w:r>
        <w:t>根据《普光气田主体湿气增压工程</w:t>
      </w:r>
      <w:r>
        <w:rPr>
          <w:rFonts w:hint="eastAsia"/>
        </w:rPr>
        <w:t>水土保持方案</w:t>
      </w:r>
      <w:r>
        <w:t>报告》</w:t>
      </w:r>
      <w:r>
        <w:rPr>
          <w:rFonts w:hint="eastAsia"/>
        </w:rPr>
        <w:t>，</w:t>
      </w:r>
      <w:r>
        <w:t>项目</w:t>
      </w:r>
      <w:bookmarkEnd w:id="284"/>
      <w:bookmarkEnd w:id="285"/>
      <w:r>
        <w:t>土石方挖方量共计</w:t>
      </w:r>
      <w:r>
        <w:rPr>
          <w:rFonts w:hint="eastAsia"/>
        </w:rPr>
        <w:t>1.29</w:t>
      </w:r>
      <w:r>
        <w:rPr>
          <w:rFonts w:hint="eastAsia"/>
        </w:rPr>
        <w:t>万</w:t>
      </w:r>
      <w:r>
        <w:t>m</w:t>
      </w:r>
      <w:r>
        <w:rPr>
          <w:vertAlign w:val="superscript"/>
        </w:rPr>
        <w:t>3</w:t>
      </w:r>
      <w:r>
        <w:t>，填方量共计</w:t>
      </w:r>
      <w:r>
        <w:rPr>
          <w:rFonts w:hint="eastAsia"/>
        </w:rPr>
        <w:t>1.29</w:t>
      </w:r>
      <w:r>
        <w:rPr>
          <w:rFonts w:hint="eastAsia"/>
        </w:rPr>
        <w:t>万</w:t>
      </w:r>
      <w:r>
        <w:t>m</w:t>
      </w:r>
      <w:r>
        <w:rPr>
          <w:vertAlign w:val="superscript"/>
        </w:rPr>
        <w:t>3</w:t>
      </w:r>
      <w:r>
        <w:t>，</w:t>
      </w:r>
      <w:r>
        <w:rPr>
          <w:rFonts w:hint="eastAsia"/>
        </w:rPr>
        <w:t>无</w:t>
      </w:r>
      <w:r>
        <w:t>弃方</w:t>
      </w:r>
      <w:r>
        <w:rPr>
          <w:rFonts w:hint="eastAsia"/>
        </w:rPr>
        <w:t>产生</w:t>
      </w:r>
      <w:r>
        <w:t>。</w:t>
      </w:r>
    </w:p>
    <w:bookmarkEnd w:id="279"/>
    <w:p w:rsidR="00BD5820" w:rsidRDefault="00F64314">
      <w:pPr>
        <w:pStyle w:val="3"/>
        <w:rPr>
          <w:rFonts w:eastAsia="宋体"/>
        </w:rPr>
      </w:pPr>
      <w:r>
        <w:rPr>
          <w:rFonts w:eastAsia="宋体"/>
        </w:rPr>
        <w:t xml:space="preserve">4.1.8 </w:t>
      </w:r>
      <w:r>
        <w:rPr>
          <w:rFonts w:eastAsia="宋体"/>
        </w:rPr>
        <w:t>施工期</w:t>
      </w:r>
      <w:r>
        <w:rPr>
          <w:rFonts w:eastAsia="宋体"/>
        </w:rPr>
        <w:t>“</w:t>
      </w:r>
      <w:r>
        <w:rPr>
          <w:rFonts w:eastAsia="宋体"/>
        </w:rPr>
        <w:t>三废</w:t>
      </w:r>
      <w:r>
        <w:rPr>
          <w:rFonts w:eastAsia="宋体"/>
        </w:rPr>
        <w:t>”</w:t>
      </w:r>
      <w:r>
        <w:rPr>
          <w:rFonts w:eastAsia="宋体"/>
        </w:rPr>
        <w:t>产生情况表</w:t>
      </w:r>
    </w:p>
    <w:p w:rsidR="00BD5820" w:rsidRDefault="00F64314">
      <w:pPr>
        <w:pStyle w:val="affa"/>
        <w:ind w:firstLine="480"/>
      </w:pPr>
      <w:r>
        <w:t>本项目施工期</w:t>
      </w:r>
      <w:r>
        <w:t>“</w:t>
      </w:r>
      <w:r>
        <w:t>三废</w:t>
      </w:r>
      <w:r>
        <w:t>”</w:t>
      </w:r>
      <w:r>
        <w:t>产生及排放情况见下表。</w:t>
      </w:r>
    </w:p>
    <w:p w:rsidR="00BD5820" w:rsidRDefault="00F64314">
      <w:pPr>
        <w:pStyle w:val="10"/>
        <w:rPr>
          <w:rFonts w:cs="Times New Roman"/>
        </w:rPr>
      </w:pPr>
      <w:r>
        <w:rPr>
          <w:rFonts w:cs="Times New Roman"/>
        </w:rPr>
        <w:t>表</w:t>
      </w:r>
      <w:r>
        <w:rPr>
          <w:rFonts w:cs="Times New Roman"/>
        </w:rPr>
        <w:t>4.1-</w:t>
      </w:r>
      <w:r>
        <w:rPr>
          <w:rFonts w:cs="Times New Roman" w:hint="eastAsia"/>
        </w:rPr>
        <w:t>9</w:t>
      </w:r>
      <w:r>
        <w:rPr>
          <w:rFonts w:cs="Times New Roman"/>
        </w:rPr>
        <w:t xml:space="preserve">  </w:t>
      </w:r>
      <w:r>
        <w:rPr>
          <w:rFonts w:cs="Times New Roman"/>
        </w:rPr>
        <w:t>施工期主要污染源和污染物统计表</w:t>
      </w:r>
    </w:p>
    <w:tbl>
      <w:tblPr>
        <w:tblW w:w="8758" w:type="dxa"/>
        <w:jc w:val="center"/>
        <w:tblBorders>
          <w:top w:val="single" w:sz="12" w:space="0" w:color="000000"/>
          <w:bottom w:val="single" w:sz="12" w:space="0" w:color="000000"/>
          <w:insideH w:val="single" w:sz="2" w:space="0" w:color="000000"/>
          <w:insideV w:val="single" w:sz="2" w:space="0" w:color="000000"/>
        </w:tblBorders>
        <w:tblCellMar>
          <w:left w:w="0" w:type="dxa"/>
          <w:right w:w="0" w:type="dxa"/>
        </w:tblCellMar>
        <w:tblLook w:val="04A0"/>
      </w:tblPr>
      <w:tblGrid>
        <w:gridCol w:w="538"/>
        <w:gridCol w:w="1391"/>
        <w:gridCol w:w="1558"/>
        <w:gridCol w:w="1045"/>
        <w:gridCol w:w="1705"/>
        <w:gridCol w:w="2521"/>
      </w:tblGrid>
      <w:tr w:rsidR="00BD5820">
        <w:trPr>
          <w:trHeight w:val="366"/>
          <w:jc w:val="center"/>
        </w:trPr>
        <w:tc>
          <w:tcPr>
            <w:tcW w:w="538" w:type="dxa"/>
            <w:vAlign w:val="center"/>
          </w:tcPr>
          <w:p w:rsidR="00BD5820" w:rsidRDefault="00F64314">
            <w:pPr>
              <w:pStyle w:val="afff1"/>
              <w:rPr>
                <w:b/>
                <w:bCs/>
              </w:rPr>
            </w:pPr>
            <w:r>
              <w:rPr>
                <w:b/>
                <w:bCs/>
              </w:rPr>
              <w:t>污染类型</w:t>
            </w:r>
          </w:p>
        </w:tc>
        <w:tc>
          <w:tcPr>
            <w:tcW w:w="1391" w:type="dxa"/>
            <w:vAlign w:val="center"/>
          </w:tcPr>
          <w:p w:rsidR="00BD5820" w:rsidRDefault="00F64314">
            <w:pPr>
              <w:pStyle w:val="afff1"/>
              <w:rPr>
                <w:b/>
                <w:bCs/>
              </w:rPr>
            </w:pPr>
            <w:r>
              <w:rPr>
                <w:b/>
                <w:bCs/>
              </w:rPr>
              <w:t>污染源</w:t>
            </w:r>
          </w:p>
        </w:tc>
        <w:tc>
          <w:tcPr>
            <w:tcW w:w="1558" w:type="dxa"/>
            <w:vAlign w:val="center"/>
          </w:tcPr>
          <w:p w:rsidR="00BD5820" w:rsidRDefault="00F64314">
            <w:pPr>
              <w:pStyle w:val="afff1"/>
              <w:rPr>
                <w:b/>
                <w:bCs/>
              </w:rPr>
            </w:pPr>
            <w:r>
              <w:rPr>
                <w:b/>
                <w:bCs/>
              </w:rPr>
              <w:t>排放量</w:t>
            </w:r>
          </w:p>
        </w:tc>
        <w:tc>
          <w:tcPr>
            <w:tcW w:w="1045" w:type="dxa"/>
            <w:vAlign w:val="center"/>
          </w:tcPr>
          <w:p w:rsidR="00BD5820" w:rsidRDefault="00F64314">
            <w:pPr>
              <w:pStyle w:val="afff1"/>
              <w:rPr>
                <w:b/>
                <w:bCs/>
              </w:rPr>
            </w:pPr>
            <w:r>
              <w:rPr>
                <w:b/>
                <w:bCs/>
              </w:rPr>
              <w:t>排放方式</w:t>
            </w:r>
          </w:p>
        </w:tc>
        <w:tc>
          <w:tcPr>
            <w:tcW w:w="1705" w:type="dxa"/>
            <w:vAlign w:val="center"/>
          </w:tcPr>
          <w:p w:rsidR="00BD5820" w:rsidRDefault="00F64314">
            <w:pPr>
              <w:pStyle w:val="afff1"/>
              <w:rPr>
                <w:b/>
                <w:bCs/>
              </w:rPr>
            </w:pPr>
            <w:r>
              <w:rPr>
                <w:b/>
                <w:bCs/>
              </w:rPr>
              <w:t>主要污染物</w:t>
            </w:r>
          </w:p>
        </w:tc>
        <w:tc>
          <w:tcPr>
            <w:tcW w:w="2521" w:type="dxa"/>
            <w:vAlign w:val="center"/>
          </w:tcPr>
          <w:p w:rsidR="00BD5820" w:rsidRDefault="00F64314">
            <w:pPr>
              <w:pStyle w:val="afff1"/>
              <w:rPr>
                <w:b/>
                <w:bCs/>
              </w:rPr>
            </w:pPr>
            <w:r>
              <w:rPr>
                <w:b/>
                <w:bCs/>
              </w:rPr>
              <w:t>排放去向</w:t>
            </w:r>
          </w:p>
        </w:tc>
      </w:tr>
      <w:tr w:rsidR="00BD5820">
        <w:trPr>
          <w:trHeight w:val="366"/>
          <w:jc w:val="center"/>
        </w:trPr>
        <w:tc>
          <w:tcPr>
            <w:tcW w:w="538" w:type="dxa"/>
            <w:vMerge w:val="restart"/>
            <w:vAlign w:val="center"/>
          </w:tcPr>
          <w:p w:rsidR="00BD5820" w:rsidRDefault="00F64314">
            <w:pPr>
              <w:pStyle w:val="afff1"/>
            </w:pPr>
            <w:bookmarkStart w:id="286" w:name="_Hlk105536694"/>
            <w:r>
              <w:t>废气</w:t>
            </w:r>
          </w:p>
        </w:tc>
        <w:tc>
          <w:tcPr>
            <w:tcW w:w="1391" w:type="dxa"/>
            <w:vAlign w:val="center"/>
          </w:tcPr>
          <w:p w:rsidR="00BD5820" w:rsidRDefault="00F64314">
            <w:pPr>
              <w:pStyle w:val="afff1"/>
            </w:pPr>
            <w:r>
              <w:t>车辆行驶、地面开挖</w:t>
            </w:r>
          </w:p>
        </w:tc>
        <w:tc>
          <w:tcPr>
            <w:tcW w:w="1558" w:type="dxa"/>
            <w:vAlign w:val="center"/>
          </w:tcPr>
          <w:p w:rsidR="00BD5820" w:rsidRDefault="00F64314">
            <w:pPr>
              <w:pStyle w:val="afff1"/>
            </w:pPr>
            <w:r>
              <w:t>少量</w:t>
            </w:r>
          </w:p>
        </w:tc>
        <w:tc>
          <w:tcPr>
            <w:tcW w:w="1045" w:type="dxa"/>
            <w:vAlign w:val="center"/>
          </w:tcPr>
          <w:p w:rsidR="00BD5820" w:rsidRDefault="00F64314">
            <w:pPr>
              <w:pStyle w:val="afff1"/>
            </w:pPr>
            <w:r>
              <w:t>间断</w:t>
            </w:r>
          </w:p>
        </w:tc>
        <w:tc>
          <w:tcPr>
            <w:tcW w:w="1705" w:type="dxa"/>
            <w:vAlign w:val="center"/>
          </w:tcPr>
          <w:p w:rsidR="00BD5820" w:rsidRDefault="00F64314">
            <w:pPr>
              <w:pStyle w:val="afff1"/>
            </w:pPr>
            <w:r>
              <w:t>粉尘</w:t>
            </w:r>
          </w:p>
        </w:tc>
        <w:tc>
          <w:tcPr>
            <w:tcW w:w="2521" w:type="dxa"/>
            <w:vMerge w:val="restart"/>
            <w:vAlign w:val="center"/>
          </w:tcPr>
          <w:p w:rsidR="00BD5820" w:rsidRDefault="00F64314">
            <w:pPr>
              <w:pStyle w:val="afff1"/>
            </w:pPr>
            <w:r>
              <w:t>环境空气</w:t>
            </w:r>
          </w:p>
        </w:tc>
      </w:tr>
      <w:bookmarkEnd w:id="286"/>
      <w:tr w:rsidR="00BD5820">
        <w:trPr>
          <w:trHeight w:val="377"/>
          <w:jc w:val="center"/>
        </w:trPr>
        <w:tc>
          <w:tcPr>
            <w:tcW w:w="538" w:type="dxa"/>
            <w:vMerge/>
            <w:vAlign w:val="center"/>
          </w:tcPr>
          <w:p w:rsidR="00BD5820" w:rsidRDefault="00BD5820">
            <w:pPr>
              <w:pStyle w:val="afff1"/>
            </w:pPr>
          </w:p>
        </w:tc>
        <w:tc>
          <w:tcPr>
            <w:tcW w:w="1391" w:type="dxa"/>
            <w:vAlign w:val="center"/>
          </w:tcPr>
          <w:p w:rsidR="00BD5820" w:rsidRDefault="00F64314">
            <w:pPr>
              <w:pStyle w:val="afff1"/>
            </w:pPr>
            <w:r>
              <w:t>施工机械、运输车辆尾气</w:t>
            </w:r>
          </w:p>
        </w:tc>
        <w:tc>
          <w:tcPr>
            <w:tcW w:w="1558" w:type="dxa"/>
            <w:vAlign w:val="center"/>
          </w:tcPr>
          <w:p w:rsidR="00BD5820" w:rsidRDefault="00F64314">
            <w:pPr>
              <w:pStyle w:val="afff1"/>
            </w:pPr>
            <w:r>
              <w:t>少量</w:t>
            </w:r>
          </w:p>
        </w:tc>
        <w:tc>
          <w:tcPr>
            <w:tcW w:w="1045" w:type="dxa"/>
            <w:vAlign w:val="center"/>
          </w:tcPr>
          <w:p w:rsidR="00BD5820" w:rsidRDefault="00F64314">
            <w:pPr>
              <w:pStyle w:val="afff1"/>
            </w:pPr>
            <w:r>
              <w:t>间断</w:t>
            </w:r>
          </w:p>
        </w:tc>
        <w:tc>
          <w:tcPr>
            <w:tcW w:w="1705" w:type="dxa"/>
            <w:vAlign w:val="center"/>
          </w:tcPr>
          <w:p w:rsidR="00BD5820" w:rsidRDefault="00F64314">
            <w:pPr>
              <w:pStyle w:val="afff1"/>
            </w:pPr>
            <w:r>
              <w:t>SO</w:t>
            </w:r>
            <w:r>
              <w:rPr>
                <w:vertAlign w:val="subscript"/>
              </w:rPr>
              <w:t>2</w:t>
            </w:r>
            <w:r>
              <w:t>、</w:t>
            </w:r>
            <w:r>
              <w:t>NO</w:t>
            </w:r>
            <w:r>
              <w:rPr>
                <w:vertAlign w:val="subscript"/>
              </w:rPr>
              <w:t>2</w:t>
            </w:r>
            <w:r>
              <w:t>、</w:t>
            </w:r>
            <w:r>
              <w:t>C</w:t>
            </w:r>
            <w:r>
              <w:rPr>
                <w:vertAlign w:val="subscript"/>
              </w:rPr>
              <w:t>m</w:t>
            </w:r>
            <w:r>
              <w:t>H</w:t>
            </w:r>
            <w:r>
              <w:rPr>
                <w:vertAlign w:val="subscript"/>
              </w:rPr>
              <w:t>n</w:t>
            </w:r>
          </w:p>
        </w:tc>
        <w:tc>
          <w:tcPr>
            <w:tcW w:w="2521" w:type="dxa"/>
            <w:vMerge/>
            <w:vAlign w:val="center"/>
          </w:tcPr>
          <w:p w:rsidR="00BD5820" w:rsidRDefault="00BD5820">
            <w:pPr>
              <w:pStyle w:val="afff1"/>
            </w:pPr>
          </w:p>
        </w:tc>
      </w:tr>
      <w:tr w:rsidR="00BD5820">
        <w:trPr>
          <w:trHeight w:val="377"/>
          <w:jc w:val="center"/>
        </w:trPr>
        <w:tc>
          <w:tcPr>
            <w:tcW w:w="538" w:type="dxa"/>
            <w:vMerge/>
            <w:vAlign w:val="center"/>
          </w:tcPr>
          <w:p w:rsidR="00BD5820" w:rsidRDefault="00BD5820">
            <w:pPr>
              <w:pStyle w:val="afff1"/>
            </w:pPr>
          </w:p>
        </w:tc>
        <w:tc>
          <w:tcPr>
            <w:tcW w:w="1391" w:type="dxa"/>
            <w:vAlign w:val="center"/>
          </w:tcPr>
          <w:p w:rsidR="00BD5820" w:rsidRDefault="00F64314">
            <w:pPr>
              <w:pStyle w:val="afff1"/>
            </w:pPr>
            <w:r>
              <w:rPr>
                <w:szCs w:val="21"/>
              </w:rPr>
              <w:t>焊接烟气</w:t>
            </w:r>
          </w:p>
        </w:tc>
        <w:tc>
          <w:tcPr>
            <w:tcW w:w="1558" w:type="dxa"/>
            <w:vAlign w:val="center"/>
          </w:tcPr>
          <w:p w:rsidR="00BD5820" w:rsidRDefault="00F64314">
            <w:pPr>
              <w:pStyle w:val="afff1"/>
            </w:pPr>
            <w:r>
              <w:rPr>
                <w:rFonts w:hint="eastAsia"/>
              </w:rPr>
              <w:t>49.2</w:t>
            </w:r>
            <w:r>
              <w:t>kg</w:t>
            </w:r>
          </w:p>
        </w:tc>
        <w:tc>
          <w:tcPr>
            <w:tcW w:w="1045" w:type="dxa"/>
            <w:vAlign w:val="center"/>
          </w:tcPr>
          <w:p w:rsidR="00BD5820" w:rsidRDefault="00F64314">
            <w:pPr>
              <w:pStyle w:val="afff1"/>
            </w:pPr>
            <w:bookmarkStart w:id="287" w:name="OLE_LINK276"/>
            <w:bookmarkStart w:id="288" w:name="OLE_LINK275"/>
            <w:r>
              <w:t>间断</w:t>
            </w:r>
            <w:bookmarkEnd w:id="287"/>
            <w:bookmarkEnd w:id="288"/>
          </w:p>
        </w:tc>
        <w:tc>
          <w:tcPr>
            <w:tcW w:w="1705" w:type="dxa"/>
            <w:vAlign w:val="center"/>
          </w:tcPr>
          <w:p w:rsidR="00BD5820" w:rsidRDefault="00F64314">
            <w:pPr>
              <w:pStyle w:val="afff1"/>
            </w:pPr>
            <w:r>
              <w:t>烟尘</w:t>
            </w:r>
          </w:p>
        </w:tc>
        <w:tc>
          <w:tcPr>
            <w:tcW w:w="2521" w:type="dxa"/>
            <w:vMerge/>
            <w:vAlign w:val="center"/>
          </w:tcPr>
          <w:p w:rsidR="00BD5820" w:rsidRDefault="00BD5820">
            <w:pPr>
              <w:pStyle w:val="afff1"/>
            </w:pPr>
          </w:p>
        </w:tc>
      </w:tr>
      <w:tr w:rsidR="00BD5820">
        <w:trPr>
          <w:trHeight w:val="377"/>
          <w:jc w:val="center"/>
        </w:trPr>
        <w:tc>
          <w:tcPr>
            <w:tcW w:w="538" w:type="dxa"/>
            <w:vMerge/>
            <w:vAlign w:val="center"/>
          </w:tcPr>
          <w:p w:rsidR="00BD5820" w:rsidRDefault="00BD5820">
            <w:pPr>
              <w:pStyle w:val="afff1"/>
            </w:pPr>
          </w:p>
        </w:tc>
        <w:tc>
          <w:tcPr>
            <w:tcW w:w="1391" w:type="dxa"/>
            <w:vAlign w:val="center"/>
          </w:tcPr>
          <w:p w:rsidR="00BD5820" w:rsidRDefault="00F64314">
            <w:pPr>
              <w:pStyle w:val="afff1"/>
              <w:rPr>
                <w:szCs w:val="21"/>
              </w:rPr>
            </w:pPr>
            <w:r>
              <w:rPr>
                <w:rFonts w:hint="eastAsia"/>
                <w:szCs w:val="21"/>
              </w:rPr>
              <w:t>食堂油烟</w:t>
            </w:r>
          </w:p>
        </w:tc>
        <w:tc>
          <w:tcPr>
            <w:tcW w:w="1558" w:type="dxa"/>
            <w:vAlign w:val="center"/>
          </w:tcPr>
          <w:p w:rsidR="00BD5820" w:rsidRDefault="00F64314">
            <w:pPr>
              <w:pStyle w:val="afff1"/>
            </w:pPr>
            <w:r>
              <w:rPr>
                <w:rFonts w:hint="eastAsia"/>
              </w:rPr>
              <w:t>少量</w:t>
            </w:r>
          </w:p>
        </w:tc>
        <w:tc>
          <w:tcPr>
            <w:tcW w:w="1045" w:type="dxa"/>
            <w:vAlign w:val="center"/>
          </w:tcPr>
          <w:p w:rsidR="00BD5820" w:rsidRDefault="00F64314">
            <w:pPr>
              <w:pStyle w:val="afff1"/>
            </w:pPr>
            <w:r>
              <w:rPr>
                <w:rFonts w:hint="eastAsia"/>
              </w:rPr>
              <w:t>间断</w:t>
            </w:r>
          </w:p>
        </w:tc>
        <w:tc>
          <w:tcPr>
            <w:tcW w:w="1705" w:type="dxa"/>
            <w:vAlign w:val="center"/>
          </w:tcPr>
          <w:p w:rsidR="00BD5820" w:rsidRDefault="00F64314">
            <w:pPr>
              <w:pStyle w:val="afff1"/>
            </w:pPr>
            <w:r>
              <w:rPr>
                <w:rFonts w:hint="eastAsia"/>
              </w:rPr>
              <w:t>油烟、非甲烷总烃</w:t>
            </w:r>
          </w:p>
        </w:tc>
        <w:tc>
          <w:tcPr>
            <w:tcW w:w="2521" w:type="dxa"/>
            <w:vMerge/>
            <w:vAlign w:val="center"/>
          </w:tcPr>
          <w:p w:rsidR="00BD5820" w:rsidRDefault="00BD5820">
            <w:pPr>
              <w:pStyle w:val="afff1"/>
            </w:pPr>
          </w:p>
        </w:tc>
      </w:tr>
      <w:tr w:rsidR="00BD5820">
        <w:trPr>
          <w:trHeight w:val="366"/>
          <w:jc w:val="center"/>
        </w:trPr>
        <w:tc>
          <w:tcPr>
            <w:tcW w:w="538" w:type="dxa"/>
            <w:vMerge w:val="restart"/>
            <w:vAlign w:val="center"/>
          </w:tcPr>
          <w:p w:rsidR="00BD5820" w:rsidRDefault="00F64314">
            <w:pPr>
              <w:pStyle w:val="afff1"/>
            </w:pPr>
            <w:r>
              <w:t>废水</w:t>
            </w:r>
          </w:p>
        </w:tc>
        <w:tc>
          <w:tcPr>
            <w:tcW w:w="1391" w:type="dxa"/>
            <w:vAlign w:val="center"/>
          </w:tcPr>
          <w:p w:rsidR="00BD5820" w:rsidRDefault="00F64314">
            <w:pPr>
              <w:pStyle w:val="afff1"/>
            </w:pPr>
            <w:r>
              <w:t>施工人员生活污水</w:t>
            </w:r>
          </w:p>
        </w:tc>
        <w:tc>
          <w:tcPr>
            <w:tcW w:w="1558" w:type="dxa"/>
            <w:vAlign w:val="center"/>
          </w:tcPr>
          <w:p w:rsidR="00BD5820" w:rsidRDefault="00F64314">
            <w:pPr>
              <w:pStyle w:val="afff1"/>
            </w:pPr>
            <w:r>
              <w:rPr>
                <w:rFonts w:hint="eastAsia"/>
              </w:rPr>
              <w:t>288</w:t>
            </w:r>
            <w:r>
              <w:t>m</w:t>
            </w:r>
            <w:r>
              <w:rPr>
                <w:vertAlign w:val="superscript"/>
              </w:rPr>
              <w:t>3</w:t>
            </w:r>
          </w:p>
        </w:tc>
        <w:tc>
          <w:tcPr>
            <w:tcW w:w="1045" w:type="dxa"/>
            <w:vAlign w:val="center"/>
          </w:tcPr>
          <w:p w:rsidR="00BD5820" w:rsidRDefault="00F64314">
            <w:pPr>
              <w:pStyle w:val="afff1"/>
            </w:pPr>
            <w:r>
              <w:t>间断</w:t>
            </w:r>
          </w:p>
        </w:tc>
        <w:tc>
          <w:tcPr>
            <w:tcW w:w="1705" w:type="dxa"/>
            <w:vAlign w:val="center"/>
          </w:tcPr>
          <w:p w:rsidR="00BD5820" w:rsidRDefault="00F64314">
            <w:pPr>
              <w:pStyle w:val="afff1"/>
            </w:pPr>
            <w:r>
              <w:t>COD</w:t>
            </w:r>
            <w:r>
              <w:t>、</w:t>
            </w:r>
            <w:r>
              <w:t>BOD</w:t>
            </w:r>
            <w:r>
              <w:rPr>
                <w:vertAlign w:val="subscript"/>
              </w:rPr>
              <w:t>5</w:t>
            </w:r>
            <w:r>
              <w:t>、氨氮</w:t>
            </w:r>
          </w:p>
        </w:tc>
        <w:tc>
          <w:tcPr>
            <w:tcW w:w="2521" w:type="dxa"/>
            <w:vAlign w:val="center"/>
          </w:tcPr>
          <w:p w:rsidR="00BD5820" w:rsidRDefault="00F64314">
            <w:pPr>
              <w:pStyle w:val="afff1"/>
            </w:pPr>
            <w:r>
              <w:rPr>
                <w:spacing w:val="-8"/>
                <w:szCs w:val="21"/>
              </w:rPr>
              <w:t>施工期管线施工人员生活污水依托租用附近居民房收集处理</w:t>
            </w:r>
            <w:r>
              <w:rPr>
                <w:rFonts w:hint="eastAsia"/>
                <w:spacing w:val="-8"/>
                <w:szCs w:val="21"/>
              </w:rPr>
              <w:t>，站场</w:t>
            </w:r>
            <w:r>
              <w:rPr>
                <w:spacing w:val="-8"/>
                <w:szCs w:val="21"/>
              </w:rPr>
              <w:t>施工</w:t>
            </w:r>
            <w:r>
              <w:rPr>
                <w:rFonts w:hint="eastAsia"/>
                <w:spacing w:val="-8"/>
                <w:szCs w:val="21"/>
              </w:rPr>
              <w:t>入厕生活污水依托</w:t>
            </w:r>
            <w:r>
              <w:rPr>
                <w:spacing w:val="-8"/>
                <w:szCs w:val="21"/>
              </w:rPr>
              <w:t>经</w:t>
            </w:r>
            <w:r>
              <w:rPr>
                <w:bCs/>
                <w:spacing w:val="-8"/>
                <w:szCs w:val="21"/>
              </w:rPr>
              <w:t>生态环保厕所收集处理</w:t>
            </w:r>
            <w:r>
              <w:t>后，用作周边农肥，不外排</w:t>
            </w:r>
            <w:r>
              <w:rPr>
                <w:rFonts w:hint="eastAsia"/>
              </w:rPr>
              <w:t>；员工洗澡、食堂废水经单独收集后拉运至普光镇</w:t>
            </w:r>
            <w:r>
              <w:rPr>
                <w:rFonts w:hint="eastAsia"/>
              </w:rPr>
              <w:lastRenderedPageBreak/>
              <w:t>场镇污水处理厂处理</w:t>
            </w:r>
          </w:p>
        </w:tc>
      </w:tr>
      <w:tr w:rsidR="00BD5820">
        <w:trPr>
          <w:trHeight w:val="377"/>
          <w:jc w:val="center"/>
        </w:trPr>
        <w:tc>
          <w:tcPr>
            <w:tcW w:w="538" w:type="dxa"/>
            <w:vMerge/>
            <w:vAlign w:val="center"/>
          </w:tcPr>
          <w:p w:rsidR="00BD5820" w:rsidRDefault="00BD5820">
            <w:pPr>
              <w:pStyle w:val="afff1"/>
            </w:pPr>
          </w:p>
        </w:tc>
        <w:tc>
          <w:tcPr>
            <w:tcW w:w="1391" w:type="dxa"/>
            <w:vAlign w:val="center"/>
          </w:tcPr>
          <w:p w:rsidR="00BD5820" w:rsidRDefault="00F64314">
            <w:pPr>
              <w:pStyle w:val="afff1"/>
            </w:pPr>
            <w:r>
              <w:t>管道清管试压排水</w:t>
            </w:r>
          </w:p>
        </w:tc>
        <w:tc>
          <w:tcPr>
            <w:tcW w:w="1558" w:type="dxa"/>
            <w:vAlign w:val="center"/>
          </w:tcPr>
          <w:p w:rsidR="00BD5820" w:rsidRDefault="00F64314">
            <w:pPr>
              <w:pStyle w:val="afff1"/>
            </w:pPr>
            <w:r>
              <w:rPr>
                <w:rFonts w:hint="eastAsia"/>
              </w:rPr>
              <w:t>1</w:t>
            </w:r>
            <w:r>
              <w:t>00m</w:t>
            </w:r>
            <w:r>
              <w:rPr>
                <w:vertAlign w:val="superscript"/>
              </w:rPr>
              <w:t>3</w:t>
            </w:r>
          </w:p>
        </w:tc>
        <w:tc>
          <w:tcPr>
            <w:tcW w:w="1045" w:type="dxa"/>
            <w:vAlign w:val="center"/>
          </w:tcPr>
          <w:p w:rsidR="00BD5820" w:rsidRDefault="00F64314">
            <w:pPr>
              <w:pStyle w:val="afff1"/>
            </w:pPr>
            <w:r>
              <w:t>间断</w:t>
            </w:r>
          </w:p>
        </w:tc>
        <w:tc>
          <w:tcPr>
            <w:tcW w:w="1705" w:type="dxa"/>
            <w:vAlign w:val="center"/>
          </w:tcPr>
          <w:p w:rsidR="00BD5820" w:rsidRDefault="00F64314">
            <w:pPr>
              <w:pStyle w:val="afff1"/>
            </w:pPr>
            <w:r>
              <w:t>少量铁锈、泥沙</w:t>
            </w:r>
          </w:p>
        </w:tc>
        <w:tc>
          <w:tcPr>
            <w:tcW w:w="2521" w:type="dxa"/>
            <w:vAlign w:val="center"/>
          </w:tcPr>
          <w:p w:rsidR="00BD5820" w:rsidRDefault="00F64314">
            <w:pPr>
              <w:pStyle w:val="afff1"/>
            </w:pPr>
            <w:r>
              <w:t>沉淀池沉淀后</w:t>
            </w:r>
            <w:r>
              <w:rPr>
                <w:rFonts w:hint="eastAsia"/>
              </w:rPr>
              <w:t>回用，不外排</w:t>
            </w:r>
          </w:p>
        </w:tc>
      </w:tr>
      <w:tr w:rsidR="00BD5820">
        <w:trPr>
          <w:trHeight w:val="377"/>
          <w:jc w:val="center"/>
        </w:trPr>
        <w:tc>
          <w:tcPr>
            <w:tcW w:w="538" w:type="dxa"/>
            <w:vMerge/>
            <w:vAlign w:val="center"/>
          </w:tcPr>
          <w:p w:rsidR="00BD5820" w:rsidRDefault="00BD5820">
            <w:pPr>
              <w:pStyle w:val="afff1"/>
            </w:pPr>
          </w:p>
        </w:tc>
        <w:tc>
          <w:tcPr>
            <w:tcW w:w="1391" w:type="dxa"/>
            <w:vAlign w:val="center"/>
          </w:tcPr>
          <w:p w:rsidR="00BD5820" w:rsidRDefault="00F64314">
            <w:pPr>
              <w:pStyle w:val="afff1"/>
            </w:pPr>
            <w:r>
              <w:rPr>
                <w:rFonts w:hint="eastAsia"/>
              </w:rPr>
              <w:t>站场</w:t>
            </w:r>
            <w:r>
              <w:t>施工废水</w:t>
            </w:r>
            <w:r>
              <w:rPr>
                <w:rFonts w:hint="eastAsia"/>
              </w:rPr>
              <w:t>（施工机械、车辆清洗等）</w:t>
            </w:r>
          </w:p>
        </w:tc>
        <w:tc>
          <w:tcPr>
            <w:tcW w:w="1558" w:type="dxa"/>
            <w:vAlign w:val="center"/>
          </w:tcPr>
          <w:p w:rsidR="00BD5820" w:rsidRDefault="00F64314">
            <w:pPr>
              <w:pStyle w:val="afff1"/>
            </w:pPr>
            <w:r>
              <w:rPr>
                <w:rFonts w:hint="eastAsia"/>
              </w:rPr>
              <w:t>/</w:t>
            </w:r>
          </w:p>
        </w:tc>
        <w:tc>
          <w:tcPr>
            <w:tcW w:w="1045" w:type="dxa"/>
            <w:vAlign w:val="center"/>
          </w:tcPr>
          <w:p w:rsidR="00BD5820" w:rsidRDefault="00F64314">
            <w:pPr>
              <w:pStyle w:val="afff1"/>
            </w:pPr>
            <w:r>
              <w:t>间断</w:t>
            </w:r>
          </w:p>
        </w:tc>
        <w:tc>
          <w:tcPr>
            <w:tcW w:w="1705" w:type="dxa"/>
            <w:vAlign w:val="center"/>
          </w:tcPr>
          <w:p w:rsidR="00BD5820" w:rsidRDefault="00F64314">
            <w:pPr>
              <w:pStyle w:val="afff1"/>
            </w:pPr>
            <w:bookmarkStart w:id="289" w:name="OLE_LINK284"/>
            <w:r>
              <w:t>SS</w:t>
            </w:r>
            <w:bookmarkEnd w:id="289"/>
          </w:p>
        </w:tc>
        <w:tc>
          <w:tcPr>
            <w:tcW w:w="2521" w:type="dxa"/>
            <w:vAlign w:val="center"/>
          </w:tcPr>
          <w:p w:rsidR="00BD5820" w:rsidRDefault="00F64314">
            <w:pPr>
              <w:pStyle w:val="afff1"/>
            </w:pPr>
            <w:r>
              <w:t>经隔油沉淀池收集处理后，洒水降尘</w:t>
            </w:r>
          </w:p>
        </w:tc>
      </w:tr>
      <w:tr w:rsidR="00BD5820">
        <w:trPr>
          <w:trHeight w:val="177"/>
          <w:jc w:val="center"/>
        </w:trPr>
        <w:tc>
          <w:tcPr>
            <w:tcW w:w="538" w:type="dxa"/>
            <w:vMerge w:val="restart"/>
            <w:vAlign w:val="center"/>
          </w:tcPr>
          <w:p w:rsidR="00BD5820" w:rsidRDefault="00F64314">
            <w:pPr>
              <w:pStyle w:val="afff1"/>
            </w:pPr>
            <w:r>
              <w:t>固废</w:t>
            </w:r>
          </w:p>
        </w:tc>
        <w:tc>
          <w:tcPr>
            <w:tcW w:w="1391" w:type="dxa"/>
            <w:vAlign w:val="center"/>
          </w:tcPr>
          <w:p w:rsidR="00BD5820" w:rsidRDefault="00F64314">
            <w:pPr>
              <w:pStyle w:val="afff1"/>
            </w:pPr>
            <w:r>
              <w:t>生活垃圾</w:t>
            </w:r>
          </w:p>
        </w:tc>
        <w:tc>
          <w:tcPr>
            <w:tcW w:w="1558" w:type="dxa"/>
            <w:vAlign w:val="center"/>
          </w:tcPr>
          <w:p w:rsidR="00BD5820" w:rsidRDefault="00F64314">
            <w:pPr>
              <w:pStyle w:val="afff1"/>
            </w:pPr>
            <w:r>
              <w:rPr>
                <w:rFonts w:hint="eastAsia"/>
              </w:rPr>
              <w:t>1.8</w:t>
            </w:r>
            <w:r>
              <w:t>t</w:t>
            </w:r>
          </w:p>
        </w:tc>
        <w:tc>
          <w:tcPr>
            <w:tcW w:w="1045" w:type="dxa"/>
            <w:vAlign w:val="center"/>
          </w:tcPr>
          <w:p w:rsidR="00BD5820" w:rsidRDefault="00F64314">
            <w:pPr>
              <w:pStyle w:val="afff1"/>
            </w:pPr>
            <w:r>
              <w:t>间断</w:t>
            </w:r>
          </w:p>
        </w:tc>
        <w:tc>
          <w:tcPr>
            <w:tcW w:w="1705" w:type="dxa"/>
            <w:vAlign w:val="center"/>
          </w:tcPr>
          <w:p w:rsidR="00BD5820" w:rsidRDefault="00F64314">
            <w:pPr>
              <w:pStyle w:val="afff1"/>
            </w:pPr>
            <w:bookmarkStart w:id="290" w:name="OLE_LINK286"/>
            <w:bookmarkStart w:id="291" w:name="OLE_LINK285"/>
            <w:r>
              <w:t>/</w:t>
            </w:r>
            <w:bookmarkEnd w:id="290"/>
            <w:bookmarkEnd w:id="291"/>
          </w:p>
        </w:tc>
        <w:tc>
          <w:tcPr>
            <w:tcW w:w="2521" w:type="dxa"/>
            <w:vAlign w:val="center"/>
          </w:tcPr>
          <w:p w:rsidR="00BD5820" w:rsidRDefault="00F64314">
            <w:pPr>
              <w:pStyle w:val="afff1"/>
            </w:pPr>
            <w:r>
              <w:t>当地环卫部门处理</w:t>
            </w:r>
          </w:p>
        </w:tc>
      </w:tr>
      <w:tr w:rsidR="00BD5820">
        <w:trPr>
          <w:trHeight w:val="177"/>
          <w:jc w:val="center"/>
        </w:trPr>
        <w:tc>
          <w:tcPr>
            <w:tcW w:w="538" w:type="dxa"/>
            <w:vMerge/>
            <w:vAlign w:val="center"/>
          </w:tcPr>
          <w:p w:rsidR="00BD5820" w:rsidRDefault="00BD5820">
            <w:pPr>
              <w:pStyle w:val="afff1"/>
            </w:pPr>
          </w:p>
        </w:tc>
        <w:tc>
          <w:tcPr>
            <w:tcW w:w="1391" w:type="dxa"/>
            <w:vMerge w:val="restart"/>
            <w:vAlign w:val="center"/>
          </w:tcPr>
          <w:p w:rsidR="00BD5820" w:rsidRDefault="00F64314">
            <w:pPr>
              <w:pStyle w:val="afff1"/>
            </w:pPr>
            <w:r>
              <w:t>施工废料</w:t>
            </w:r>
          </w:p>
        </w:tc>
        <w:tc>
          <w:tcPr>
            <w:tcW w:w="1558" w:type="dxa"/>
            <w:vAlign w:val="center"/>
          </w:tcPr>
          <w:p w:rsidR="00BD5820" w:rsidRDefault="00F64314">
            <w:pPr>
              <w:pStyle w:val="afff1"/>
            </w:pPr>
            <w:r>
              <w:rPr>
                <w:rFonts w:hint="eastAsia"/>
              </w:rPr>
              <w:t>0.82</w:t>
            </w:r>
            <w:r>
              <w:t>t</w:t>
            </w:r>
          </w:p>
        </w:tc>
        <w:tc>
          <w:tcPr>
            <w:tcW w:w="1045" w:type="dxa"/>
            <w:vAlign w:val="center"/>
          </w:tcPr>
          <w:p w:rsidR="00BD5820" w:rsidRDefault="00F64314">
            <w:pPr>
              <w:pStyle w:val="afff1"/>
            </w:pPr>
            <w:r>
              <w:t>间断</w:t>
            </w:r>
          </w:p>
        </w:tc>
        <w:tc>
          <w:tcPr>
            <w:tcW w:w="1705" w:type="dxa"/>
            <w:vAlign w:val="center"/>
          </w:tcPr>
          <w:p w:rsidR="00BD5820" w:rsidRDefault="00F64314">
            <w:pPr>
              <w:pStyle w:val="afff1"/>
            </w:pPr>
            <w:r>
              <w:t>铁屑、废焊条、废弃混凝土等</w:t>
            </w:r>
          </w:p>
        </w:tc>
        <w:tc>
          <w:tcPr>
            <w:tcW w:w="2521" w:type="dxa"/>
            <w:vAlign w:val="center"/>
          </w:tcPr>
          <w:p w:rsidR="00BD5820" w:rsidRDefault="00F64314">
            <w:pPr>
              <w:pStyle w:val="afff1"/>
            </w:pPr>
            <w:r>
              <w:t>部分回收利用，剩余部分当地环卫部门处理</w:t>
            </w:r>
          </w:p>
        </w:tc>
      </w:tr>
      <w:tr w:rsidR="00BD5820">
        <w:trPr>
          <w:trHeight w:val="177"/>
          <w:jc w:val="center"/>
        </w:trPr>
        <w:tc>
          <w:tcPr>
            <w:tcW w:w="538" w:type="dxa"/>
            <w:vMerge/>
            <w:vAlign w:val="center"/>
          </w:tcPr>
          <w:p w:rsidR="00BD5820" w:rsidRDefault="00BD5820">
            <w:pPr>
              <w:pStyle w:val="afff1"/>
            </w:pPr>
          </w:p>
        </w:tc>
        <w:tc>
          <w:tcPr>
            <w:tcW w:w="1391" w:type="dxa"/>
            <w:vMerge/>
            <w:vAlign w:val="center"/>
          </w:tcPr>
          <w:p w:rsidR="00BD5820" w:rsidRDefault="00BD5820">
            <w:pPr>
              <w:pStyle w:val="afff1"/>
            </w:pPr>
          </w:p>
        </w:tc>
        <w:tc>
          <w:tcPr>
            <w:tcW w:w="1558" w:type="dxa"/>
            <w:vAlign w:val="center"/>
          </w:tcPr>
          <w:p w:rsidR="00BD5820" w:rsidRDefault="00F64314">
            <w:pPr>
              <w:pStyle w:val="afff1"/>
            </w:pPr>
            <w:r>
              <w:t>一定量</w:t>
            </w:r>
          </w:p>
        </w:tc>
        <w:tc>
          <w:tcPr>
            <w:tcW w:w="1045" w:type="dxa"/>
            <w:vAlign w:val="center"/>
          </w:tcPr>
          <w:p w:rsidR="00BD5820" w:rsidRDefault="00F64314">
            <w:pPr>
              <w:pStyle w:val="afff1"/>
            </w:pPr>
            <w:bookmarkStart w:id="292" w:name="OLE_LINK73"/>
            <w:bookmarkStart w:id="293" w:name="OLE_LINK63"/>
            <w:r>
              <w:t>间断</w:t>
            </w:r>
            <w:bookmarkEnd w:id="292"/>
            <w:bookmarkEnd w:id="293"/>
          </w:p>
        </w:tc>
        <w:tc>
          <w:tcPr>
            <w:tcW w:w="1705" w:type="dxa"/>
            <w:vAlign w:val="center"/>
          </w:tcPr>
          <w:p w:rsidR="00BD5820" w:rsidRDefault="00F64314">
            <w:pPr>
              <w:pStyle w:val="afff1"/>
            </w:pPr>
            <w:r>
              <w:t>接口处废弃防腐材料及少量废油漆桶</w:t>
            </w:r>
          </w:p>
        </w:tc>
        <w:tc>
          <w:tcPr>
            <w:tcW w:w="2521" w:type="dxa"/>
            <w:vAlign w:val="center"/>
          </w:tcPr>
          <w:p w:rsidR="00BD5820" w:rsidRDefault="00F64314">
            <w:pPr>
              <w:pStyle w:val="afff1"/>
            </w:pPr>
            <w:r>
              <w:t>施工单位收集后交有资质单位处置</w:t>
            </w:r>
          </w:p>
        </w:tc>
      </w:tr>
      <w:tr w:rsidR="00BD5820">
        <w:trPr>
          <w:trHeight w:val="68"/>
          <w:jc w:val="center"/>
        </w:trPr>
        <w:tc>
          <w:tcPr>
            <w:tcW w:w="538" w:type="dxa"/>
            <w:vAlign w:val="center"/>
          </w:tcPr>
          <w:p w:rsidR="00BD5820" w:rsidRDefault="00F64314">
            <w:pPr>
              <w:pStyle w:val="afff1"/>
            </w:pPr>
            <w:r>
              <w:t>噪声</w:t>
            </w:r>
          </w:p>
        </w:tc>
        <w:tc>
          <w:tcPr>
            <w:tcW w:w="1391" w:type="dxa"/>
            <w:vAlign w:val="center"/>
          </w:tcPr>
          <w:p w:rsidR="00BD5820" w:rsidRDefault="00F64314">
            <w:pPr>
              <w:pStyle w:val="afff1"/>
            </w:pPr>
            <w:r>
              <w:rPr>
                <w:rFonts w:hint="eastAsia"/>
              </w:rPr>
              <w:t>站场、管道</w:t>
            </w:r>
            <w:r>
              <w:t>施工机械、运输车辆</w:t>
            </w:r>
          </w:p>
        </w:tc>
        <w:tc>
          <w:tcPr>
            <w:tcW w:w="1558" w:type="dxa"/>
            <w:vAlign w:val="center"/>
          </w:tcPr>
          <w:p w:rsidR="00BD5820" w:rsidRDefault="00F64314">
            <w:pPr>
              <w:pStyle w:val="afff1"/>
            </w:pPr>
            <w:r>
              <w:t>85</w:t>
            </w:r>
            <w:r>
              <w:t>～</w:t>
            </w:r>
            <w:r>
              <w:t>105dB</w:t>
            </w:r>
            <w:r>
              <w:rPr>
                <w:rFonts w:hint="eastAsia"/>
              </w:rPr>
              <w:t>（</w:t>
            </w:r>
            <w:r>
              <w:t>A</w:t>
            </w:r>
            <w:r>
              <w:rPr>
                <w:rFonts w:hint="eastAsia"/>
              </w:rPr>
              <w:t>）</w:t>
            </w:r>
          </w:p>
        </w:tc>
        <w:tc>
          <w:tcPr>
            <w:tcW w:w="1045" w:type="dxa"/>
            <w:vAlign w:val="center"/>
          </w:tcPr>
          <w:p w:rsidR="00BD5820" w:rsidRDefault="00F64314">
            <w:pPr>
              <w:pStyle w:val="afff1"/>
            </w:pPr>
            <w:r>
              <w:t>间断</w:t>
            </w:r>
          </w:p>
        </w:tc>
        <w:tc>
          <w:tcPr>
            <w:tcW w:w="1705" w:type="dxa"/>
            <w:vAlign w:val="center"/>
          </w:tcPr>
          <w:p w:rsidR="00BD5820" w:rsidRDefault="00F64314">
            <w:pPr>
              <w:pStyle w:val="afff1"/>
            </w:pPr>
            <w:bookmarkStart w:id="294" w:name="OLE_LINK120"/>
            <w:bookmarkStart w:id="295" w:name="OLE_LINK119"/>
            <w:r>
              <w:t>噪声</w:t>
            </w:r>
            <w:bookmarkEnd w:id="294"/>
            <w:bookmarkEnd w:id="295"/>
          </w:p>
        </w:tc>
        <w:tc>
          <w:tcPr>
            <w:tcW w:w="2521" w:type="dxa"/>
            <w:vAlign w:val="center"/>
          </w:tcPr>
          <w:p w:rsidR="00BD5820" w:rsidRDefault="00F64314">
            <w:pPr>
              <w:pStyle w:val="afff1"/>
            </w:pPr>
            <w:r>
              <w:t>合理安排施工作业时间，合理布局施工现场；夜间原则上禁止施工，若遇特定工艺需连续作业需报相关部门同意后，方可开展夜间施工，同时做好夜间环境保护防护及应急措施；在施工沿线居民集中点设挡声板</w:t>
            </w:r>
          </w:p>
        </w:tc>
      </w:tr>
    </w:tbl>
    <w:p w:rsidR="00BD5820" w:rsidRDefault="00F64314">
      <w:pPr>
        <w:pStyle w:val="2"/>
        <w:spacing w:before="120"/>
        <w:rPr>
          <w:rFonts w:cs="Times New Roman"/>
        </w:rPr>
      </w:pPr>
      <w:bookmarkStart w:id="296" w:name="bookmark24"/>
      <w:bookmarkStart w:id="297" w:name="_Toc19815990"/>
      <w:bookmarkStart w:id="298" w:name="_Toc12288519"/>
      <w:bookmarkStart w:id="299" w:name="_Toc8193"/>
      <w:bookmarkEnd w:id="296"/>
      <w:r>
        <w:rPr>
          <w:rFonts w:cs="Times New Roman"/>
        </w:rPr>
        <w:t xml:space="preserve">4.2 </w:t>
      </w:r>
      <w:r>
        <w:rPr>
          <w:rFonts w:cs="Times New Roman"/>
        </w:rPr>
        <w:t>运营期</w:t>
      </w:r>
      <w:bookmarkEnd w:id="297"/>
      <w:bookmarkEnd w:id="298"/>
      <w:r>
        <w:rPr>
          <w:rFonts w:cs="Times New Roman"/>
        </w:rPr>
        <w:t>工程分析</w:t>
      </w:r>
      <w:bookmarkEnd w:id="299"/>
    </w:p>
    <w:p w:rsidR="00BD5820" w:rsidRDefault="00F64314">
      <w:pPr>
        <w:pStyle w:val="3"/>
        <w:rPr>
          <w:rFonts w:eastAsia="宋体"/>
        </w:rPr>
      </w:pPr>
      <w:r>
        <w:rPr>
          <w:rFonts w:eastAsia="宋体"/>
        </w:rPr>
        <w:t xml:space="preserve">4.2.1 </w:t>
      </w:r>
      <w:r>
        <w:rPr>
          <w:rFonts w:eastAsia="宋体"/>
        </w:rPr>
        <w:t>营运期工艺流程</w:t>
      </w:r>
    </w:p>
    <w:p w:rsidR="00BD5820" w:rsidRDefault="00F64314">
      <w:pPr>
        <w:ind w:firstLineChars="0" w:firstLine="480"/>
        <w:rPr>
          <w:rFonts w:ascii="Times New Roman" w:cs="Times New Roman"/>
          <w:kern w:val="2"/>
          <w:shd w:val="clear" w:color="auto" w:fill="FFFFFF"/>
        </w:rPr>
      </w:pPr>
      <w:r>
        <w:rPr>
          <w:rFonts w:ascii="Times New Roman" w:cs="Times New Roman" w:hint="eastAsia"/>
          <w:kern w:val="2"/>
          <w:shd w:val="clear" w:color="auto" w:fill="FFFFFF"/>
        </w:rPr>
        <w:t>1</w:t>
      </w:r>
      <w:r>
        <w:rPr>
          <w:rFonts w:ascii="Times New Roman" w:cs="Times New Roman" w:hint="eastAsia"/>
          <w:kern w:val="2"/>
          <w:shd w:val="clear" w:color="auto" w:fill="FFFFFF"/>
        </w:rPr>
        <w:t>、工艺技术路线及规模</w:t>
      </w:r>
    </w:p>
    <w:p w:rsidR="00BD5820" w:rsidRDefault="00F64314">
      <w:pPr>
        <w:ind w:firstLineChars="0" w:firstLine="480"/>
        <w:rPr>
          <w:rFonts w:ascii="Times New Roman" w:cs="Times New Roman"/>
          <w:kern w:val="2"/>
          <w:shd w:val="clear" w:color="auto" w:fill="FFFFFF"/>
        </w:rPr>
      </w:pPr>
      <w:r>
        <w:rPr>
          <w:rFonts w:ascii="Times New Roman" w:cs="Times New Roman" w:hint="eastAsia"/>
          <w:kern w:val="2"/>
          <w:shd w:val="clear" w:color="auto" w:fill="FFFFFF"/>
        </w:rPr>
        <w:t>P102</w:t>
      </w:r>
      <w:r>
        <w:rPr>
          <w:rFonts w:ascii="Times New Roman" w:cs="Times New Roman" w:hint="eastAsia"/>
          <w:kern w:val="2"/>
          <w:shd w:val="clear" w:color="auto" w:fill="FFFFFF"/>
        </w:rPr>
        <w:t>集气站上游所辖气井通过新建</w:t>
      </w:r>
      <w:r>
        <w:rPr>
          <w:rFonts w:ascii="Times New Roman" w:cs="Times New Roman" w:hint="eastAsia"/>
          <w:kern w:val="2"/>
          <w:shd w:val="clear" w:color="auto" w:fill="FFFFFF"/>
        </w:rPr>
        <w:t>P106-P104-</w:t>
      </w:r>
      <w:r w:rsidR="00924F51">
        <w:rPr>
          <w:rFonts w:ascii="Times New Roman" w:cs="Times New Roman" w:hint="eastAsia"/>
          <w:kern w:val="2"/>
          <w:shd w:val="clear" w:color="auto" w:fill="FFFFFF"/>
        </w:rPr>
        <w:t>普光气田</w:t>
      </w:r>
      <w:r w:rsidR="00924F51">
        <w:rPr>
          <w:rFonts w:ascii="Times New Roman" w:cs="Times New Roman" w:hint="eastAsia"/>
          <w:kern w:val="2"/>
          <w:shd w:val="clear" w:color="auto" w:fill="FFFFFF"/>
        </w:rPr>
        <w:t>1#</w:t>
      </w:r>
      <w:r w:rsidR="00924F51">
        <w:rPr>
          <w:rFonts w:ascii="Times New Roman" w:cs="Times New Roman" w:hint="eastAsia"/>
          <w:kern w:val="2"/>
          <w:shd w:val="clear" w:color="auto" w:fill="FFFFFF"/>
        </w:rPr>
        <w:t>增压站</w:t>
      </w:r>
      <w:r>
        <w:rPr>
          <w:rFonts w:ascii="Times New Roman" w:cs="Times New Roman" w:hint="eastAsia"/>
          <w:kern w:val="2"/>
          <w:shd w:val="clear" w:color="auto" w:fill="FFFFFF"/>
        </w:rPr>
        <w:t>集输管线接入普光气田</w:t>
      </w:r>
      <w:r>
        <w:rPr>
          <w:rFonts w:ascii="Times New Roman" w:cs="Times New Roman" w:hint="eastAsia"/>
          <w:kern w:val="2"/>
          <w:shd w:val="clear" w:color="auto" w:fill="FFFFFF"/>
        </w:rPr>
        <w:t>1#</w:t>
      </w:r>
      <w:r>
        <w:rPr>
          <w:rFonts w:ascii="Times New Roman" w:cs="Times New Roman" w:hint="eastAsia"/>
          <w:kern w:val="2"/>
          <w:shd w:val="clear" w:color="auto" w:fill="FFFFFF"/>
        </w:rPr>
        <w:t>增压站增压，</w:t>
      </w:r>
      <w:r>
        <w:rPr>
          <w:rFonts w:ascii="Times New Roman" w:cs="Times New Roman" w:hint="eastAsia"/>
          <w:kern w:val="2"/>
          <w:shd w:val="clear" w:color="auto" w:fill="FFFFFF"/>
        </w:rPr>
        <w:t>P102</w:t>
      </w:r>
      <w:r>
        <w:rPr>
          <w:rFonts w:ascii="Times New Roman" w:cs="Times New Roman" w:hint="eastAsia"/>
          <w:kern w:val="2"/>
          <w:shd w:val="clear" w:color="auto" w:fill="FFFFFF"/>
        </w:rPr>
        <w:t>集气站本站和上游</w:t>
      </w:r>
      <w:r>
        <w:rPr>
          <w:rFonts w:ascii="Times New Roman" w:cs="Times New Roman" w:hint="eastAsia"/>
          <w:kern w:val="2"/>
          <w:shd w:val="clear" w:color="auto" w:fill="FFFFFF"/>
        </w:rPr>
        <w:t>P103</w:t>
      </w:r>
      <w:r>
        <w:rPr>
          <w:rFonts w:ascii="Times New Roman" w:cs="Times New Roman" w:hint="eastAsia"/>
          <w:kern w:val="2"/>
          <w:shd w:val="clear" w:color="auto" w:fill="FFFFFF"/>
        </w:rPr>
        <w:t>集气站所辖气井通过新建集气站至增压站站间管道接入普光气田</w:t>
      </w:r>
      <w:r>
        <w:rPr>
          <w:rFonts w:ascii="Times New Roman" w:cs="Times New Roman" w:hint="eastAsia"/>
          <w:kern w:val="2"/>
          <w:shd w:val="clear" w:color="auto" w:fill="FFFFFF"/>
        </w:rPr>
        <w:t>1#</w:t>
      </w:r>
      <w:r>
        <w:rPr>
          <w:rFonts w:ascii="Times New Roman" w:cs="Times New Roman" w:hint="eastAsia"/>
          <w:kern w:val="2"/>
          <w:shd w:val="clear" w:color="auto" w:fill="FFFFFF"/>
        </w:rPr>
        <w:t>增压站增压，两路气源来气增压后通过已建</w:t>
      </w:r>
      <w:r>
        <w:rPr>
          <w:rFonts w:ascii="Times New Roman" w:cs="Times New Roman" w:hint="eastAsia"/>
          <w:kern w:val="2"/>
          <w:shd w:val="clear" w:color="auto" w:fill="FFFFFF"/>
        </w:rPr>
        <w:t>1#</w:t>
      </w:r>
      <w:r>
        <w:rPr>
          <w:rFonts w:ascii="Times New Roman" w:cs="Times New Roman" w:hint="eastAsia"/>
          <w:kern w:val="2"/>
          <w:shd w:val="clear" w:color="auto" w:fill="FFFFFF"/>
        </w:rPr>
        <w:t>线输送至集气总站；</w:t>
      </w:r>
      <w:r>
        <w:rPr>
          <w:rFonts w:ascii="Times New Roman" w:cs="Times New Roman" w:hint="eastAsia"/>
          <w:kern w:val="2"/>
          <w:shd w:val="clear" w:color="auto" w:fill="FFFFFF"/>
        </w:rPr>
        <w:t>1#-4#</w:t>
      </w:r>
      <w:r>
        <w:rPr>
          <w:rFonts w:ascii="Times New Roman" w:cs="Times New Roman" w:hint="eastAsia"/>
          <w:kern w:val="2"/>
          <w:shd w:val="clear" w:color="auto" w:fill="FFFFFF"/>
        </w:rPr>
        <w:t>连通线大湾毛坝及中石油铁山坡来气通过已建</w:t>
      </w:r>
      <w:r>
        <w:rPr>
          <w:rFonts w:ascii="Times New Roman" w:cs="Times New Roman" w:hint="eastAsia"/>
          <w:kern w:val="2"/>
          <w:shd w:val="clear" w:color="auto" w:fill="FFFFFF"/>
        </w:rPr>
        <w:t>1#</w:t>
      </w:r>
      <w:r>
        <w:rPr>
          <w:rFonts w:ascii="Times New Roman" w:cs="Times New Roman" w:hint="eastAsia"/>
          <w:kern w:val="2"/>
          <w:shd w:val="clear" w:color="auto" w:fill="FFFFFF"/>
        </w:rPr>
        <w:t>线输送至集气总站。</w:t>
      </w:r>
    </w:p>
    <w:p w:rsidR="00BD5820" w:rsidRDefault="00F64314">
      <w:pPr>
        <w:ind w:firstLineChars="0" w:firstLine="480"/>
      </w:pPr>
      <w:r>
        <w:rPr>
          <w:rFonts w:ascii="Times New Roman" w:cs="Times New Roman"/>
          <w:kern w:val="2"/>
          <w:shd w:val="clear" w:color="auto" w:fill="FFFFFF"/>
        </w:rPr>
        <w:t>2#</w:t>
      </w:r>
      <w:r>
        <w:rPr>
          <w:rFonts w:ascii="Times New Roman" w:cs="Times New Roman"/>
          <w:kern w:val="2"/>
          <w:shd w:val="clear" w:color="auto" w:fill="FFFFFF"/>
        </w:rPr>
        <w:t>线、</w:t>
      </w:r>
      <w:r>
        <w:rPr>
          <w:rFonts w:ascii="Times New Roman" w:cs="Times New Roman"/>
          <w:kern w:val="2"/>
          <w:shd w:val="clear" w:color="auto" w:fill="FFFFFF"/>
        </w:rPr>
        <w:t>3#</w:t>
      </w:r>
      <w:r>
        <w:rPr>
          <w:rFonts w:ascii="Times New Roman" w:cs="Times New Roman"/>
          <w:kern w:val="2"/>
          <w:shd w:val="clear" w:color="auto" w:fill="FFFFFF"/>
        </w:rPr>
        <w:t>来气经普光主体</w:t>
      </w:r>
      <w:r>
        <w:rPr>
          <w:rFonts w:ascii="Times New Roman" w:cs="Times New Roman"/>
          <w:kern w:val="2"/>
          <w:shd w:val="clear" w:color="auto" w:fill="FFFFFF"/>
        </w:rPr>
        <w:t>1#</w:t>
      </w:r>
      <w:r>
        <w:rPr>
          <w:rFonts w:ascii="Times New Roman" w:cs="Times New Roman"/>
          <w:kern w:val="2"/>
          <w:shd w:val="clear" w:color="auto" w:fill="FFFFFF"/>
        </w:rPr>
        <w:t>阀室进入普光集气总站，普光气田</w:t>
      </w:r>
      <w:r>
        <w:rPr>
          <w:rFonts w:ascii="Times New Roman" w:cs="Times New Roman"/>
          <w:kern w:val="2"/>
          <w:shd w:val="clear" w:color="auto" w:fill="FFFFFF"/>
        </w:rPr>
        <w:t>2#</w:t>
      </w:r>
      <w:r>
        <w:rPr>
          <w:rFonts w:ascii="Times New Roman" w:cs="Times New Roman"/>
          <w:kern w:val="2"/>
          <w:shd w:val="clear" w:color="auto" w:fill="FFFFFF"/>
        </w:rPr>
        <w:t>增压站距离</w:t>
      </w:r>
      <w:r>
        <w:rPr>
          <w:rFonts w:ascii="Times New Roman" w:cs="Times New Roman"/>
          <w:kern w:val="2"/>
          <w:shd w:val="clear" w:color="auto" w:fill="FFFFFF"/>
        </w:rPr>
        <w:t>1#</w:t>
      </w:r>
      <w:r>
        <w:rPr>
          <w:rFonts w:ascii="Times New Roman" w:cs="Times New Roman"/>
          <w:kern w:val="2"/>
          <w:shd w:val="clear" w:color="auto" w:fill="FFFFFF"/>
        </w:rPr>
        <w:t>阀室</w:t>
      </w:r>
      <w:r>
        <w:rPr>
          <w:rFonts w:ascii="Times New Roman" w:cs="Times New Roman"/>
          <w:kern w:val="2"/>
          <w:shd w:val="clear" w:color="auto" w:fill="FFFFFF"/>
        </w:rPr>
        <w:t>160m</w:t>
      </w:r>
      <w:r>
        <w:rPr>
          <w:rFonts w:ascii="Times New Roman" w:cs="Times New Roman"/>
          <w:kern w:val="2"/>
          <w:shd w:val="clear" w:color="auto" w:fill="FFFFFF"/>
        </w:rPr>
        <w:t>，</w:t>
      </w:r>
      <w:r>
        <w:rPr>
          <w:rFonts w:ascii="Times New Roman" w:cs="Times New Roman"/>
          <w:kern w:val="2"/>
          <w:shd w:val="clear" w:color="auto" w:fill="FFFFFF"/>
        </w:rPr>
        <w:t>2#</w:t>
      </w:r>
      <w:r>
        <w:rPr>
          <w:rFonts w:ascii="Times New Roman" w:cs="Times New Roman"/>
          <w:kern w:val="2"/>
          <w:shd w:val="clear" w:color="auto" w:fill="FFFFFF"/>
        </w:rPr>
        <w:t>、</w:t>
      </w:r>
      <w:r>
        <w:rPr>
          <w:rFonts w:ascii="Times New Roman" w:cs="Times New Roman"/>
          <w:kern w:val="2"/>
          <w:shd w:val="clear" w:color="auto" w:fill="FFFFFF"/>
        </w:rPr>
        <w:t>3#</w:t>
      </w:r>
      <w:r>
        <w:rPr>
          <w:rFonts w:ascii="Times New Roman" w:cs="Times New Roman"/>
          <w:kern w:val="2"/>
          <w:shd w:val="clear" w:color="auto" w:fill="FFFFFF"/>
        </w:rPr>
        <w:t>集输管线出阀室后，路由距离增压站较近，可就近接入普光气田增压站实现低压天然气的增压。</w:t>
      </w:r>
      <w:r>
        <w:rPr>
          <w:rFonts w:hAnsi="宋体" w:hint="eastAsia"/>
        </w:rPr>
        <w:t>新建增压站场和集输管网规模分别为：</w:t>
      </w:r>
      <w:r>
        <w:rPr>
          <w:rFonts w:ascii="Times New Roman" w:cs="Times New Roman" w:hint="eastAsia"/>
          <w:kern w:val="2"/>
          <w:shd w:val="clear" w:color="auto" w:fill="FFFFFF"/>
        </w:rPr>
        <w:t>普光气田</w:t>
      </w:r>
      <w:r>
        <w:rPr>
          <w:rFonts w:ascii="Times New Roman" w:cs="Times New Roman" w:hint="eastAsia"/>
          <w:kern w:val="2"/>
          <w:shd w:val="clear" w:color="auto" w:fill="FFFFFF"/>
        </w:rPr>
        <w:t>1#</w:t>
      </w:r>
      <w:r>
        <w:rPr>
          <w:rFonts w:ascii="Times New Roman" w:cs="Times New Roman" w:hint="eastAsia"/>
          <w:kern w:val="2"/>
          <w:shd w:val="clear" w:color="auto" w:fill="FFFFFF"/>
        </w:rPr>
        <w:t>增压站：</w:t>
      </w:r>
      <w:r>
        <w:rPr>
          <w:rFonts w:ascii="Times New Roman" w:cs="Times New Roman" w:hint="eastAsia"/>
          <w:kern w:val="2"/>
          <w:shd w:val="clear" w:color="auto" w:fill="FFFFFF"/>
        </w:rPr>
        <w:t>265</w:t>
      </w:r>
      <w:r>
        <w:rPr>
          <w:rFonts w:ascii="Times New Roman" w:cs="Times New Roman" w:hint="eastAsia"/>
          <w:kern w:val="2"/>
          <w:shd w:val="clear" w:color="auto" w:fill="FFFFFF"/>
        </w:rPr>
        <w:t>×</w:t>
      </w:r>
      <w:r>
        <w:rPr>
          <w:rFonts w:ascii="Times New Roman" w:cs="Times New Roman" w:hint="eastAsia"/>
          <w:kern w:val="2"/>
          <w:shd w:val="clear" w:color="auto" w:fill="FFFFFF"/>
        </w:rPr>
        <w:t>10</w:t>
      </w:r>
      <w:r>
        <w:rPr>
          <w:rFonts w:ascii="Times New Roman" w:cs="Times New Roman" w:hint="eastAsia"/>
          <w:kern w:val="2"/>
          <w:shd w:val="clear" w:color="auto" w:fill="FFFFFF"/>
          <w:vertAlign w:val="superscript"/>
        </w:rPr>
        <w:t>4</w:t>
      </w:r>
      <w:r>
        <w:rPr>
          <w:rFonts w:ascii="Times New Roman" w:cs="Times New Roman" w:hint="eastAsia"/>
          <w:kern w:val="2"/>
          <w:shd w:val="clear" w:color="auto" w:fill="FFFFFF"/>
        </w:rPr>
        <w:t>Nm</w:t>
      </w:r>
      <w:r>
        <w:rPr>
          <w:rFonts w:ascii="Times New Roman" w:cs="Times New Roman" w:hint="eastAsia"/>
          <w:kern w:val="2"/>
          <w:shd w:val="clear" w:color="auto" w:fill="FFFFFF"/>
          <w:vertAlign w:val="superscript"/>
        </w:rPr>
        <w:t>3</w:t>
      </w:r>
      <w:r>
        <w:rPr>
          <w:rFonts w:ascii="Times New Roman" w:cs="Times New Roman" w:hint="eastAsia"/>
          <w:kern w:val="2"/>
          <w:shd w:val="clear" w:color="auto" w:fill="FFFFFF"/>
        </w:rPr>
        <w:t>/d</w:t>
      </w:r>
      <w:r>
        <w:rPr>
          <w:rFonts w:ascii="Times New Roman" w:cs="Times New Roman" w:hint="eastAsia"/>
          <w:kern w:val="2"/>
          <w:shd w:val="clear" w:color="auto" w:fill="FFFFFF"/>
        </w:rPr>
        <w:t>，普光气田</w:t>
      </w:r>
      <w:r w:rsidR="00124ABC">
        <w:rPr>
          <w:rFonts w:ascii="Times New Roman" w:cs="Times New Roman" w:hint="eastAsia"/>
          <w:kern w:val="2"/>
          <w:shd w:val="clear" w:color="auto" w:fill="FFFFFF"/>
        </w:rPr>
        <w:t>2</w:t>
      </w:r>
      <w:r>
        <w:rPr>
          <w:rFonts w:ascii="Times New Roman" w:cs="Times New Roman" w:hint="eastAsia"/>
          <w:kern w:val="2"/>
          <w:shd w:val="clear" w:color="auto" w:fill="FFFFFF"/>
        </w:rPr>
        <w:t>#</w:t>
      </w:r>
      <w:r>
        <w:rPr>
          <w:rFonts w:ascii="Times New Roman" w:cs="Times New Roman" w:hint="eastAsia"/>
          <w:kern w:val="2"/>
          <w:shd w:val="clear" w:color="auto" w:fill="FFFFFF"/>
        </w:rPr>
        <w:t>增压站：</w:t>
      </w:r>
      <w:r>
        <w:rPr>
          <w:rFonts w:ascii="Times New Roman" w:cs="Times New Roman" w:hint="eastAsia"/>
          <w:kern w:val="2"/>
          <w:shd w:val="clear" w:color="auto" w:fill="FFFFFF"/>
        </w:rPr>
        <w:t>930</w:t>
      </w:r>
      <w:r>
        <w:rPr>
          <w:rFonts w:ascii="Times New Roman" w:cs="Times New Roman" w:hint="eastAsia"/>
          <w:kern w:val="2"/>
          <w:shd w:val="clear" w:color="auto" w:fill="FFFFFF"/>
        </w:rPr>
        <w:t>×</w:t>
      </w:r>
      <w:r>
        <w:rPr>
          <w:rFonts w:ascii="Times New Roman" w:cs="Times New Roman" w:hint="eastAsia"/>
          <w:kern w:val="2"/>
          <w:shd w:val="clear" w:color="auto" w:fill="FFFFFF"/>
        </w:rPr>
        <w:t>10</w:t>
      </w:r>
      <w:r>
        <w:rPr>
          <w:rFonts w:ascii="Times New Roman" w:cs="Times New Roman" w:hint="eastAsia"/>
          <w:kern w:val="2"/>
          <w:shd w:val="clear" w:color="auto" w:fill="FFFFFF"/>
          <w:vertAlign w:val="superscript"/>
        </w:rPr>
        <w:t>4</w:t>
      </w:r>
      <w:r>
        <w:rPr>
          <w:rFonts w:ascii="Times New Roman" w:cs="Times New Roman" w:hint="eastAsia"/>
          <w:kern w:val="2"/>
          <w:shd w:val="clear" w:color="auto" w:fill="FFFFFF"/>
        </w:rPr>
        <w:t>Nm</w:t>
      </w:r>
      <w:r>
        <w:rPr>
          <w:rFonts w:ascii="Times New Roman" w:cs="Times New Roman" w:hint="eastAsia"/>
          <w:kern w:val="2"/>
          <w:shd w:val="clear" w:color="auto" w:fill="FFFFFF"/>
          <w:vertAlign w:val="superscript"/>
        </w:rPr>
        <w:t>3</w:t>
      </w:r>
      <w:r>
        <w:rPr>
          <w:rFonts w:ascii="Times New Roman" w:cs="Times New Roman" w:hint="eastAsia"/>
          <w:kern w:val="2"/>
          <w:shd w:val="clear" w:color="auto" w:fill="FFFFFF"/>
        </w:rPr>
        <w:t>/d</w:t>
      </w:r>
      <w:r>
        <w:rPr>
          <w:rFonts w:ascii="Times New Roman" w:cs="Times New Roman" w:hint="eastAsia"/>
          <w:kern w:val="2"/>
          <w:shd w:val="clear" w:color="auto" w:fill="FFFFFF"/>
        </w:rPr>
        <w:t>，</w:t>
      </w:r>
      <w:r>
        <w:rPr>
          <w:rFonts w:ascii="Times New Roman" w:cs="Times New Roman" w:hint="eastAsia"/>
          <w:kern w:val="2"/>
          <w:shd w:val="clear" w:color="auto" w:fill="FFFFFF"/>
        </w:rPr>
        <w:t>P106-P104</w:t>
      </w:r>
      <w:r>
        <w:rPr>
          <w:rFonts w:ascii="Times New Roman" w:cs="Times New Roman" w:hint="eastAsia"/>
          <w:kern w:val="2"/>
          <w:shd w:val="clear" w:color="auto" w:fill="FFFFFF"/>
        </w:rPr>
        <w:t>集气规模为</w:t>
      </w:r>
      <w:r>
        <w:rPr>
          <w:rFonts w:ascii="Times New Roman" w:cs="Times New Roman" w:hint="eastAsia"/>
          <w:kern w:val="2"/>
          <w:shd w:val="clear" w:color="auto" w:fill="FFFFFF"/>
        </w:rPr>
        <w:t>30</w:t>
      </w:r>
      <w:r>
        <w:rPr>
          <w:rFonts w:ascii="Times New Roman" w:cs="Times New Roman" w:hint="eastAsia"/>
          <w:kern w:val="2"/>
          <w:shd w:val="clear" w:color="auto" w:fill="FFFFFF"/>
        </w:rPr>
        <w:t>×</w:t>
      </w:r>
      <w:r>
        <w:rPr>
          <w:rFonts w:ascii="Times New Roman" w:cs="Times New Roman" w:hint="eastAsia"/>
          <w:kern w:val="2"/>
          <w:shd w:val="clear" w:color="auto" w:fill="FFFFFF"/>
        </w:rPr>
        <w:t>10</w:t>
      </w:r>
      <w:r>
        <w:rPr>
          <w:rFonts w:ascii="Times New Roman" w:cs="Times New Roman" w:hint="eastAsia"/>
          <w:kern w:val="2"/>
          <w:shd w:val="clear" w:color="auto" w:fill="FFFFFF"/>
          <w:vertAlign w:val="superscript"/>
        </w:rPr>
        <w:t>4</w:t>
      </w:r>
      <w:r>
        <w:rPr>
          <w:rFonts w:ascii="Times New Roman" w:cs="Times New Roman" w:hint="eastAsia"/>
          <w:kern w:val="2"/>
          <w:shd w:val="clear" w:color="auto" w:fill="FFFFFF"/>
        </w:rPr>
        <w:t>Nm</w:t>
      </w:r>
      <w:r>
        <w:rPr>
          <w:rFonts w:ascii="Times New Roman" w:cs="Times New Roman" w:hint="eastAsia"/>
          <w:kern w:val="2"/>
          <w:shd w:val="clear" w:color="auto" w:fill="FFFFFF"/>
          <w:vertAlign w:val="superscript"/>
        </w:rPr>
        <w:t>3</w:t>
      </w:r>
      <w:r>
        <w:rPr>
          <w:rFonts w:ascii="Times New Roman" w:cs="Times New Roman" w:hint="eastAsia"/>
          <w:kern w:val="2"/>
          <w:shd w:val="clear" w:color="auto" w:fill="FFFFFF"/>
        </w:rPr>
        <w:t>/d</w:t>
      </w:r>
      <w:r>
        <w:rPr>
          <w:rFonts w:ascii="Times New Roman" w:cs="Times New Roman" w:hint="eastAsia"/>
          <w:kern w:val="2"/>
          <w:shd w:val="clear" w:color="auto" w:fill="FFFFFF"/>
        </w:rPr>
        <w:t>，</w:t>
      </w:r>
      <w:r>
        <w:rPr>
          <w:rFonts w:ascii="Times New Roman" w:cs="Times New Roman" w:hint="eastAsia"/>
          <w:kern w:val="2"/>
          <w:shd w:val="clear" w:color="auto" w:fill="FFFFFF"/>
        </w:rPr>
        <w:t>P104-P102</w:t>
      </w:r>
      <w:r>
        <w:rPr>
          <w:rFonts w:ascii="Times New Roman" w:cs="Times New Roman" w:hint="eastAsia"/>
          <w:kern w:val="2"/>
          <w:shd w:val="clear" w:color="auto" w:fill="FFFFFF"/>
        </w:rPr>
        <w:t>集气规模为</w:t>
      </w:r>
      <w:r>
        <w:rPr>
          <w:rFonts w:ascii="Times New Roman" w:cs="Times New Roman" w:hint="eastAsia"/>
          <w:kern w:val="2"/>
          <w:shd w:val="clear" w:color="auto" w:fill="FFFFFF"/>
        </w:rPr>
        <w:t>90</w:t>
      </w:r>
      <w:r>
        <w:rPr>
          <w:rFonts w:ascii="Times New Roman" w:cs="Times New Roman" w:hint="eastAsia"/>
          <w:kern w:val="2"/>
          <w:shd w:val="clear" w:color="auto" w:fill="FFFFFF"/>
        </w:rPr>
        <w:t>×</w:t>
      </w:r>
      <w:r>
        <w:rPr>
          <w:rFonts w:ascii="Times New Roman" w:cs="Times New Roman" w:hint="eastAsia"/>
          <w:kern w:val="2"/>
          <w:shd w:val="clear" w:color="auto" w:fill="FFFFFF"/>
        </w:rPr>
        <w:t>10</w:t>
      </w:r>
      <w:r>
        <w:rPr>
          <w:rFonts w:ascii="Times New Roman" w:cs="Times New Roman" w:hint="eastAsia"/>
          <w:kern w:val="2"/>
          <w:shd w:val="clear" w:color="auto" w:fill="FFFFFF"/>
          <w:vertAlign w:val="superscript"/>
        </w:rPr>
        <w:t>4</w:t>
      </w:r>
      <w:r>
        <w:rPr>
          <w:rFonts w:ascii="Times New Roman" w:cs="Times New Roman" w:hint="eastAsia"/>
          <w:kern w:val="2"/>
          <w:shd w:val="clear" w:color="auto" w:fill="FFFFFF"/>
        </w:rPr>
        <w:t>Nm</w:t>
      </w:r>
      <w:r>
        <w:rPr>
          <w:rFonts w:ascii="Times New Roman" w:cs="Times New Roman" w:hint="eastAsia"/>
          <w:kern w:val="2"/>
          <w:shd w:val="clear" w:color="auto" w:fill="FFFFFF"/>
          <w:vertAlign w:val="superscript"/>
        </w:rPr>
        <w:t>3</w:t>
      </w:r>
      <w:r>
        <w:rPr>
          <w:rFonts w:ascii="Times New Roman" w:cs="Times New Roman" w:hint="eastAsia"/>
          <w:kern w:val="2"/>
          <w:shd w:val="clear" w:color="auto" w:fill="FFFFFF"/>
        </w:rPr>
        <w:t>/d</w:t>
      </w:r>
      <w:r>
        <w:rPr>
          <w:rFonts w:ascii="Times New Roman" w:cs="Times New Roman" w:hint="eastAsia"/>
          <w:kern w:val="2"/>
          <w:shd w:val="clear" w:color="auto" w:fill="FFFFFF"/>
        </w:rPr>
        <w:t>。</w:t>
      </w:r>
      <w:r>
        <w:rPr>
          <w:noProof/>
        </w:rPr>
        <w:lastRenderedPageBreak/>
        <w:drawing>
          <wp:inline distT="0" distB="0" distL="114300" distR="114300">
            <wp:extent cx="5267960" cy="2641600"/>
            <wp:effectExtent l="0" t="0" r="8890" b="6350"/>
            <wp:docPr id="1"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
                    <pic:cNvPicPr>
                      <a:picLocks noChangeAspect="1"/>
                    </pic:cNvPicPr>
                  </pic:nvPicPr>
                  <pic:blipFill>
                    <a:blip r:embed="rId49"/>
                    <a:stretch>
                      <a:fillRect/>
                    </a:stretch>
                  </pic:blipFill>
                  <pic:spPr>
                    <a:xfrm>
                      <a:off x="0" y="0"/>
                      <a:ext cx="5267960" cy="2641600"/>
                    </a:xfrm>
                    <a:prstGeom prst="rect">
                      <a:avLst/>
                    </a:prstGeom>
                    <a:noFill/>
                    <a:ln>
                      <a:noFill/>
                    </a:ln>
                  </pic:spPr>
                </pic:pic>
              </a:graphicData>
            </a:graphic>
          </wp:inline>
        </w:drawing>
      </w:r>
    </w:p>
    <w:p w:rsidR="00BD5820" w:rsidRDefault="00F64314">
      <w:pPr>
        <w:ind w:firstLineChars="0" w:firstLine="0"/>
        <w:jc w:val="center"/>
        <w:rPr>
          <w:b/>
          <w:bCs/>
        </w:rPr>
      </w:pPr>
      <w:r>
        <w:rPr>
          <w:rFonts w:hint="eastAsia"/>
          <w:b/>
          <w:bCs/>
        </w:rPr>
        <w:t>图</w:t>
      </w:r>
      <w:r>
        <w:rPr>
          <w:rFonts w:ascii="Times New Roman" w:cs="Times New Roman" w:hint="eastAsia"/>
          <w:b/>
          <w:bCs/>
          <w:kern w:val="2"/>
          <w:sz w:val="21"/>
          <w:shd w:val="clear" w:color="auto" w:fill="FFFFFF"/>
        </w:rPr>
        <w:t>4.2-1</w:t>
      </w:r>
      <w:r>
        <w:rPr>
          <w:rFonts w:hint="eastAsia"/>
          <w:b/>
          <w:bCs/>
        </w:rPr>
        <w:t xml:space="preserve">  本项目工艺技术路线框图</w:t>
      </w:r>
    </w:p>
    <w:p w:rsidR="00BD5820" w:rsidRDefault="00F64314">
      <w:pPr>
        <w:ind w:firstLineChars="0" w:firstLine="480"/>
        <w:rPr>
          <w:rFonts w:ascii="Times New Roman" w:cs="Times New Roman"/>
          <w:kern w:val="2"/>
          <w:shd w:val="clear" w:color="auto" w:fill="FFFFFF"/>
        </w:rPr>
      </w:pPr>
      <w:r>
        <w:rPr>
          <w:rFonts w:ascii="Times New Roman" w:cs="Times New Roman" w:hint="eastAsia"/>
          <w:kern w:val="2"/>
          <w:shd w:val="clear" w:color="auto" w:fill="FFFFFF"/>
        </w:rPr>
        <w:t>2</w:t>
      </w:r>
      <w:r>
        <w:rPr>
          <w:rFonts w:ascii="Times New Roman" w:cs="Times New Roman" w:hint="eastAsia"/>
          <w:kern w:val="2"/>
          <w:shd w:val="clear" w:color="auto" w:fill="FFFFFF"/>
        </w:rPr>
        <w:t>、站场功能</w:t>
      </w:r>
    </w:p>
    <w:p w:rsidR="00BD5820" w:rsidRDefault="00F64314">
      <w:pPr>
        <w:ind w:firstLineChars="0" w:firstLine="480"/>
        <w:rPr>
          <w:rFonts w:ascii="Times New Roman" w:cs="Times New Roman"/>
          <w:kern w:val="2"/>
          <w:shd w:val="clear" w:color="auto" w:fill="FFFFFF"/>
        </w:rPr>
      </w:pPr>
      <w:r>
        <w:rPr>
          <w:rFonts w:ascii="Times New Roman" w:cs="Times New Roman" w:hint="eastAsia"/>
          <w:kern w:val="2"/>
          <w:shd w:val="clear" w:color="auto" w:fill="FFFFFF"/>
        </w:rPr>
        <w:t>（</w:t>
      </w:r>
      <w:r>
        <w:rPr>
          <w:rFonts w:ascii="Times New Roman" w:cs="Times New Roman" w:hint="eastAsia"/>
          <w:kern w:val="2"/>
          <w:shd w:val="clear" w:color="auto" w:fill="FFFFFF"/>
        </w:rPr>
        <w:t>1</w:t>
      </w:r>
      <w:r>
        <w:rPr>
          <w:rFonts w:ascii="Times New Roman" w:cs="Times New Roman" w:hint="eastAsia"/>
          <w:kern w:val="2"/>
          <w:shd w:val="clear" w:color="auto" w:fill="FFFFFF"/>
        </w:rPr>
        <w:t>）清管功能</w:t>
      </w:r>
    </w:p>
    <w:p w:rsidR="00BD5820" w:rsidRDefault="00F64314">
      <w:pPr>
        <w:ind w:firstLineChars="0" w:firstLine="480"/>
        <w:rPr>
          <w:rFonts w:ascii="Times New Roman" w:cs="Times New Roman"/>
          <w:kern w:val="2"/>
          <w:shd w:val="clear" w:color="auto" w:fill="FFFFFF"/>
        </w:rPr>
      </w:pPr>
      <w:r>
        <w:rPr>
          <w:rFonts w:ascii="Times New Roman" w:cs="Times New Roman"/>
          <w:kern w:val="2"/>
          <w:shd w:val="clear" w:color="auto" w:fill="FFFFFF"/>
        </w:rPr>
        <w:t>实现集输管线清管作业过程中收球清管和发球清管工序。</w:t>
      </w:r>
    </w:p>
    <w:p w:rsidR="00BD5820" w:rsidRDefault="00F64314">
      <w:pPr>
        <w:ind w:firstLineChars="0" w:firstLine="480"/>
        <w:rPr>
          <w:rFonts w:ascii="Times New Roman" w:cs="Times New Roman"/>
          <w:kern w:val="2"/>
          <w:shd w:val="clear" w:color="auto" w:fill="FFFFFF"/>
        </w:rPr>
      </w:pPr>
      <w:r>
        <w:rPr>
          <w:rFonts w:ascii="Times New Roman" w:cs="Times New Roman"/>
          <w:kern w:val="2"/>
          <w:shd w:val="clear" w:color="auto" w:fill="FFFFFF"/>
        </w:rPr>
        <w:t>普光气田</w:t>
      </w:r>
      <w:r>
        <w:rPr>
          <w:rFonts w:ascii="Times New Roman" w:cs="Times New Roman"/>
          <w:kern w:val="2"/>
          <w:shd w:val="clear" w:color="auto" w:fill="FFFFFF"/>
        </w:rPr>
        <w:t>1#</w:t>
      </w:r>
      <w:r>
        <w:rPr>
          <w:rFonts w:ascii="Times New Roman" w:cs="Times New Roman"/>
          <w:kern w:val="2"/>
          <w:shd w:val="clear" w:color="auto" w:fill="FFFFFF"/>
        </w:rPr>
        <w:t>增压站充分利用</w:t>
      </w:r>
      <w:r>
        <w:rPr>
          <w:rFonts w:ascii="Times New Roman" w:cs="Times New Roman"/>
          <w:kern w:val="2"/>
          <w:shd w:val="clear" w:color="auto" w:fill="FFFFFF"/>
        </w:rPr>
        <w:t xml:space="preserve">P102 </w:t>
      </w:r>
      <w:r>
        <w:rPr>
          <w:rFonts w:ascii="Times New Roman" w:cs="Times New Roman"/>
          <w:kern w:val="2"/>
          <w:shd w:val="clear" w:color="auto" w:fill="FFFFFF"/>
        </w:rPr>
        <w:t>集气站内发球筒，增压站内设置收球筒，接收上游</w:t>
      </w:r>
      <w:r>
        <w:rPr>
          <w:rFonts w:ascii="Times New Roman" w:cs="Times New Roman"/>
          <w:kern w:val="2"/>
          <w:shd w:val="clear" w:color="auto" w:fill="FFFFFF"/>
        </w:rPr>
        <w:t xml:space="preserve">P104 </w:t>
      </w:r>
      <w:r>
        <w:rPr>
          <w:rFonts w:ascii="Times New Roman" w:cs="Times New Roman"/>
          <w:kern w:val="2"/>
          <w:shd w:val="clear" w:color="auto" w:fill="FFFFFF"/>
        </w:rPr>
        <w:t>集气站清管球，实现</w:t>
      </w:r>
      <w:r>
        <w:rPr>
          <w:rFonts w:ascii="Times New Roman" w:cs="Times New Roman"/>
          <w:kern w:val="2"/>
          <w:shd w:val="clear" w:color="auto" w:fill="FFFFFF"/>
        </w:rPr>
        <w:t>1#</w:t>
      </w:r>
      <w:r>
        <w:rPr>
          <w:rFonts w:ascii="Times New Roman" w:cs="Times New Roman"/>
          <w:kern w:val="2"/>
          <w:shd w:val="clear" w:color="auto" w:fill="FFFFFF"/>
        </w:rPr>
        <w:t>线集输管线的全线清管作业；</w:t>
      </w:r>
    </w:p>
    <w:p w:rsidR="00BD5820" w:rsidRDefault="00F64314">
      <w:pPr>
        <w:ind w:firstLineChars="0" w:firstLine="480"/>
        <w:rPr>
          <w:rFonts w:ascii="Times New Roman" w:cs="Times New Roman"/>
          <w:kern w:val="2"/>
          <w:shd w:val="clear" w:color="auto" w:fill="FFFFFF"/>
        </w:rPr>
      </w:pPr>
      <w:r>
        <w:rPr>
          <w:rFonts w:ascii="Times New Roman" w:cs="Times New Roman"/>
          <w:kern w:val="2"/>
          <w:shd w:val="clear" w:color="auto" w:fill="FFFFFF"/>
        </w:rPr>
        <w:t>普光气田</w:t>
      </w:r>
      <w:r>
        <w:rPr>
          <w:rFonts w:ascii="Times New Roman" w:cs="Times New Roman"/>
          <w:kern w:val="2"/>
          <w:shd w:val="clear" w:color="auto" w:fill="FFFFFF"/>
        </w:rPr>
        <w:t>2#</w:t>
      </w:r>
      <w:r>
        <w:rPr>
          <w:rFonts w:ascii="Times New Roman" w:cs="Times New Roman"/>
          <w:kern w:val="2"/>
          <w:shd w:val="clear" w:color="auto" w:fill="FFFFFF"/>
        </w:rPr>
        <w:t>增压站内设置</w:t>
      </w:r>
      <w:r>
        <w:rPr>
          <w:rFonts w:ascii="Times New Roman" w:cs="Times New Roman"/>
          <w:kern w:val="2"/>
          <w:shd w:val="clear" w:color="auto" w:fill="FFFFFF"/>
        </w:rPr>
        <w:t>2#</w:t>
      </w:r>
      <w:r>
        <w:rPr>
          <w:rFonts w:ascii="Times New Roman" w:cs="Times New Roman"/>
          <w:kern w:val="2"/>
          <w:shd w:val="clear" w:color="auto" w:fill="FFFFFF"/>
        </w:rPr>
        <w:t>、</w:t>
      </w:r>
      <w:r>
        <w:rPr>
          <w:rFonts w:ascii="Times New Roman" w:cs="Times New Roman"/>
          <w:kern w:val="2"/>
          <w:shd w:val="clear" w:color="auto" w:fill="FFFFFF"/>
        </w:rPr>
        <w:t>3#</w:t>
      </w:r>
      <w:r>
        <w:rPr>
          <w:rFonts w:ascii="Times New Roman" w:cs="Times New Roman"/>
          <w:kern w:val="2"/>
          <w:shd w:val="clear" w:color="auto" w:fill="FFFFFF"/>
        </w:rPr>
        <w:t>酸气集输管线的收球筒、发球筒，实现</w:t>
      </w:r>
      <w:r>
        <w:rPr>
          <w:rFonts w:ascii="Times New Roman" w:cs="Times New Roman"/>
          <w:kern w:val="2"/>
          <w:shd w:val="clear" w:color="auto" w:fill="FFFFFF"/>
        </w:rPr>
        <w:t>2#</w:t>
      </w:r>
      <w:r>
        <w:rPr>
          <w:rFonts w:ascii="Times New Roman" w:cs="Times New Roman"/>
          <w:kern w:val="2"/>
          <w:shd w:val="clear" w:color="auto" w:fill="FFFFFF"/>
        </w:rPr>
        <w:t>、</w:t>
      </w:r>
      <w:r>
        <w:rPr>
          <w:rFonts w:ascii="Times New Roman" w:cs="Times New Roman"/>
          <w:kern w:val="2"/>
          <w:shd w:val="clear" w:color="auto" w:fill="FFFFFF"/>
        </w:rPr>
        <w:t>3#</w:t>
      </w:r>
      <w:r>
        <w:rPr>
          <w:rFonts w:ascii="Times New Roman" w:cs="Times New Roman"/>
          <w:kern w:val="2"/>
          <w:shd w:val="clear" w:color="auto" w:fill="FFFFFF"/>
        </w:rPr>
        <w:t>线集输管线的全线清管作业。</w:t>
      </w:r>
    </w:p>
    <w:p w:rsidR="00BD5820" w:rsidRDefault="00F64314">
      <w:pPr>
        <w:ind w:firstLineChars="0" w:firstLine="480"/>
        <w:rPr>
          <w:rFonts w:ascii="Times New Roman" w:cs="Times New Roman"/>
          <w:kern w:val="2"/>
          <w:shd w:val="clear" w:color="auto" w:fill="FFFFFF"/>
        </w:rPr>
      </w:pPr>
      <w:r>
        <w:rPr>
          <w:rFonts w:ascii="Times New Roman" w:cs="Times New Roman" w:hint="eastAsia"/>
          <w:kern w:val="2"/>
          <w:shd w:val="clear" w:color="auto" w:fill="FFFFFF"/>
        </w:rPr>
        <w:t>（</w:t>
      </w:r>
      <w:r>
        <w:rPr>
          <w:rFonts w:ascii="Times New Roman" w:cs="Times New Roman" w:hint="eastAsia"/>
          <w:kern w:val="2"/>
          <w:shd w:val="clear" w:color="auto" w:fill="FFFFFF"/>
        </w:rPr>
        <w:t>2</w:t>
      </w:r>
      <w:r>
        <w:rPr>
          <w:rFonts w:ascii="Times New Roman" w:cs="Times New Roman" w:hint="eastAsia"/>
          <w:kern w:val="2"/>
          <w:shd w:val="clear" w:color="auto" w:fill="FFFFFF"/>
        </w:rPr>
        <w:t>）预处理功能</w:t>
      </w:r>
    </w:p>
    <w:p w:rsidR="00BD5820" w:rsidRDefault="00F64314">
      <w:pPr>
        <w:ind w:firstLineChars="0" w:firstLine="480"/>
        <w:rPr>
          <w:rFonts w:ascii="Times New Roman" w:cs="Times New Roman"/>
          <w:kern w:val="2"/>
          <w:shd w:val="clear" w:color="auto" w:fill="FFFFFF"/>
        </w:rPr>
      </w:pPr>
      <w:r>
        <w:rPr>
          <w:rFonts w:ascii="Times New Roman" w:cs="Times New Roman"/>
          <w:kern w:val="2"/>
          <w:shd w:val="clear" w:color="auto" w:fill="FFFFFF"/>
        </w:rPr>
        <w:t>对来气进行预处理，实现酸性气的气液分离、段塞捕集、粉尘过滤。</w:t>
      </w:r>
    </w:p>
    <w:p w:rsidR="00BD5820" w:rsidRDefault="00F64314">
      <w:pPr>
        <w:ind w:firstLineChars="0" w:firstLine="480"/>
        <w:rPr>
          <w:rFonts w:ascii="Times New Roman" w:cs="Times New Roman"/>
          <w:kern w:val="2"/>
          <w:shd w:val="clear" w:color="auto" w:fill="FFFFFF"/>
        </w:rPr>
      </w:pPr>
      <w:r>
        <w:rPr>
          <w:rFonts w:ascii="Times New Roman" w:cs="Times New Roman"/>
          <w:kern w:val="2"/>
          <w:shd w:val="clear" w:color="auto" w:fill="FFFFFF"/>
        </w:rPr>
        <w:t>设置气液分离器（含丝网除沫器）、过滤分离器满足酸性来气预处理分离精度</w:t>
      </w:r>
      <w:r>
        <w:rPr>
          <w:rFonts w:ascii="Times New Roman" w:cs="Times New Roman"/>
          <w:kern w:val="2"/>
          <w:shd w:val="clear" w:color="auto" w:fill="FFFFFF"/>
        </w:rPr>
        <w:t xml:space="preserve">10μm </w:t>
      </w:r>
      <w:r>
        <w:rPr>
          <w:rFonts w:ascii="Times New Roman" w:cs="Times New Roman"/>
          <w:kern w:val="2"/>
          <w:shd w:val="clear" w:color="auto" w:fill="FFFFFF"/>
        </w:rPr>
        <w:t>的技术要求和压缩机进气要求。</w:t>
      </w:r>
    </w:p>
    <w:p w:rsidR="00BD5820" w:rsidRDefault="00F64314">
      <w:pPr>
        <w:ind w:firstLineChars="0" w:firstLine="480"/>
        <w:rPr>
          <w:rFonts w:ascii="Times New Roman" w:cs="Times New Roman"/>
          <w:kern w:val="2"/>
          <w:shd w:val="clear" w:color="auto" w:fill="FFFFFF"/>
        </w:rPr>
      </w:pPr>
      <w:r>
        <w:rPr>
          <w:rFonts w:ascii="Times New Roman" w:cs="Times New Roman" w:hint="eastAsia"/>
          <w:kern w:val="2"/>
          <w:shd w:val="clear" w:color="auto" w:fill="FFFFFF"/>
        </w:rPr>
        <w:t>（</w:t>
      </w:r>
      <w:r>
        <w:rPr>
          <w:rFonts w:ascii="Times New Roman" w:cs="Times New Roman" w:hint="eastAsia"/>
          <w:kern w:val="2"/>
          <w:shd w:val="clear" w:color="auto" w:fill="FFFFFF"/>
        </w:rPr>
        <w:t>3</w:t>
      </w:r>
      <w:r>
        <w:rPr>
          <w:rFonts w:ascii="Times New Roman" w:cs="Times New Roman" w:hint="eastAsia"/>
          <w:kern w:val="2"/>
          <w:shd w:val="clear" w:color="auto" w:fill="FFFFFF"/>
        </w:rPr>
        <w:t>）增压功能</w:t>
      </w:r>
    </w:p>
    <w:p w:rsidR="00BD5820" w:rsidRDefault="00F64314">
      <w:pPr>
        <w:ind w:firstLine="480"/>
      </w:pPr>
      <w:r>
        <w:t>选用往复式增压机组，实现酸性气增压，是湿气增压开采的核心装备</w:t>
      </w:r>
      <w:r>
        <w:rPr>
          <w:rFonts w:hint="eastAsia"/>
        </w:rPr>
        <w:t>。</w:t>
      </w:r>
    </w:p>
    <w:p w:rsidR="00BD5820" w:rsidRDefault="00F64314">
      <w:pPr>
        <w:ind w:firstLine="480"/>
      </w:pPr>
      <w:r>
        <w:rPr>
          <w:rFonts w:ascii="Times New Roman" w:cs="Times New Roman" w:hint="eastAsia"/>
          <w:kern w:val="2"/>
          <w:shd w:val="clear" w:color="auto" w:fill="FFFFFF"/>
        </w:rPr>
        <w:t>3</w:t>
      </w:r>
      <w:r>
        <w:rPr>
          <w:rFonts w:hint="eastAsia"/>
        </w:rPr>
        <w:t>、工艺流程</w:t>
      </w:r>
    </w:p>
    <w:p w:rsidR="00BD5820" w:rsidRDefault="00F64314">
      <w:pPr>
        <w:ind w:firstLine="480"/>
      </w:pPr>
      <w:r>
        <w:rPr>
          <w:rFonts w:hint="eastAsia"/>
        </w:rPr>
        <w:t>根据高含硫酸性湿气介质特性、增压过程中温度、压力、游离水、硫沉积等</w:t>
      </w:r>
    </w:p>
    <w:p w:rsidR="00BD5820" w:rsidRDefault="00F64314">
      <w:pPr>
        <w:ind w:firstLine="480"/>
      </w:pPr>
      <w:r>
        <w:rPr>
          <w:rFonts w:hint="eastAsia"/>
        </w:rPr>
        <w:t>参数变化规律，结合井口油压和温度现状、集输管网特点、压缩机进气、运行条件，确定增压工艺关键路线及参数。</w:t>
      </w:r>
    </w:p>
    <w:p w:rsidR="00BD5820" w:rsidRDefault="00F64314">
      <w:pPr>
        <w:ind w:firstLine="480"/>
      </w:pPr>
      <w:r>
        <w:rPr>
          <w:rFonts w:hint="eastAsia"/>
        </w:rPr>
        <w:t>增压站工艺：采用“气液分离+过滤分离+压缩机增压+空冷+除油”湿气增</w:t>
      </w:r>
    </w:p>
    <w:p w:rsidR="00BD5820" w:rsidRDefault="00F64314">
      <w:pPr>
        <w:ind w:firstLine="480"/>
      </w:pPr>
      <w:r>
        <w:rPr>
          <w:rFonts w:hint="eastAsia"/>
        </w:rPr>
        <w:t>压工艺；设置越站旁通，保证上游不超压、憋压；出站加注缓蚀剂。</w:t>
      </w:r>
    </w:p>
    <w:p w:rsidR="00BD5820" w:rsidRDefault="00F64314">
      <w:pPr>
        <w:ind w:firstLine="480"/>
      </w:pPr>
      <w:r>
        <w:rPr>
          <w:rFonts w:hint="eastAsia"/>
        </w:rPr>
        <w:lastRenderedPageBreak/>
        <w:t>增压设备：往复式压缩机组，一级压缩；</w:t>
      </w:r>
    </w:p>
    <w:p w:rsidR="00BD5820" w:rsidRDefault="00F64314">
      <w:pPr>
        <w:ind w:firstLineChars="0" w:firstLine="480"/>
        <w:rPr>
          <w:rFonts w:ascii="Times New Roman" w:cs="Times New Roman"/>
          <w:kern w:val="2"/>
          <w:shd w:val="clear" w:color="auto" w:fill="FFFFFF"/>
        </w:rPr>
      </w:pPr>
      <w:r>
        <w:rPr>
          <w:rFonts w:hint="eastAsia"/>
        </w:rPr>
        <w:t>重力分离：对分线来气气液分离，分离精度</w:t>
      </w:r>
      <w:r>
        <w:rPr>
          <w:rFonts w:ascii="Times New Roman" w:cs="Times New Roman" w:hint="eastAsia"/>
          <w:kern w:val="2"/>
          <w:shd w:val="clear" w:color="auto" w:fill="FFFFFF"/>
        </w:rPr>
        <w:t>100</w:t>
      </w:r>
      <w:r>
        <w:rPr>
          <w:rFonts w:ascii="Times New Roman" w:cs="Times New Roman" w:hint="eastAsia"/>
          <w:kern w:val="2"/>
          <w:shd w:val="clear" w:color="auto" w:fill="FFFFFF"/>
        </w:rPr>
        <w:t>μ</w:t>
      </w:r>
      <w:r>
        <w:rPr>
          <w:rFonts w:ascii="Times New Roman" w:cs="Times New Roman" w:hint="eastAsia"/>
          <w:kern w:val="2"/>
          <w:shd w:val="clear" w:color="auto" w:fill="FFFFFF"/>
        </w:rPr>
        <w:t>m</w:t>
      </w:r>
      <w:r>
        <w:rPr>
          <w:rFonts w:ascii="Times New Roman" w:cs="Times New Roman" w:hint="eastAsia"/>
          <w:kern w:val="2"/>
          <w:shd w:val="clear" w:color="auto" w:fill="FFFFFF"/>
        </w:rPr>
        <w:t>，实现液塞的有效捕集；顶部设置丝网除沫器，精度</w:t>
      </w:r>
      <w:r>
        <w:rPr>
          <w:rFonts w:ascii="Times New Roman" w:cs="Times New Roman" w:hint="eastAsia"/>
          <w:kern w:val="2"/>
          <w:shd w:val="clear" w:color="auto" w:fill="FFFFFF"/>
        </w:rPr>
        <w:t>10-30</w:t>
      </w:r>
      <w:r>
        <w:rPr>
          <w:rFonts w:ascii="Times New Roman" w:cs="Times New Roman" w:hint="eastAsia"/>
          <w:kern w:val="2"/>
          <w:shd w:val="clear" w:color="auto" w:fill="FFFFFF"/>
        </w:rPr>
        <w:t>μ</w:t>
      </w:r>
      <w:r>
        <w:rPr>
          <w:rFonts w:ascii="Times New Roman" w:cs="Times New Roman" w:hint="eastAsia"/>
          <w:kern w:val="2"/>
          <w:shd w:val="clear" w:color="auto" w:fill="FFFFFF"/>
        </w:rPr>
        <w:t>m</w:t>
      </w:r>
      <w:r>
        <w:rPr>
          <w:rFonts w:ascii="Times New Roman" w:cs="Times New Roman" w:hint="eastAsia"/>
          <w:kern w:val="2"/>
          <w:shd w:val="clear" w:color="auto" w:fill="FFFFFF"/>
        </w:rPr>
        <w:t>；</w:t>
      </w:r>
    </w:p>
    <w:p w:rsidR="00BD5820" w:rsidRDefault="00F64314">
      <w:pPr>
        <w:ind w:firstLineChars="0" w:firstLine="480"/>
      </w:pPr>
      <w:r>
        <w:rPr>
          <w:rFonts w:ascii="Times New Roman" w:cs="Times New Roman" w:hint="eastAsia"/>
          <w:kern w:val="2"/>
          <w:shd w:val="clear" w:color="auto" w:fill="FFFFFF"/>
        </w:rPr>
        <w:t>过滤分离：分离精度</w:t>
      </w:r>
      <w:r>
        <w:rPr>
          <w:rFonts w:ascii="Times New Roman" w:cs="Times New Roman" w:hint="eastAsia"/>
          <w:kern w:val="2"/>
          <w:shd w:val="clear" w:color="auto" w:fill="FFFFFF"/>
        </w:rPr>
        <w:t>10</w:t>
      </w:r>
      <w:r>
        <w:rPr>
          <w:rFonts w:ascii="Times New Roman" w:cs="Times New Roman" w:hint="eastAsia"/>
          <w:kern w:val="2"/>
          <w:shd w:val="clear" w:color="auto" w:fill="FFFFFF"/>
        </w:rPr>
        <w:t>μ</w:t>
      </w:r>
      <w:r>
        <w:rPr>
          <w:rFonts w:ascii="Times New Roman" w:cs="Times New Roman" w:hint="eastAsia"/>
          <w:kern w:val="2"/>
          <w:shd w:val="clear" w:color="auto" w:fill="FFFFFF"/>
        </w:rPr>
        <w:t>m</w:t>
      </w:r>
      <w:r>
        <w:rPr>
          <w:rFonts w:ascii="Times New Roman" w:cs="Times New Roman" w:hint="eastAsia"/>
          <w:kern w:val="2"/>
          <w:shd w:val="clear" w:color="auto" w:fill="FFFFFF"/>
        </w:rPr>
        <w:t>。</w:t>
      </w:r>
    </w:p>
    <w:p w:rsidR="00BD5820" w:rsidRDefault="00F64314">
      <w:pPr>
        <w:ind w:firstLineChars="0" w:firstLine="0"/>
        <w:jc w:val="center"/>
      </w:pPr>
      <w:r>
        <w:rPr>
          <w:noProof/>
        </w:rPr>
        <w:drawing>
          <wp:inline distT="0" distB="0" distL="114300" distR="114300">
            <wp:extent cx="5274310" cy="1677670"/>
            <wp:effectExtent l="0" t="0" r="2540" b="17780"/>
            <wp:docPr id="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pic:cNvPicPr>
                      <a:picLocks noChangeAspect="1"/>
                    </pic:cNvPicPr>
                  </pic:nvPicPr>
                  <pic:blipFill>
                    <a:blip r:embed="rId50"/>
                    <a:stretch>
                      <a:fillRect/>
                    </a:stretch>
                  </pic:blipFill>
                  <pic:spPr>
                    <a:xfrm>
                      <a:off x="0" y="0"/>
                      <a:ext cx="5274310" cy="1677670"/>
                    </a:xfrm>
                    <a:prstGeom prst="rect">
                      <a:avLst/>
                    </a:prstGeom>
                    <a:noFill/>
                    <a:ln>
                      <a:noFill/>
                    </a:ln>
                  </pic:spPr>
                </pic:pic>
              </a:graphicData>
            </a:graphic>
          </wp:inline>
        </w:drawing>
      </w:r>
    </w:p>
    <w:p w:rsidR="00BD5820" w:rsidRDefault="00F64314">
      <w:pPr>
        <w:ind w:firstLineChars="0" w:firstLine="0"/>
        <w:jc w:val="center"/>
        <w:rPr>
          <w:b/>
          <w:bCs/>
        </w:rPr>
      </w:pPr>
      <w:r>
        <w:rPr>
          <w:rFonts w:cs="Times New Roman"/>
          <w:b/>
          <w:bCs/>
        </w:rPr>
        <w:t>图</w:t>
      </w:r>
      <w:r>
        <w:rPr>
          <w:rFonts w:ascii="Times New Roman" w:cs="Times New Roman"/>
          <w:b/>
          <w:bCs/>
        </w:rPr>
        <w:t>4.2-</w:t>
      </w:r>
      <w:r>
        <w:rPr>
          <w:rFonts w:ascii="Times New Roman" w:cs="Times New Roman" w:hint="eastAsia"/>
          <w:b/>
          <w:bCs/>
        </w:rPr>
        <w:t>2</w:t>
      </w:r>
      <w:r>
        <w:rPr>
          <w:rFonts w:ascii="Times New Roman" w:cs="Times New Roman"/>
          <w:b/>
          <w:bCs/>
        </w:rPr>
        <w:t xml:space="preserve"> </w:t>
      </w:r>
      <w:r>
        <w:rPr>
          <w:rFonts w:cs="Times New Roman"/>
          <w:b/>
          <w:bCs/>
        </w:rPr>
        <w:t xml:space="preserve"> </w:t>
      </w:r>
      <w:r>
        <w:rPr>
          <w:rFonts w:cs="Times New Roman" w:hint="eastAsia"/>
          <w:b/>
          <w:bCs/>
        </w:rPr>
        <w:t>增压流程示意图</w:t>
      </w:r>
    </w:p>
    <w:p w:rsidR="00BD5820" w:rsidRDefault="00F64314">
      <w:pPr>
        <w:ind w:firstLine="480"/>
        <w:jc w:val="left"/>
        <w:rPr>
          <w:rFonts w:hAnsi="宋体"/>
        </w:rPr>
      </w:pPr>
      <w:r>
        <w:rPr>
          <w:rFonts w:hAnsi="宋体" w:hint="eastAsia"/>
        </w:rPr>
        <w:t>（</w:t>
      </w:r>
      <w:r>
        <w:rPr>
          <w:rFonts w:ascii="TimesNewRomanPSMT" w:eastAsia="TimesNewRomanPSMT" w:hAnsi="TimesNewRomanPSMT"/>
        </w:rPr>
        <w:t>1</w:t>
      </w:r>
      <w:r>
        <w:rPr>
          <w:rFonts w:hAnsi="宋体" w:hint="eastAsia"/>
        </w:rPr>
        <w:t>）普光气田</w:t>
      </w:r>
      <w:r>
        <w:rPr>
          <w:rFonts w:ascii="TimesNewRomanPSMT" w:eastAsia="TimesNewRomanPSMT" w:hAnsi="TimesNewRomanPSMT"/>
        </w:rPr>
        <w:t>1#</w:t>
      </w:r>
      <w:r>
        <w:rPr>
          <w:rFonts w:hAnsi="宋体" w:hint="eastAsia"/>
        </w:rPr>
        <w:t>增压站工艺流程</w:t>
      </w:r>
    </w:p>
    <w:p w:rsidR="00BD5820" w:rsidRDefault="00F64314">
      <w:pPr>
        <w:ind w:firstLine="480"/>
        <w:jc w:val="left"/>
        <w:rPr>
          <w:rFonts w:hAnsi="宋体"/>
        </w:rPr>
      </w:pPr>
      <w:r>
        <w:rPr>
          <w:rFonts w:hAnsi="宋体" w:hint="eastAsia"/>
        </w:rPr>
        <w:t>针对</w:t>
      </w:r>
      <w:r>
        <w:rPr>
          <w:rFonts w:ascii="TimesNewRomanPSMT" w:eastAsia="TimesNewRomanPSMT" w:hAnsi="TimesNewRomanPSMT"/>
        </w:rPr>
        <w:t>1#</w:t>
      </w:r>
      <w:r>
        <w:rPr>
          <w:rFonts w:hAnsi="宋体" w:hint="eastAsia"/>
        </w:rPr>
        <w:t>线产水井和不产水井油压递减不同步的特点，对</w:t>
      </w:r>
      <w:r w:rsidRPr="00924F51">
        <w:rPr>
          <w:rFonts w:hAnsi="宋体" w:hint="eastAsia"/>
          <w:color w:val="FF0000"/>
        </w:rPr>
        <w:t>普光气田</w:t>
      </w:r>
      <w:r w:rsidR="00924F51" w:rsidRPr="00924F51">
        <w:rPr>
          <w:rFonts w:ascii="TimesNewRomanPSMT" w:eastAsia="TimesNewRomanPSMT" w:hAnsi="TimesNewRomanPSMT" w:hint="eastAsia"/>
          <w:color w:val="FF0000"/>
        </w:rPr>
        <w:t>1</w:t>
      </w:r>
      <w:r w:rsidRPr="00924F51">
        <w:rPr>
          <w:rFonts w:ascii="TimesNewRomanPSMT" w:eastAsia="TimesNewRomanPSMT" w:hAnsi="TimesNewRomanPSMT"/>
          <w:color w:val="FF0000"/>
        </w:rPr>
        <w:t>#</w:t>
      </w:r>
      <w:r w:rsidRPr="00924F51">
        <w:rPr>
          <w:rFonts w:hAnsi="宋体" w:hint="eastAsia"/>
          <w:color w:val="FF0000"/>
        </w:rPr>
        <w:t>增压站</w:t>
      </w:r>
      <w:r>
        <w:rPr>
          <w:rFonts w:hAnsi="宋体" w:hint="eastAsia"/>
        </w:rPr>
        <w:t>站外两路气源进行气液分离、过滤、增压和冷却工艺。</w:t>
      </w:r>
    </w:p>
    <w:p w:rsidR="00BD5820" w:rsidRDefault="00F64314">
      <w:pPr>
        <w:ind w:firstLine="480"/>
        <w:jc w:val="left"/>
        <w:rPr>
          <w:rFonts w:hAnsi="宋体"/>
        </w:rPr>
      </w:pPr>
      <w:r>
        <w:rPr>
          <w:rFonts w:ascii="TimesNewRomanPSMT" w:eastAsia="TimesNewRomanPSMT" w:hAnsi="TimesNewRomanPSMT"/>
        </w:rPr>
        <w:t>1</w:t>
      </w:r>
      <w:r>
        <w:rPr>
          <w:rFonts w:hAnsi="宋体" w:hint="eastAsia"/>
        </w:rPr>
        <w:t>）</w:t>
      </w:r>
      <w:r>
        <w:rPr>
          <w:rFonts w:ascii="TimesNewRomanPSMT" w:eastAsia="TimesNewRomanPSMT" w:hAnsi="TimesNewRomanPSMT"/>
        </w:rPr>
        <w:t>P107</w:t>
      </w:r>
      <w:r>
        <w:rPr>
          <w:rFonts w:hAnsi="宋体" w:hint="eastAsia"/>
        </w:rPr>
        <w:t>～</w:t>
      </w:r>
      <w:r>
        <w:rPr>
          <w:rFonts w:ascii="TimesNewRomanPSMT" w:eastAsia="TimesNewRomanPSMT" w:hAnsi="TimesNewRomanPSMT"/>
        </w:rPr>
        <w:t>P104</w:t>
      </w:r>
      <w:r>
        <w:rPr>
          <w:rFonts w:hAnsi="宋体" w:hint="eastAsia"/>
        </w:rPr>
        <w:t>产水井站来气通过新建集输管道引接至</w:t>
      </w:r>
      <w:r w:rsidRPr="00924F51">
        <w:rPr>
          <w:rFonts w:hAnsi="宋体" w:hint="eastAsia"/>
          <w:color w:val="FF0000"/>
        </w:rPr>
        <w:t>普光气田</w:t>
      </w:r>
      <w:r w:rsidR="00924F51" w:rsidRPr="00924F51">
        <w:rPr>
          <w:rFonts w:ascii="TimesNewRomanPSMT" w:eastAsia="TimesNewRomanPSMT" w:hAnsi="TimesNewRomanPSMT" w:hint="eastAsia"/>
          <w:color w:val="FF0000"/>
        </w:rPr>
        <w:t>1</w:t>
      </w:r>
      <w:r w:rsidRPr="00924F51">
        <w:rPr>
          <w:rFonts w:ascii="TimesNewRomanPSMT" w:eastAsia="TimesNewRomanPSMT" w:hAnsi="TimesNewRomanPSMT"/>
          <w:color w:val="FF0000"/>
        </w:rPr>
        <w:t>#</w:t>
      </w:r>
      <w:r w:rsidRPr="00924F51">
        <w:rPr>
          <w:rFonts w:hAnsi="宋体" w:hint="eastAsia"/>
          <w:color w:val="FF0000"/>
        </w:rPr>
        <w:t>增压站</w:t>
      </w:r>
      <w:r>
        <w:rPr>
          <w:rFonts w:hAnsi="宋体" w:hint="eastAsia"/>
        </w:rPr>
        <w:t>，收球后天然气单独分离、过滤、增压和冷却后外输至</w:t>
      </w:r>
      <w:r>
        <w:rPr>
          <w:rFonts w:ascii="TimesNewRomanPSMT" w:eastAsia="TimesNewRomanPSMT" w:hAnsi="TimesNewRomanPSMT"/>
        </w:rPr>
        <w:t>P102</w:t>
      </w:r>
      <w:r>
        <w:rPr>
          <w:rFonts w:hAnsi="宋体" w:hint="eastAsia"/>
        </w:rPr>
        <w:t>集气站；</w:t>
      </w:r>
    </w:p>
    <w:p w:rsidR="00BD5820" w:rsidRDefault="00F64314">
      <w:pPr>
        <w:ind w:firstLine="480"/>
        <w:jc w:val="left"/>
        <w:rPr>
          <w:rFonts w:hAnsi="宋体"/>
        </w:rPr>
      </w:pPr>
      <w:r>
        <w:rPr>
          <w:rFonts w:ascii="TimesNewRomanPSMT" w:eastAsia="TimesNewRomanPSMT" w:hAnsi="TimesNewRomanPSMT"/>
        </w:rPr>
        <w:t>2</w:t>
      </w:r>
      <w:r>
        <w:rPr>
          <w:rFonts w:hAnsi="宋体" w:hint="eastAsia"/>
        </w:rPr>
        <w:t>）</w:t>
      </w:r>
      <w:r>
        <w:rPr>
          <w:rFonts w:ascii="TimesNewRomanPSMT" w:eastAsia="TimesNewRomanPSMT" w:hAnsi="TimesNewRomanPSMT"/>
        </w:rPr>
        <w:t>P101</w:t>
      </w:r>
      <w:r>
        <w:rPr>
          <w:rFonts w:hAnsi="宋体" w:hint="eastAsia"/>
        </w:rPr>
        <w:t>～</w:t>
      </w:r>
      <w:r>
        <w:rPr>
          <w:rFonts w:ascii="TimesNewRomanPSMT" w:eastAsia="TimesNewRomanPSMT" w:hAnsi="TimesNewRomanPSMT"/>
        </w:rPr>
        <w:t>P103</w:t>
      </w:r>
      <w:r>
        <w:rPr>
          <w:rFonts w:hAnsi="宋体" w:hint="eastAsia"/>
        </w:rPr>
        <w:t>不产水井站来气气源引接至</w:t>
      </w:r>
      <w:r>
        <w:rPr>
          <w:rFonts w:ascii="TimesNewRomanPSMT" w:eastAsia="TimesNewRomanPSMT" w:hAnsi="TimesNewRomanPSMT"/>
        </w:rPr>
        <w:t>P102</w:t>
      </w:r>
      <w:r>
        <w:rPr>
          <w:rFonts w:hAnsi="宋体" w:hint="eastAsia"/>
        </w:rPr>
        <w:t>集气站，通过站间管道引接至</w:t>
      </w:r>
      <w:r>
        <w:rPr>
          <w:rFonts w:ascii="TimesNewRomanPSMT" w:eastAsia="TimesNewRomanPSMT" w:hAnsi="TimesNewRomanPSMT"/>
        </w:rPr>
        <w:t>P102</w:t>
      </w:r>
      <w:r>
        <w:rPr>
          <w:rFonts w:hAnsi="宋体" w:hint="eastAsia"/>
        </w:rPr>
        <w:t>增压站，天然气单独分离、过滤、增压和冷却后外输至</w:t>
      </w:r>
      <w:r>
        <w:rPr>
          <w:rFonts w:ascii="TimesNewRomanPSMT" w:eastAsia="TimesNewRomanPSMT" w:hAnsi="TimesNewRomanPSMT"/>
        </w:rPr>
        <w:t>P102</w:t>
      </w:r>
      <w:r>
        <w:rPr>
          <w:rFonts w:hAnsi="宋体" w:hint="eastAsia"/>
        </w:rPr>
        <w:t>集气站；</w:t>
      </w:r>
    </w:p>
    <w:p w:rsidR="00BD5820" w:rsidRDefault="00F64314">
      <w:pPr>
        <w:ind w:firstLine="480"/>
        <w:jc w:val="left"/>
        <w:rPr>
          <w:rFonts w:hAnsi="宋体"/>
        </w:rPr>
      </w:pPr>
      <w:r>
        <w:rPr>
          <w:rFonts w:ascii="TimesNewRomanPSMT" w:eastAsia="TimesNewRomanPSMT" w:hAnsi="TimesNewRomanPSMT"/>
        </w:rPr>
        <w:t>3</w:t>
      </w:r>
      <w:r>
        <w:rPr>
          <w:rFonts w:hAnsi="宋体" w:hint="eastAsia"/>
        </w:rPr>
        <w:t>）考虑</w:t>
      </w:r>
      <w:r>
        <w:rPr>
          <w:rFonts w:ascii="TimesNewRomanPSMT" w:eastAsia="TimesNewRomanPSMT" w:hAnsi="TimesNewRomanPSMT"/>
        </w:rPr>
        <w:t>1#</w:t>
      </w:r>
      <w:r>
        <w:rPr>
          <w:rFonts w:hAnsi="宋体" w:hint="eastAsia"/>
        </w:rPr>
        <w:t>线产水气井生产时间较短，两路气源过滤等增压设备间通过设置切换流程互联互通，实现增压站场分离、过滤和增压等设备间的共用或备用。</w:t>
      </w:r>
    </w:p>
    <w:p w:rsidR="00BD5820" w:rsidRDefault="00F64314">
      <w:pPr>
        <w:ind w:firstLineChars="0" w:firstLine="0"/>
        <w:jc w:val="center"/>
      </w:pPr>
      <w:r>
        <w:rPr>
          <w:noProof/>
        </w:rPr>
        <w:lastRenderedPageBreak/>
        <w:drawing>
          <wp:inline distT="0" distB="0" distL="114300" distR="114300">
            <wp:extent cx="5268595" cy="1988185"/>
            <wp:effectExtent l="0" t="0" r="8255" b="12065"/>
            <wp:docPr id="3"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0"/>
                    <pic:cNvPicPr>
                      <a:picLocks noChangeAspect="1"/>
                    </pic:cNvPicPr>
                  </pic:nvPicPr>
                  <pic:blipFill>
                    <a:blip r:embed="rId51"/>
                    <a:stretch>
                      <a:fillRect/>
                    </a:stretch>
                  </pic:blipFill>
                  <pic:spPr>
                    <a:xfrm>
                      <a:off x="0" y="0"/>
                      <a:ext cx="5268595" cy="1988185"/>
                    </a:xfrm>
                    <a:prstGeom prst="rect">
                      <a:avLst/>
                    </a:prstGeom>
                    <a:noFill/>
                    <a:ln>
                      <a:noFill/>
                    </a:ln>
                  </pic:spPr>
                </pic:pic>
              </a:graphicData>
            </a:graphic>
          </wp:inline>
        </w:drawing>
      </w:r>
    </w:p>
    <w:p w:rsidR="00BD5820" w:rsidRDefault="00F64314">
      <w:pPr>
        <w:pStyle w:val="10"/>
        <w:rPr>
          <w:rFonts w:cs="Times New Roman"/>
        </w:rPr>
      </w:pPr>
      <w:r>
        <w:rPr>
          <w:rFonts w:cs="Times New Roman"/>
          <w:sz w:val="24"/>
        </w:rPr>
        <w:t>图</w:t>
      </w:r>
      <w:r>
        <w:rPr>
          <w:rFonts w:cs="Times New Roman"/>
          <w:bCs/>
          <w:sz w:val="24"/>
        </w:rPr>
        <w:t>4.2-</w:t>
      </w:r>
      <w:r>
        <w:rPr>
          <w:rFonts w:cs="Times New Roman" w:hint="eastAsia"/>
          <w:bCs/>
          <w:sz w:val="24"/>
        </w:rPr>
        <w:t>3</w:t>
      </w:r>
      <w:r>
        <w:rPr>
          <w:rFonts w:cs="Times New Roman"/>
          <w:bCs/>
          <w:sz w:val="24"/>
        </w:rPr>
        <w:t xml:space="preserve">  </w:t>
      </w:r>
      <w:r>
        <w:rPr>
          <w:rFonts w:cs="Times New Roman"/>
          <w:sz w:val="24"/>
        </w:rPr>
        <w:t>本项目运营期</w:t>
      </w:r>
      <w:r>
        <w:rPr>
          <w:rFonts w:cs="Times New Roman" w:hint="eastAsia"/>
          <w:sz w:val="24"/>
        </w:rPr>
        <w:t>普光气田</w:t>
      </w:r>
      <w:r>
        <w:rPr>
          <w:rFonts w:cs="Times New Roman" w:hint="eastAsia"/>
          <w:sz w:val="24"/>
        </w:rPr>
        <w:t>1#</w:t>
      </w:r>
      <w:r>
        <w:rPr>
          <w:rFonts w:cs="Times New Roman" w:hint="eastAsia"/>
          <w:sz w:val="24"/>
        </w:rPr>
        <w:t>增压站</w:t>
      </w:r>
      <w:r>
        <w:rPr>
          <w:rFonts w:cs="Times New Roman"/>
          <w:sz w:val="24"/>
        </w:rPr>
        <w:t>工艺流程及产污节点图</w:t>
      </w:r>
    </w:p>
    <w:p w:rsidR="00BD5820" w:rsidRDefault="00BD5820">
      <w:pPr>
        <w:pStyle w:val="affa"/>
        <w:ind w:firstLine="482"/>
        <w:rPr>
          <w:b/>
          <w:bCs/>
        </w:rPr>
      </w:pPr>
    </w:p>
    <w:p w:rsidR="00BD5820" w:rsidRDefault="00F64314">
      <w:pPr>
        <w:pStyle w:val="affa"/>
        <w:ind w:firstLine="480"/>
      </w:pPr>
      <w:r>
        <w:rPr>
          <w:rFonts w:hint="eastAsia"/>
        </w:rPr>
        <w:t>（</w:t>
      </w:r>
      <w:r>
        <w:t>2</w:t>
      </w:r>
      <w:r>
        <w:rPr>
          <w:rFonts w:hint="eastAsia"/>
        </w:rPr>
        <w:t>）普光气田</w:t>
      </w:r>
      <w:r>
        <w:t>2#</w:t>
      </w:r>
      <w:r>
        <w:rPr>
          <w:rFonts w:hint="eastAsia"/>
        </w:rPr>
        <w:t>增压站工艺流程</w:t>
      </w:r>
    </w:p>
    <w:p w:rsidR="00BD5820" w:rsidRDefault="00F64314">
      <w:pPr>
        <w:pStyle w:val="affa"/>
        <w:ind w:firstLine="480"/>
      </w:pPr>
      <w:r>
        <w:rPr>
          <w:rFonts w:hint="eastAsia"/>
        </w:rPr>
        <w:t>普光气田</w:t>
      </w:r>
      <w:r w:rsidR="001F394E" w:rsidRPr="001F394E">
        <w:rPr>
          <w:rFonts w:hint="eastAsia"/>
          <w:color w:val="FF0000"/>
        </w:rPr>
        <w:t>2</w:t>
      </w:r>
      <w:r w:rsidRPr="001F394E">
        <w:rPr>
          <w:color w:val="FF0000"/>
        </w:rPr>
        <w:t>#</w:t>
      </w:r>
      <w:r w:rsidRPr="001F394E">
        <w:rPr>
          <w:rFonts w:hint="eastAsia"/>
          <w:color w:val="FF0000"/>
        </w:rPr>
        <w:t>增压站</w:t>
      </w:r>
      <w:r>
        <w:rPr>
          <w:rFonts w:hint="eastAsia"/>
        </w:rPr>
        <w:t>选址位于普光净化厂外</w:t>
      </w:r>
      <w:r>
        <w:t xml:space="preserve">SEI </w:t>
      </w:r>
      <w:r>
        <w:rPr>
          <w:rFonts w:hint="eastAsia"/>
        </w:rPr>
        <w:t>临时料仓侧废旧料仓，新建</w:t>
      </w:r>
      <w:r>
        <w:t>2#</w:t>
      </w:r>
      <w:r>
        <w:rPr>
          <w:rFonts w:hint="eastAsia"/>
        </w:rPr>
        <w:t>、</w:t>
      </w:r>
      <w:r>
        <w:t>3#</w:t>
      </w:r>
      <w:r>
        <w:rPr>
          <w:rFonts w:hint="eastAsia"/>
        </w:rPr>
        <w:t>线收发球筒，酸性气经收球筒跨线，依次经过重力分离器、过滤分离器；重力分离器顶部设置丝网除沫器，分离精度为</w:t>
      </w:r>
      <w:r>
        <w:t>10-30</w:t>
      </w:r>
      <w:r>
        <w:rPr>
          <w:rFonts w:hint="eastAsia"/>
        </w:rPr>
        <w:t>μ</w:t>
      </w:r>
      <w:r>
        <w:t>m</w:t>
      </w:r>
      <w:r>
        <w:rPr>
          <w:rFonts w:hint="eastAsia"/>
        </w:rPr>
        <w:t>，过滤分离器分离精度≤</w:t>
      </w:r>
      <w:r>
        <w:t>10</w:t>
      </w:r>
      <w:r>
        <w:rPr>
          <w:rFonts w:hint="eastAsia"/>
        </w:rPr>
        <w:t>μ</w:t>
      </w:r>
      <w:r>
        <w:t>m</w:t>
      </w:r>
      <w:r>
        <w:rPr>
          <w:rFonts w:hint="eastAsia"/>
        </w:rPr>
        <w:t>，满足压缩机气质要求。</w:t>
      </w:r>
    </w:p>
    <w:p w:rsidR="00BD5820" w:rsidRDefault="00F64314">
      <w:pPr>
        <w:ind w:firstLine="480"/>
        <w:jc w:val="left"/>
        <w:rPr>
          <w:rFonts w:hAnsi="宋体"/>
        </w:rPr>
      </w:pPr>
      <w:r>
        <w:rPr>
          <w:rFonts w:hAnsi="宋体" w:hint="eastAsia"/>
        </w:rPr>
        <w:t>预处理后的酸性气经往复式压缩机组增压至</w:t>
      </w:r>
      <w:r>
        <w:rPr>
          <w:rFonts w:ascii="TimesNewRomanPSMT" w:eastAsia="TimesNewRomanPSMT" w:hAnsi="TimesNewRomanPSMT"/>
        </w:rPr>
        <w:t xml:space="preserve">8.0-8.5MPa </w:t>
      </w:r>
      <w:r>
        <w:rPr>
          <w:rFonts w:hAnsi="宋体" w:hint="eastAsia"/>
        </w:rPr>
        <w:t>后，通过空冷器冷却至</w:t>
      </w:r>
      <w:r>
        <w:rPr>
          <w:rFonts w:ascii="TimesNewRomanPSMT" w:eastAsia="TimesNewRomanPSMT" w:hAnsi="TimesNewRomanPSMT"/>
        </w:rPr>
        <w:t>55</w:t>
      </w:r>
      <w:r>
        <w:rPr>
          <w:rFonts w:hAnsi="宋体" w:hint="eastAsia"/>
        </w:rPr>
        <w:t>℃，经发球筒跨线分别输送至</w:t>
      </w:r>
      <w:r>
        <w:rPr>
          <w:rFonts w:ascii="TimesNewRomanPSMT" w:eastAsia="TimesNewRomanPSMT" w:hAnsi="TimesNewRomanPSMT"/>
        </w:rPr>
        <w:t>2#</w:t>
      </w:r>
      <w:r>
        <w:rPr>
          <w:rFonts w:hAnsi="宋体" w:hint="eastAsia"/>
        </w:rPr>
        <w:t>、</w:t>
      </w:r>
      <w:r>
        <w:rPr>
          <w:rFonts w:ascii="TimesNewRomanPSMT" w:eastAsia="TimesNewRomanPSMT" w:hAnsi="TimesNewRomanPSMT"/>
        </w:rPr>
        <w:t>3#</w:t>
      </w:r>
      <w:r>
        <w:rPr>
          <w:rFonts w:hAnsi="宋体" w:hint="eastAsia"/>
        </w:rPr>
        <w:t>线外部集输总管。</w:t>
      </w:r>
    </w:p>
    <w:p w:rsidR="00BD5820" w:rsidRDefault="00F64314">
      <w:pPr>
        <w:ind w:firstLine="480"/>
        <w:jc w:val="left"/>
        <w:rPr>
          <w:rFonts w:hAnsi="宋体"/>
        </w:rPr>
      </w:pPr>
      <w:r>
        <w:rPr>
          <w:rFonts w:hAnsi="宋体" w:hint="eastAsia"/>
        </w:rPr>
        <w:t>压缩机组末级设置高效除油聚结过滤器，消除润滑油对净化厂脱碳系统影响，润滑油含量要求≤</w:t>
      </w:r>
      <w:r>
        <w:rPr>
          <w:rFonts w:ascii="TimesNewRomanPSMT" w:eastAsia="TimesNewRomanPSMT" w:hAnsi="TimesNewRomanPSMT"/>
        </w:rPr>
        <w:t>5ppmw</w:t>
      </w:r>
      <w:r>
        <w:rPr>
          <w:rFonts w:hAnsi="宋体" w:hint="eastAsia"/>
        </w:rPr>
        <w:t>，压缩机设置回流。</w:t>
      </w:r>
    </w:p>
    <w:p w:rsidR="00BD5820" w:rsidRDefault="00F64314">
      <w:pPr>
        <w:ind w:firstLine="480"/>
        <w:jc w:val="left"/>
        <w:rPr>
          <w:rFonts w:hAnsi="宋体"/>
        </w:rPr>
      </w:pPr>
      <w:r>
        <w:rPr>
          <w:rFonts w:hAnsi="宋体" w:hint="eastAsia"/>
        </w:rPr>
        <w:t>火炬系统：依托普光净化厂，站内放空系统经放空主管至净化厂火炬放空系统，保证站内安全放空和火灾放空。</w:t>
      </w:r>
    </w:p>
    <w:p w:rsidR="00BD5820" w:rsidRDefault="00F64314">
      <w:pPr>
        <w:ind w:firstLine="480"/>
        <w:jc w:val="left"/>
        <w:rPr>
          <w:rFonts w:hAnsi="宋体"/>
        </w:rPr>
      </w:pPr>
      <w:r>
        <w:rPr>
          <w:rFonts w:hAnsi="宋体" w:hint="eastAsia"/>
        </w:rPr>
        <w:t>空氮系统：依托普光净化厂，供气管线引接至普光净化厂空分空压站，为站内提供仪表风和氮气。</w:t>
      </w:r>
    </w:p>
    <w:p w:rsidR="00BD5820" w:rsidRDefault="00F64314">
      <w:pPr>
        <w:pStyle w:val="affa"/>
        <w:ind w:firstLine="480"/>
      </w:pPr>
      <w:r>
        <w:rPr>
          <w:rFonts w:ascii="宋体" w:hAnsi="宋体" w:hint="eastAsia"/>
          <w:szCs w:val="24"/>
        </w:rPr>
        <w:t>压缩机润滑油加注系统：压缩机润滑油罐经氮压后加注至压缩机润滑油系统。</w:t>
      </w:r>
    </w:p>
    <w:p w:rsidR="00BD5820" w:rsidRDefault="00EA3750">
      <w:pPr>
        <w:pStyle w:val="affa"/>
        <w:ind w:firstLineChars="0" w:firstLine="0"/>
        <w:jc w:val="center"/>
      </w:pPr>
      <w:r>
        <w:lastRenderedPageBreak/>
        <w:pict>
          <v:shape id="_x0000_s1143" type="#_x0000_t202" style="position:absolute;left:0;text-align:left;margin-left:344.25pt;margin-top:2.1pt;width:77pt;height:19.25pt;z-index:251667456">
            <v:textbox>
              <w:txbxContent>
                <w:p w:rsidR="004841B2" w:rsidRDefault="004841B2">
                  <w:pPr>
                    <w:snapToGrid w:val="0"/>
                    <w:spacing w:line="200" w:lineRule="exact"/>
                    <w:ind w:firstLineChars="0" w:firstLine="0"/>
                    <w:rPr>
                      <w:sz w:val="15"/>
                      <w:szCs w:val="15"/>
                    </w:rPr>
                  </w:pPr>
                  <w:r>
                    <w:rPr>
                      <w:rFonts w:hint="eastAsia"/>
                      <w:color w:val="548DD4" w:themeColor="text2" w:themeTint="99"/>
                      <w:sz w:val="13"/>
                      <w:szCs w:val="13"/>
                    </w:rPr>
                    <w:t>依托净化厂放空系统</w:t>
                  </w:r>
                </w:p>
              </w:txbxContent>
            </v:textbox>
          </v:shape>
        </w:pict>
      </w:r>
      <w:r w:rsidR="00F64314">
        <w:rPr>
          <w:noProof/>
        </w:rPr>
        <w:drawing>
          <wp:anchor distT="0" distB="0" distL="114300" distR="114300" simplePos="0" relativeHeight="251666432" behindDoc="0" locked="0" layoutInCell="1" allowOverlap="1">
            <wp:simplePos x="0" y="0"/>
            <wp:positionH relativeFrom="column">
              <wp:posOffset>4518025</wp:posOffset>
            </wp:positionH>
            <wp:positionV relativeFrom="paragraph">
              <wp:posOffset>2395220</wp:posOffset>
            </wp:positionV>
            <wp:extent cx="664845" cy="265430"/>
            <wp:effectExtent l="0" t="0" r="1905" b="1270"/>
            <wp:wrapNone/>
            <wp:docPr id="1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2"/>
                    <pic:cNvPicPr>
                      <a:picLocks noChangeAspect="1"/>
                    </pic:cNvPicPr>
                  </pic:nvPicPr>
                  <pic:blipFill>
                    <a:blip r:embed="rId52"/>
                    <a:stretch>
                      <a:fillRect/>
                    </a:stretch>
                  </pic:blipFill>
                  <pic:spPr>
                    <a:xfrm>
                      <a:off x="0" y="0"/>
                      <a:ext cx="664845" cy="265430"/>
                    </a:xfrm>
                    <a:prstGeom prst="rect">
                      <a:avLst/>
                    </a:prstGeom>
                    <a:noFill/>
                    <a:ln>
                      <a:noFill/>
                    </a:ln>
                  </pic:spPr>
                </pic:pic>
              </a:graphicData>
            </a:graphic>
          </wp:anchor>
        </w:drawing>
      </w:r>
      <w:r w:rsidR="00F64314">
        <w:rPr>
          <w:noProof/>
        </w:rPr>
        <w:drawing>
          <wp:inline distT="0" distB="0" distL="114300" distR="114300">
            <wp:extent cx="5270500" cy="2698750"/>
            <wp:effectExtent l="0" t="0" r="6350" b="6350"/>
            <wp:docPr id="10"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1"/>
                    <pic:cNvPicPr>
                      <a:picLocks noChangeAspect="1"/>
                    </pic:cNvPicPr>
                  </pic:nvPicPr>
                  <pic:blipFill>
                    <a:blip r:embed="rId53"/>
                    <a:stretch>
                      <a:fillRect/>
                    </a:stretch>
                  </pic:blipFill>
                  <pic:spPr>
                    <a:xfrm>
                      <a:off x="0" y="0"/>
                      <a:ext cx="5270500" cy="2698750"/>
                    </a:xfrm>
                    <a:prstGeom prst="rect">
                      <a:avLst/>
                    </a:prstGeom>
                    <a:noFill/>
                    <a:ln>
                      <a:noFill/>
                    </a:ln>
                  </pic:spPr>
                </pic:pic>
              </a:graphicData>
            </a:graphic>
          </wp:inline>
        </w:drawing>
      </w:r>
    </w:p>
    <w:p w:rsidR="00BD5820" w:rsidRDefault="00F64314">
      <w:pPr>
        <w:pStyle w:val="affa"/>
        <w:ind w:firstLineChars="0" w:firstLine="0"/>
        <w:jc w:val="center"/>
      </w:pPr>
      <w:r>
        <w:rPr>
          <w:b/>
          <w:bCs/>
          <w:szCs w:val="24"/>
        </w:rPr>
        <w:t>图</w:t>
      </w:r>
      <w:r>
        <w:rPr>
          <w:b/>
          <w:bCs/>
          <w:szCs w:val="24"/>
        </w:rPr>
        <w:t>4.2-</w:t>
      </w:r>
      <w:r>
        <w:rPr>
          <w:rFonts w:hint="eastAsia"/>
          <w:b/>
          <w:bCs/>
          <w:szCs w:val="24"/>
        </w:rPr>
        <w:t>4</w:t>
      </w:r>
      <w:r>
        <w:rPr>
          <w:b/>
          <w:bCs/>
          <w:szCs w:val="24"/>
        </w:rPr>
        <w:t xml:space="preserve">  </w:t>
      </w:r>
      <w:r>
        <w:rPr>
          <w:b/>
          <w:bCs/>
          <w:szCs w:val="24"/>
        </w:rPr>
        <w:t>本项目运营期</w:t>
      </w:r>
      <w:r>
        <w:rPr>
          <w:rFonts w:hint="eastAsia"/>
          <w:b/>
          <w:bCs/>
          <w:szCs w:val="24"/>
        </w:rPr>
        <w:t>普光气田</w:t>
      </w:r>
      <w:r w:rsidR="001F394E" w:rsidRPr="001F394E">
        <w:rPr>
          <w:rFonts w:hint="eastAsia"/>
          <w:b/>
          <w:bCs/>
          <w:color w:val="FF0000"/>
          <w:szCs w:val="24"/>
        </w:rPr>
        <w:t>2</w:t>
      </w:r>
      <w:r w:rsidRPr="001F394E">
        <w:rPr>
          <w:rFonts w:hint="eastAsia"/>
          <w:b/>
          <w:bCs/>
          <w:color w:val="FF0000"/>
          <w:szCs w:val="24"/>
        </w:rPr>
        <w:t>#</w:t>
      </w:r>
      <w:r w:rsidRPr="001F394E">
        <w:rPr>
          <w:rFonts w:hint="eastAsia"/>
          <w:b/>
          <w:bCs/>
          <w:color w:val="FF0000"/>
          <w:szCs w:val="24"/>
        </w:rPr>
        <w:t>增压站</w:t>
      </w:r>
      <w:r>
        <w:rPr>
          <w:b/>
          <w:bCs/>
          <w:szCs w:val="24"/>
        </w:rPr>
        <w:t>工艺流程及产污节点图</w:t>
      </w:r>
    </w:p>
    <w:p w:rsidR="00BD5820" w:rsidRDefault="00F64314">
      <w:pPr>
        <w:pStyle w:val="3"/>
        <w:rPr>
          <w:rFonts w:eastAsia="宋体"/>
        </w:rPr>
      </w:pPr>
      <w:r>
        <w:rPr>
          <w:rFonts w:eastAsia="宋体"/>
        </w:rPr>
        <w:t xml:space="preserve">4.2.2 </w:t>
      </w:r>
      <w:r>
        <w:rPr>
          <w:rFonts w:eastAsia="宋体"/>
        </w:rPr>
        <w:t>废气产生情况及治理措施</w:t>
      </w:r>
    </w:p>
    <w:p w:rsidR="00BD5820" w:rsidRDefault="00F64314">
      <w:pPr>
        <w:pStyle w:val="affa"/>
        <w:ind w:firstLine="482"/>
        <w:rPr>
          <w:b/>
          <w:bCs/>
        </w:rPr>
      </w:pPr>
      <w:r>
        <w:rPr>
          <w:b/>
          <w:bCs/>
        </w:rPr>
        <w:t>1</w:t>
      </w:r>
      <w:r>
        <w:rPr>
          <w:b/>
          <w:bCs/>
        </w:rPr>
        <w:t>、正常工况</w:t>
      </w:r>
    </w:p>
    <w:p w:rsidR="00BD5820" w:rsidRDefault="00F64314">
      <w:pPr>
        <w:pStyle w:val="affa"/>
        <w:ind w:firstLine="480"/>
      </w:pPr>
      <w:r>
        <w:t>根据本项目所提供的设计资料，本项目正常生产时，天然气处于完全密闭系统内，无废气产生和排放。</w:t>
      </w:r>
    </w:p>
    <w:p w:rsidR="00BD5820" w:rsidRDefault="00F64314">
      <w:pPr>
        <w:pStyle w:val="affa"/>
        <w:ind w:firstLine="482"/>
        <w:rPr>
          <w:b/>
          <w:bCs/>
        </w:rPr>
      </w:pPr>
      <w:r>
        <w:rPr>
          <w:b/>
          <w:bCs/>
        </w:rPr>
        <w:t>2</w:t>
      </w:r>
      <w:r>
        <w:rPr>
          <w:b/>
          <w:bCs/>
        </w:rPr>
        <w:t>、非正常工况</w:t>
      </w:r>
    </w:p>
    <w:p w:rsidR="00BD5820" w:rsidRDefault="00F64314">
      <w:pPr>
        <w:pStyle w:val="affa"/>
        <w:ind w:firstLine="480"/>
      </w:pPr>
      <w:r>
        <w:t>（</w:t>
      </w:r>
      <w:r>
        <w:t>1</w:t>
      </w:r>
      <w:r>
        <w:t>）站场检修</w:t>
      </w:r>
      <w:r>
        <w:t>/</w:t>
      </w:r>
      <w:r>
        <w:t>事故放</w:t>
      </w:r>
      <w:r>
        <w:rPr>
          <w:rFonts w:hint="eastAsia"/>
        </w:rPr>
        <w:t>空</w:t>
      </w:r>
      <w:r>
        <w:t>废气</w:t>
      </w:r>
    </w:p>
    <w:p w:rsidR="00BD5820" w:rsidRDefault="00F64314">
      <w:pPr>
        <w:pStyle w:val="affa"/>
        <w:ind w:firstLine="480"/>
        <w:rPr>
          <w:bCs/>
        </w:rPr>
      </w:pPr>
      <w:r>
        <w:t>项目装置检修时为保证检修过程的安全，需排空装置及管道内的残留天然气，残留天然气通过</w:t>
      </w:r>
      <w:r>
        <w:rPr>
          <w:rFonts w:hint="eastAsia"/>
        </w:rPr>
        <w:t>站场</w:t>
      </w:r>
      <w:r>
        <w:t>放空系统点火排放。本项目设备检修预计每年约</w:t>
      </w:r>
      <w:r>
        <w:t>1</w:t>
      </w:r>
      <w:r>
        <w:t>～</w:t>
      </w:r>
      <w:r>
        <w:t>2</w:t>
      </w:r>
      <w:r>
        <w:t>次，检修前可利用截断装置，将集气管道和站场设备切断，放空废气仅为站场设备内残留的原料气，放空量约为</w:t>
      </w:r>
      <w:r>
        <w:t>30m</w:t>
      </w:r>
      <w:r>
        <w:rPr>
          <w:vertAlign w:val="superscript"/>
        </w:rPr>
        <w:t>3</w:t>
      </w:r>
      <w:r>
        <w:t>/</w:t>
      </w:r>
      <w:r>
        <w:t>次，</w:t>
      </w:r>
      <w:r>
        <w:rPr>
          <w:bCs/>
        </w:rPr>
        <w:t>放空废气通过放空火炬点火燃烧，主要污染物为二氧化硫和氮氧化物。</w:t>
      </w:r>
    </w:p>
    <w:p w:rsidR="00BD5820" w:rsidRDefault="00F64314">
      <w:pPr>
        <w:pStyle w:val="affa"/>
        <w:ind w:firstLine="480"/>
        <w:rPr>
          <w:bCs/>
        </w:rPr>
      </w:pPr>
      <w:r>
        <w:rPr>
          <w:bCs/>
        </w:rPr>
        <w:t>根据《工业污染源产排污系数手册》，废气量产生系数为</w:t>
      </w:r>
      <w:r>
        <w:rPr>
          <w:bCs/>
        </w:rPr>
        <w:t>12.31</w:t>
      </w:r>
      <w:r>
        <w:rPr>
          <w:bCs/>
        </w:rPr>
        <w:t>万</w:t>
      </w:r>
      <w:r>
        <w:rPr>
          <w:bCs/>
        </w:rPr>
        <w:t>m</w:t>
      </w:r>
      <w:r>
        <w:rPr>
          <w:bCs/>
          <w:vertAlign w:val="superscript"/>
        </w:rPr>
        <w:t>3</w:t>
      </w:r>
      <w:r>
        <w:rPr>
          <w:bCs/>
        </w:rPr>
        <w:t>/</w:t>
      </w:r>
      <w:r>
        <w:rPr>
          <w:bCs/>
        </w:rPr>
        <w:t>万</w:t>
      </w:r>
      <w:r>
        <w:rPr>
          <w:bCs/>
        </w:rPr>
        <w:t>m</w:t>
      </w:r>
      <w:r>
        <w:rPr>
          <w:bCs/>
          <w:vertAlign w:val="superscript"/>
        </w:rPr>
        <w:t>3</w:t>
      </w:r>
      <w:r>
        <w:rPr>
          <w:bCs/>
        </w:rPr>
        <w:t>天然气，本项目放空废气量为</w:t>
      </w:r>
      <w:r>
        <w:rPr>
          <w:bCs/>
        </w:rPr>
        <w:t>369.3m</w:t>
      </w:r>
      <w:r>
        <w:rPr>
          <w:bCs/>
          <w:vertAlign w:val="superscript"/>
        </w:rPr>
        <w:t>3</w:t>
      </w:r>
      <w:r>
        <w:rPr>
          <w:bCs/>
        </w:rPr>
        <w:t>；天然气燃烧</w:t>
      </w:r>
      <w:r>
        <w:rPr>
          <w:bCs/>
        </w:rPr>
        <w:t>NOx</w:t>
      </w:r>
      <w:r>
        <w:rPr>
          <w:bCs/>
        </w:rPr>
        <w:t>产污系数为</w:t>
      </w:r>
      <w:r>
        <w:rPr>
          <w:bCs/>
        </w:rPr>
        <w:t>18.71kg/10</w:t>
      </w:r>
      <w:r>
        <w:rPr>
          <w:bCs/>
          <w:vertAlign w:val="superscript"/>
        </w:rPr>
        <w:t>4</w:t>
      </w:r>
      <w:r>
        <w:rPr>
          <w:bCs/>
        </w:rPr>
        <w:t>m</w:t>
      </w:r>
      <w:r>
        <w:rPr>
          <w:bCs/>
          <w:vertAlign w:val="superscript"/>
        </w:rPr>
        <w:t>3</w:t>
      </w:r>
      <w:r>
        <w:rPr>
          <w:bCs/>
        </w:rPr>
        <w:t>计算，</w:t>
      </w:r>
      <w:r>
        <w:rPr>
          <w:bCs/>
        </w:rPr>
        <w:t>NOx</w:t>
      </w:r>
      <w:r>
        <w:rPr>
          <w:bCs/>
        </w:rPr>
        <w:t>产生量分别为</w:t>
      </w:r>
      <w:r>
        <w:rPr>
          <w:bCs/>
        </w:rPr>
        <w:t>0.056kg</w:t>
      </w:r>
      <w:r>
        <w:rPr>
          <w:bCs/>
        </w:rPr>
        <w:t>；天然气中硫化氢含量分别为</w:t>
      </w:r>
      <w:r>
        <w:rPr>
          <w:bCs/>
        </w:rPr>
        <w:t>107.42g/m</w:t>
      </w:r>
      <w:r>
        <w:rPr>
          <w:bCs/>
          <w:vertAlign w:val="superscript"/>
        </w:rPr>
        <w:t>3</w:t>
      </w:r>
      <w:r>
        <w:rPr>
          <w:bCs/>
        </w:rPr>
        <w:t>，根据质量守恒定律及废气产生量核算，输气管线氮气置换天然气放空排放的二氧化硫总量约为</w:t>
      </w:r>
      <w:r>
        <w:rPr>
          <w:bCs/>
        </w:rPr>
        <w:t>6.07kg</w:t>
      </w:r>
      <w:r>
        <w:rPr>
          <w:bCs/>
        </w:rPr>
        <w:t>。</w:t>
      </w:r>
    </w:p>
    <w:p w:rsidR="00BD5820" w:rsidRDefault="00F64314">
      <w:pPr>
        <w:pStyle w:val="affa"/>
        <w:ind w:firstLine="480"/>
      </w:pPr>
      <w:r>
        <w:t>（</w:t>
      </w:r>
      <w:r>
        <w:t>2</w:t>
      </w:r>
      <w:r>
        <w:t>）管线检修</w:t>
      </w:r>
      <w:r>
        <w:t>/</w:t>
      </w:r>
      <w:r>
        <w:t>事故放</w:t>
      </w:r>
      <w:r>
        <w:rPr>
          <w:rFonts w:hint="eastAsia"/>
        </w:rPr>
        <w:t>空</w:t>
      </w:r>
      <w:r>
        <w:t>废气</w:t>
      </w:r>
    </w:p>
    <w:p w:rsidR="00BD5820" w:rsidRDefault="00F64314">
      <w:pPr>
        <w:pStyle w:val="affa"/>
        <w:ind w:firstLine="480"/>
      </w:pPr>
      <w:r>
        <w:t>项目管线检修</w:t>
      </w:r>
      <w:r>
        <w:t>/</w:t>
      </w:r>
      <w:r>
        <w:t>事故时为保证安全，需排尽</w:t>
      </w:r>
      <w:r>
        <w:rPr>
          <w:rFonts w:hint="eastAsia"/>
        </w:rPr>
        <w:t>新建</w:t>
      </w:r>
      <w:r>
        <w:rPr>
          <w:rFonts w:hint="eastAsia"/>
        </w:rPr>
        <w:t>P106-P104-</w:t>
      </w:r>
      <w:r w:rsidR="001F394E" w:rsidRPr="001F394E">
        <w:rPr>
          <w:rFonts w:hint="eastAsia"/>
          <w:bCs/>
          <w:color w:val="FF0000"/>
        </w:rPr>
        <w:t>1</w:t>
      </w:r>
      <w:r w:rsidR="001F394E" w:rsidRPr="001F394E">
        <w:rPr>
          <w:bCs/>
          <w:color w:val="FF0000"/>
        </w:rPr>
        <w:t>#</w:t>
      </w:r>
      <w:r w:rsidR="001F394E" w:rsidRPr="001F394E">
        <w:rPr>
          <w:rFonts w:hint="eastAsia"/>
          <w:bCs/>
          <w:color w:val="FF0000"/>
        </w:rPr>
        <w:t>增压站</w:t>
      </w:r>
      <w:r>
        <w:rPr>
          <w:rFonts w:hint="eastAsia"/>
        </w:rPr>
        <w:t>集气管道</w:t>
      </w:r>
      <w:r>
        <w:t>的残留天然气，放空</w:t>
      </w:r>
      <w:r>
        <w:rPr>
          <w:rFonts w:hint="eastAsia"/>
        </w:rPr>
        <w:t>经</w:t>
      </w:r>
      <w:r>
        <w:t>P102</w:t>
      </w:r>
      <w:r>
        <w:t>集气站放空系统，据站场操作工艺，管线检修</w:t>
      </w:r>
      <w:r>
        <w:t>/</w:t>
      </w:r>
      <w:r>
        <w:lastRenderedPageBreak/>
        <w:t>事故时，关闭</w:t>
      </w:r>
      <w:r>
        <w:t>P102</w:t>
      </w:r>
      <w:r>
        <w:t>集气站出站阀门，管道残留的天然气按管线长度为</w:t>
      </w:r>
      <w:r>
        <w:rPr>
          <w:rFonts w:hint="eastAsia"/>
        </w:rPr>
        <w:t>4.1</w:t>
      </w:r>
      <w:r>
        <w:t>km</w:t>
      </w:r>
      <w:r>
        <w:t>。</w:t>
      </w:r>
    </w:p>
    <w:p w:rsidR="00BD5820" w:rsidRDefault="00F64314">
      <w:pPr>
        <w:ind w:firstLine="480"/>
        <w:rPr>
          <w:rFonts w:ascii="Times New Roman" w:cs="Times New Roman"/>
        </w:rPr>
      </w:pPr>
      <w:r>
        <w:rPr>
          <w:rFonts w:ascii="Times New Roman" w:cs="Times New Roman"/>
        </w:rPr>
        <w:t>天然气最大在线量</w:t>
      </w:r>
      <w:r>
        <w:rPr>
          <w:rFonts w:ascii="Times New Roman" w:cs="Times New Roman"/>
        </w:rPr>
        <w:t>=</w:t>
      </w:r>
      <w:r>
        <w:rPr>
          <w:rFonts w:ascii="Times New Roman" w:cs="Times New Roman"/>
        </w:rPr>
        <w:t>天然气密度</w:t>
      </w:r>
      <w:r>
        <w:rPr>
          <w:rFonts w:ascii="Times New Roman" w:cs="Times New Roman"/>
        </w:rPr>
        <w:t>*</w:t>
      </w:r>
      <w:r>
        <w:rPr>
          <w:rFonts w:ascii="Times New Roman" w:cs="Times New Roman"/>
        </w:rPr>
        <w:t>截面积</w:t>
      </w:r>
      <w:r>
        <w:rPr>
          <w:rFonts w:ascii="Times New Roman" w:cs="Times New Roman"/>
        </w:rPr>
        <w:t>*</w:t>
      </w:r>
      <w:r>
        <w:rPr>
          <w:rFonts w:ascii="Times New Roman" w:cs="Times New Roman"/>
        </w:rPr>
        <w:t>管道长度</w:t>
      </w:r>
      <w:r>
        <w:rPr>
          <w:rFonts w:ascii="Times New Roman" w:cs="Times New Roman"/>
        </w:rPr>
        <w:t>*</w:t>
      </w:r>
      <w:r>
        <w:rPr>
          <w:rFonts w:ascii="Times New Roman" w:cs="Times New Roman"/>
        </w:rPr>
        <w:t>压力倍数（压力倍数</w:t>
      </w:r>
      <w:r>
        <w:rPr>
          <w:rFonts w:ascii="Times New Roman" w:cs="Times New Roman"/>
        </w:rPr>
        <w:t>=</w:t>
      </w:r>
      <w:r>
        <w:rPr>
          <w:rFonts w:ascii="Times New Roman" w:cs="Times New Roman"/>
        </w:rPr>
        <w:t>运行压力</w:t>
      </w:r>
      <w:r>
        <w:rPr>
          <w:rFonts w:ascii="Times New Roman" w:cs="Times New Roman"/>
        </w:rPr>
        <w:t>/</w:t>
      </w:r>
      <w:r>
        <w:rPr>
          <w:rFonts w:ascii="Times New Roman" w:cs="Times New Roman"/>
        </w:rPr>
        <w:t>大气压）</w:t>
      </w:r>
    </w:p>
    <w:p w:rsidR="00BD5820" w:rsidRDefault="00F64314">
      <w:pPr>
        <w:ind w:firstLine="480"/>
        <w:rPr>
          <w:rFonts w:ascii="Times New Roman" w:cs="Times New Roman"/>
        </w:rPr>
      </w:pPr>
      <w:r>
        <w:rPr>
          <w:rFonts w:ascii="Times New Roman" w:cs="Times New Roman"/>
        </w:rPr>
        <w:t>酸气管道：</w:t>
      </w:r>
      <w:r>
        <w:rPr>
          <w:rFonts w:ascii="Times New Roman" w:cs="Times New Roman" w:hint="eastAsia"/>
        </w:rPr>
        <w:t>新建</w:t>
      </w:r>
      <w:r>
        <w:rPr>
          <w:rFonts w:ascii="Times New Roman" w:cs="Times New Roman" w:hint="eastAsia"/>
        </w:rPr>
        <w:t>P106-P104-</w:t>
      </w:r>
      <w:r w:rsidR="001F394E" w:rsidRPr="001F394E">
        <w:rPr>
          <w:rFonts w:hint="eastAsia"/>
          <w:bCs/>
          <w:color w:val="FF0000"/>
        </w:rPr>
        <w:t>1</w:t>
      </w:r>
      <w:r w:rsidR="001F394E" w:rsidRPr="001F394E">
        <w:rPr>
          <w:bCs/>
          <w:color w:val="FF0000"/>
        </w:rPr>
        <w:t>#</w:t>
      </w:r>
      <w:r w:rsidR="001F394E" w:rsidRPr="001F394E">
        <w:rPr>
          <w:rFonts w:hint="eastAsia"/>
          <w:bCs/>
          <w:color w:val="FF0000"/>
        </w:rPr>
        <w:t>增压站</w:t>
      </w:r>
      <w:r>
        <w:rPr>
          <w:rFonts w:ascii="Times New Roman" w:cs="Times New Roman" w:hint="eastAsia"/>
        </w:rPr>
        <w:t>集气管道</w:t>
      </w:r>
      <w:r>
        <w:rPr>
          <w:rFonts w:ascii="Times New Roman" w:cs="Times New Roman"/>
        </w:rPr>
        <w:t>天然气密度为</w:t>
      </w:r>
      <w:r>
        <w:rPr>
          <w:rFonts w:ascii="Times New Roman" w:cs="Times New Roman"/>
        </w:rPr>
        <w:t>0.7012kg/m</w:t>
      </w:r>
      <w:r>
        <w:rPr>
          <w:rFonts w:ascii="Times New Roman" w:cs="Times New Roman"/>
          <w:vertAlign w:val="superscript"/>
        </w:rPr>
        <w:t>3</w:t>
      </w:r>
      <w:r>
        <w:rPr>
          <w:rFonts w:ascii="Times New Roman" w:cs="Times New Roman"/>
        </w:rPr>
        <w:t>，截面积为</w:t>
      </w:r>
      <w:r>
        <w:rPr>
          <w:rFonts w:ascii="Times New Roman" w:cs="Times New Roman"/>
        </w:rPr>
        <w:t>0.0177m</w:t>
      </w:r>
      <w:r>
        <w:rPr>
          <w:rFonts w:ascii="Times New Roman" w:cs="Times New Roman"/>
          <w:vertAlign w:val="superscript"/>
        </w:rPr>
        <w:t>2</w:t>
      </w:r>
      <w:r>
        <w:rPr>
          <w:rFonts w:ascii="Times New Roman" w:cs="Times New Roman"/>
        </w:rPr>
        <w:t>，</w:t>
      </w:r>
      <w:r>
        <w:rPr>
          <w:rFonts w:ascii="Times New Roman" w:cs="Times New Roman" w:hint="eastAsia"/>
        </w:rPr>
        <w:t>新建</w:t>
      </w:r>
      <w:r>
        <w:rPr>
          <w:rFonts w:ascii="Times New Roman" w:cs="Times New Roman" w:hint="eastAsia"/>
          <w:kern w:val="2"/>
          <w:shd w:val="clear" w:color="auto" w:fill="FFFFFF"/>
        </w:rPr>
        <w:t>P106-P104-</w:t>
      </w:r>
      <w:r w:rsidR="001F394E" w:rsidRPr="001F394E">
        <w:rPr>
          <w:rFonts w:hint="eastAsia"/>
          <w:bCs/>
          <w:color w:val="FF0000"/>
        </w:rPr>
        <w:t>1</w:t>
      </w:r>
      <w:r w:rsidR="001F394E" w:rsidRPr="001F394E">
        <w:rPr>
          <w:bCs/>
          <w:color w:val="FF0000"/>
        </w:rPr>
        <w:t>#</w:t>
      </w:r>
      <w:r w:rsidR="001F394E" w:rsidRPr="001F394E">
        <w:rPr>
          <w:rFonts w:hint="eastAsia"/>
          <w:bCs/>
          <w:color w:val="FF0000"/>
        </w:rPr>
        <w:t>增压站</w:t>
      </w:r>
      <w:r>
        <w:rPr>
          <w:rFonts w:ascii="Times New Roman" w:cs="Times New Roman" w:hint="eastAsia"/>
        </w:rPr>
        <w:t>集气管道</w:t>
      </w:r>
      <w:r>
        <w:rPr>
          <w:rFonts w:ascii="Times New Roman" w:cs="Times New Roman"/>
        </w:rPr>
        <w:t>长</w:t>
      </w:r>
      <w:r>
        <w:rPr>
          <w:rFonts w:ascii="Times New Roman" w:cs="Times New Roman" w:hint="eastAsia"/>
        </w:rPr>
        <w:t>4.1</w:t>
      </w:r>
      <w:r>
        <w:rPr>
          <w:rFonts w:ascii="Times New Roman" w:cs="Times New Roman"/>
        </w:rPr>
        <w:t>km</w:t>
      </w:r>
      <w:r>
        <w:rPr>
          <w:rFonts w:ascii="Times New Roman" w:cs="Times New Roman"/>
        </w:rPr>
        <w:t>，压力倍数为</w:t>
      </w:r>
      <w:r>
        <w:rPr>
          <w:rFonts w:ascii="Times New Roman" w:cs="Times New Roman"/>
        </w:rPr>
        <w:t>90.8</w:t>
      </w:r>
      <w:r>
        <w:rPr>
          <w:rFonts w:ascii="Times New Roman" w:cs="Times New Roman"/>
        </w:rPr>
        <w:t>，所以天然气最大在线量约为</w:t>
      </w:r>
      <w:r>
        <w:rPr>
          <w:rFonts w:ascii="Times New Roman" w:cs="Times New Roman" w:hint="eastAsia"/>
        </w:rPr>
        <w:t>4620.5</w:t>
      </w:r>
      <w:r>
        <w:rPr>
          <w:rFonts w:ascii="Times New Roman" w:cs="Times New Roman"/>
        </w:rPr>
        <w:t>m</w:t>
      </w:r>
      <w:r>
        <w:rPr>
          <w:rFonts w:ascii="Times New Roman" w:cs="Times New Roman"/>
          <w:vertAlign w:val="superscript"/>
        </w:rPr>
        <w:t>3</w:t>
      </w:r>
      <w:r>
        <w:rPr>
          <w:rFonts w:ascii="Times New Roman" w:cs="Times New Roman"/>
        </w:rPr>
        <w:t>。</w:t>
      </w:r>
    </w:p>
    <w:p w:rsidR="00BD5820" w:rsidRDefault="00F64314">
      <w:pPr>
        <w:pStyle w:val="affa"/>
        <w:ind w:firstLine="480"/>
        <w:rPr>
          <w:bCs/>
        </w:rPr>
      </w:pPr>
      <w:r>
        <w:t>根据项目设计资料，</w:t>
      </w:r>
      <w:r>
        <w:rPr>
          <w:rFonts w:hint="eastAsia"/>
        </w:rPr>
        <w:t>本项目</w:t>
      </w:r>
      <w:r>
        <w:t>每次放空持续时间约</w:t>
      </w:r>
      <w:r>
        <w:t>1h</w:t>
      </w:r>
      <w:r>
        <w:t>，</w:t>
      </w:r>
      <w:r w:rsidRPr="005A638B">
        <w:rPr>
          <w:color w:val="FF0000"/>
        </w:rPr>
        <w:t>放空废气</w:t>
      </w:r>
      <w:r w:rsidR="005A638B" w:rsidRPr="005A638B">
        <w:rPr>
          <w:color w:val="FF0000"/>
        </w:rPr>
        <w:t>分别经</w:t>
      </w:r>
      <w:r w:rsidR="005A638B" w:rsidRPr="005A638B">
        <w:rPr>
          <w:rFonts w:hint="eastAsia"/>
          <w:color w:val="FF0000"/>
        </w:rPr>
        <w:t>P102</w:t>
      </w:r>
      <w:r w:rsidR="005A638B" w:rsidRPr="005A638B">
        <w:rPr>
          <w:rFonts w:hint="eastAsia"/>
          <w:color w:val="FF0000"/>
        </w:rPr>
        <w:t>集气站</w:t>
      </w:r>
      <w:r w:rsidR="005A638B" w:rsidRPr="005A638B">
        <w:rPr>
          <w:color w:val="FF0000"/>
        </w:rPr>
        <w:t>和普光净化厂放空火炬</w:t>
      </w:r>
      <w:r w:rsidR="005A638B" w:rsidRPr="005A638B">
        <w:rPr>
          <w:rFonts w:hint="eastAsia"/>
          <w:color w:val="FF0000"/>
        </w:rPr>
        <w:t>（</w:t>
      </w:r>
      <w:r w:rsidR="005A638B" w:rsidRPr="005A638B">
        <w:rPr>
          <w:rFonts w:hint="eastAsia"/>
          <w:color w:val="FF0000"/>
        </w:rPr>
        <w:t>85m</w:t>
      </w:r>
      <w:r w:rsidR="005A638B" w:rsidRPr="005A638B">
        <w:rPr>
          <w:rFonts w:hint="eastAsia"/>
          <w:color w:val="FF0000"/>
        </w:rPr>
        <w:t>高）</w:t>
      </w:r>
      <w:r w:rsidR="005A638B" w:rsidRPr="005A638B">
        <w:rPr>
          <w:color w:val="FF0000"/>
        </w:rPr>
        <w:t>燃烧后排放</w:t>
      </w:r>
      <w:r>
        <w:t>，燃烧排放主要污染物为氮氧化物和硫化氢，</w:t>
      </w:r>
      <w:r>
        <w:rPr>
          <w:bCs/>
        </w:rPr>
        <w:t>根据《工业污染源产排污系数手册》（</w:t>
      </w:r>
      <w:r>
        <w:rPr>
          <w:bCs/>
        </w:rPr>
        <w:t>2010</w:t>
      </w:r>
      <w:r>
        <w:rPr>
          <w:bCs/>
        </w:rPr>
        <w:t>年修订版），废气量产生系数为</w:t>
      </w:r>
      <w:r>
        <w:rPr>
          <w:bCs/>
        </w:rPr>
        <w:t>12.31</w:t>
      </w:r>
      <w:r>
        <w:rPr>
          <w:bCs/>
        </w:rPr>
        <w:t>万</w:t>
      </w:r>
      <w:r>
        <w:rPr>
          <w:bCs/>
        </w:rPr>
        <w:t>m</w:t>
      </w:r>
      <w:r>
        <w:rPr>
          <w:bCs/>
          <w:vertAlign w:val="superscript"/>
        </w:rPr>
        <w:t>3</w:t>
      </w:r>
      <w:r>
        <w:rPr>
          <w:bCs/>
        </w:rPr>
        <w:t>/</w:t>
      </w:r>
      <w:r>
        <w:rPr>
          <w:bCs/>
        </w:rPr>
        <w:t>万</w:t>
      </w:r>
      <w:r>
        <w:rPr>
          <w:bCs/>
        </w:rPr>
        <w:t>m</w:t>
      </w:r>
      <w:r>
        <w:rPr>
          <w:bCs/>
          <w:vertAlign w:val="superscript"/>
        </w:rPr>
        <w:t>3</w:t>
      </w:r>
      <w:r>
        <w:rPr>
          <w:bCs/>
        </w:rPr>
        <w:t>天然气，本项目放空废气量为</w:t>
      </w:r>
      <w:r>
        <w:rPr>
          <w:rFonts w:hint="eastAsia"/>
          <w:bCs/>
        </w:rPr>
        <w:t>1.39</w:t>
      </w:r>
      <w:r>
        <w:rPr>
          <w:bCs/>
        </w:rPr>
        <w:t>万</w:t>
      </w:r>
      <w:r>
        <w:rPr>
          <w:bCs/>
        </w:rPr>
        <w:t>m</w:t>
      </w:r>
      <w:r>
        <w:rPr>
          <w:bCs/>
          <w:vertAlign w:val="superscript"/>
        </w:rPr>
        <w:t>3</w:t>
      </w:r>
      <w:r>
        <w:rPr>
          <w:bCs/>
        </w:rPr>
        <w:t>；天然气燃烧</w:t>
      </w:r>
      <w:r>
        <w:rPr>
          <w:bCs/>
        </w:rPr>
        <w:t>NOx</w:t>
      </w:r>
      <w:r>
        <w:rPr>
          <w:bCs/>
        </w:rPr>
        <w:t>产污系数为</w:t>
      </w:r>
      <w:r>
        <w:rPr>
          <w:bCs/>
        </w:rPr>
        <w:t>18.71kg/10</w:t>
      </w:r>
      <w:r>
        <w:rPr>
          <w:bCs/>
          <w:vertAlign w:val="superscript"/>
        </w:rPr>
        <w:t>4</w:t>
      </w:r>
      <w:r>
        <w:rPr>
          <w:bCs/>
        </w:rPr>
        <w:t>m</w:t>
      </w:r>
      <w:r>
        <w:rPr>
          <w:bCs/>
          <w:vertAlign w:val="superscript"/>
        </w:rPr>
        <w:t>3</w:t>
      </w:r>
      <w:r>
        <w:rPr>
          <w:bCs/>
        </w:rPr>
        <w:t>计算，</w:t>
      </w:r>
      <w:r>
        <w:rPr>
          <w:bCs/>
        </w:rPr>
        <w:t>NOx</w:t>
      </w:r>
      <w:r>
        <w:rPr>
          <w:bCs/>
        </w:rPr>
        <w:t>产生量分别为</w:t>
      </w:r>
      <w:r>
        <w:rPr>
          <w:rFonts w:hint="eastAsia"/>
          <w:bCs/>
        </w:rPr>
        <w:t>2.1</w:t>
      </w:r>
      <w:r>
        <w:rPr>
          <w:bCs/>
        </w:rPr>
        <w:t>kg</w:t>
      </w:r>
      <w:r>
        <w:rPr>
          <w:bCs/>
        </w:rPr>
        <w:t>；天然气中硫化氢含量分别为</w:t>
      </w:r>
      <w:r>
        <w:rPr>
          <w:rFonts w:hint="eastAsia"/>
          <w:bCs/>
        </w:rPr>
        <w:t>21.31</w:t>
      </w:r>
      <w:r>
        <w:rPr>
          <w:bCs/>
        </w:rPr>
        <w:t>g/m</w:t>
      </w:r>
      <w:r>
        <w:rPr>
          <w:bCs/>
          <w:vertAlign w:val="superscript"/>
        </w:rPr>
        <w:t>3</w:t>
      </w:r>
      <w:r>
        <w:rPr>
          <w:bCs/>
        </w:rPr>
        <w:t>，根据质量守恒定律及废气产生量核算，输气管线氮气置换天然气放空排放的二氧化硫总量约为</w:t>
      </w:r>
      <w:r>
        <w:rPr>
          <w:rFonts w:hint="eastAsia"/>
          <w:bCs/>
        </w:rPr>
        <w:t>0.25t</w:t>
      </w:r>
      <w:r>
        <w:rPr>
          <w:bCs/>
        </w:rPr>
        <w:t>。</w:t>
      </w:r>
      <w:r>
        <w:rPr>
          <w:rFonts w:hint="eastAsia"/>
          <w:bCs/>
        </w:rPr>
        <w:t>事故放空频率较低，并且</w:t>
      </w:r>
      <w:r>
        <w:rPr>
          <w:bCs/>
        </w:rPr>
        <w:t>放空废气经点火燃烧后排放，加之当地地势开阔，大气扩散条件良好，故放空废气不会对周边环境造成明显不利影响。</w:t>
      </w:r>
    </w:p>
    <w:p w:rsidR="00BD5820" w:rsidRDefault="00F64314">
      <w:pPr>
        <w:pStyle w:val="3"/>
        <w:rPr>
          <w:rFonts w:eastAsia="宋体"/>
        </w:rPr>
      </w:pPr>
      <w:r>
        <w:rPr>
          <w:rFonts w:eastAsia="宋体"/>
        </w:rPr>
        <w:t xml:space="preserve">4.2.3 </w:t>
      </w:r>
      <w:r>
        <w:rPr>
          <w:rFonts w:eastAsia="宋体"/>
        </w:rPr>
        <w:t>废水产生情况及治理措施</w:t>
      </w:r>
    </w:p>
    <w:p w:rsidR="00BD5820" w:rsidRDefault="00F64314">
      <w:pPr>
        <w:pStyle w:val="affa"/>
        <w:ind w:firstLine="480"/>
      </w:pPr>
      <w:r>
        <w:t>本项目集气管道采用埋地敷设方式，在正常运行过程中集气管道不会产生废水。</w:t>
      </w:r>
      <w:r>
        <w:rPr>
          <w:rFonts w:hint="eastAsia"/>
        </w:rPr>
        <w:t>本项目站场</w:t>
      </w:r>
      <w:r>
        <w:t>为</w:t>
      </w:r>
      <w:r>
        <w:rPr>
          <w:rFonts w:hint="eastAsia"/>
        </w:rPr>
        <w:t>无人</w:t>
      </w:r>
      <w:r>
        <w:t>值守站</w:t>
      </w:r>
      <w:r>
        <w:rPr>
          <w:rFonts w:hint="eastAsia"/>
        </w:rPr>
        <w:t>，人员依托</w:t>
      </w:r>
      <w:r>
        <w:t>P102</w:t>
      </w:r>
      <w:r>
        <w:t>集气站</w:t>
      </w:r>
      <w:r>
        <w:rPr>
          <w:rFonts w:hint="eastAsia"/>
        </w:rPr>
        <w:t>，</w:t>
      </w:r>
      <w:r>
        <w:t>故本项目营运期间无生活污水产生。</w:t>
      </w:r>
    </w:p>
    <w:p w:rsidR="00BD5820" w:rsidRDefault="00F64314">
      <w:pPr>
        <w:pStyle w:val="affa"/>
        <w:ind w:firstLine="480"/>
      </w:pPr>
      <w:r>
        <w:rPr>
          <w:rFonts w:hint="eastAsia"/>
          <w:szCs w:val="22"/>
        </w:rPr>
        <w:t>类比普光气田工程实际情况，本项目普光气田</w:t>
      </w:r>
      <w:r>
        <w:rPr>
          <w:rFonts w:hint="eastAsia"/>
          <w:szCs w:val="22"/>
        </w:rPr>
        <w:t>1#</w:t>
      </w:r>
      <w:r>
        <w:rPr>
          <w:rFonts w:hint="eastAsia"/>
          <w:szCs w:val="22"/>
        </w:rPr>
        <w:t>增压站最大采出水量按照</w:t>
      </w:r>
      <w:r>
        <w:rPr>
          <w:rFonts w:hint="eastAsia"/>
          <w:szCs w:val="22"/>
        </w:rPr>
        <w:t>80m</w:t>
      </w:r>
      <w:r>
        <w:rPr>
          <w:rFonts w:hint="eastAsia"/>
          <w:szCs w:val="22"/>
          <w:vertAlign w:val="superscript"/>
        </w:rPr>
        <w:t>3</w:t>
      </w:r>
      <w:r>
        <w:rPr>
          <w:rFonts w:hint="eastAsia"/>
          <w:szCs w:val="22"/>
        </w:rPr>
        <w:t>/d</w:t>
      </w:r>
      <w:r>
        <w:rPr>
          <w:rFonts w:hint="eastAsia"/>
          <w:szCs w:val="22"/>
        </w:rPr>
        <w:t>考虑，主要污染物浓度为石油类</w:t>
      </w:r>
      <w:r>
        <w:rPr>
          <w:szCs w:val="22"/>
        </w:rPr>
        <w:t>200mg/L</w:t>
      </w:r>
      <w:r>
        <w:rPr>
          <w:szCs w:val="22"/>
        </w:rPr>
        <w:t>，悬浮物</w:t>
      </w:r>
      <w:r>
        <w:rPr>
          <w:szCs w:val="22"/>
        </w:rPr>
        <w:t>300mg/L</w:t>
      </w:r>
      <w:r>
        <w:rPr>
          <w:rFonts w:hint="eastAsia"/>
          <w:szCs w:val="22"/>
        </w:rPr>
        <w:t>，采出水含硫化氢，新建普光气田</w:t>
      </w:r>
      <w:r>
        <w:rPr>
          <w:rFonts w:hint="eastAsia"/>
          <w:szCs w:val="22"/>
        </w:rPr>
        <w:t>1#</w:t>
      </w:r>
      <w:r>
        <w:rPr>
          <w:rFonts w:hint="eastAsia"/>
          <w:szCs w:val="22"/>
        </w:rPr>
        <w:t>增压站产出水外输管线，与</w:t>
      </w:r>
      <w:r>
        <w:rPr>
          <w:rFonts w:hint="eastAsia"/>
          <w:szCs w:val="22"/>
        </w:rPr>
        <w:t xml:space="preserve">P103~P107 </w:t>
      </w:r>
      <w:r>
        <w:rPr>
          <w:rFonts w:hint="eastAsia"/>
          <w:szCs w:val="22"/>
        </w:rPr>
        <w:t>集气站的已建产出水外输管道相连，输至普光</w:t>
      </w:r>
      <w:r>
        <w:rPr>
          <w:rFonts w:hint="eastAsia"/>
          <w:szCs w:val="22"/>
        </w:rPr>
        <w:t>3#</w:t>
      </w:r>
      <w:r>
        <w:rPr>
          <w:rFonts w:hint="eastAsia"/>
          <w:szCs w:val="22"/>
        </w:rPr>
        <w:t>水处理站处理。外输管线选用高压柔性复合管</w:t>
      </w:r>
      <w:r>
        <w:rPr>
          <w:rFonts w:hint="eastAsia"/>
          <w:szCs w:val="22"/>
        </w:rPr>
        <w:t xml:space="preserve"> DN80 2.5MPa</w:t>
      </w:r>
      <w:r>
        <w:rPr>
          <w:rFonts w:hint="eastAsia"/>
          <w:szCs w:val="22"/>
        </w:rPr>
        <w:t>，长度</w:t>
      </w:r>
      <w:r>
        <w:rPr>
          <w:rFonts w:hint="eastAsia"/>
          <w:szCs w:val="22"/>
        </w:rPr>
        <w:t>250m</w:t>
      </w:r>
      <w:r>
        <w:rPr>
          <w:rFonts w:hint="eastAsia"/>
          <w:szCs w:val="22"/>
        </w:rPr>
        <w:t>，埋地敷设，站内设</w:t>
      </w:r>
      <w:r>
        <w:rPr>
          <w:rFonts w:hint="eastAsia"/>
          <w:szCs w:val="22"/>
        </w:rPr>
        <w:t>1</w:t>
      </w:r>
      <w:r>
        <w:rPr>
          <w:rFonts w:hint="eastAsia"/>
          <w:szCs w:val="22"/>
        </w:rPr>
        <w:t>座污水罐及</w:t>
      </w:r>
      <w:r>
        <w:rPr>
          <w:rFonts w:hint="eastAsia"/>
          <w:szCs w:val="22"/>
        </w:rPr>
        <w:t>2</w:t>
      </w:r>
      <w:r>
        <w:rPr>
          <w:rFonts w:hint="eastAsia"/>
          <w:szCs w:val="22"/>
        </w:rPr>
        <w:t>台外输泵，</w:t>
      </w:r>
      <w:r>
        <w:rPr>
          <w:rFonts w:hint="eastAsia"/>
          <w:szCs w:val="22"/>
        </w:rPr>
        <w:t>Q=20m</w:t>
      </w:r>
      <w:r>
        <w:rPr>
          <w:rFonts w:hint="eastAsia"/>
          <w:szCs w:val="22"/>
          <w:vertAlign w:val="superscript"/>
        </w:rPr>
        <w:t>3</w:t>
      </w:r>
      <w:r>
        <w:rPr>
          <w:rFonts w:hint="eastAsia"/>
          <w:szCs w:val="22"/>
        </w:rPr>
        <w:t>/h</w:t>
      </w:r>
      <w:r>
        <w:rPr>
          <w:rFonts w:hint="eastAsia"/>
          <w:szCs w:val="22"/>
        </w:rPr>
        <w:t>，扬程</w:t>
      </w:r>
      <w:r>
        <w:rPr>
          <w:rFonts w:hint="eastAsia"/>
          <w:szCs w:val="22"/>
        </w:rPr>
        <w:t>150m</w:t>
      </w:r>
      <w:r>
        <w:rPr>
          <w:rFonts w:hint="eastAsia"/>
          <w:szCs w:val="22"/>
        </w:rPr>
        <w:t>；普光气田</w:t>
      </w:r>
      <w:r>
        <w:rPr>
          <w:rFonts w:hint="eastAsia"/>
          <w:szCs w:val="22"/>
        </w:rPr>
        <w:t>2#</w:t>
      </w:r>
      <w:r>
        <w:rPr>
          <w:rFonts w:hint="eastAsia"/>
          <w:szCs w:val="22"/>
        </w:rPr>
        <w:t>增压站最大采出水量按照</w:t>
      </w:r>
      <w:r>
        <w:rPr>
          <w:rFonts w:hint="eastAsia"/>
          <w:szCs w:val="22"/>
        </w:rPr>
        <w:t>270m</w:t>
      </w:r>
      <w:r>
        <w:rPr>
          <w:rFonts w:hint="eastAsia"/>
          <w:szCs w:val="22"/>
          <w:vertAlign w:val="superscript"/>
        </w:rPr>
        <w:t>3</w:t>
      </w:r>
      <w:r>
        <w:rPr>
          <w:rFonts w:hint="eastAsia"/>
          <w:szCs w:val="22"/>
        </w:rPr>
        <w:t>/d</w:t>
      </w:r>
      <w:r>
        <w:rPr>
          <w:rFonts w:hint="eastAsia"/>
          <w:szCs w:val="22"/>
        </w:rPr>
        <w:t>，主要污染物浓度为石油类</w:t>
      </w:r>
      <w:r>
        <w:rPr>
          <w:szCs w:val="22"/>
        </w:rPr>
        <w:t>200mg/L</w:t>
      </w:r>
      <w:r>
        <w:rPr>
          <w:szCs w:val="22"/>
        </w:rPr>
        <w:t>，悬浮物</w:t>
      </w:r>
      <w:r>
        <w:rPr>
          <w:szCs w:val="22"/>
        </w:rPr>
        <w:t>300mg/L</w:t>
      </w:r>
      <w:r>
        <w:rPr>
          <w:szCs w:val="22"/>
        </w:rPr>
        <w:t>，</w:t>
      </w:r>
      <w:r>
        <w:rPr>
          <w:rFonts w:hint="eastAsia"/>
          <w:szCs w:val="22"/>
        </w:rPr>
        <w:t>采出水含硫化氢，利用密闭管道输送至集气总站气提后再输至</w:t>
      </w:r>
      <w:r>
        <w:rPr>
          <w:rFonts w:hint="eastAsia"/>
          <w:szCs w:val="22"/>
        </w:rPr>
        <w:t>1#</w:t>
      </w:r>
      <w:r>
        <w:rPr>
          <w:rFonts w:hint="eastAsia"/>
          <w:szCs w:val="22"/>
        </w:rPr>
        <w:t>污水处理站。新建管道采用</w:t>
      </w:r>
      <w:r>
        <w:rPr>
          <w:rFonts w:hint="eastAsia"/>
          <w:szCs w:val="22"/>
        </w:rPr>
        <w:t>DN802.5MPa</w:t>
      </w:r>
      <w:r>
        <w:rPr>
          <w:rFonts w:hint="eastAsia"/>
          <w:szCs w:val="22"/>
        </w:rPr>
        <w:t>高压柔性复合管，长度</w:t>
      </w:r>
      <w:r>
        <w:rPr>
          <w:rFonts w:hint="eastAsia"/>
          <w:szCs w:val="22"/>
        </w:rPr>
        <w:t>1000m</w:t>
      </w:r>
      <w:r>
        <w:rPr>
          <w:rFonts w:hint="eastAsia"/>
          <w:szCs w:val="22"/>
        </w:rPr>
        <w:t>，埋地敷设。线路沿净化厂和集气总站间厂内道路绿化带敷设，合理避让净化厂内已建的各类管道和线缆，站内设</w:t>
      </w:r>
      <w:r>
        <w:rPr>
          <w:rFonts w:hint="eastAsia"/>
          <w:szCs w:val="22"/>
        </w:rPr>
        <w:t>1</w:t>
      </w:r>
      <w:r>
        <w:rPr>
          <w:rFonts w:hint="eastAsia"/>
          <w:szCs w:val="22"/>
        </w:rPr>
        <w:t>座污水罐，及</w:t>
      </w:r>
      <w:r>
        <w:rPr>
          <w:rFonts w:hint="eastAsia"/>
          <w:szCs w:val="22"/>
        </w:rPr>
        <w:t>2</w:t>
      </w:r>
      <w:r>
        <w:rPr>
          <w:rFonts w:hint="eastAsia"/>
          <w:szCs w:val="22"/>
        </w:rPr>
        <w:t>台外输泵，</w:t>
      </w:r>
      <w:r>
        <w:rPr>
          <w:rFonts w:hint="eastAsia"/>
          <w:szCs w:val="22"/>
        </w:rPr>
        <w:lastRenderedPageBreak/>
        <w:t>Q=50m</w:t>
      </w:r>
      <w:r>
        <w:rPr>
          <w:rFonts w:hint="eastAsia"/>
          <w:szCs w:val="22"/>
          <w:vertAlign w:val="superscript"/>
        </w:rPr>
        <w:t>3</w:t>
      </w:r>
      <w:r>
        <w:rPr>
          <w:rFonts w:hint="eastAsia"/>
          <w:szCs w:val="22"/>
        </w:rPr>
        <w:t>/h</w:t>
      </w:r>
      <w:r>
        <w:rPr>
          <w:rFonts w:hint="eastAsia"/>
          <w:szCs w:val="22"/>
        </w:rPr>
        <w:t>，扬程</w:t>
      </w:r>
      <w:r>
        <w:rPr>
          <w:rFonts w:hint="eastAsia"/>
          <w:szCs w:val="22"/>
        </w:rPr>
        <w:t>80m</w:t>
      </w:r>
      <w:r>
        <w:rPr>
          <w:rFonts w:hint="eastAsia"/>
          <w:szCs w:val="22"/>
        </w:rPr>
        <w:t>。</w:t>
      </w:r>
      <w:r>
        <w:rPr>
          <w:szCs w:val="22"/>
        </w:rPr>
        <w:t>本项目运营期产生的气田水</w:t>
      </w:r>
      <w:r>
        <w:rPr>
          <w:rFonts w:hint="eastAsia"/>
          <w:szCs w:val="22"/>
        </w:rPr>
        <w:t>分别经普光</w:t>
      </w:r>
      <w:r>
        <w:rPr>
          <w:rFonts w:hint="eastAsia"/>
          <w:szCs w:val="22"/>
        </w:rPr>
        <w:t>3#</w:t>
      </w:r>
      <w:r>
        <w:rPr>
          <w:rFonts w:hint="eastAsia"/>
          <w:szCs w:val="22"/>
        </w:rPr>
        <w:t>水处理站、</w:t>
      </w:r>
      <w:r>
        <w:rPr>
          <w:rFonts w:hint="eastAsia"/>
          <w:szCs w:val="22"/>
        </w:rPr>
        <w:t>1#</w:t>
      </w:r>
      <w:r>
        <w:rPr>
          <w:rFonts w:hint="eastAsia"/>
          <w:szCs w:val="22"/>
        </w:rPr>
        <w:t>污水处理站集中处理，水处理采用新建预处理流程，满足压裂液配制要求，剩余采出水然后进入深度水处理站处理后回用</w:t>
      </w:r>
      <w:r>
        <w:rPr>
          <w:szCs w:val="22"/>
        </w:rPr>
        <w:t>，不外排</w:t>
      </w:r>
      <w:r>
        <w:t>。</w:t>
      </w:r>
    </w:p>
    <w:p w:rsidR="00BD5820" w:rsidRDefault="00F64314">
      <w:pPr>
        <w:pStyle w:val="3"/>
        <w:rPr>
          <w:rFonts w:eastAsia="宋体"/>
        </w:rPr>
      </w:pPr>
      <w:r>
        <w:rPr>
          <w:rFonts w:eastAsia="宋体"/>
        </w:rPr>
        <w:t xml:space="preserve">4.2.4 </w:t>
      </w:r>
      <w:r>
        <w:rPr>
          <w:rFonts w:eastAsia="宋体"/>
        </w:rPr>
        <w:t>噪声产生情况及治理措施</w:t>
      </w:r>
    </w:p>
    <w:p w:rsidR="00BD5820" w:rsidRDefault="00F64314">
      <w:pPr>
        <w:pStyle w:val="affa"/>
        <w:ind w:firstLine="480"/>
      </w:pPr>
      <w:r>
        <w:t>本项目集气管道采用埋地敷设方式，在正常运行过程中集气管道不会产生噪声污染。站场噪声正常工况下主要产生于</w:t>
      </w:r>
      <w:r>
        <w:rPr>
          <w:rFonts w:hint="eastAsia"/>
        </w:rPr>
        <w:t>增压机、空压机</w:t>
      </w:r>
      <w:r>
        <w:t>等设备运行噪声和气流声；非正常工况下，站场噪声主要来源的于检修、事故时所产生的放空噪声。站场主要产噪设备及源强统计见下表。</w:t>
      </w:r>
    </w:p>
    <w:p w:rsidR="00BD5820" w:rsidRPr="006C0065" w:rsidRDefault="00F64314">
      <w:pPr>
        <w:pStyle w:val="10"/>
        <w:rPr>
          <w:rFonts w:cs="Times New Roman"/>
          <w:color w:val="FF0000"/>
        </w:rPr>
      </w:pPr>
      <w:r w:rsidRPr="006C0065">
        <w:rPr>
          <w:rFonts w:cs="Times New Roman"/>
          <w:color w:val="FF0000"/>
        </w:rPr>
        <w:t>表</w:t>
      </w:r>
      <w:r w:rsidRPr="006C0065">
        <w:rPr>
          <w:rFonts w:cs="Times New Roman"/>
          <w:bCs/>
          <w:color w:val="FF0000"/>
        </w:rPr>
        <w:t xml:space="preserve">4.2-1  </w:t>
      </w:r>
      <w:r w:rsidRPr="006C0065">
        <w:rPr>
          <w:rFonts w:cs="Times New Roman"/>
          <w:color w:val="FF0000"/>
        </w:rPr>
        <w:t>站场产噪设备及源强统计</w:t>
      </w:r>
    </w:p>
    <w:tbl>
      <w:tblPr>
        <w:tblW w:w="5000" w:type="pct"/>
        <w:jc w:val="center"/>
        <w:tblCellMar>
          <w:left w:w="0" w:type="dxa"/>
          <w:right w:w="0" w:type="dxa"/>
        </w:tblCellMar>
        <w:tblLook w:val="04A0"/>
      </w:tblPr>
      <w:tblGrid>
        <w:gridCol w:w="1276"/>
        <w:gridCol w:w="1560"/>
        <w:gridCol w:w="2126"/>
        <w:gridCol w:w="1701"/>
        <w:gridCol w:w="1643"/>
      </w:tblGrid>
      <w:tr w:rsidR="00BD5820" w:rsidRPr="006C0065">
        <w:trPr>
          <w:trHeight w:val="16"/>
          <w:jc w:val="center"/>
        </w:trPr>
        <w:tc>
          <w:tcPr>
            <w:tcW w:w="768" w:type="pct"/>
            <w:tcBorders>
              <w:top w:val="single" w:sz="12" w:space="0" w:color="000000"/>
              <w:left w:val="nil"/>
              <w:bottom w:val="single" w:sz="4" w:space="0" w:color="000000"/>
              <w:right w:val="single" w:sz="4" w:space="0" w:color="000000"/>
            </w:tcBorders>
            <w:vAlign w:val="center"/>
          </w:tcPr>
          <w:p w:rsidR="00BD5820" w:rsidRPr="006C0065" w:rsidRDefault="00F275AC">
            <w:pPr>
              <w:pStyle w:val="afff1"/>
              <w:rPr>
                <w:b/>
                <w:bCs/>
                <w:color w:val="FF0000"/>
                <w:szCs w:val="21"/>
              </w:rPr>
            </w:pPr>
            <w:r w:rsidRPr="006C0065">
              <w:rPr>
                <w:rFonts w:hint="eastAsia"/>
                <w:b/>
                <w:bCs/>
                <w:color w:val="FF0000"/>
                <w:szCs w:val="21"/>
              </w:rPr>
              <w:t>增压</w:t>
            </w:r>
            <w:r w:rsidR="00F64314" w:rsidRPr="006C0065">
              <w:rPr>
                <w:b/>
                <w:bCs/>
                <w:color w:val="FF0000"/>
                <w:szCs w:val="21"/>
              </w:rPr>
              <w:t>站</w:t>
            </w:r>
          </w:p>
        </w:tc>
        <w:tc>
          <w:tcPr>
            <w:tcW w:w="939" w:type="pct"/>
            <w:tcBorders>
              <w:top w:val="single" w:sz="12" w:space="0" w:color="000000"/>
              <w:left w:val="single" w:sz="4" w:space="0" w:color="000000"/>
              <w:bottom w:val="single" w:sz="4" w:space="0" w:color="000000"/>
              <w:right w:val="single" w:sz="4" w:space="0" w:color="000000"/>
            </w:tcBorders>
            <w:vAlign w:val="center"/>
          </w:tcPr>
          <w:p w:rsidR="00BD5820" w:rsidRPr="006C0065" w:rsidRDefault="00F64314">
            <w:pPr>
              <w:pStyle w:val="Default"/>
              <w:jc w:val="center"/>
              <w:rPr>
                <w:rFonts w:ascii="Times New Roman" w:hAnsi="Times New Roman" w:cs="Times New Roman"/>
                <w:b/>
                <w:bCs/>
                <w:color w:val="FF0000"/>
                <w:sz w:val="21"/>
                <w:szCs w:val="21"/>
              </w:rPr>
            </w:pPr>
            <w:r w:rsidRPr="006C0065">
              <w:rPr>
                <w:rFonts w:ascii="Times New Roman" w:hAnsi="Times New Roman" w:cs="Times New Roman"/>
                <w:b/>
                <w:bCs/>
                <w:color w:val="FF0000"/>
                <w:sz w:val="21"/>
                <w:szCs w:val="21"/>
              </w:rPr>
              <w:t>主要发声设备</w:t>
            </w:r>
          </w:p>
        </w:tc>
        <w:tc>
          <w:tcPr>
            <w:tcW w:w="1280" w:type="pct"/>
            <w:tcBorders>
              <w:top w:val="single" w:sz="12" w:space="0" w:color="000000"/>
              <w:left w:val="single" w:sz="4" w:space="0" w:color="000000"/>
              <w:bottom w:val="single" w:sz="4" w:space="0" w:color="000000"/>
              <w:right w:val="single" w:sz="4" w:space="0" w:color="000000"/>
            </w:tcBorders>
            <w:vAlign w:val="center"/>
          </w:tcPr>
          <w:p w:rsidR="00BD5820" w:rsidRPr="006C0065" w:rsidRDefault="00F64314">
            <w:pPr>
              <w:pStyle w:val="Default"/>
              <w:jc w:val="center"/>
              <w:rPr>
                <w:rFonts w:ascii="Times New Roman" w:hAnsi="Times New Roman" w:cs="Times New Roman"/>
                <w:b/>
                <w:bCs/>
                <w:color w:val="FF0000"/>
                <w:sz w:val="21"/>
                <w:szCs w:val="21"/>
              </w:rPr>
            </w:pPr>
            <w:r w:rsidRPr="006C0065">
              <w:rPr>
                <w:rFonts w:ascii="Times New Roman" w:hAnsi="Times New Roman" w:cs="Times New Roman"/>
                <w:b/>
                <w:bCs/>
                <w:color w:val="FF0000"/>
                <w:sz w:val="21"/>
                <w:szCs w:val="21"/>
              </w:rPr>
              <w:t>声级（</w:t>
            </w:r>
            <w:r w:rsidRPr="006C0065">
              <w:rPr>
                <w:rFonts w:ascii="Times New Roman" w:hAnsi="Times New Roman" w:cs="Times New Roman"/>
                <w:b/>
                <w:bCs/>
                <w:color w:val="FF0000"/>
                <w:sz w:val="21"/>
                <w:szCs w:val="21"/>
              </w:rPr>
              <w:t>dB</w:t>
            </w:r>
            <w:r w:rsidRPr="006C0065">
              <w:rPr>
                <w:rFonts w:ascii="Times New Roman" w:hAnsi="Times New Roman" w:cs="Times New Roman"/>
                <w:b/>
                <w:bCs/>
                <w:color w:val="FF0000"/>
                <w:sz w:val="21"/>
                <w:szCs w:val="21"/>
              </w:rPr>
              <w:t>（</w:t>
            </w:r>
            <w:r w:rsidRPr="006C0065">
              <w:rPr>
                <w:rFonts w:ascii="Times New Roman" w:hAnsi="Times New Roman" w:cs="Times New Roman"/>
                <w:b/>
                <w:bCs/>
                <w:color w:val="FF0000"/>
                <w:sz w:val="21"/>
                <w:szCs w:val="21"/>
              </w:rPr>
              <w:t>A</w:t>
            </w:r>
            <w:r w:rsidRPr="006C0065">
              <w:rPr>
                <w:rFonts w:ascii="Times New Roman" w:hAnsi="Times New Roman" w:cs="Times New Roman"/>
                <w:b/>
                <w:bCs/>
                <w:color w:val="FF0000"/>
                <w:sz w:val="21"/>
                <w:szCs w:val="21"/>
              </w:rPr>
              <w:t>））</w:t>
            </w:r>
          </w:p>
        </w:tc>
        <w:tc>
          <w:tcPr>
            <w:tcW w:w="1024" w:type="pct"/>
            <w:tcBorders>
              <w:top w:val="single" w:sz="12" w:space="0" w:color="000000"/>
              <w:left w:val="single" w:sz="4" w:space="0" w:color="000000"/>
              <w:bottom w:val="single" w:sz="4" w:space="0" w:color="000000"/>
              <w:right w:val="single" w:sz="4" w:space="0" w:color="000000"/>
            </w:tcBorders>
            <w:vAlign w:val="center"/>
          </w:tcPr>
          <w:p w:rsidR="00BD5820" w:rsidRPr="006C0065" w:rsidRDefault="00F64314">
            <w:pPr>
              <w:pStyle w:val="Default"/>
              <w:jc w:val="center"/>
              <w:rPr>
                <w:rFonts w:ascii="Times New Roman" w:hAnsi="Times New Roman" w:cs="Times New Roman"/>
                <w:b/>
                <w:bCs/>
                <w:color w:val="FF0000"/>
                <w:sz w:val="21"/>
                <w:szCs w:val="21"/>
              </w:rPr>
            </w:pPr>
            <w:r w:rsidRPr="006C0065">
              <w:rPr>
                <w:rFonts w:ascii="Times New Roman" w:hAnsi="Times New Roman" w:cs="Times New Roman"/>
                <w:b/>
                <w:bCs/>
                <w:color w:val="FF0000"/>
                <w:sz w:val="21"/>
                <w:szCs w:val="21"/>
              </w:rPr>
              <w:t>数量（台</w:t>
            </w:r>
            <w:r w:rsidRPr="006C0065">
              <w:rPr>
                <w:rFonts w:ascii="Times New Roman" w:hAnsi="Times New Roman" w:cs="Times New Roman"/>
                <w:b/>
                <w:bCs/>
                <w:color w:val="FF0000"/>
                <w:sz w:val="21"/>
                <w:szCs w:val="21"/>
              </w:rPr>
              <w:t>/</w:t>
            </w:r>
            <w:r w:rsidRPr="006C0065">
              <w:rPr>
                <w:rFonts w:ascii="Times New Roman" w:hAnsi="Times New Roman" w:cs="Times New Roman"/>
                <w:b/>
                <w:bCs/>
                <w:color w:val="FF0000"/>
                <w:sz w:val="21"/>
                <w:szCs w:val="21"/>
              </w:rPr>
              <w:t>套）</w:t>
            </w:r>
          </w:p>
        </w:tc>
        <w:tc>
          <w:tcPr>
            <w:tcW w:w="989" w:type="pct"/>
            <w:tcBorders>
              <w:top w:val="single" w:sz="12" w:space="0" w:color="000000"/>
              <w:left w:val="single" w:sz="4" w:space="0" w:color="000000"/>
              <w:bottom w:val="single" w:sz="4" w:space="0" w:color="000000"/>
              <w:right w:val="nil"/>
            </w:tcBorders>
            <w:vAlign w:val="center"/>
          </w:tcPr>
          <w:p w:rsidR="00BD5820" w:rsidRPr="006C0065" w:rsidRDefault="00F64314">
            <w:pPr>
              <w:pStyle w:val="Default"/>
              <w:jc w:val="center"/>
              <w:rPr>
                <w:rFonts w:ascii="Times New Roman" w:hAnsi="Times New Roman" w:cs="Times New Roman"/>
                <w:b/>
                <w:bCs/>
                <w:color w:val="FF0000"/>
                <w:sz w:val="21"/>
                <w:szCs w:val="21"/>
              </w:rPr>
            </w:pPr>
            <w:r w:rsidRPr="006C0065">
              <w:rPr>
                <w:rFonts w:ascii="Times New Roman" w:hAnsi="Times New Roman" w:cs="Times New Roman"/>
                <w:b/>
                <w:bCs/>
                <w:color w:val="FF0000"/>
                <w:sz w:val="21"/>
                <w:szCs w:val="21"/>
              </w:rPr>
              <w:t>运行状态</w:t>
            </w:r>
          </w:p>
        </w:tc>
      </w:tr>
      <w:tr w:rsidR="00BD5820" w:rsidRPr="006C0065">
        <w:trPr>
          <w:trHeight w:val="16"/>
          <w:jc w:val="center"/>
        </w:trPr>
        <w:tc>
          <w:tcPr>
            <w:tcW w:w="768" w:type="pct"/>
            <w:vMerge w:val="restart"/>
            <w:tcBorders>
              <w:top w:val="single" w:sz="4" w:space="0" w:color="000000"/>
              <w:left w:val="nil"/>
              <w:right w:val="single" w:sz="4" w:space="0" w:color="000000"/>
            </w:tcBorders>
            <w:vAlign w:val="center"/>
          </w:tcPr>
          <w:p w:rsidR="00BD5820" w:rsidRPr="006C0065" w:rsidRDefault="00F275AC">
            <w:pPr>
              <w:pStyle w:val="afff1"/>
              <w:rPr>
                <w:color w:val="FF0000"/>
                <w:szCs w:val="21"/>
              </w:rPr>
            </w:pPr>
            <w:r w:rsidRPr="006C0065">
              <w:rPr>
                <w:rFonts w:hint="eastAsia"/>
                <w:color w:val="FF0000"/>
                <w:szCs w:val="21"/>
              </w:rPr>
              <w:t>普光</w:t>
            </w:r>
            <w:r w:rsidRPr="006C0065">
              <w:rPr>
                <w:color w:val="FF0000"/>
                <w:szCs w:val="21"/>
              </w:rPr>
              <w:t>气田</w:t>
            </w:r>
            <w:r w:rsidRPr="006C0065">
              <w:rPr>
                <w:rFonts w:hint="eastAsia"/>
                <w:color w:val="FF0000"/>
                <w:szCs w:val="21"/>
              </w:rPr>
              <w:t>1#</w:t>
            </w:r>
            <w:r w:rsidRPr="006C0065">
              <w:rPr>
                <w:rFonts w:hint="eastAsia"/>
                <w:color w:val="FF0000"/>
                <w:szCs w:val="21"/>
              </w:rPr>
              <w:t>增压站</w:t>
            </w:r>
          </w:p>
        </w:tc>
        <w:tc>
          <w:tcPr>
            <w:tcW w:w="939" w:type="pct"/>
            <w:tcBorders>
              <w:top w:val="single" w:sz="4" w:space="0" w:color="000000"/>
              <w:left w:val="single" w:sz="4" w:space="0" w:color="000000"/>
              <w:bottom w:val="single" w:sz="4" w:space="0" w:color="000000"/>
              <w:right w:val="single" w:sz="4" w:space="0" w:color="000000"/>
            </w:tcBorders>
            <w:vAlign w:val="center"/>
          </w:tcPr>
          <w:p w:rsidR="00BD5820" w:rsidRPr="006C0065" w:rsidRDefault="00F64314">
            <w:pPr>
              <w:pStyle w:val="Default"/>
              <w:jc w:val="center"/>
              <w:rPr>
                <w:rFonts w:ascii="Times New Roman" w:hAnsi="Times New Roman" w:cs="Times New Roman"/>
                <w:color w:val="FF0000"/>
                <w:sz w:val="21"/>
                <w:szCs w:val="21"/>
              </w:rPr>
            </w:pPr>
            <w:r w:rsidRPr="006C0065">
              <w:rPr>
                <w:rFonts w:ascii="Times New Roman" w:hAnsi="Times New Roman" w:cs="Times New Roman"/>
                <w:color w:val="FF0000"/>
                <w:sz w:val="21"/>
                <w:szCs w:val="21"/>
              </w:rPr>
              <w:t>分离器</w:t>
            </w:r>
          </w:p>
        </w:tc>
        <w:tc>
          <w:tcPr>
            <w:tcW w:w="1280" w:type="pct"/>
            <w:tcBorders>
              <w:top w:val="single" w:sz="4" w:space="0" w:color="000000"/>
              <w:left w:val="single" w:sz="4" w:space="0" w:color="000000"/>
              <w:bottom w:val="single" w:sz="4" w:space="0" w:color="000000"/>
              <w:right w:val="single" w:sz="4" w:space="0" w:color="000000"/>
            </w:tcBorders>
            <w:vAlign w:val="center"/>
          </w:tcPr>
          <w:p w:rsidR="00BD5820" w:rsidRPr="006C0065" w:rsidRDefault="00F64314">
            <w:pPr>
              <w:pStyle w:val="afff1"/>
              <w:rPr>
                <w:color w:val="FF0000"/>
                <w:szCs w:val="21"/>
              </w:rPr>
            </w:pPr>
            <w:r w:rsidRPr="006C0065">
              <w:rPr>
                <w:color w:val="FF0000"/>
                <w:szCs w:val="21"/>
              </w:rPr>
              <w:t>62</w:t>
            </w:r>
          </w:p>
        </w:tc>
        <w:tc>
          <w:tcPr>
            <w:tcW w:w="1024" w:type="pct"/>
            <w:tcBorders>
              <w:top w:val="single" w:sz="4" w:space="0" w:color="000000"/>
              <w:left w:val="single" w:sz="4" w:space="0" w:color="000000"/>
              <w:bottom w:val="single" w:sz="4" w:space="0" w:color="000000"/>
              <w:right w:val="single" w:sz="4" w:space="0" w:color="000000"/>
            </w:tcBorders>
            <w:vAlign w:val="center"/>
          </w:tcPr>
          <w:p w:rsidR="00BD5820" w:rsidRPr="006C0065" w:rsidRDefault="00FC3B01">
            <w:pPr>
              <w:pStyle w:val="afff1"/>
              <w:rPr>
                <w:color w:val="FF0000"/>
                <w:szCs w:val="21"/>
              </w:rPr>
            </w:pPr>
            <w:r w:rsidRPr="006C0065">
              <w:rPr>
                <w:rFonts w:hint="eastAsia"/>
                <w:color w:val="FF0000"/>
                <w:szCs w:val="21"/>
              </w:rPr>
              <w:t>2</w:t>
            </w:r>
          </w:p>
        </w:tc>
        <w:tc>
          <w:tcPr>
            <w:tcW w:w="989" w:type="pct"/>
            <w:vMerge w:val="restart"/>
            <w:tcBorders>
              <w:top w:val="single" w:sz="4" w:space="0" w:color="000000"/>
              <w:left w:val="single" w:sz="4" w:space="0" w:color="000000"/>
              <w:right w:val="nil"/>
            </w:tcBorders>
            <w:vAlign w:val="center"/>
          </w:tcPr>
          <w:p w:rsidR="00BD5820" w:rsidRPr="006C0065" w:rsidRDefault="00F64314">
            <w:pPr>
              <w:pStyle w:val="Default"/>
              <w:jc w:val="center"/>
              <w:rPr>
                <w:rFonts w:ascii="Times New Roman" w:hAnsi="Times New Roman" w:cs="Times New Roman"/>
                <w:color w:val="FF0000"/>
                <w:sz w:val="21"/>
                <w:szCs w:val="21"/>
              </w:rPr>
            </w:pPr>
            <w:r w:rsidRPr="006C0065">
              <w:rPr>
                <w:rFonts w:ascii="Times New Roman" w:hAnsi="Times New Roman" w:cs="Times New Roman"/>
                <w:color w:val="FF0000"/>
                <w:sz w:val="21"/>
                <w:szCs w:val="21"/>
              </w:rPr>
              <w:t>正常生产</w:t>
            </w:r>
          </w:p>
        </w:tc>
      </w:tr>
      <w:tr w:rsidR="00BD5820">
        <w:trPr>
          <w:trHeight w:val="16"/>
          <w:jc w:val="center"/>
        </w:trPr>
        <w:tc>
          <w:tcPr>
            <w:tcW w:w="768" w:type="pct"/>
            <w:vMerge/>
            <w:tcBorders>
              <w:top w:val="single" w:sz="4" w:space="0" w:color="000000"/>
              <w:left w:val="nil"/>
              <w:right w:val="single" w:sz="4" w:space="0" w:color="000000"/>
            </w:tcBorders>
            <w:vAlign w:val="center"/>
          </w:tcPr>
          <w:p w:rsidR="00BD5820" w:rsidRPr="006C0065" w:rsidRDefault="00BD5820">
            <w:pPr>
              <w:pStyle w:val="afff1"/>
              <w:rPr>
                <w:color w:val="FF0000"/>
                <w:szCs w:val="21"/>
              </w:rPr>
            </w:pPr>
          </w:p>
        </w:tc>
        <w:tc>
          <w:tcPr>
            <w:tcW w:w="939" w:type="pct"/>
            <w:tcBorders>
              <w:top w:val="single" w:sz="4" w:space="0" w:color="000000"/>
              <w:left w:val="single" w:sz="4" w:space="0" w:color="000000"/>
              <w:bottom w:val="single" w:sz="4" w:space="0" w:color="000000"/>
              <w:right w:val="single" w:sz="4" w:space="0" w:color="000000"/>
            </w:tcBorders>
            <w:vAlign w:val="center"/>
          </w:tcPr>
          <w:p w:rsidR="00BD5820" w:rsidRPr="006C0065" w:rsidRDefault="00F64314">
            <w:pPr>
              <w:pStyle w:val="Default"/>
              <w:jc w:val="center"/>
              <w:rPr>
                <w:rFonts w:ascii="Times New Roman" w:hAnsi="Times New Roman" w:cs="Times New Roman"/>
                <w:color w:val="FF0000"/>
                <w:sz w:val="21"/>
                <w:szCs w:val="21"/>
              </w:rPr>
            </w:pPr>
            <w:r w:rsidRPr="006C0065">
              <w:rPr>
                <w:rFonts w:ascii="Times New Roman" w:hAnsi="Times New Roman" w:cs="Times New Roman" w:hint="eastAsia"/>
                <w:color w:val="FF0000"/>
                <w:sz w:val="21"/>
                <w:szCs w:val="21"/>
              </w:rPr>
              <w:t>增压机</w:t>
            </w:r>
          </w:p>
        </w:tc>
        <w:tc>
          <w:tcPr>
            <w:tcW w:w="1280" w:type="pct"/>
            <w:tcBorders>
              <w:top w:val="single" w:sz="4" w:space="0" w:color="000000"/>
              <w:left w:val="single" w:sz="4" w:space="0" w:color="000000"/>
              <w:bottom w:val="single" w:sz="4" w:space="0" w:color="000000"/>
              <w:right w:val="single" w:sz="4" w:space="0" w:color="000000"/>
            </w:tcBorders>
            <w:vAlign w:val="center"/>
          </w:tcPr>
          <w:p w:rsidR="00BD5820" w:rsidRPr="006C0065" w:rsidRDefault="00F64314">
            <w:pPr>
              <w:pStyle w:val="afff1"/>
              <w:rPr>
                <w:color w:val="FF0000"/>
                <w:szCs w:val="21"/>
              </w:rPr>
            </w:pPr>
            <w:r w:rsidRPr="006C0065">
              <w:rPr>
                <w:color w:val="FF0000"/>
                <w:szCs w:val="21"/>
              </w:rPr>
              <w:t>67</w:t>
            </w:r>
          </w:p>
        </w:tc>
        <w:tc>
          <w:tcPr>
            <w:tcW w:w="1024" w:type="pct"/>
            <w:tcBorders>
              <w:top w:val="single" w:sz="4" w:space="0" w:color="000000"/>
              <w:left w:val="single" w:sz="4" w:space="0" w:color="000000"/>
              <w:bottom w:val="single" w:sz="4" w:space="0" w:color="000000"/>
              <w:right w:val="single" w:sz="4" w:space="0" w:color="000000"/>
            </w:tcBorders>
            <w:vAlign w:val="center"/>
          </w:tcPr>
          <w:p w:rsidR="00BD5820" w:rsidRPr="006C0065" w:rsidRDefault="00FC3B01">
            <w:pPr>
              <w:pStyle w:val="afff1"/>
              <w:rPr>
                <w:color w:val="FF0000"/>
                <w:szCs w:val="21"/>
              </w:rPr>
            </w:pPr>
            <w:r w:rsidRPr="006C0065">
              <w:rPr>
                <w:rFonts w:hint="eastAsia"/>
                <w:color w:val="FF0000"/>
                <w:szCs w:val="21"/>
              </w:rPr>
              <w:t>3</w:t>
            </w:r>
          </w:p>
        </w:tc>
        <w:tc>
          <w:tcPr>
            <w:tcW w:w="989" w:type="pct"/>
            <w:vMerge/>
            <w:tcBorders>
              <w:left w:val="single" w:sz="4" w:space="0" w:color="000000"/>
              <w:right w:val="nil"/>
            </w:tcBorders>
            <w:vAlign w:val="center"/>
          </w:tcPr>
          <w:p w:rsidR="00BD5820" w:rsidRPr="006C0065" w:rsidRDefault="00BD5820">
            <w:pPr>
              <w:pStyle w:val="Default"/>
              <w:jc w:val="center"/>
              <w:rPr>
                <w:rFonts w:ascii="Times New Roman" w:hAnsi="Times New Roman" w:cs="Times New Roman"/>
                <w:color w:val="FF0000"/>
                <w:sz w:val="21"/>
                <w:szCs w:val="21"/>
              </w:rPr>
            </w:pPr>
          </w:p>
        </w:tc>
      </w:tr>
      <w:tr w:rsidR="00BD5820">
        <w:trPr>
          <w:trHeight w:val="90"/>
          <w:jc w:val="center"/>
        </w:trPr>
        <w:tc>
          <w:tcPr>
            <w:tcW w:w="768" w:type="pct"/>
            <w:vMerge/>
            <w:tcBorders>
              <w:top w:val="single" w:sz="4" w:space="0" w:color="000000"/>
              <w:left w:val="nil"/>
              <w:right w:val="single" w:sz="4" w:space="0" w:color="000000"/>
            </w:tcBorders>
            <w:vAlign w:val="center"/>
          </w:tcPr>
          <w:p w:rsidR="00BD5820" w:rsidRPr="006C0065" w:rsidRDefault="00BD5820">
            <w:pPr>
              <w:pStyle w:val="afff1"/>
              <w:rPr>
                <w:color w:val="FF0000"/>
                <w:szCs w:val="21"/>
              </w:rPr>
            </w:pPr>
          </w:p>
        </w:tc>
        <w:tc>
          <w:tcPr>
            <w:tcW w:w="939" w:type="pct"/>
            <w:tcBorders>
              <w:top w:val="single" w:sz="4" w:space="0" w:color="000000"/>
              <w:left w:val="single" w:sz="4" w:space="0" w:color="000000"/>
              <w:bottom w:val="single" w:sz="4" w:space="0" w:color="000000"/>
              <w:right w:val="single" w:sz="4" w:space="0" w:color="000000"/>
            </w:tcBorders>
            <w:vAlign w:val="center"/>
          </w:tcPr>
          <w:p w:rsidR="00BD5820" w:rsidRPr="006C0065" w:rsidRDefault="00F64314">
            <w:pPr>
              <w:pStyle w:val="Default"/>
              <w:jc w:val="center"/>
              <w:rPr>
                <w:rFonts w:ascii="Times New Roman" w:hAnsi="Times New Roman" w:cs="Times New Roman"/>
                <w:color w:val="FF0000"/>
                <w:sz w:val="21"/>
                <w:szCs w:val="21"/>
              </w:rPr>
            </w:pPr>
            <w:r w:rsidRPr="006C0065">
              <w:rPr>
                <w:rFonts w:ascii="Times New Roman" w:hAnsi="Times New Roman" w:cs="Times New Roman" w:hint="eastAsia"/>
                <w:color w:val="FF0000"/>
                <w:sz w:val="21"/>
                <w:szCs w:val="21"/>
              </w:rPr>
              <w:t>空压机</w:t>
            </w:r>
          </w:p>
        </w:tc>
        <w:tc>
          <w:tcPr>
            <w:tcW w:w="1280" w:type="pct"/>
            <w:tcBorders>
              <w:top w:val="single" w:sz="4" w:space="0" w:color="000000"/>
              <w:left w:val="single" w:sz="4" w:space="0" w:color="000000"/>
              <w:bottom w:val="single" w:sz="4" w:space="0" w:color="000000"/>
              <w:right w:val="single" w:sz="4" w:space="0" w:color="000000"/>
            </w:tcBorders>
            <w:vAlign w:val="center"/>
          </w:tcPr>
          <w:p w:rsidR="00BD5820" w:rsidRPr="006C0065" w:rsidRDefault="00F64314">
            <w:pPr>
              <w:pStyle w:val="afff1"/>
              <w:rPr>
                <w:color w:val="FF0000"/>
                <w:szCs w:val="21"/>
              </w:rPr>
            </w:pPr>
            <w:r w:rsidRPr="006C0065">
              <w:rPr>
                <w:rFonts w:hint="eastAsia"/>
                <w:color w:val="FF0000"/>
                <w:szCs w:val="21"/>
              </w:rPr>
              <w:t>85</w:t>
            </w:r>
          </w:p>
        </w:tc>
        <w:tc>
          <w:tcPr>
            <w:tcW w:w="1024" w:type="pct"/>
            <w:tcBorders>
              <w:top w:val="single" w:sz="4" w:space="0" w:color="000000"/>
              <w:left w:val="single" w:sz="4" w:space="0" w:color="000000"/>
              <w:bottom w:val="single" w:sz="4" w:space="0" w:color="000000"/>
              <w:right w:val="single" w:sz="4" w:space="0" w:color="000000"/>
            </w:tcBorders>
            <w:vAlign w:val="center"/>
          </w:tcPr>
          <w:p w:rsidR="00BD5820" w:rsidRPr="006C0065" w:rsidRDefault="00FC3B01">
            <w:pPr>
              <w:pStyle w:val="afff1"/>
              <w:rPr>
                <w:color w:val="FF0000"/>
                <w:szCs w:val="21"/>
              </w:rPr>
            </w:pPr>
            <w:r w:rsidRPr="006C0065">
              <w:rPr>
                <w:rFonts w:hint="eastAsia"/>
                <w:color w:val="FF0000"/>
                <w:szCs w:val="21"/>
              </w:rPr>
              <w:t>2</w:t>
            </w:r>
          </w:p>
        </w:tc>
        <w:tc>
          <w:tcPr>
            <w:tcW w:w="989" w:type="pct"/>
            <w:vMerge/>
            <w:tcBorders>
              <w:left w:val="single" w:sz="4" w:space="0" w:color="000000"/>
              <w:right w:val="nil"/>
            </w:tcBorders>
            <w:vAlign w:val="center"/>
          </w:tcPr>
          <w:p w:rsidR="00BD5820" w:rsidRPr="006C0065" w:rsidRDefault="00BD5820">
            <w:pPr>
              <w:pStyle w:val="Default"/>
              <w:jc w:val="center"/>
              <w:rPr>
                <w:rFonts w:ascii="Times New Roman" w:hAnsi="Times New Roman" w:cs="Times New Roman"/>
                <w:color w:val="FF0000"/>
                <w:sz w:val="21"/>
                <w:szCs w:val="21"/>
              </w:rPr>
            </w:pPr>
          </w:p>
        </w:tc>
      </w:tr>
      <w:tr w:rsidR="00BD5820" w:rsidTr="00FC3B01">
        <w:trPr>
          <w:trHeight w:val="16"/>
          <w:jc w:val="center"/>
        </w:trPr>
        <w:tc>
          <w:tcPr>
            <w:tcW w:w="768" w:type="pct"/>
            <w:vMerge/>
            <w:tcBorders>
              <w:left w:val="nil"/>
              <w:bottom w:val="single" w:sz="4" w:space="0" w:color="auto"/>
              <w:right w:val="single" w:sz="4" w:space="0" w:color="000000"/>
            </w:tcBorders>
            <w:vAlign w:val="center"/>
          </w:tcPr>
          <w:p w:rsidR="00BD5820" w:rsidRPr="006C0065" w:rsidRDefault="00BD5820">
            <w:pPr>
              <w:pStyle w:val="afff1"/>
              <w:rPr>
                <w:color w:val="FF0000"/>
                <w:szCs w:val="21"/>
              </w:rPr>
            </w:pPr>
          </w:p>
        </w:tc>
        <w:tc>
          <w:tcPr>
            <w:tcW w:w="939" w:type="pct"/>
            <w:tcBorders>
              <w:top w:val="single" w:sz="4" w:space="0" w:color="000000"/>
              <w:left w:val="single" w:sz="4" w:space="0" w:color="000000"/>
              <w:bottom w:val="single" w:sz="4" w:space="0" w:color="000000"/>
              <w:right w:val="single" w:sz="4" w:space="0" w:color="000000"/>
            </w:tcBorders>
            <w:vAlign w:val="center"/>
          </w:tcPr>
          <w:p w:rsidR="00BD5820" w:rsidRPr="006C0065" w:rsidRDefault="00F64314">
            <w:pPr>
              <w:pStyle w:val="afff1"/>
              <w:rPr>
                <w:color w:val="FF0000"/>
                <w:szCs w:val="21"/>
              </w:rPr>
            </w:pPr>
            <w:r w:rsidRPr="006C0065">
              <w:rPr>
                <w:color w:val="FF0000"/>
                <w:szCs w:val="21"/>
              </w:rPr>
              <w:t>放空系统</w:t>
            </w:r>
          </w:p>
        </w:tc>
        <w:tc>
          <w:tcPr>
            <w:tcW w:w="1280" w:type="pct"/>
            <w:tcBorders>
              <w:top w:val="single" w:sz="4" w:space="0" w:color="000000"/>
              <w:left w:val="single" w:sz="4" w:space="0" w:color="000000"/>
              <w:bottom w:val="single" w:sz="4" w:space="0" w:color="000000"/>
              <w:right w:val="single" w:sz="4" w:space="0" w:color="000000"/>
            </w:tcBorders>
            <w:vAlign w:val="center"/>
          </w:tcPr>
          <w:p w:rsidR="00BD5820" w:rsidRPr="006C0065" w:rsidRDefault="00F64314">
            <w:pPr>
              <w:pStyle w:val="afff1"/>
              <w:rPr>
                <w:color w:val="FF0000"/>
                <w:szCs w:val="21"/>
              </w:rPr>
            </w:pPr>
            <w:r w:rsidRPr="006C0065">
              <w:rPr>
                <w:color w:val="FF0000"/>
                <w:szCs w:val="21"/>
              </w:rPr>
              <w:t>90</w:t>
            </w:r>
          </w:p>
        </w:tc>
        <w:tc>
          <w:tcPr>
            <w:tcW w:w="1024" w:type="pct"/>
            <w:tcBorders>
              <w:top w:val="single" w:sz="4" w:space="0" w:color="000000"/>
              <w:left w:val="single" w:sz="4" w:space="0" w:color="000000"/>
              <w:bottom w:val="single" w:sz="4" w:space="0" w:color="000000"/>
              <w:right w:val="single" w:sz="4" w:space="0" w:color="000000"/>
            </w:tcBorders>
            <w:vAlign w:val="center"/>
          </w:tcPr>
          <w:p w:rsidR="00BD5820" w:rsidRPr="006C0065" w:rsidRDefault="00F64314">
            <w:pPr>
              <w:pStyle w:val="afff1"/>
              <w:rPr>
                <w:color w:val="FF0000"/>
                <w:szCs w:val="21"/>
              </w:rPr>
            </w:pPr>
            <w:r w:rsidRPr="006C0065">
              <w:rPr>
                <w:color w:val="FF0000"/>
                <w:szCs w:val="21"/>
              </w:rPr>
              <w:t>1</w:t>
            </w:r>
          </w:p>
        </w:tc>
        <w:tc>
          <w:tcPr>
            <w:tcW w:w="989" w:type="pct"/>
            <w:tcBorders>
              <w:top w:val="single" w:sz="4" w:space="0" w:color="000000"/>
              <w:left w:val="single" w:sz="4" w:space="0" w:color="000000"/>
              <w:bottom w:val="single" w:sz="4" w:space="0" w:color="000000"/>
              <w:right w:val="nil"/>
            </w:tcBorders>
            <w:vAlign w:val="center"/>
          </w:tcPr>
          <w:p w:rsidR="00BD5820" w:rsidRPr="006C0065" w:rsidRDefault="00FC3B01">
            <w:pPr>
              <w:pStyle w:val="Default"/>
              <w:jc w:val="center"/>
              <w:rPr>
                <w:rFonts w:ascii="Times New Roman" w:hAnsi="Times New Roman" w:cs="Times New Roman"/>
                <w:color w:val="FF0000"/>
                <w:sz w:val="21"/>
                <w:szCs w:val="21"/>
              </w:rPr>
            </w:pPr>
            <w:r w:rsidRPr="006C0065">
              <w:rPr>
                <w:rFonts w:ascii="Times New Roman" w:hAnsi="Times New Roman" w:cs="Times New Roman"/>
                <w:color w:val="FF0000"/>
                <w:sz w:val="21"/>
                <w:szCs w:val="21"/>
              </w:rPr>
              <w:t>放空作业</w:t>
            </w:r>
          </w:p>
        </w:tc>
      </w:tr>
      <w:tr w:rsidR="00FC3B01" w:rsidTr="006D7C0E">
        <w:trPr>
          <w:trHeight w:val="16"/>
          <w:jc w:val="center"/>
        </w:trPr>
        <w:tc>
          <w:tcPr>
            <w:tcW w:w="768" w:type="pct"/>
            <w:vMerge w:val="restart"/>
            <w:tcBorders>
              <w:top w:val="single" w:sz="4" w:space="0" w:color="auto"/>
              <w:left w:val="nil"/>
              <w:right w:val="single" w:sz="4" w:space="0" w:color="000000"/>
            </w:tcBorders>
            <w:vAlign w:val="center"/>
          </w:tcPr>
          <w:p w:rsidR="00FC3B01" w:rsidRPr="006C0065" w:rsidRDefault="00FC3B01" w:rsidP="00FC3B01">
            <w:pPr>
              <w:pStyle w:val="afff1"/>
              <w:rPr>
                <w:color w:val="FF0000"/>
                <w:szCs w:val="21"/>
              </w:rPr>
            </w:pPr>
            <w:r w:rsidRPr="006C0065">
              <w:rPr>
                <w:rFonts w:hint="eastAsia"/>
                <w:color w:val="FF0000"/>
                <w:szCs w:val="21"/>
              </w:rPr>
              <w:t>普光</w:t>
            </w:r>
            <w:r w:rsidRPr="006C0065">
              <w:rPr>
                <w:color w:val="FF0000"/>
                <w:szCs w:val="21"/>
              </w:rPr>
              <w:t>气田</w:t>
            </w:r>
            <w:r w:rsidRPr="006C0065">
              <w:rPr>
                <w:rFonts w:hint="eastAsia"/>
                <w:color w:val="FF0000"/>
                <w:szCs w:val="21"/>
              </w:rPr>
              <w:t>2#</w:t>
            </w:r>
            <w:r w:rsidRPr="006C0065">
              <w:rPr>
                <w:rFonts w:hint="eastAsia"/>
                <w:color w:val="FF0000"/>
                <w:szCs w:val="21"/>
              </w:rPr>
              <w:t>增压站</w:t>
            </w:r>
          </w:p>
        </w:tc>
        <w:tc>
          <w:tcPr>
            <w:tcW w:w="939" w:type="pct"/>
            <w:tcBorders>
              <w:top w:val="single" w:sz="4" w:space="0" w:color="000000"/>
              <w:left w:val="single" w:sz="4" w:space="0" w:color="000000"/>
              <w:bottom w:val="single" w:sz="4" w:space="0" w:color="000000"/>
              <w:right w:val="single" w:sz="4" w:space="0" w:color="000000"/>
            </w:tcBorders>
            <w:vAlign w:val="center"/>
          </w:tcPr>
          <w:p w:rsidR="00FC3B01" w:rsidRPr="006C0065" w:rsidRDefault="00FC3B01" w:rsidP="006D7C0E">
            <w:pPr>
              <w:pStyle w:val="Default"/>
              <w:jc w:val="center"/>
              <w:rPr>
                <w:rFonts w:ascii="Times New Roman" w:hAnsi="Times New Roman" w:cs="Times New Roman"/>
                <w:color w:val="FF0000"/>
                <w:sz w:val="21"/>
                <w:szCs w:val="21"/>
              </w:rPr>
            </w:pPr>
            <w:r w:rsidRPr="006C0065">
              <w:rPr>
                <w:rFonts w:ascii="Times New Roman" w:hAnsi="Times New Roman" w:cs="Times New Roman"/>
                <w:color w:val="FF0000"/>
                <w:sz w:val="21"/>
                <w:szCs w:val="21"/>
              </w:rPr>
              <w:t>分离器</w:t>
            </w:r>
          </w:p>
        </w:tc>
        <w:tc>
          <w:tcPr>
            <w:tcW w:w="1280" w:type="pct"/>
            <w:tcBorders>
              <w:top w:val="single" w:sz="4" w:space="0" w:color="000000"/>
              <w:left w:val="single" w:sz="4" w:space="0" w:color="000000"/>
              <w:bottom w:val="single" w:sz="4" w:space="0" w:color="000000"/>
              <w:right w:val="single" w:sz="4" w:space="0" w:color="000000"/>
            </w:tcBorders>
            <w:vAlign w:val="center"/>
          </w:tcPr>
          <w:p w:rsidR="00FC3B01" w:rsidRPr="006C0065" w:rsidRDefault="00FC3B01" w:rsidP="006D7C0E">
            <w:pPr>
              <w:pStyle w:val="afff1"/>
              <w:rPr>
                <w:color w:val="FF0000"/>
                <w:szCs w:val="21"/>
              </w:rPr>
            </w:pPr>
            <w:r w:rsidRPr="006C0065">
              <w:rPr>
                <w:color w:val="FF0000"/>
                <w:szCs w:val="21"/>
              </w:rPr>
              <w:t>62</w:t>
            </w:r>
          </w:p>
        </w:tc>
        <w:tc>
          <w:tcPr>
            <w:tcW w:w="1024" w:type="pct"/>
            <w:tcBorders>
              <w:top w:val="single" w:sz="4" w:space="0" w:color="000000"/>
              <w:left w:val="single" w:sz="4" w:space="0" w:color="000000"/>
              <w:bottom w:val="single" w:sz="4" w:space="0" w:color="000000"/>
              <w:right w:val="single" w:sz="4" w:space="0" w:color="000000"/>
            </w:tcBorders>
            <w:vAlign w:val="center"/>
          </w:tcPr>
          <w:p w:rsidR="00FC3B01" w:rsidRPr="006C0065" w:rsidRDefault="00FC3B01" w:rsidP="006D7C0E">
            <w:pPr>
              <w:pStyle w:val="afff1"/>
              <w:rPr>
                <w:color w:val="FF0000"/>
                <w:szCs w:val="21"/>
              </w:rPr>
            </w:pPr>
            <w:r w:rsidRPr="006C0065">
              <w:rPr>
                <w:rFonts w:hint="eastAsia"/>
                <w:color w:val="FF0000"/>
                <w:szCs w:val="21"/>
              </w:rPr>
              <w:t>4</w:t>
            </w:r>
          </w:p>
        </w:tc>
        <w:tc>
          <w:tcPr>
            <w:tcW w:w="989" w:type="pct"/>
            <w:vMerge w:val="restart"/>
            <w:tcBorders>
              <w:top w:val="single" w:sz="4" w:space="0" w:color="000000"/>
              <w:left w:val="single" w:sz="4" w:space="0" w:color="000000"/>
              <w:right w:val="nil"/>
            </w:tcBorders>
            <w:vAlign w:val="center"/>
          </w:tcPr>
          <w:p w:rsidR="00FC3B01" w:rsidRPr="006C0065" w:rsidRDefault="00FC3B01">
            <w:pPr>
              <w:pStyle w:val="Default"/>
              <w:jc w:val="center"/>
              <w:rPr>
                <w:rFonts w:ascii="Times New Roman" w:hAnsi="Times New Roman" w:cs="Times New Roman"/>
                <w:color w:val="FF0000"/>
                <w:sz w:val="21"/>
                <w:szCs w:val="21"/>
              </w:rPr>
            </w:pPr>
            <w:r w:rsidRPr="006C0065">
              <w:rPr>
                <w:rFonts w:ascii="Times New Roman" w:hAnsi="Times New Roman" w:cs="Times New Roman"/>
                <w:color w:val="FF0000"/>
                <w:sz w:val="21"/>
                <w:szCs w:val="21"/>
              </w:rPr>
              <w:t>正常生产</w:t>
            </w:r>
          </w:p>
        </w:tc>
      </w:tr>
      <w:tr w:rsidR="00FC3B01" w:rsidTr="006D7C0E">
        <w:trPr>
          <w:trHeight w:val="171"/>
          <w:jc w:val="center"/>
        </w:trPr>
        <w:tc>
          <w:tcPr>
            <w:tcW w:w="768" w:type="pct"/>
            <w:vMerge/>
            <w:tcBorders>
              <w:left w:val="nil"/>
              <w:right w:val="single" w:sz="4" w:space="0" w:color="000000"/>
            </w:tcBorders>
            <w:vAlign w:val="center"/>
          </w:tcPr>
          <w:p w:rsidR="00FC3B01" w:rsidRPr="006C0065" w:rsidRDefault="00FC3B01" w:rsidP="00FC3B01">
            <w:pPr>
              <w:pStyle w:val="afff1"/>
              <w:rPr>
                <w:color w:val="FF0000"/>
                <w:szCs w:val="21"/>
              </w:rPr>
            </w:pPr>
          </w:p>
        </w:tc>
        <w:tc>
          <w:tcPr>
            <w:tcW w:w="939" w:type="pct"/>
            <w:tcBorders>
              <w:top w:val="single" w:sz="4" w:space="0" w:color="000000"/>
              <w:left w:val="single" w:sz="4" w:space="0" w:color="000000"/>
              <w:bottom w:val="single" w:sz="4" w:space="0" w:color="000000"/>
              <w:right w:val="single" w:sz="4" w:space="0" w:color="000000"/>
            </w:tcBorders>
            <w:vAlign w:val="center"/>
          </w:tcPr>
          <w:p w:rsidR="00FC3B01" w:rsidRPr="006C0065" w:rsidRDefault="00FC3B01" w:rsidP="006D7C0E">
            <w:pPr>
              <w:pStyle w:val="Default"/>
              <w:jc w:val="center"/>
              <w:rPr>
                <w:rFonts w:ascii="Times New Roman" w:hAnsi="Times New Roman" w:cs="Times New Roman"/>
                <w:color w:val="FF0000"/>
                <w:sz w:val="21"/>
                <w:szCs w:val="21"/>
              </w:rPr>
            </w:pPr>
            <w:r w:rsidRPr="006C0065">
              <w:rPr>
                <w:rFonts w:ascii="Times New Roman" w:hAnsi="Times New Roman" w:cs="Times New Roman" w:hint="eastAsia"/>
                <w:color w:val="FF0000"/>
                <w:sz w:val="21"/>
                <w:szCs w:val="21"/>
              </w:rPr>
              <w:t>增压机</w:t>
            </w:r>
          </w:p>
        </w:tc>
        <w:tc>
          <w:tcPr>
            <w:tcW w:w="1280" w:type="pct"/>
            <w:tcBorders>
              <w:top w:val="single" w:sz="4" w:space="0" w:color="000000"/>
              <w:left w:val="single" w:sz="4" w:space="0" w:color="000000"/>
              <w:bottom w:val="single" w:sz="4" w:space="0" w:color="000000"/>
              <w:right w:val="single" w:sz="4" w:space="0" w:color="000000"/>
            </w:tcBorders>
            <w:vAlign w:val="center"/>
          </w:tcPr>
          <w:p w:rsidR="00FC3B01" w:rsidRPr="006C0065" w:rsidRDefault="00FC3B01" w:rsidP="006D7C0E">
            <w:pPr>
              <w:pStyle w:val="afff1"/>
              <w:rPr>
                <w:color w:val="FF0000"/>
                <w:szCs w:val="21"/>
              </w:rPr>
            </w:pPr>
            <w:r w:rsidRPr="006C0065">
              <w:rPr>
                <w:color w:val="FF0000"/>
                <w:szCs w:val="21"/>
              </w:rPr>
              <w:t>67</w:t>
            </w:r>
          </w:p>
        </w:tc>
        <w:tc>
          <w:tcPr>
            <w:tcW w:w="1024" w:type="pct"/>
            <w:tcBorders>
              <w:top w:val="single" w:sz="4" w:space="0" w:color="000000"/>
              <w:left w:val="single" w:sz="4" w:space="0" w:color="000000"/>
              <w:bottom w:val="single" w:sz="4" w:space="0" w:color="000000"/>
              <w:right w:val="single" w:sz="4" w:space="0" w:color="000000"/>
            </w:tcBorders>
            <w:vAlign w:val="center"/>
          </w:tcPr>
          <w:p w:rsidR="00FC3B01" w:rsidRPr="006C0065" w:rsidRDefault="00FC3B01" w:rsidP="006D7C0E">
            <w:pPr>
              <w:pStyle w:val="afff1"/>
              <w:rPr>
                <w:color w:val="FF0000"/>
                <w:szCs w:val="21"/>
              </w:rPr>
            </w:pPr>
            <w:r w:rsidRPr="006C0065">
              <w:rPr>
                <w:rFonts w:hint="eastAsia"/>
                <w:color w:val="FF0000"/>
                <w:szCs w:val="21"/>
              </w:rPr>
              <w:t>4</w:t>
            </w:r>
          </w:p>
        </w:tc>
        <w:tc>
          <w:tcPr>
            <w:tcW w:w="989" w:type="pct"/>
            <w:vMerge/>
            <w:tcBorders>
              <w:left w:val="single" w:sz="4" w:space="0" w:color="000000"/>
              <w:right w:val="nil"/>
            </w:tcBorders>
            <w:vAlign w:val="center"/>
          </w:tcPr>
          <w:p w:rsidR="00FC3B01" w:rsidRPr="006C0065" w:rsidRDefault="00FC3B01">
            <w:pPr>
              <w:pStyle w:val="Default"/>
              <w:jc w:val="center"/>
              <w:rPr>
                <w:rFonts w:ascii="Times New Roman" w:hAnsi="Times New Roman" w:cs="Times New Roman"/>
                <w:color w:val="FF0000"/>
                <w:sz w:val="21"/>
                <w:szCs w:val="21"/>
              </w:rPr>
            </w:pPr>
          </w:p>
        </w:tc>
      </w:tr>
      <w:tr w:rsidR="00FC3B01">
        <w:trPr>
          <w:trHeight w:val="16"/>
          <w:jc w:val="center"/>
        </w:trPr>
        <w:tc>
          <w:tcPr>
            <w:tcW w:w="768" w:type="pct"/>
            <w:vMerge/>
            <w:tcBorders>
              <w:left w:val="nil"/>
              <w:bottom w:val="single" w:sz="12" w:space="0" w:color="000000"/>
              <w:right w:val="single" w:sz="4" w:space="0" w:color="000000"/>
            </w:tcBorders>
            <w:vAlign w:val="center"/>
          </w:tcPr>
          <w:p w:rsidR="00FC3B01" w:rsidRPr="006C0065" w:rsidRDefault="00FC3B01">
            <w:pPr>
              <w:pStyle w:val="afff1"/>
              <w:rPr>
                <w:color w:val="FF0000"/>
                <w:szCs w:val="21"/>
              </w:rPr>
            </w:pPr>
          </w:p>
        </w:tc>
        <w:tc>
          <w:tcPr>
            <w:tcW w:w="939" w:type="pct"/>
            <w:tcBorders>
              <w:top w:val="single" w:sz="4" w:space="0" w:color="000000"/>
              <w:left w:val="single" w:sz="4" w:space="0" w:color="000000"/>
              <w:bottom w:val="single" w:sz="12" w:space="0" w:color="000000"/>
              <w:right w:val="single" w:sz="4" w:space="0" w:color="000000"/>
            </w:tcBorders>
            <w:vAlign w:val="center"/>
          </w:tcPr>
          <w:p w:rsidR="00FC3B01" w:rsidRPr="006C0065" w:rsidRDefault="00FC3B01" w:rsidP="006D7C0E">
            <w:pPr>
              <w:pStyle w:val="afff1"/>
              <w:rPr>
                <w:color w:val="FF0000"/>
                <w:szCs w:val="21"/>
              </w:rPr>
            </w:pPr>
            <w:r w:rsidRPr="006C0065">
              <w:rPr>
                <w:color w:val="FF0000"/>
                <w:szCs w:val="21"/>
              </w:rPr>
              <w:t>放空系统</w:t>
            </w:r>
          </w:p>
        </w:tc>
        <w:tc>
          <w:tcPr>
            <w:tcW w:w="1280" w:type="pct"/>
            <w:tcBorders>
              <w:top w:val="single" w:sz="4" w:space="0" w:color="000000"/>
              <w:left w:val="single" w:sz="4" w:space="0" w:color="000000"/>
              <w:bottom w:val="single" w:sz="12" w:space="0" w:color="000000"/>
              <w:right w:val="single" w:sz="4" w:space="0" w:color="000000"/>
            </w:tcBorders>
            <w:vAlign w:val="center"/>
          </w:tcPr>
          <w:p w:rsidR="00FC3B01" w:rsidRPr="006C0065" w:rsidRDefault="00FC3B01" w:rsidP="006D7C0E">
            <w:pPr>
              <w:pStyle w:val="afff1"/>
              <w:rPr>
                <w:color w:val="FF0000"/>
                <w:szCs w:val="21"/>
              </w:rPr>
            </w:pPr>
            <w:r w:rsidRPr="006C0065">
              <w:rPr>
                <w:color w:val="FF0000"/>
                <w:szCs w:val="21"/>
              </w:rPr>
              <w:t>90</w:t>
            </w:r>
          </w:p>
        </w:tc>
        <w:tc>
          <w:tcPr>
            <w:tcW w:w="1024" w:type="pct"/>
            <w:tcBorders>
              <w:top w:val="single" w:sz="4" w:space="0" w:color="000000"/>
              <w:left w:val="single" w:sz="4" w:space="0" w:color="000000"/>
              <w:bottom w:val="single" w:sz="12" w:space="0" w:color="000000"/>
              <w:right w:val="single" w:sz="4" w:space="0" w:color="000000"/>
            </w:tcBorders>
            <w:vAlign w:val="center"/>
          </w:tcPr>
          <w:p w:rsidR="00FC3B01" w:rsidRPr="006C0065" w:rsidRDefault="00FC3B01" w:rsidP="006D7C0E">
            <w:pPr>
              <w:pStyle w:val="afff1"/>
              <w:rPr>
                <w:color w:val="FF0000"/>
                <w:szCs w:val="21"/>
              </w:rPr>
            </w:pPr>
            <w:r w:rsidRPr="006C0065">
              <w:rPr>
                <w:color w:val="FF0000"/>
                <w:szCs w:val="21"/>
              </w:rPr>
              <w:t>1</w:t>
            </w:r>
          </w:p>
        </w:tc>
        <w:tc>
          <w:tcPr>
            <w:tcW w:w="989" w:type="pct"/>
            <w:tcBorders>
              <w:top w:val="single" w:sz="4" w:space="0" w:color="000000"/>
              <w:left w:val="single" w:sz="4" w:space="0" w:color="000000"/>
              <w:bottom w:val="single" w:sz="12" w:space="0" w:color="000000"/>
              <w:right w:val="nil"/>
            </w:tcBorders>
            <w:vAlign w:val="center"/>
          </w:tcPr>
          <w:p w:rsidR="00FC3B01" w:rsidRPr="006C0065" w:rsidRDefault="00FC3B01">
            <w:pPr>
              <w:pStyle w:val="Default"/>
              <w:jc w:val="center"/>
              <w:rPr>
                <w:rFonts w:ascii="Times New Roman" w:hAnsi="Times New Roman" w:cs="Times New Roman"/>
                <w:color w:val="FF0000"/>
                <w:sz w:val="21"/>
                <w:szCs w:val="21"/>
              </w:rPr>
            </w:pPr>
            <w:r w:rsidRPr="006C0065">
              <w:rPr>
                <w:rFonts w:ascii="Times New Roman" w:hAnsi="Times New Roman" w:cs="Times New Roman"/>
                <w:color w:val="FF0000"/>
                <w:sz w:val="21"/>
                <w:szCs w:val="21"/>
              </w:rPr>
              <w:t>放空作业</w:t>
            </w:r>
          </w:p>
        </w:tc>
      </w:tr>
    </w:tbl>
    <w:p w:rsidR="00BD5820" w:rsidRDefault="00F64314">
      <w:pPr>
        <w:pStyle w:val="3"/>
        <w:rPr>
          <w:rFonts w:eastAsia="宋体"/>
        </w:rPr>
      </w:pPr>
      <w:r>
        <w:rPr>
          <w:rFonts w:eastAsia="宋体"/>
        </w:rPr>
        <w:t xml:space="preserve">4.2.5 </w:t>
      </w:r>
      <w:r>
        <w:rPr>
          <w:rFonts w:eastAsia="宋体"/>
        </w:rPr>
        <w:t>固体废物产生情况及治理措施</w:t>
      </w:r>
    </w:p>
    <w:p w:rsidR="00BD5820" w:rsidRDefault="00F64314">
      <w:pPr>
        <w:pStyle w:val="affa"/>
        <w:ind w:firstLine="480"/>
      </w:pPr>
      <w:r>
        <w:t>本项目集气管道采用埋地敷设方式，在正常运行过程中集气管道不会产生固体废物。</w:t>
      </w:r>
    </w:p>
    <w:p w:rsidR="00BD5820" w:rsidRDefault="00F64314">
      <w:pPr>
        <w:pStyle w:val="aff8"/>
        <w:ind w:firstLine="480"/>
      </w:pPr>
      <w:r>
        <w:rPr>
          <w:rFonts w:hint="eastAsia"/>
        </w:rPr>
        <w:t>本项目空压机等设备润滑主要产生</w:t>
      </w:r>
      <w:r>
        <w:t>废</w:t>
      </w:r>
      <w:r>
        <w:rPr>
          <w:rFonts w:hint="eastAsia"/>
        </w:rPr>
        <w:t>润滑</w:t>
      </w:r>
      <w:r>
        <w:t>油</w:t>
      </w:r>
      <w:r>
        <w:rPr>
          <w:rFonts w:hint="eastAsia"/>
        </w:rPr>
        <w:t>，</w:t>
      </w:r>
      <w:r>
        <w:t>产生量约</w:t>
      </w:r>
      <w:r>
        <w:rPr>
          <w:rFonts w:hint="eastAsia"/>
        </w:rPr>
        <w:t>2t/a</w:t>
      </w:r>
      <w:r>
        <w:rPr>
          <w:rFonts w:hint="eastAsia"/>
        </w:rPr>
        <w:t>；过滤</w:t>
      </w:r>
      <w:r>
        <w:t>分离器及污水罐底部产生的污泥</w:t>
      </w:r>
      <w:r>
        <w:rPr>
          <w:rFonts w:hint="eastAsia"/>
        </w:rPr>
        <w:t>，产生量约</w:t>
      </w:r>
      <w:r>
        <w:rPr>
          <w:rFonts w:hint="eastAsia"/>
        </w:rPr>
        <w:t>2.5t/a</w:t>
      </w:r>
      <w:r>
        <w:rPr>
          <w:rFonts w:hint="eastAsia"/>
        </w:rPr>
        <w:t>；</w:t>
      </w:r>
      <w:r>
        <w:t>清管作业产生的少量固体粉末</w:t>
      </w:r>
      <w:r>
        <w:rPr>
          <w:rFonts w:hint="eastAsia"/>
        </w:rPr>
        <w:t>，产生量约</w:t>
      </w:r>
      <w:r>
        <w:rPr>
          <w:rFonts w:hint="eastAsia"/>
        </w:rPr>
        <w:t>0.2t/a</w:t>
      </w:r>
      <w:r>
        <w:rPr>
          <w:rFonts w:hint="eastAsia"/>
        </w:rPr>
        <w:t>。</w:t>
      </w:r>
      <w:r>
        <w:t>废</w:t>
      </w:r>
      <w:r>
        <w:rPr>
          <w:rFonts w:hint="eastAsia"/>
        </w:rPr>
        <w:t>润滑油、</w:t>
      </w:r>
      <w:r>
        <w:t>污泥</w:t>
      </w:r>
      <w:r>
        <w:rPr>
          <w:rFonts w:hint="eastAsia"/>
        </w:rPr>
        <w:t>暂存于危废暂存间，面积约</w:t>
      </w:r>
      <w:r>
        <w:rPr>
          <w:rFonts w:hint="eastAsia"/>
        </w:rPr>
        <w:t>5m</w:t>
      </w:r>
      <w:r>
        <w:rPr>
          <w:rFonts w:hint="eastAsia"/>
          <w:vertAlign w:val="superscript"/>
        </w:rPr>
        <w:t>2</w:t>
      </w:r>
      <w:r>
        <w:rPr>
          <w:rFonts w:hint="eastAsia"/>
        </w:rPr>
        <w:t>，暂存间地面采取四防措施（防风、防雨、防晒、防渗漏），并</w:t>
      </w:r>
      <w:r>
        <w:rPr>
          <w:rFonts w:hint="eastAsia"/>
          <w:szCs w:val="21"/>
        </w:rPr>
        <w:t>及时清运至企业净化厂危险废物贮存仓库（与普光气田</w:t>
      </w:r>
      <w:r>
        <w:rPr>
          <w:rFonts w:hint="eastAsia"/>
          <w:szCs w:val="21"/>
        </w:rPr>
        <w:t>1#</w:t>
      </w:r>
      <w:r>
        <w:rPr>
          <w:rFonts w:hint="eastAsia"/>
          <w:szCs w:val="21"/>
        </w:rPr>
        <w:t>增压站、普光气田</w:t>
      </w:r>
      <w:r>
        <w:rPr>
          <w:rFonts w:hint="eastAsia"/>
          <w:szCs w:val="21"/>
        </w:rPr>
        <w:t>2#</w:t>
      </w:r>
      <w:r>
        <w:rPr>
          <w:rFonts w:hint="eastAsia"/>
          <w:szCs w:val="21"/>
        </w:rPr>
        <w:t>增压站运距分别为</w:t>
      </w:r>
      <w:r>
        <w:rPr>
          <w:rFonts w:hint="eastAsia"/>
          <w:szCs w:val="21"/>
        </w:rPr>
        <w:t>12km</w:t>
      </w:r>
      <w:r>
        <w:rPr>
          <w:rFonts w:hint="eastAsia"/>
          <w:szCs w:val="21"/>
        </w:rPr>
        <w:t>和</w:t>
      </w:r>
      <w:r>
        <w:rPr>
          <w:rFonts w:hint="eastAsia"/>
          <w:szCs w:val="21"/>
        </w:rPr>
        <w:t>1.6km</w:t>
      </w:r>
      <w:r>
        <w:rPr>
          <w:rFonts w:hint="eastAsia"/>
          <w:szCs w:val="21"/>
        </w:rPr>
        <w:t>），定期委托有资质单位进行处理</w:t>
      </w:r>
      <w:r>
        <w:t>。废油属危险废物（《国家危险废物名录》（</w:t>
      </w:r>
      <w:r>
        <w:t>20</w:t>
      </w:r>
      <w:r>
        <w:rPr>
          <w:rFonts w:hint="eastAsia"/>
        </w:rPr>
        <w:t>21</w:t>
      </w:r>
      <w:r>
        <w:t>年</w:t>
      </w:r>
      <w:r>
        <w:rPr>
          <w:rFonts w:hint="eastAsia"/>
        </w:rPr>
        <w:t>1</w:t>
      </w:r>
      <w:r>
        <w:t>月</w:t>
      </w:r>
      <w:r>
        <w:t>1</w:t>
      </w:r>
      <w:r>
        <w:t>日）中</w:t>
      </w:r>
      <w:r>
        <w:t>HW08</w:t>
      </w:r>
      <w:r>
        <w:t>废矿物油</w:t>
      </w:r>
      <w:r>
        <w:rPr>
          <w:rFonts w:hint="eastAsia"/>
        </w:rPr>
        <w:t>与含矿物油废物</w:t>
      </w:r>
      <w:r>
        <w:t>），由有危险废物处置资质的单位代为处置。本项目对废油的收集、贮存和运输应满足《危险废物收集</w:t>
      </w:r>
      <w:r>
        <w:t xml:space="preserve"> </w:t>
      </w:r>
      <w:r>
        <w:t>贮存</w:t>
      </w:r>
      <w:r>
        <w:t xml:space="preserve"> </w:t>
      </w:r>
      <w:r>
        <w:t>运输技术规范》（</w:t>
      </w:r>
      <w:r>
        <w:t>HJ 2025-2012</w:t>
      </w:r>
      <w:r>
        <w:t>）的相关规定。</w:t>
      </w:r>
    </w:p>
    <w:p w:rsidR="00BD5820" w:rsidRDefault="00F64314">
      <w:pPr>
        <w:pStyle w:val="aff8"/>
        <w:ind w:firstLine="480"/>
      </w:pPr>
      <w:bookmarkStart w:id="300" w:name="OLE_LINK77"/>
      <w:bookmarkStart w:id="301" w:name="OLE_LINK78"/>
      <w:bookmarkStart w:id="302" w:name="_Hlk105537821"/>
      <w:r>
        <w:t>HW08</w:t>
      </w:r>
      <w:bookmarkEnd w:id="300"/>
      <w:bookmarkEnd w:id="301"/>
      <w:r>
        <w:t>废矿物油</w:t>
      </w:r>
      <w:bookmarkEnd w:id="302"/>
      <w:r>
        <w:rPr>
          <w:rFonts w:hint="eastAsia"/>
        </w:rPr>
        <w:t>与含矿物油废物</w:t>
      </w:r>
      <w:r>
        <w:t>委托有危险废物处置资质的单位进行处理，可满足本项目废油处置的需求。</w:t>
      </w:r>
    </w:p>
    <w:p w:rsidR="00BD5820" w:rsidRDefault="00F64314">
      <w:pPr>
        <w:pStyle w:val="aff8"/>
        <w:ind w:firstLine="480"/>
        <w:rPr>
          <w:szCs w:val="22"/>
        </w:rPr>
      </w:pPr>
      <w:r>
        <w:rPr>
          <w:szCs w:val="22"/>
        </w:rPr>
        <w:t>本项目</w:t>
      </w:r>
      <w:r>
        <w:rPr>
          <w:rFonts w:hint="eastAsia"/>
          <w:szCs w:val="22"/>
        </w:rPr>
        <w:t>运营期</w:t>
      </w:r>
      <w:r>
        <w:rPr>
          <w:szCs w:val="22"/>
        </w:rPr>
        <w:t>危险废物产生量见下表。</w:t>
      </w:r>
    </w:p>
    <w:p w:rsidR="00BD5820" w:rsidRDefault="00F64314">
      <w:pPr>
        <w:pStyle w:val="TOC11"/>
        <w:rPr>
          <w:rFonts w:eastAsia="宋体"/>
        </w:rPr>
      </w:pPr>
      <w:r>
        <w:rPr>
          <w:rFonts w:eastAsia="宋体"/>
        </w:rPr>
        <w:lastRenderedPageBreak/>
        <w:t>表</w:t>
      </w:r>
      <w:r>
        <w:rPr>
          <w:rFonts w:eastAsia="宋体"/>
        </w:rPr>
        <w:t>4.</w:t>
      </w:r>
      <w:r>
        <w:rPr>
          <w:rFonts w:eastAsia="宋体" w:hint="eastAsia"/>
        </w:rPr>
        <w:t>2</w:t>
      </w:r>
      <w:r>
        <w:rPr>
          <w:rFonts w:eastAsia="宋体"/>
        </w:rPr>
        <w:t>-</w:t>
      </w:r>
      <w:r>
        <w:rPr>
          <w:rFonts w:eastAsia="宋体" w:hint="eastAsia"/>
        </w:rPr>
        <w:t>2</w:t>
      </w:r>
      <w:r>
        <w:rPr>
          <w:rFonts w:eastAsia="宋体"/>
        </w:rPr>
        <w:t xml:space="preserve">  </w:t>
      </w:r>
      <w:r>
        <w:rPr>
          <w:rFonts w:eastAsia="宋体" w:hint="eastAsia"/>
        </w:rPr>
        <w:t>运营期</w:t>
      </w:r>
      <w:r>
        <w:rPr>
          <w:rFonts w:eastAsia="宋体"/>
        </w:rPr>
        <w:t>危险废物汇总表表</w:t>
      </w:r>
    </w:p>
    <w:tbl>
      <w:tblPr>
        <w:tblW w:w="8849"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tblPr>
      <w:tblGrid>
        <w:gridCol w:w="605"/>
        <w:gridCol w:w="610"/>
        <w:gridCol w:w="763"/>
        <w:gridCol w:w="763"/>
        <w:gridCol w:w="915"/>
        <w:gridCol w:w="610"/>
        <w:gridCol w:w="763"/>
        <w:gridCol w:w="763"/>
        <w:gridCol w:w="763"/>
        <w:gridCol w:w="762"/>
        <w:gridCol w:w="1532"/>
      </w:tblGrid>
      <w:tr w:rsidR="00BD5820">
        <w:trPr>
          <w:cantSplit/>
          <w:trHeight w:val="244"/>
          <w:jc w:val="center"/>
        </w:trPr>
        <w:tc>
          <w:tcPr>
            <w:tcW w:w="605" w:type="dxa"/>
            <w:vAlign w:val="center"/>
          </w:tcPr>
          <w:p w:rsidR="00BD5820" w:rsidRDefault="00F64314">
            <w:pPr>
              <w:pStyle w:val="1L"/>
              <w:rPr>
                <w:b/>
              </w:rPr>
            </w:pPr>
            <w:r>
              <w:rPr>
                <w:b/>
              </w:rPr>
              <w:t>名称</w:t>
            </w:r>
          </w:p>
        </w:tc>
        <w:tc>
          <w:tcPr>
            <w:tcW w:w="610" w:type="dxa"/>
            <w:vAlign w:val="center"/>
          </w:tcPr>
          <w:p w:rsidR="00BD5820" w:rsidRDefault="00F64314">
            <w:pPr>
              <w:pStyle w:val="1L"/>
              <w:rPr>
                <w:b/>
              </w:rPr>
            </w:pPr>
            <w:r>
              <w:rPr>
                <w:b/>
              </w:rPr>
              <w:t>类别</w:t>
            </w:r>
          </w:p>
        </w:tc>
        <w:tc>
          <w:tcPr>
            <w:tcW w:w="763" w:type="dxa"/>
            <w:vAlign w:val="center"/>
          </w:tcPr>
          <w:p w:rsidR="00BD5820" w:rsidRDefault="00F64314">
            <w:pPr>
              <w:pStyle w:val="1L"/>
              <w:rPr>
                <w:b/>
              </w:rPr>
            </w:pPr>
            <w:r>
              <w:rPr>
                <w:b/>
              </w:rPr>
              <w:t>代码</w:t>
            </w:r>
          </w:p>
        </w:tc>
        <w:tc>
          <w:tcPr>
            <w:tcW w:w="763" w:type="dxa"/>
            <w:vAlign w:val="center"/>
          </w:tcPr>
          <w:p w:rsidR="00BD5820" w:rsidRDefault="00F64314">
            <w:pPr>
              <w:pStyle w:val="1L"/>
              <w:rPr>
                <w:b/>
              </w:rPr>
            </w:pPr>
            <w:r>
              <w:rPr>
                <w:b/>
              </w:rPr>
              <w:t>产生量</w:t>
            </w:r>
          </w:p>
        </w:tc>
        <w:tc>
          <w:tcPr>
            <w:tcW w:w="915" w:type="dxa"/>
            <w:vAlign w:val="center"/>
          </w:tcPr>
          <w:p w:rsidR="00BD5820" w:rsidRDefault="00F64314">
            <w:pPr>
              <w:pStyle w:val="1L"/>
              <w:rPr>
                <w:b/>
              </w:rPr>
            </w:pPr>
            <w:r>
              <w:rPr>
                <w:b/>
              </w:rPr>
              <w:t>产生工序及装置</w:t>
            </w:r>
          </w:p>
        </w:tc>
        <w:tc>
          <w:tcPr>
            <w:tcW w:w="610" w:type="dxa"/>
            <w:vAlign w:val="center"/>
          </w:tcPr>
          <w:p w:rsidR="00BD5820" w:rsidRDefault="00F64314">
            <w:pPr>
              <w:pStyle w:val="1L"/>
              <w:rPr>
                <w:b/>
              </w:rPr>
            </w:pPr>
            <w:r>
              <w:rPr>
                <w:b/>
              </w:rPr>
              <w:t>形态</w:t>
            </w:r>
          </w:p>
        </w:tc>
        <w:tc>
          <w:tcPr>
            <w:tcW w:w="763" w:type="dxa"/>
            <w:vAlign w:val="center"/>
          </w:tcPr>
          <w:p w:rsidR="00BD5820" w:rsidRDefault="00F64314">
            <w:pPr>
              <w:pStyle w:val="1L"/>
              <w:rPr>
                <w:b/>
              </w:rPr>
            </w:pPr>
            <w:r>
              <w:rPr>
                <w:b/>
              </w:rPr>
              <w:t>主要成分</w:t>
            </w:r>
          </w:p>
        </w:tc>
        <w:tc>
          <w:tcPr>
            <w:tcW w:w="763" w:type="dxa"/>
            <w:vAlign w:val="center"/>
          </w:tcPr>
          <w:p w:rsidR="00BD5820" w:rsidRDefault="00F64314">
            <w:pPr>
              <w:pStyle w:val="1L"/>
              <w:rPr>
                <w:b/>
              </w:rPr>
            </w:pPr>
            <w:r>
              <w:rPr>
                <w:b/>
              </w:rPr>
              <w:t>有害成分</w:t>
            </w:r>
          </w:p>
        </w:tc>
        <w:tc>
          <w:tcPr>
            <w:tcW w:w="763" w:type="dxa"/>
            <w:vAlign w:val="center"/>
          </w:tcPr>
          <w:p w:rsidR="00BD5820" w:rsidRDefault="00F64314">
            <w:pPr>
              <w:pStyle w:val="1L"/>
              <w:rPr>
                <w:b/>
              </w:rPr>
            </w:pPr>
            <w:r>
              <w:rPr>
                <w:b/>
              </w:rPr>
              <w:t>产废周期</w:t>
            </w:r>
          </w:p>
        </w:tc>
        <w:tc>
          <w:tcPr>
            <w:tcW w:w="762" w:type="dxa"/>
            <w:vAlign w:val="center"/>
          </w:tcPr>
          <w:p w:rsidR="00BD5820" w:rsidRDefault="00F64314">
            <w:pPr>
              <w:pStyle w:val="1L"/>
              <w:rPr>
                <w:b/>
              </w:rPr>
            </w:pPr>
            <w:r>
              <w:rPr>
                <w:b/>
              </w:rPr>
              <w:t>危险特性</w:t>
            </w:r>
          </w:p>
        </w:tc>
        <w:tc>
          <w:tcPr>
            <w:tcW w:w="1532" w:type="dxa"/>
            <w:vAlign w:val="center"/>
          </w:tcPr>
          <w:p w:rsidR="00BD5820" w:rsidRDefault="00F64314">
            <w:pPr>
              <w:pStyle w:val="1L"/>
              <w:rPr>
                <w:b/>
              </w:rPr>
            </w:pPr>
            <w:r>
              <w:rPr>
                <w:b/>
              </w:rPr>
              <w:t>污染防治措施</w:t>
            </w:r>
          </w:p>
        </w:tc>
      </w:tr>
      <w:tr w:rsidR="00BD5820">
        <w:trPr>
          <w:cantSplit/>
          <w:trHeight w:val="244"/>
          <w:jc w:val="center"/>
        </w:trPr>
        <w:tc>
          <w:tcPr>
            <w:tcW w:w="605" w:type="dxa"/>
            <w:vAlign w:val="center"/>
          </w:tcPr>
          <w:p w:rsidR="00BD5820" w:rsidRDefault="00F64314">
            <w:pPr>
              <w:pStyle w:val="1L"/>
            </w:pPr>
            <w:r>
              <w:rPr>
                <w:rFonts w:hint="eastAsia"/>
              </w:rPr>
              <w:t>污泥</w:t>
            </w:r>
          </w:p>
        </w:tc>
        <w:tc>
          <w:tcPr>
            <w:tcW w:w="610" w:type="dxa"/>
            <w:vAlign w:val="center"/>
          </w:tcPr>
          <w:p w:rsidR="00BD5820" w:rsidRDefault="00F64314">
            <w:pPr>
              <w:pStyle w:val="1L"/>
            </w:pPr>
            <w:r>
              <w:t>HW08</w:t>
            </w:r>
          </w:p>
        </w:tc>
        <w:tc>
          <w:tcPr>
            <w:tcW w:w="763" w:type="dxa"/>
            <w:vAlign w:val="center"/>
          </w:tcPr>
          <w:p w:rsidR="00BD5820" w:rsidRDefault="00F64314">
            <w:pPr>
              <w:pStyle w:val="1L"/>
              <w:rPr>
                <w:lang w:eastAsia="en-US"/>
              </w:rPr>
            </w:pPr>
            <w:r>
              <w:rPr>
                <w:lang w:eastAsia="en-US"/>
              </w:rPr>
              <w:t>900-249-08</w:t>
            </w:r>
          </w:p>
        </w:tc>
        <w:tc>
          <w:tcPr>
            <w:tcW w:w="763" w:type="dxa"/>
            <w:vAlign w:val="center"/>
          </w:tcPr>
          <w:p w:rsidR="00BD5820" w:rsidRDefault="00F64314">
            <w:pPr>
              <w:pStyle w:val="1L"/>
            </w:pPr>
            <w:r>
              <w:rPr>
                <w:rFonts w:hint="eastAsia"/>
              </w:rPr>
              <w:t>2.5t/a</w:t>
            </w:r>
          </w:p>
        </w:tc>
        <w:tc>
          <w:tcPr>
            <w:tcW w:w="915" w:type="dxa"/>
            <w:vAlign w:val="center"/>
          </w:tcPr>
          <w:p w:rsidR="00BD5820" w:rsidRDefault="00F64314">
            <w:pPr>
              <w:pStyle w:val="1L"/>
            </w:pPr>
            <w:r>
              <w:rPr>
                <w:rFonts w:hint="eastAsia"/>
              </w:rPr>
              <w:t>过滤</w:t>
            </w:r>
            <w:r>
              <w:t>分离器及污水罐底部</w:t>
            </w:r>
          </w:p>
        </w:tc>
        <w:tc>
          <w:tcPr>
            <w:tcW w:w="610" w:type="dxa"/>
            <w:vAlign w:val="center"/>
          </w:tcPr>
          <w:p w:rsidR="00BD5820" w:rsidRDefault="00F64314">
            <w:pPr>
              <w:pStyle w:val="1L"/>
            </w:pPr>
            <w:r>
              <w:rPr>
                <w:lang w:eastAsia="en-US"/>
              </w:rPr>
              <w:t>半固态</w:t>
            </w:r>
          </w:p>
        </w:tc>
        <w:tc>
          <w:tcPr>
            <w:tcW w:w="763" w:type="dxa"/>
            <w:vAlign w:val="center"/>
          </w:tcPr>
          <w:p w:rsidR="00BD5820" w:rsidRDefault="00F64314">
            <w:pPr>
              <w:pStyle w:val="1L"/>
            </w:pPr>
            <w:r>
              <w:rPr>
                <w:rFonts w:hint="eastAsia"/>
              </w:rPr>
              <w:t>硫醇、硫化钠</w:t>
            </w:r>
          </w:p>
        </w:tc>
        <w:tc>
          <w:tcPr>
            <w:tcW w:w="763" w:type="dxa"/>
            <w:vAlign w:val="center"/>
          </w:tcPr>
          <w:p w:rsidR="00BD5820" w:rsidRDefault="00F64314">
            <w:pPr>
              <w:pStyle w:val="1L"/>
            </w:pPr>
            <w:r>
              <w:rPr>
                <w:rFonts w:hint="eastAsia"/>
              </w:rPr>
              <w:t>硫醇、硫化钠</w:t>
            </w:r>
          </w:p>
        </w:tc>
        <w:tc>
          <w:tcPr>
            <w:tcW w:w="763" w:type="dxa"/>
            <w:vAlign w:val="center"/>
          </w:tcPr>
          <w:p w:rsidR="00BD5820" w:rsidRDefault="00F64314">
            <w:pPr>
              <w:pStyle w:val="1L"/>
            </w:pPr>
            <w:r>
              <w:rPr>
                <w:rFonts w:hint="eastAsia"/>
              </w:rPr>
              <w:t>3</w:t>
            </w:r>
            <w:r>
              <w:rPr>
                <w:rFonts w:hint="eastAsia"/>
              </w:rPr>
              <w:t>个月</w:t>
            </w:r>
          </w:p>
        </w:tc>
        <w:tc>
          <w:tcPr>
            <w:tcW w:w="762" w:type="dxa"/>
            <w:vAlign w:val="center"/>
          </w:tcPr>
          <w:p w:rsidR="00BD5820" w:rsidRDefault="00F64314">
            <w:pPr>
              <w:pStyle w:val="1L"/>
            </w:pPr>
            <w:r>
              <w:t>T/I</w:t>
            </w:r>
          </w:p>
        </w:tc>
        <w:tc>
          <w:tcPr>
            <w:tcW w:w="1532" w:type="dxa"/>
            <w:vAlign w:val="center"/>
          </w:tcPr>
          <w:p w:rsidR="00BD5820" w:rsidRDefault="00F64314">
            <w:pPr>
              <w:pStyle w:val="1L"/>
              <w:rPr>
                <w:b/>
              </w:rPr>
            </w:pPr>
            <w:r>
              <w:rPr>
                <w:rFonts w:hint="eastAsia"/>
                <w:bCs w:val="0"/>
              </w:rPr>
              <w:t>袋装后暂存于危废暂存间</w:t>
            </w:r>
            <w:r>
              <w:rPr>
                <w:bCs w:val="0"/>
              </w:rPr>
              <w:t>，委托有资质单位处理</w:t>
            </w:r>
          </w:p>
        </w:tc>
      </w:tr>
      <w:tr w:rsidR="00BD5820">
        <w:trPr>
          <w:cantSplit/>
          <w:trHeight w:val="849"/>
          <w:jc w:val="center"/>
        </w:trPr>
        <w:tc>
          <w:tcPr>
            <w:tcW w:w="605" w:type="dxa"/>
            <w:tcMar>
              <w:left w:w="0" w:type="dxa"/>
              <w:right w:w="0" w:type="dxa"/>
            </w:tcMar>
            <w:vAlign w:val="center"/>
          </w:tcPr>
          <w:p w:rsidR="00BD5820" w:rsidRDefault="00F64314">
            <w:pPr>
              <w:pStyle w:val="1L"/>
            </w:pPr>
            <w:r>
              <w:t>废油及其他含油固废</w:t>
            </w:r>
          </w:p>
        </w:tc>
        <w:tc>
          <w:tcPr>
            <w:tcW w:w="610" w:type="dxa"/>
            <w:vAlign w:val="center"/>
          </w:tcPr>
          <w:p w:rsidR="00BD5820" w:rsidRDefault="00F64314">
            <w:pPr>
              <w:pStyle w:val="1L"/>
            </w:pPr>
            <w:r>
              <w:t>HW08</w:t>
            </w:r>
          </w:p>
        </w:tc>
        <w:tc>
          <w:tcPr>
            <w:tcW w:w="763" w:type="dxa"/>
            <w:vAlign w:val="center"/>
          </w:tcPr>
          <w:p w:rsidR="00BD5820" w:rsidRDefault="00F64314">
            <w:pPr>
              <w:pStyle w:val="1L"/>
              <w:rPr>
                <w:lang w:eastAsia="en-US"/>
              </w:rPr>
            </w:pPr>
            <w:r>
              <w:rPr>
                <w:lang w:eastAsia="en-US"/>
              </w:rPr>
              <w:t>900-249-08</w:t>
            </w:r>
          </w:p>
        </w:tc>
        <w:tc>
          <w:tcPr>
            <w:tcW w:w="763" w:type="dxa"/>
            <w:vAlign w:val="center"/>
          </w:tcPr>
          <w:p w:rsidR="00BD5820" w:rsidRDefault="00F64314">
            <w:pPr>
              <w:pStyle w:val="1L"/>
            </w:pPr>
            <w:r>
              <w:rPr>
                <w:rFonts w:hint="eastAsia"/>
              </w:rPr>
              <w:t>2t/a</w:t>
            </w:r>
          </w:p>
        </w:tc>
        <w:tc>
          <w:tcPr>
            <w:tcW w:w="915" w:type="dxa"/>
            <w:vAlign w:val="center"/>
          </w:tcPr>
          <w:p w:rsidR="00BD5820" w:rsidRDefault="00F64314">
            <w:pPr>
              <w:pStyle w:val="1L"/>
            </w:pPr>
            <w:r>
              <w:rPr>
                <w:rFonts w:hint="eastAsia"/>
              </w:rPr>
              <w:t>设备润滑</w:t>
            </w:r>
          </w:p>
        </w:tc>
        <w:tc>
          <w:tcPr>
            <w:tcW w:w="610" w:type="dxa"/>
            <w:vAlign w:val="center"/>
          </w:tcPr>
          <w:p w:rsidR="00BD5820" w:rsidRDefault="00F64314">
            <w:pPr>
              <w:pStyle w:val="1L"/>
            </w:pPr>
            <w:r>
              <w:rPr>
                <w:lang w:eastAsia="en-US"/>
              </w:rPr>
              <w:t>半固态</w:t>
            </w:r>
          </w:p>
        </w:tc>
        <w:tc>
          <w:tcPr>
            <w:tcW w:w="763" w:type="dxa"/>
            <w:vAlign w:val="center"/>
          </w:tcPr>
          <w:p w:rsidR="00BD5820" w:rsidRDefault="00F64314">
            <w:pPr>
              <w:pStyle w:val="1L"/>
            </w:pPr>
            <w:r>
              <w:t>废润滑油</w:t>
            </w:r>
          </w:p>
        </w:tc>
        <w:tc>
          <w:tcPr>
            <w:tcW w:w="763" w:type="dxa"/>
            <w:vAlign w:val="center"/>
          </w:tcPr>
          <w:p w:rsidR="00BD5820" w:rsidRDefault="00F64314">
            <w:pPr>
              <w:pStyle w:val="1L"/>
            </w:pPr>
            <w:r>
              <w:t>润滑油</w:t>
            </w:r>
          </w:p>
        </w:tc>
        <w:tc>
          <w:tcPr>
            <w:tcW w:w="763" w:type="dxa"/>
            <w:vAlign w:val="center"/>
          </w:tcPr>
          <w:p w:rsidR="00BD5820" w:rsidRDefault="00F64314">
            <w:pPr>
              <w:pStyle w:val="1L"/>
            </w:pPr>
            <w:r>
              <w:rPr>
                <w:rFonts w:hint="eastAsia"/>
              </w:rPr>
              <w:t>6</w:t>
            </w:r>
            <w:r>
              <w:rPr>
                <w:rFonts w:hint="eastAsia"/>
              </w:rPr>
              <w:t>个月</w:t>
            </w:r>
          </w:p>
        </w:tc>
        <w:tc>
          <w:tcPr>
            <w:tcW w:w="762" w:type="dxa"/>
            <w:vAlign w:val="center"/>
          </w:tcPr>
          <w:p w:rsidR="00BD5820" w:rsidRDefault="00F64314">
            <w:pPr>
              <w:pStyle w:val="1L"/>
            </w:pPr>
            <w:r>
              <w:t>T/I</w:t>
            </w:r>
          </w:p>
        </w:tc>
        <w:tc>
          <w:tcPr>
            <w:tcW w:w="1532" w:type="dxa"/>
            <w:vAlign w:val="center"/>
          </w:tcPr>
          <w:p w:rsidR="00BD5820" w:rsidRDefault="00F64314">
            <w:pPr>
              <w:pStyle w:val="1L"/>
            </w:pPr>
            <w:r>
              <w:t>废油桶收集，暂存于危废暂存间，</w:t>
            </w:r>
            <w:r>
              <w:rPr>
                <w:bCs w:val="0"/>
              </w:rPr>
              <w:t>委托有资质单位处理</w:t>
            </w:r>
          </w:p>
        </w:tc>
      </w:tr>
    </w:tbl>
    <w:p w:rsidR="00BD5820" w:rsidRDefault="00F64314">
      <w:pPr>
        <w:pStyle w:val="aff8"/>
        <w:ind w:firstLine="480"/>
        <w:rPr>
          <w:bCs/>
        </w:rPr>
      </w:pPr>
      <w:r>
        <w:rPr>
          <w:bCs/>
        </w:rPr>
        <w:t>本项目危险废物暂存场所（设施）基本情况见下表。</w:t>
      </w:r>
    </w:p>
    <w:p w:rsidR="00BD5820" w:rsidRDefault="00F64314">
      <w:pPr>
        <w:pStyle w:val="TOC12"/>
        <w:rPr>
          <w:rFonts w:eastAsia="宋体"/>
          <w:snapToGrid w:val="0"/>
        </w:rPr>
      </w:pPr>
      <w:r>
        <w:rPr>
          <w:rFonts w:eastAsia="宋体"/>
          <w:snapToGrid w:val="0"/>
        </w:rPr>
        <w:t>表</w:t>
      </w:r>
      <w:r>
        <w:rPr>
          <w:rFonts w:eastAsia="宋体"/>
          <w:snapToGrid w:val="0"/>
        </w:rPr>
        <w:t>4.2-</w:t>
      </w:r>
      <w:r>
        <w:rPr>
          <w:rFonts w:eastAsia="宋体" w:hint="eastAsia"/>
          <w:snapToGrid w:val="0"/>
        </w:rPr>
        <w:t>3</w:t>
      </w:r>
      <w:r>
        <w:rPr>
          <w:rFonts w:eastAsia="宋体"/>
          <w:snapToGrid w:val="0"/>
        </w:rPr>
        <w:t xml:space="preserve">  </w:t>
      </w:r>
      <w:r>
        <w:rPr>
          <w:rFonts w:eastAsia="宋体"/>
          <w:snapToGrid w:val="0"/>
        </w:rPr>
        <w:t>项目危险废物贮存场所（设施）基本情况表</w:t>
      </w:r>
    </w:p>
    <w:tbl>
      <w:tblPr>
        <w:tblW w:w="9004" w:type="dxa"/>
        <w:jc w:val="center"/>
        <w:tblBorders>
          <w:top w:val="single" w:sz="12" w:space="0" w:color="auto"/>
          <w:bottom w:val="single" w:sz="12" w:space="0" w:color="auto"/>
          <w:insideH w:val="single" w:sz="2" w:space="0" w:color="auto"/>
          <w:insideV w:val="single" w:sz="2" w:space="0" w:color="auto"/>
        </w:tblBorders>
        <w:tblLayout w:type="fixed"/>
        <w:tblCellMar>
          <w:left w:w="28" w:type="dxa"/>
          <w:right w:w="28" w:type="dxa"/>
        </w:tblCellMar>
        <w:tblLook w:val="04A0"/>
      </w:tblPr>
      <w:tblGrid>
        <w:gridCol w:w="1068"/>
        <w:gridCol w:w="1457"/>
        <w:gridCol w:w="1358"/>
        <w:gridCol w:w="1166"/>
        <w:gridCol w:w="688"/>
        <w:gridCol w:w="859"/>
        <w:gridCol w:w="1340"/>
        <w:gridCol w:w="1068"/>
      </w:tblGrid>
      <w:tr w:rsidR="00BD5820">
        <w:trPr>
          <w:trHeight w:val="347"/>
          <w:jc w:val="center"/>
        </w:trPr>
        <w:tc>
          <w:tcPr>
            <w:tcW w:w="1068" w:type="dxa"/>
            <w:vAlign w:val="center"/>
          </w:tcPr>
          <w:p w:rsidR="00BD5820" w:rsidRDefault="00F64314">
            <w:pPr>
              <w:pStyle w:val="1L"/>
              <w:rPr>
                <w:b/>
              </w:rPr>
            </w:pPr>
            <w:r>
              <w:rPr>
                <w:b/>
              </w:rPr>
              <w:t>贮存场所名称</w:t>
            </w:r>
          </w:p>
        </w:tc>
        <w:tc>
          <w:tcPr>
            <w:tcW w:w="1457" w:type="dxa"/>
            <w:vAlign w:val="center"/>
          </w:tcPr>
          <w:p w:rsidR="00BD5820" w:rsidRDefault="00F64314">
            <w:pPr>
              <w:pStyle w:val="1L"/>
              <w:rPr>
                <w:b/>
              </w:rPr>
            </w:pPr>
            <w:r>
              <w:rPr>
                <w:b/>
              </w:rPr>
              <w:t>危险废物名称</w:t>
            </w:r>
          </w:p>
        </w:tc>
        <w:tc>
          <w:tcPr>
            <w:tcW w:w="1358" w:type="dxa"/>
            <w:vAlign w:val="center"/>
          </w:tcPr>
          <w:p w:rsidR="00BD5820" w:rsidRDefault="00F64314">
            <w:pPr>
              <w:pStyle w:val="1L"/>
              <w:rPr>
                <w:b/>
              </w:rPr>
            </w:pPr>
            <w:r>
              <w:rPr>
                <w:b/>
              </w:rPr>
              <w:t>危险废物类别</w:t>
            </w:r>
          </w:p>
        </w:tc>
        <w:tc>
          <w:tcPr>
            <w:tcW w:w="1166" w:type="dxa"/>
            <w:vAlign w:val="center"/>
          </w:tcPr>
          <w:p w:rsidR="00BD5820" w:rsidRDefault="00F64314">
            <w:pPr>
              <w:pStyle w:val="1L"/>
              <w:rPr>
                <w:b/>
              </w:rPr>
            </w:pPr>
            <w:r>
              <w:rPr>
                <w:b/>
              </w:rPr>
              <w:t>危险废物代码</w:t>
            </w:r>
          </w:p>
        </w:tc>
        <w:tc>
          <w:tcPr>
            <w:tcW w:w="688" w:type="dxa"/>
            <w:vAlign w:val="center"/>
          </w:tcPr>
          <w:p w:rsidR="00BD5820" w:rsidRDefault="00F64314">
            <w:pPr>
              <w:pStyle w:val="1L"/>
              <w:rPr>
                <w:b/>
              </w:rPr>
            </w:pPr>
            <w:r>
              <w:rPr>
                <w:b/>
              </w:rPr>
              <w:t>位置</w:t>
            </w:r>
          </w:p>
        </w:tc>
        <w:tc>
          <w:tcPr>
            <w:tcW w:w="859" w:type="dxa"/>
            <w:vAlign w:val="center"/>
          </w:tcPr>
          <w:p w:rsidR="00BD5820" w:rsidRDefault="00F64314">
            <w:pPr>
              <w:pStyle w:val="1L"/>
              <w:rPr>
                <w:b/>
              </w:rPr>
            </w:pPr>
            <w:r>
              <w:rPr>
                <w:b/>
              </w:rPr>
              <w:t>占地面积（</w:t>
            </w:r>
            <w:r>
              <w:rPr>
                <w:b/>
              </w:rPr>
              <w:t>m</w:t>
            </w:r>
            <w:r>
              <w:rPr>
                <w:b/>
                <w:vertAlign w:val="superscript"/>
              </w:rPr>
              <w:t>2</w:t>
            </w:r>
            <w:r>
              <w:rPr>
                <w:b/>
              </w:rPr>
              <w:t>）</w:t>
            </w:r>
          </w:p>
        </w:tc>
        <w:tc>
          <w:tcPr>
            <w:tcW w:w="1340" w:type="dxa"/>
            <w:vAlign w:val="center"/>
          </w:tcPr>
          <w:p w:rsidR="00BD5820" w:rsidRDefault="00F64314">
            <w:pPr>
              <w:pStyle w:val="1L"/>
              <w:rPr>
                <w:b/>
              </w:rPr>
            </w:pPr>
            <w:r>
              <w:rPr>
                <w:b/>
              </w:rPr>
              <w:t>贮存方式</w:t>
            </w:r>
          </w:p>
        </w:tc>
        <w:tc>
          <w:tcPr>
            <w:tcW w:w="1068" w:type="dxa"/>
            <w:vAlign w:val="center"/>
          </w:tcPr>
          <w:p w:rsidR="00BD5820" w:rsidRDefault="00F64314">
            <w:pPr>
              <w:pStyle w:val="1L"/>
              <w:rPr>
                <w:b/>
              </w:rPr>
            </w:pPr>
            <w:r>
              <w:rPr>
                <w:b/>
              </w:rPr>
              <w:t>贮存周期</w:t>
            </w:r>
          </w:p>
        </w:tc>
      </w:tr>
      <w:tr w:rsidR="00BD5820">
        <w:trPr>
          <w:trHeight w:val="347"/>
          <w:jc w:val="center"/>
        </w:trPr>
        <w:tc>
          <w:tcPr>
            <w:tcW w:w="1068" w:type="dxa"/>
            <w:vAlign w:val="center"/>
          </w:tcPr>
          <w:p w:rsidR="00BD5820" w:rsidRDefault="00F64314">
            <w:pPr>
              <w:pStyle w:val="1L"/>
            </w:pPr>
            <w:r>
              <w:t>危废暂存间</w:t>
            </w:r>
          </w:p>
        </w:tc>
        <w:tc>
          <w:tcPr>
            <w:tcW w:w="1457" w:type="dxa"/>
            <w:vAlign w:val="center"/>
          </w:tcPr>
          <w:p w:rsidR="00BD5820" w:rsidRDefault="00F64314">
            <w:pPr>
              <w:pStyle w:val="1L"/>
            </w:pPr>
            <w:r>
              <w:rPr>
                <w:rFonts w:hint="eastAsia"/>
              </w:rPr>
              <w:t>废油、污泥</w:t>
            </w:r>
          </w:p>
        </w:tc>
        <w:tc>
          <w:tcPr>
            <w:tcW w:w="1358" w:type="dxa"/>
            <w:vAlign w:val="center"/>
          </w:tcPr>
          <w:p w:rsidR="00BD5820" w:rsidRDefault="00F64314">
            <w:pPr>
              <w:pStyle w:val="1L"/>
            </w:pPr>
            <w:r>
              <w:t>HW08</w:t>
            </w:r>
          </w:p>
          <w:p w:rsidR="00BD5820" w:rsidRDefault="00F64314">
            <w:pPr>
              <w:pStyle w:val="1L"/>
            </w:pPr>
            <w:r>
              <w:t>废矿物油与含矿物油废物</w:t>
            </w:r>
          </w:p>
        </w:tc>
        <w:tc>
          <w:tcPr>
            <w:tcW w:w="1166" w:type="dxa"/>
            <w:vAlign w:val="center"/>
          </w:tcPr>
          <w:p w:rsidR="00BD5820" w:rsidRDefault="00F64314">
            <w:pPr>
              <w:pStyle w:val="1L"/>
            </w:pPr>
            <w:r>
              <w:t>900-049-08</w:t>
            </w:r>
          </w:p>
        </w:tc>
        <w:tc>
          <w:tcPr>
            <w:tcW w:w="688" w:type="dxa"/>
            <w:vAlign w:val="center"/>
          </w:tcPr>
          <w:p w:rsidR="00BD5820" w:rsidRDefault="00F64314">
            <w:pPr>
              <w:pStyle w:val="1L"/>
            </w:pPr>
            <w:r>
              <w:rPr>
                <w:rFonts w:hint="eastAsia"/>
              </w:rPr>
              <w:t>站内</w:t>
            </w:r>
          </w:p>
        </w:tc>
        <w:tc>
          <w:tcPr>
            <w:tcW w:w="859" w:type="dxa"/>
            <w:vAlign w:val="center"/>
          </w:tcPr>
          <w:p w:rsidR="00BD5820" w:rsidRDefault="00F64314">
            <w:pPr>
              <w:pStyle w:val="1L"/>
            </w:pPr>
            <w:r>
              <w:rPr>
                <w:rFonts w:hint="eastAsia"/>
              </w:rPr>
              <w:t>5</w:t>
            </w:r>
          </w:p>
        </w:tc>
        <w:tc>
          <w:tcPr>
            <w:tcW w:w="1340" w:type="dxa"/>
            <w:vAlign w:val="center"/>
          </w:tcPr>
          <w:p w:rsidR="00BD5820" w:rsidRDefault="00F64314">
            <w:pPr>
              <w:pStyle w:val="1L"/>
            </w:pPr>
            <w:r>
              <w:t>专用</w:t>
            </w:r>
            <w:r>
              <w:rPr>
                <w:rFonts w:hint="eastAsia"/>
              </w:rPr>
              <w:t>铁</w:t>
            </w:r>
            <w:r>
              <w:t>桶盛装</w:t>
            </w:r>
          </w:p>
        </w:tc>
        <w:tc>
          <w:tcPr>
            <w:tcW w:w="1068" w:type="dxa"/>
            <w:vAlign w:val="center"/>
          </w:tcPr>
          <w:p w:rsidR="00BD5820" w:rsidRDefault="00F64314">
            <w:pPr>
              <w:pStyle w:val="1L"/>
            </w:pPr>
            <w:r>
              <w:rPr>
                <w:rFonts w:hint="eastAsia"/>
              </w:rPr>
              <w:t>1</w:t>
            </w:r>
            <w:r>
              <w:rPr>
                <w:rFonts w:hint="eastAsia"/>
              </w:rPr>
              <w:t>年</w:t>
            </w:r>
          </w:p>
        </w:tc>
      </w:tr>
    </w:tbl>
    <w:p w:rsidR="00BD5820" w:rsidRDefault="00F64314">
      <w:pPr>
        <w:pStyle w:val="affa"/>
        <w:ind w:firstLine="480"/>
      </w:pPr>
      <w:r>
        <w:rPr>
          <w:rFonts w:hint="eastAsia"/>
        </w:rPr>
        <w:t>本项目站场</w:t>
      </w:r>
      <w:r>
        <w:t>为</w:t>
      </w:r>
      <w:r>
        <w:rPr>
          <w:rFonts w:hint="eastAsia"/>
        </w:rPr>
        <w:t>无人</w:t>
      </w:r>
      <w:r>
        <w:t>值守站，人员</w:t>
      </w:r>
      <w:r>
        <w:rPr>
          <w:rFonts w:hint="eastAsia"/>
        </w:rPr>
        <w:t>依托</w:t>
      </w:r>
      <w:r>
        <w:t>P102</w:t>
      </w:r>
      <w:r>
        <w:t>集气站</w:t>
      </w:r>
      <w:r>
        <w:rPr>
          <w:rFonts w:hint="eastAsia"/>
        </w:rPr>
        <w:t>和净化厂，运营期无生活垃圾产生</w:t>
      </w:r>
      <w:r>
        <w:t>。</w:t>
      </w:r>
    </w:p>
    <w:p w:rsidR="00BD5820" w:rsidRDefault="00F64314">
      <w:pPr>
        <w:pStyle w:val="2"/>
        <w:spacing w:before="120"/>
        <w:rPr>
          <w:rFonts w:cs="Times New Roman"/>
        </w:rPr>
      </w:pPr>
      <w:bookmarkStart w:id="303" w:name="_Toc19815993"/>
      <w:bookmarkStart w:id="304" w:name="_Toc12288523"/>
      <w:bookmarkStart w:id="305" w:name="_Toc25479"/>
      <w:r>
        <w:rPr>
          <w:rFonts w:cs="Times New Roman"/>
        </w:rPr>
        <w:t xml:space="preserve">4.3 </w:t>
      </w:r>
      <w:r>
        <w:rPr>
          <w:rFonts w:cs="Times New Roman"/>
        </w:rPr>
        <w:t>项目清洁</w:t>
      </w:r>
      <w:r>
        <w:rPr>
          <w:rFonts w:cs="Times New Roman" w:hint="eastAsia"/>
        </w:rPr>
        <w:t>生产</w:t>
      </w:r>
      <w:r>
        <w:rPr>
          <w:rFonts w:cs="Times New Roman"/>
        </w:rPr>
        <w:t>分析</w:t>
      </w:r>
      <w:bookmarkEnd w:id="303"/>
      <w:bookmarkEnd w:id="304"/>
      <w:bookmarkEnd w:id="305"/>
    </w:p>
    <w:p w:rsidR="00BD5820" w:rsidRDefault="00F64314">
      <w:pPr>
        <w:pStyle w:val="3"/>
        <w:rPr>
          <w:rFonts w:eastAsia="宋体"/>
        </w:rPr>
      </w:pPr>
      <w:r>
        <w:rPr>
          <w:rFonts w:eastAsia="宋体"/>
        </w:rPr>
        <w:t xml:space="preserve">4.3.1 </w:t>
      </w:r>
      <w:r>
        <w:rPr>
          <w:rFonts w:eastAsia="宋体"/>
        </w:rPr>
        <w:t>清洁生产概述</w:t>
      </w:r>
    </w:p>
    <w:p w:rsidR="00BD5820" w:rsidRDefault="00F64314">
      <w:pPr>
        <w:pStyle w:val="affa"/>
        <w:ind w:firstLine="480"/>
      </w:pPr>
      <w:r>
        <w:rPr>
          <w:rFonts w:hint="eastAsia"/>
        </w:rPr>
        <w:t>本项目</w:t>
      </w:r>
      <w:r>
        <w:t>输送介质</w:t>
      </w:r>
      <w:r>
        <w:t>—</w:t>
      </w:r>
      <w:r>
        <w:t>天然气，本身就是一种清洁的能源，作为能源使用所产生的温室气体</w:t>
      </w:r>
      <w:r>
        <w:t>CO</w:t>
      </w:r>
      <w:r>
        <w:rPr>
          <w:vertAlign w:val="subscript"/>
        </w:rPr>
        <w:t>2</w:t>
      </w:r>
      <w:r>
        <w:t>的排放量比煤炭、原油、燃料油等少很多，对环境所产生的影响也相对较小，因而采用管道输送天然气，可以达到从源头上减轻环境污染的作用，符合国家节能减排的要求。</w:t>
      </w:r>
    </w:p>
    <w:p w:rsidR="00BD5820" w:rsidRDefault="00F64314">
      <w:pPr>
        <w:pStyle w:val="affa"/>
        <w:ind w:firstLine="480"/>
      </w:pPr>
      <w:r>
        <w:t>输气管道运输的能耗和成本远小于铁路、公路运输，且不受地形、气候、运力紧张、季节的影响；损耗和成本、输送产品的质量也更有保证，同样符合国家清洁生产的相关要求。</w:t>
      </w:r>
    </w:p>
    <w:p w:rsidR="00BD5820" w:rsidRDefault="00F64314">
      <w:pPr>
        <w:pStyle w:val="3"/>
        <w:rPr>
          <w:rFonts w:eastAsia="宋体"/>
        </w:rPr>
      </w:pPr>
      <w:bookmarkStart w:id="306" w:name="_Toc12288524"/>
      <w:bookmarkStart w:id="307" w:name="_Toc19815994"/>
      <w:r>
        <w:rPr>
          <w:rFonts w:eastAsia="宋体"/>
        </w:rPr>
        <w:t xml:space="preserve">4.3.2 </w:t>
      </w:r>
      <w:bookmarkEnd w:id="306"/>
      <w:bookmarkEnd w:id="307"/>
      <w:r>
        <w:rPr>
          <w:rFonts w:eastAsia="宋体" w:hint="eastAsia"/>
        </w:rPr>
        <w:t>本项目</w:t>
      </w:r>
      <w:r>
        <w:rPr>
          <w:rFonts w:eastAsia="宋体"/>
        </w:rPr>
        <w:t>清洁生产概况</w:t>
      </w:r>
    </w:p>
    <w:p w:rsidR="00BD5820" w:rsidRDefault="00F64314">
      <w:pPr>
        <w:pStyle w:val="affa"/>
        <w:ind w:firstLine="480"/>
      </w:pPr>
      <w:r>
        <w:t>作为清洁燃料，天然气广泛用于民用燃料、工业燃料和发电。与煤相比，天然气不含灰份，其燃烧后产生的</w:t>
      </w:r>
      <w:r>
        <w:t>NOx</w:t>
      </w:r>
      <w:r>
        <w:t>仅为煤的</w:t>
      </w:r>
      <w:r>
        <w:t>19.2%</w:t>
      </w:r>
      <w:r>
        <w:t>，产生的</w:t>
      </w:r>
      <w:r>
        <w:t>CO</w:t>
      </w:r>
      <w:r>
        <w:rPr>
          <w:sz w:val="16"/>
          <w:szCs w:val="16"/>
        </w:rPr>
        <w:t>2</w:t>
      </w:r>
      <w:r>
        <w:t>仅为煤的</w:t>
      </w:r>
      <w:r>
        <w:t>42.1%</w:t>
      </w:r>
      <w:r>
        <w:t>，极大地降低了对环境空气的污染。</w:t>
      </w:r>
    </w:p>
    <w:p w:rsidR="00BD5820" w:rsidRDefault="00F64314">
      <w:pPr>
        <w:pStyle w:val="affa"/>
        <w:ind w:firstLine="480"/>
      </w:pPr>
      <w:r>
        <w:t>在输送工艺方面，优化工艺方案，减小能源消耗；采用节能设施，减少能耗；采用合理的防腐方式，保证管道运输的安全性；采用管道完整性管理，提高整体</w:t>
      </w:r>
      <w:r>
        <w:lastRenderedPageBreak/>
        <w:t>运营水平。</w:t>
      </w:r>
    </w:p>
    <w:p w:rsidR="00BD5820" w:rsidRDefault="00F64314">
      <w:pPr>
        <w:pStyle w:val="affa"/>
        <w:ind w:firstLine="480"/>
      </w:pPr>
      <w:r>
        <w:t>在生产设备和设施方面，使用世界上较为先进的</w:t>
      </w:r>
      <w:r>
        <w:t>SCADA</w:t>
      </w:r>
      <w:r>
        <w:t>自动控制系统，使输送介质的工艺条件实现由计算机自动控制，减少了由于人工控制而产生的生产损耗，可最大限度地减少由于事故引发的环境污染事故，减少事故停运及天然气损失，提高生产技术水平、操作效率和经济效率。</w:t>
      </w:r>
    </w:p>
    <w:p w:rsidR="00BD5820" w:rsidRDefault="00F64314">
      <w:pPr>
        <w:pStyle w:val="affa"/>
        <w:ind w:firstLine="480"/>
      </w:pPr>
      <w:r>
        <w:t>在施工期，采取加强施工管理，规范施工过程，实施环境监理；确定合理的施工带宽度，减少临时占地对环境的破坏；采用先进、合理的施工方式，减少对环境的污染和破坏；采取必要措施减少施工期扬尘对沿线居民的影响；减少施工营地建设，减少污染物排放；作好生态恢复，水土保持等工作。</w:t>
      </w:r>
    </w:p>
    <w:p w:rsidR="00BD5820" w:rsidRDefault="00F64314">
      <w:pPr>
        <w:pStyle w:val="affa"/>
        <w:ind w:firstLine="480"/>
      </w:pPr>
      <w:r>
        <w:t>在运营期，做好废气、噪声、固废的达标排放工作，尽可能选择低噪声设备，满足清洁生产的要求。</w:t>
      </w:r>
    </w:p>
    <w:p w:rsidR="00BD5820" w:rsidRDefault="00F64314">
      <w:pPr>
        <w:pStyle w:val="affa"/>
        <w:ind w:firstLine="480"/>
      </w:pPr>
      <w:r>
        <w:t>本项目的清洁生产目标，除在设计、施工、运营环节中通过实施一系列清洁生产技术措施实现外，在运营管理中，也将通过采取一系列的相关措施和制度，实现持续的清洁生产。</w:t>
      </w:r>
    </w:p>
    <w:p w:rsidR="00BD5820" w:rsidRDefault="00F64314">
      <w:pPr>
        <w:pStyle w:val="3"/>
        <w:rPr>
          <w:rFonts w:eastAsia="宋体"/>
        </w:rPr>
      </w:pPr>
      <w:bookmarkStart w:id="308" w:name="_Toc12288525"/>
      <w:bookmarkStart w:id="309" w:name="_Toc19815995"/>
      <w:r>
        <w:rPr>
          <w:rFonts w:eastAsia="宋体"/>
        </w:rPr>
        <w:t xml:space="preserve">4.3.3 </w:t>
      </w:r>
      <w:bookmarkEnd w:id="308"/>
      <w:bookmarkEnd w:id="309"/>
      <w:r>
        <w:rPr>
          <w:rFonts w:eastAsia="宋体"/>
        </w:rPr>
        <w:t>建议</w:t>
      </w:r>
    </w:p>
    <w:p w:rsidR="00BD5820" w:rsidRDefault="00F64314">
      <w:pPr>
        <w:pStyle w:val="a1"/>
        <w:ind w:firstLine="480"/>
        <w:rPr>
          <w:rFonts w:ascii="Times New Roman" w:cs="Times New Roman"/>
        </w:rPr>
      </w:pPr>
      <w:r>
        <w:rPr>
          <w:rFonts w:ascii="Times New Roman" w:cs="Times New Roman" w:hint="eastAsia"/>
        </w:rPr>
        <w:t>本项目</w:t>
      </w:r>
      <w:r>
        <w:rPr>
          <w:rFonts w:ascii="Times New Roman" w:cs="Times New Roman"/>
        </w:rPr>
        <w:t>要提高清洁生产的水平，除了采取先进艺、技术和设备外</w:t>
      </w:r>
      <w:r>
        <w:rPr>
          <w:rFonts w:ascii="Times New Roman" w:cs="Times New Roman" w:hint="eastAsia"/>
        </w:rPr>
        <w:t>，</w:t>
      </w:r>
      <w:r>
        <w:rPr>
          <w:rFonts w:ascii="Times New Roman" w:cs="Times New Roman"/>
        </w:rPr>
        <w:t>还应从以下几个方面进行改：</w:t>
      </w:r>
    </w:p>
    <w:p w:rsidR="00BD5820" w:rsidRDefault="00F64314">
      <w:pPr>
        <w:pStyle w:val="a1"/>
        <w:ind w:firstLine="480"/>
        <w:rPr>
          <w:rFonts w:ascii="Times New Roman" w:cs="Times New Roman"/>
        </w:rPr>
      </w:pPr>
      <w:r>
        <w:rPr>
          <w:rFonts w:hAnsi="宋体" w:hint="eastAsia"/>
        </w:rPr>
        <w:t>①</w:t>
      </w:r>
      <w:r>
        <w:rPr>
          <w:rFonts w:ascii="Times New Roman" w:cs="Times New Roman"/>
        </w:rPr>
        <w:t>建立健全的清洁生产管理机构；</w:t>
      </w:r>
    </w:p>
    <w:p w:rsidR="00BD5820" w:rsidRDefault="00F64314">
      <w:pPr>
        <w:pStyle w:val="a1"/>
        <w:ind w:firstLine="480"/>
        <w:rPr>
          <w:rFonts w:ascii="Times New Roman" w:cs="Times New Roman"/>
        </w:rPr>
      </w:pPr>
      <w:r>
        <w:rPr>
          <w:rFonts w:hAnsi="宋体" w:hint="eastAsia"/>
        </w:rPr>
        <w:t>②</w:t>
      </w:r>
      <w:r>
        <w:rPr>
          <w:rFonts w:ascii="Times New Roman" w:cs="Times New Roman"/>
        </w:rPr>
        <w:t>从源头抓起，注意工艺流程的各个环节；</w:t>
      </w:r>
    </w:p>
    <w:p w:rsidR="00BD5820" w:rsidRDefault="00F64314">
      <w:pPr>
        <w:pStyle w:val="a1"/>
        <w:ind w:firstLine="480"/>
        <w:rPr>
          <w:rFonts w:ascii="Times New Roman" w:cs="Times New Roman"/>
        </w:rPr>
      </w:pPr>
      <w:r>
        <w:rPr>
          <w:rFonts w:hAnsi="宋体" w:hint="eastAsia"/>
        </w:rPr>
        <w:t>③</w:t>
      </w:r>
      <w:r>
        <w:rPr>
          <w:rFonts w:ascii="Times New Roman" w:cs="Times New Roman"/>
        </w:rPr>
        <w:t>提高管理水平，加强环保知识宣传与培训；</w:t>
      </w:r>
    </w:p>
    <w:p w:rsidR="00BD5820" w:rsidRDefault="00F64314">
      <w:pPr>
        <w:pStyle w:val="a1"/>
        <w:ind w:firstLine="480"/>
        <w:rPr>
          <w:rFonts w:ascii="Times New Roman" w:cs="Times New Roman"/>
        </w:rPr>
      </w:pPr>
      <w:r>
        <w:rPr>
          <w:rFonts w:hAnsi="宋体" w:hint="eastAsia"/>
        </w:rPr>
        <w:t>④</w:t>
      </w:r>
      <w:r>
        <w:rPr>
          <w:rFonts w:ascii="Times New Roman" w:cs="Times New Roman"/>
        </w:rPr>
        <w:t>加强与外部的联系。</w:t>
      </w:r>
    </w:p>
    <w:p w:rsidR="00BD5820" w:rsidRDefault="00F64314">
      <w:pPr>
        <w:pStyle w:val="2"/>
        <w:spacing w:before="120"/>
        <w:rPr>
          <w:rFonts w:cs="Times New Roman"/>
        </w:rPr>
      </w:pPr>
      <w:bookmarkStart w:id="310" w:name="_Toc12288536"/>
      <w:bookmarkStart w:id="311" w:name="_Toc19816001"/>
      <w:bookmarkStart w:id="312" w:name="_Toc24210"/>
      <w:r>
        <w:rPr>
          <w:rFonts w:cs="Times New Roman"/>
        </w:rPr>
        <w:t xml:space="preserve">4.4 </w:t>
      </w:r>
      <w:r>
        <w:rPr>
          <w:rFonts w:cs="Times New Roman"/>
        </w:rPr>
        <w:t>总量控制</w:t>
      </w:r>
      <w:bookmarkEnd w:id="310"/>
      <w:bookmarkEnd w:id="311"/>
      <w:bookmarkEnd w:id="312"/>
    </w:p>
    <w:p w:rsidR="00BD5820" w:rsidRDefault="00F64314">
      <w:pPr>
        <w:ind w:firstLine="480"/>
        <w:rPr>
          <w:rFonts w:ascii="Times New Roman" w:cs="Times New Roman"/>
        </w:rPr>
        <w:sectPr w:rsidR="00BD5820">
          <w:headerReference w:type="default" r:id="rId54"/>
          <w:footerReference w:type="default" r:id="rId55"/>
          <w:pgSz w:w="11906" w:h="16838"/>
          <w:pgMar w:top="1440" w:right="1800" w:bottom="1440" w:left="1800" w:header="851" w:footer="992" w:gutter="0"/>
          <w:cols w:space="425"/>
          <w:docGrid w:type="lines" w:linePitch="312"/>
        </w:sectPr>
      </w:pPr>
      <w:r>
        <w:rPr>
          <w:rFonts w:hint="eastAsia"/>
        </w:rPr>
        <w:t>本项目</w:t>
      </w:r>
      <w:r>
        <w:t>正常运行时天然气处于密闭输送状态，一般无气体污染物外排；</w:t>
      </w:r>
      <w:r>
        <w:rPr>
          <w:rFonts w:hint="eastAsia"/>
        </w:rPr>
        <w:t>本项目</w:t>
      </w:r>
      <w:r>
        <w:t>正常工况条件下，无废气排放；营运期</w:t>
      </w:r>
      <w:r>
        <w:rPr>
          <w:rFonts w:hint="eastAsia"/>
        </w:rPr>
        <w:t>气田水经处理后全部回用，不外排，</w:t>
      </w:r>
      <w:r>
        <w:t>不产生生活污水。因此本次评价建议不设总量控制指标。</w:t>
      </w:r>
    </w:p>
    <w:p w:rsidR="00BD5820" w:rsidRDefault="00F64314">
      <w:pPr>
        <w:pStyle w:val="1"/>
        <w:spacing w:before="0" w:beforeAutospacing="0" w:after="0" w:afterAutospacing="0"/>
        <w:rPr>
          <w:rFonts w:eastAsia="宋体"/>
        </w:rPr>
      </w:pPr>
      <w:bookmarkStart w:id="313" w:name="_Toc19816003"/>
      <w:bookmarkStart w:id="314" w:name="_Toc13261"/>
      <w:r>
        <w:rPr>
          <w:rFonts w:eastAsia="宋体"/>
        </w:rPr>
        <w:lastRenderedPageBreak/>
        <w:t xml:space="preserve">5 </w:t>
      </w:r>
      <w:r>
        <w:rPr>
          <w:rFonts w:eastAsia="宋体"/>
        </w:rPr>
        <w:t>环境质量现状调查与评价</w:t>
      </w:r>
      <w:bookmarkEnd w:id="313"/>
      <w:bookmarkEnd w:id="314"/>
    </w:p>
    <w:p w:rsidR="00BD5820" w:rsidRDefault="00F64314">
      <w:pPr>
        <w:pStyle w:val="2"/>
        <w:spacing w:before="120"/>
        <w:rPr>
          <w:rFonts w:cs="Times New Roman"/>
        </w:rPr>
      </w:pPr>
      <w:bookmarkStart w:id="315" w:name="bookmark27"/>
      <w:bookmarkStart w:id="316" w:name="_Toc12288539"/>
      <w:bookmarkStart w:id="317" w:name="_Toc19816004"/>
      <w:bookmarkStart w:id="318" w:name="_Toc23415"/>
      <w:bookmarkEnd w:id="315"/>
      <w:r>
        <w:rPr>
          <w:rFonts w:cs="Times New Roman"/>
        </w:rPr>
        <w:t xml:space="preserve">5.1 </w:t>
      </w:r>
      <w:r>
        <w:rPr>
          <w:rFonts w:cs="Times New Roman"/>
        </w:rPr>
        <w:t>自然环境概况</w:t>
      </w:r>
      <w:bookmarkEnd w:id="316"/>
      <w:bookmarkEnd w:id="317"/>
      <w:bookmarkEnd w:id="318"/>
    </w:p>
    <w:p w:rsidR="00BD5820" w:rsidRDefault="00F64314">
      <w:pPr>
        <w:pStyle w:val="3"/>
        <w:rPr>
          <w:rFonts w:eastAsia="宋体"/>
        </w:rPr>
      </w:pPr>
      <w:bookmarkStart w:id="319" w:name="_Toc12288540"/>
      <w:bookmarkStart w:id="320" w:name="_Toc19816005"/>
      <w:r>
        <w:rPr>
          <w:rFonts w:eastAsia="宋体"/>
        </w:rPr>
        <w:t xml:space="preserve">5.1.1 </w:t>
      </w:r>
      <w:r>
        <w:rPr>
          <w:rFonts w:eastAsia="宋体"/>
        </w:rPr>
        <w:t>地理位置</w:t>
      </w:r>
      <w:bookmarkEnd w:id="319"/>
      <w:bookmarkEnd w:id="320"/>
    </w:p>
    <w:p w:rsidR="00BD5820" w:rsidRDefault="00F64314">
      <w:pPr>
        <w:pStyle w:val="affa"/>
        <w:ind w:firstLine="480"/>
      </w:pPr>
      <w:r>
        <w:t>宣汉县介于东经</w:t>
      </w:r>
      <w:r>
        <w:t>107°22′</w:t>
      </w:r>
      <w:r>
        <w:t>至</w:t>
      </w:r>
      <w:r>
        <w:t>108°32′</w:t>
      </w:r>
      <w:r>
        <w:t>和北纬</w:t>
      </w:r>
      <w:r>
        <w:t>31°06′</w:t>
      </w:r>
      <w:r>
        <w:t>～</w:t>
      </w:r>
      <w:r>
        <w:t>31°49′</w:t>
      </w:r>
      <w:r>
        <w:t>之间。东北与城口接壤，东与开县相邻，南连开江，西接达川、通川和平昌，北与万源交界，是北通陕西、东达湖北的要口。境内地形地貌复杂、山势逶迤，由东北向西南倾斜绵延，呈</w:t>
      </w:r>
      <w:r>
        <w:t>“</w:t>
      </w:r>
      <w:r>
        <w:t>七山一水两分田</w:t>
      </w:r>
      <w:r>
        <w:t>”</w:t>
      </w:r>
      <w:r>
        <w:t>总体地貌。县境东西最长</w:t>
      </w:r>
      <w:r>
        <w:t>110.6km</w:t>
      </w:r>
      <w:r>
        <w:t>，南北最</w:t>
      </w:r>
      <w:r>
        <w:t>78.8km</w:t>
      </w:r>
      <w:r>
        <w:t>，边界线总长</w:t>
      </w:r>
      <w:r>
        <w:t>590.6km</w:t>
      </w:r>
      <w:r>
        <w:t>。</w:t>
      </w:r>
    </w:p>
    <w:p w:rsidR="00BD5820" w:rsidRDefault="00F64314">
      <w:pPr>
        <w:pStyle w:val="affa"/>
        <w:ind w:firstLine="480"/>
        <w:rPr>
          <w:szCs w:val="24"/>
        </w:rPr>
      </w:pPr>
      <w:r>
        <w:rPr>
          <w:rFonts w:hint="eastAsia"/>
          <w:bCs/>
        </w:rPr>
        <w:t>本项目涉及的普光气田</w:t>
      </w:r>
      <w:r>
        <w:rPr>
          <w:bCs/>
        </w:rPr>
        <w:t>1#</w:t>
      </w:r>
      <w:r>
        <w:rPr>
          <w:rFonts w:hint="eastAsia"/>
          <w:bCs/>
        </w:rPr>
        <w:t>增压站位于</w:t>
      </w:r>
      <w:r>
        <w:rPr>
          <w:bCs/>
        </w:rPr>
        <w:t>P102</w:t>
      </w:r>
      <w:r>
        <w:rPr>
          <w:rFonts w:hint="eastAsia"/>
          <w:bCs/>
        </w:rPr>
        <w:t>集气站东侧（四川省宣汉县普光镇北斗村岳家坡），普光气田</w:t>
      </w:r>
      <w:r>
        <w:rPr>
          <w:rFonts w:hint="eastAsia"/>
          <w:bCs/>
        </w:rPr>
        <w:t>2</w:t>
      </w:r>
      <w:r>
        <w:rPr>
          <w:bCs/>
        </w:rPr>
        <w:t>#</w:t>
      </w:r>
      <w:r>
        <w:rPr>
          <w:rFonts w:hint="eastAsia"/>
          <w:bCs/>
        </w:rPr>
        <w:t>增压站位于净化厂外</w:t>
      </w:r>
      <w:r>
        <w:rPr>
          <w:bCs/>
        </w:rPr>
        <w:t xml:space="preserve">SEI </w:t>
      </w:r>
      <w:r>
        <w:rPr>
          <w:rFonts w:hint="eastAsia"/>
          <w:bCs/>
        </w:rPr>
        <w:t>临时料仓独立建设（四川省宣汉县普光镇铜坎村），</w:t>
      </w:r>
      <w:r>
        <w:rPr>
          <w:bCs/>
        </w:rPr>
        <w:t>P106-P104-</w:t>
      </w:r>
      <w:r>
        <w:rPr>
          <w:rFonts w:hint="eastAsia"/>
          <w:bCs/>
        </w:rPr>
        <w:t>1</w:t>
      </w:r>
      <w:r>
        <w:rPr>
          <w:bCs/>
        </w:rPr>
        <w:t>#</w:t>
      </w:r>
      <w:r>
        <w:rPr>
          <w:rFonts w:hint="eastAsia"/>
          <w:bCs/>
        </w:rPr>
        <w:t>增压站集输管道</w:t>
      </w:r>
      <w:r>
        <w:rPr>
          <w:rFonts w:hint="eastAsia"/>
          <w:bCs/>
        </w:rPr>
        <w:t>4.1km</w:t>
      </w:r>
      <w:r>
        <w:rPr>
          <w:rFonts w:hint="eastAsia"/>
          <w:bCs/>
        </w:rPr>
        <w:t>位于四川省宣汉县普光镇北斗村</w:t>
      </w:r>
      <w:r>
        <w:t>。项目地理位置见附图</w:t>
      </w:r>
      <w:r>
        <w:t>1</w:t>
      </w:r>
      <w:r>
        <w:t>。</w:t>
      </w:r>
    </w:p>
    <w:p w:rsidR="00BD5820" w:rsidRDefault="00F64314">
      <w:pPr>
        <w:pStyle w:val="3"/>
        <w:rPr>
          <w:rFonts w:eastAsia="宋体"/>
        </w:rPr>
      </w:pPr>
      <w:bookmarkStart w:id="321" w:name="_Toc19816006"/>
      <w:bookmarkStart w:id="322" w:name="_Toc12288541"/>
      <w:r>
        <w:rPr>
          <w:rFonts w:eastAsia="宋体"/>
        </w:rPr>
        <w:t xml:space="preserve">5.1.2 </w:t>
      </w:r>
      <w:r>
        <w:rPr>
          <w:rFonts w:eastAsia="宋体"/>
        </w:rPr>
        <w:t>地貌类型</w:t>
      </w:r>
    </w:p>
    <w:p w:rsidR="00BD5820" w:rsidRDefault="00F64314">
      <w:pPr>
        <w:pStyle w:val="affa"/>
        <w:ind w:firstLine="480"/>
      </w:pPr>
      <w:r>
        <w:t>宣汉县按地形、地貌形态可分为</w:t>
      </w:r>
      <w:r>
        <w:t>3</w:t>
      </w:r>
      <w:r>
        <w:t>区：一、丘陵河谷区，约占县境内四川地貌区划中属米仓山大巴山中山区和盆北低山区、盆东平行岭谷区的一部分，以低山和低中山为主。低山、中山面积占全县总幅员的</w:t>
      </w:r>
      <w:r>
        <w:t>90.2%</w:t>
      </w:r>
      <w:r>
        <w:t>；二、低山区，约占</w:t>
      </w:r>
      <w:r>
        <w:t>25%</w:t>
      </w:r>
      <w:r>
        <w:t>；三、低中山区，约占</w:t>
      </w:r>
      <w:r>
        <w:t>65.2%</w:t>
      </w:r>
      <w:r>
        <w:t>，可分为平坝、台地或高阶台地、浅丘陵、深丘陵、低山。</w:t>
      </w:r>
    </w:p>
    <w:p w:rsidR="00BD5820" w:rsidRDefault="00F64314">
      <w:pPr>
        <w:pStyle w:val="affa"/>
        <w:ind w:firstLine="480"/>
      </w:pPr>
      <w:r>
        <w:t>拟建管线沿线地貌为剥蚀低山地貌，该工程大部分位于斜坡上，斜坡坡角约</w:t>
      </w:r>
      <w:r>
        <w:t>5</w:t>
      </w:r>
      <w:r>
        <w:t>～</w:t>
      </w:r>
      <w:r>
        <w:t>45°</w:t>
      </w:r>
      <w:r>
        <w:t>，场地地形总体较陡，总体地势管线南高北低，总体地势偏陡，相对高差</w:t>
      </w:r>
      <w:r>
        <w:t>20</w:t>
      </w:r>
      <w:r>
        <w:t>～</w:t>
      </w:r>
      <w:r>
        <w:t>600m</w:t>
      </w:r>
      <w:r>
        <w:t>。拟建管线沿线地形条件较复杂。</w:t>
      </w:r>
    </w:p>
    <w:p w:rsidR="00BD5820" w:rsidRDefault="00F64314">
      <w:pPr>
        <w:pStyle w:val="3"/>
        <w:rPr>
          <w:rFonts w:eastAsia="宋体"/>
        </w:rPr>
      </w:pPr>
      <w:r>
        <w:rPr>
          <w:rFonts w:eastAsia="宋体"/>
        </w:rPr>
        <w:t xml:space="preserve">5.1.3 </w:t>
      </w:r>
      <w:r>
        <w:rPr>
          <w:rFonts w:eastAsia="宋体"/>
        </w:rPr>
        <w:t>气候</w:t>
      </w:r>
      <w:bookmarkEnd w:id="321"/>
      <w:r>
        <w:rPr>
          <w:rFonts w:eastAsia="宋体"/>
        </w:rPr>
        <w:t>气象</w:t>
      </w:r>
    </w:p>
    <w:p w:rsidR="00BD5820" w:rsidRDefault="00F64314">
      <w:pPr>
        <w:ind w:firstLine="480"/>
        <w:rPr>
          <w:rFonts w:ascii="Times New Roman" w:cs="Times New Roman"/>
        </w:rPr>
      </w:pPr>
      <w:r>
        <w:rPr>
          <w:rFonts w:ascii="Times New Roman" w:cs="Times New Roman"/>
        </w:rPr>
        <w:t>境内气象属中亚热带湿润季风气候区，由于地处四川盆地东北缘，北有秦岭、大巴山的天然屏障，因此气候温和，热量丰富，四季分明，雨量充沛，季风气候明显，立体气候突出。冬季属大陆性气候，常受西北冷空气影响，气候干冷；夏季属海洋性季风气候，常受东南及西南暖湿空气影响，湿热多雷雨。受海拔高度影响区内立体气候明显，海拔</w:t>
      </w:r>
      <w:r>
        <w:rPr>
          <w:rFonts w:ascii="Times New Roman" w:cs="Times New Roman"/>
        </w:rPr>
        <w:t>500m</w:t>
      </w:r>
      <w:r>
        <w:rPr>
          <w:rFonts w:ascii="Times New Roman" w:cs="Times New Roman"/>
        </w:rPr>
        <w:t>以下地区春早夏热，雨水集中，旱涝交错，多风雹，秋雨，冬暖霜雪少，属四川盆地亚热带气候；海拔</w:t>
      </w:r>
      <w:r>
        <w:rPr>
          <w:rFonts w:ascii="Times New Roman" w:cs="Times New Roman"/>
        </w:rPr>
        <w:t>800m</w:t>
      </w:r>
      <w:r>
        <w:rPr>
          <w:rFonts w:ascii="Times New Roman" w:cs="Times New Roman"/>
        </w:rPr>
        <w:t>以上地区春迟秋早，夏短冬长，具有盆缘同地温带气候特征。低山、高丘云雾较多，日照较浅</w:t>
      </w:r>
      <w:r>
        <w:rPr>
          <w:rFonts w:ascii="Times New Roman" w:cs="Times New Roman"/>
        </w:rPr>
        <w:lastRenderedPageBreak/>
        <w:t>丘平坝少。</w:t>
      </w:r>
    </w:p>
    <w:p w:rsidR="00BD5820" w:rsidRDefault="00F64314">
      <w:pPr>
        <w:ind w:firstLine="480"/>
        <w:rPr>
          <w:rFonts w:ascii="Times New Roman" w:cs="Times New Roman"/>
        </w:rPr>
      </w:pPr>
      <w:r>
        <w:rPr>
          <w:rFonts w:ascii="Times New Roman" w:cs="Times New Roman"/>
        </w:rPr>
        <w:t>灾害性天气主要有干旱，暴雨山洪，雷电，低温冷害，冰雹及大风等，其中暴雨山洪、大风等对管道及集气站建设构成一定危害。</w:t>
      </w:r>
    </w:p>
    <w:p w:rsidR="00BD5820" w:rsidRDefault="00F64314">
      <w:pPr>
        <w:ind w:firstLine="480"/>
        <w:rPr>
          <w:rFonts w:ascii="Times New Roman" w:cs="Times New Roman"/>
        </w:rPr>
      </w:pPr>
      <w:r>
        <w:rPr>
          <w:rFonts w:ascii="Times New Roman" w:cs="Times New Roman"/>
        </w:rPr>
        <w:t>宣汉县多年平均降水量</w:t>
      </w:r>
      <w:r>
        <w:rPr>
          <w:rFonts w:ascii="Times New Roman" w:cs="Times New Roman"/>
        </w:rPr>
        <w:t>1132.69mm</w:t>
      </w:r>
      <w:r>
        <w:rPr>
          <w:rFonts w:ascii="Times New Roman" w:cs="Times New Roman"/>
        </w:rPr>
        <w:t>，多年平均气温</w:t>
      </w:r>
      <w:r>
        <w:rPr>
          <w:rFonts w:ascii="Times New Roman" w:cs="Times New Roman"/>
        </w:rPr>
        <w:t>16.8℃</w:t>
      </w:r>
      <w:r>
        <w:rPr>
          <w:rFonts w:ascii="Times New Roman" w:cs="Times New Roman"/>
        </w:rPr>
        <w:t>，相对湿度</w:t>
      </w:r>
      <w:r>
        <w:rPr>
          <w:rFonts w:ascii="Times New Roman" w:cs="Times New Roman"/>
        </w:rPr>
        <w:t>75%</w:t>
      </w:r>
      <w:r>
        <w:rPr>
          <w:rFonts w:ascii="Times New Roman" w:cs="Times New Roman"/>
        </w:rPr>
        <w:t>，每年</w:t>
      </w:r>
      <w:r>
        <w:rPr>
          <w:rFonts w:ascii="Times New Roman" w:cs="Times New Roman"/>
        </w:rPr>
        <w:t>5~10</w:t>
      </w:r>
      <w:r>
        <w:rPr>
          <w:rFonts w:ascii="Times New Roman" w:cs="Times New Roman"/>
        </w:rPr>
        <w:t>月份为多雨季，降水量占全年总降水量约</w:t>
      </w:r>
      <w:r>
        <w:rPr>
          <w:rFonts w:ascii="Times New Roman" w:cs="Times New Roman"/>
        </w:rPr>
        <w:t>80%</w:t>
      </w:r>
      <w:r>
        <w:rPr>
          <w:rFonts w:ascii="Times New Roman" w:cs="Times New Roman"/>
        </w:rPr>
        <w:t>，</w:t>
      </w:r>
      <w:r>
        <w:rPr>
          <w:rFonts w:ascii="Times New Roman" w:cs="Times New Roman"/>
        </w:rPr>
        <w:t>3</w:t>
      </w:r>
      <w:r>
        <w:rPr>
          <w:rFonts w:ascii="Times New Roman" w:cs="Times New Roman"/>
        </w:rPr>
        <w:t>月份为旱季，降水量约占全年降水量</w:t>
      </w:r>
      <w:r>
        <w:rPr>
          <w:rFonts w:ascii="Times New Roman" w:cs="Times New Roman"/>
        </w:rPr>
        <w:t>8~12%</w:t>
      </w:r>
      <w:r>
        <w:rPr>
          <w:rFonts w:ascii="Times New Roman" w:cs="Times New Roman"/>
        </w:rPr>
        <w:t>，无霜期长达</w:t>
      </w:r>
      <w:r>
        <w:rPr>
          <w:rFonts w:ascii="Times New Roman" w:cs="Times New Roman"/>
        </w:rPr>
        <w:t>10</w:t>
      </w:r>
      <w:r>
        <w:rPr>
          <w:rFonts w:ascii="Times New Roman" w:cs="Times New Roman"/>
        </w:rPr>
        <w:t>个月，冬季多雾，雨季多暴雨，雨后往往形成洪流。</w:t>
      </w:r>
    </w:p>
    <w:p w:rsidR="00BD5820" w:rsidRDefault="00F64314">
      <w:pPr>
        <w:ind w:firstLine="480"/>
        <w:rPr>
          <w:rFonts w:ascii="Times New Roman" w:cs="Times New Roman"/>
        </w:rPr>
      </w:pPr>
      <w:r>
        <w:rPr>
          <w:rFonts w:ascii="Times New Roman" w:cs="Times New Roman"/>
        </w:rPr>
        <w:t>宣汉县主要气象要素见下表：</w:t>
      </w:r>
    </w:p>
    <w:p w:rsidR="00BD5820" w:rsidRDefault="00F64314">
      <w:pPr>
        <w:pStyle w:val="10"/>
        <w:rPr>
          <w:rFonts w:cs="Times New Roman"/>
        </w:rPr>
      </w:pPr>
      <w:r>
        <w:rPr>
          <w:rFonts w:cs="Times New Roman"/>
        </w:rPr>
        <w:t>表</w:t>
      </w:r>
      <w:r>
        <w:rPr>
          <w:rFonts w:cs="Times New Roman"/>
        </w:rPr>
        <w:t xml:space="preserve">5.1-1  </w:t>
      </w:r>
      <w:r>
        <w:rPr>
          <w:rFonts w:cs="Times New Roman"/>
        </w:rPr>
        <w:t>宣汉县主要气象资料一览表</w:t>
      </w:r>
    </w:p>
    <w:tbl>
      <w:tblPr>
        <w:tblW w:w="5157" w:type="pct"/>
        <w:jc w:val="center"/>
        <w:tblBorders>
          <w:top w:val="single" w:sz="12" w:space="0" w:color="auto"/>
          <w:bottom w:val="single" w:sz="12" w:space="0" w:color="auto"/>
          <w:insideH w:val="single" w:sz="4" w:space="0" w:color="auto"/>
          <w:insideV w:val="single" w:sz="4" w:space="0" w:color="auto"/>
        </w:tblBorders>
        <w:tblLook w:val="04A0"/>
      </w:tblPr>
      <w:tblGrid>
        <w:gridCol w:w="1281"/>
        <w:gridCol w:w="1901"/>
        <w:gridCol w:w="2669"/>
        <w:gridCol w:w="2939"/>
      </w:tblGrid>
      <w:tr w:rsidR="00BD5820">
        <w:trPr>
          <w:trHeight w:val="15"/>
          <w:jc w:val="center"/>
        </w:trPr>
        <w:tc>
          <w:tcPr>
            <w:tcW w:w="1809" w:type="pct"/>
            <w:gridSpan w:val="2"/>
            <w:tcBorders>
              <w:top w:val="single" w:sz="12" w:space="0" w:color="auto"/>
              <w:left w:val="nil"/>
              <w:bottom w:val="single" w:sz="4" w:space="0" w:color="auto"/>
              <w:right w:val="single" w:sz="4" w:space="0" w:color="auto"/>
            </w:tcBorders>
            <w:vAlign w:val="center"/>
          </w:tcPr>
          <w:p w:rsidR="00BD5820" w:rsidRDefault="00F64314" w:rsidP="00511129">
            <w:pPr>
              <w:topLinePunct w:val="0"/>
              <w:autoSpaceDE w:val="0"/>
              <w:autoSpaceDN w:val="0"/>
              <w:snapToGrid w:val="0"/>
              <w:spacing w:beforeLines="20" w:line="240" w:lineRule="auto"/>
              <w:ind w:firstLineChars="0" w:firstLine="0"/>
              <w:jc w:val="center"/>
              <w:rPr>
                <w:rFonts w:ascii="Times New Roman" w:cs="Times New Roman"/>
                <w:b/>
                <w:kern w:val="2"/>
                <w:sz w:val="21"/>
                <w:szCs w:val="21"/>
              </w:rPr>
            </w:pPr>
            <w:r>
              <w:rPr>
                <w:rFonts w:ascii="Times New Roman" w:cs="Times New Roman"/>
                <w:b/>
                <w:kern w:val="2"/>
                <w:sz w:val="21"/>
                <w:szCs w:val="21"/>
              </w:rPr>
              <w:t>气象要素</w:t>
            </w:r>
          </w:p>
        </w:tc>
        <w:tc>
          <w:tcPr>
            <w:tcW w:w="1518" w:type="pct"/>
            <w:tcBorders>
              <w:top w:val="single" w:sz="12" w:space="0" w:color="auto"/>
              <w:left w:val="single" w:sz="4" w:space="0" w:color="auto"/>
              <w:bottom w:val="single" w:sz="4" w:space="0" w:color="auto"/>
              <w:right w:val="single" w:sz="4" w:space="0" w:color="auto"/>
            </w:tcBorders>
          </w:tcPr>
          <w:p w:rsidR="00BD5820" w:rsidRDefault="00F64314" w:rsidP="00511129">
            <w:pPr>
              <w:topLinePunct w:val="0"/>
              <w:autoSpaceDE w:val="0"/>
              <w:autoSpaceDN w:val="0"/>
              <w:snapToGrid w:val="0"/>
              <w:spacing w:beforeLines="20" w:line="240" w:lineRule="auto"/>
              <w:ind w:firstLineChars="0" w:firstLine="0"/>
              <w:jc w:val="center"/>
              <w:rPr>
                <w:rFonts w:ascii="Times New Roman" w:cs="Times New Roman"/>
                <w:b/>
                <w:kern w:val="2"/>
                <w:sz w:val="21"/>
                <w:szCs w:val="21"/>
              </w:rPr>
            </w:pPr>
            <w:r>
              <w:rPr>
                <w:rFonts w:ascii="Times New Roman" w:cs="Times New Roman"/>
                <w:b/>
                <w:kern w:val="2"/>
                <w:sz w:val="21"/>
                <w:szCs w:val="21"/>
              </w:rPr>
              <w:t>单位</w:t>
            </w:r>
          </w:p>
        </w:tc>
        <w:tc>
          <w:tcPr>
            <w:tcW w:w="1672" w:type="pct"/>
            <w:tcBorders>
              <w:top w:val="single" w:sz="12" w:space="0" w:color="auto"/>
              <w:left w:val="single" w:sz="4" w:space="0" w:color="auto"/>
              <w:bottom w:val="single" w:sz="4" w:space="0" w:color="auto"/>
              <w:right w:val="nil"/>
            </w:tcBorders>
            <w:vAlign w:val="center"/>
          </w:tcPr>
          <w:p w:rsidR="00BD5820" w:rsidRDefault="00F64314" w:rsidP="00511129">
            <w:pPr>
              <w:topLinePunct w:val="0"/>
              <w:autoSpaceDE w:val="0"/>
              <w:autoSpaceDN w:val="0"/>
              <w:snapToGrid w:val="0"/>
              <w:spacing w:beforeLines="20" w:line="240" w:lineRule="auto"/>
              <w:ind w:firstLineChars="0" w:firstLine="0"/>
              <w:jc w:val="center"/>
              <w:rPr>
                <w:rFonts w:ascii="Times New Roman" w:cs="Times New Roman"/>
                <w:b/>
                <w:kern w:val="2"/>
                <w:sz w:val="21"/>
                <w:szCs w:val="21"/>
              </w:rPr>
            </w:pPr>
            <w:r>
              <w:rPr>
                <w:rFonts w:ascii="Times New Roman" w:cs="Times New Roman"/>
                <w:b/>
                <w:kern w:val="2"/>
                <w:sz w:val="21"/>
                <w:szCs w:val="21"/>
              </w:rPr>
              <w:t>数值</w:t>
            </w:r>
          </w:p>
        </w:tc>
      </w:tr>
      <w:tr w:rsidR="00BD5820">
        <w:trPr>
          <w:trHeight w:val="15"/>
          <w:jc w:val="center"/>
        </w:trPr>
        <w:tc>
          <w:tcPr>
            <w:tcW w:w="728" w:type="pct"/>
            <w:vMerge w:val="restart"/>
            <w:tcBorders>
              <w:top w:val="single" w:sz="4" w:space="0" w:color="auto"/>
              <w:left w:val="nil"/>
              <w:bottom w:val="single" w:sz="4" w:space="0" w:color="auto"/>
              <w:right w:val="single" w:sz="4" w:space="0" w:color="auto"/>
            </w:tcBorders>
            <w:vAlign w:val="center"/>
          </w:tcPr>
          <w:p w:rsidR="00BD5820" w:rsidRDefault="00F64314" w:rsidP="00511129">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Pr>
                <w:rFonts w:ascii="Times New Roman" w:cs="Times New Roman"/>
                <w:kern w:val="2"/>
                <w:sz w:val="21"/>
                <w:szCs w:val="21"/>
              </w:rPr>
              <w:t>气温</w:t>
            </w:r>
          </w:p>
        </w:tc>
        <w:tc>
          <w:tcPr>
            <w:tcW w:w="1081" w:type="pct"/>
            <w:tcBorders>
              <w:top w:val="single" w:sz="4" w:space="0" w:color="auto"/>
              <w:left w:val="single" w:sz="4" w:space="0" w:color="auto"/>
              <w:bottom w:val="single" w:sz="4" w:space="0" w:color="auto"/>
              <w:right w:val="single" w:sz="4" w:space="0" w:color="auto"/>
            </w:tcBorders>
            <w:vAlign w:val="center"/>
          </w:tcPr>
          <w:p w:rsidR="00BD5820" w:rsidRDefault="00F64314" w:rsidP="00511129">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Pr>
                <w:rFonts w:ascii="Times New Roman" w:cs="Times New Roman"/>
                <w:kern w:val="2"/>
                <w:sz w:val="21"/>
                <w:szCs w:val="21"/>
              </w:rPr>
              <w:t>年平均气温</w:t>
            </w:r>
          </w:p>
        </w:tc>
        <w:tc>
          <w:tcPr>
            <w:tcW w:w="1518" w:type="pct"/>
            <w:tcBorders>
              <w:top w:val="single" w:sz="4" w:space="0" w:color="auto"/>
              <w:left w:val="single" w:sz="4" w:space="0" w:color="auto"/>
              <w:bottom w:val="single" w:sz="4" w:space="0" w:color="auto"/>
              <w:right w:val="single" w:sz="4" w:space="0" w:color="auto"/>
            </w:tcBorders>
          </w:tcPr>
          <w:p w:rsidR="00BD5820" w:rsidRDefault="00F64314" w:rsidP="00511129">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Pr>
                <w:rFonts w:ascii="Times New Roman" w:cs="Times New Roman"/>
                <w:kern w:val="2"/>
                <w:sz w:val="21"/>
                <w:szCs w:val="21"/>
              </w:rPr>
              <w:t>℃</w:t>
            </w:r>
          </w:p>
        </w:tc>
        <w:tc>
          <w:tcPr>
            <w:tcW w:w="1672" w:type="pct"/>
            <w:tcBorders>
              <w:top w:val="single" w:sz="4" w:space="0" w:color="auto"/>
              <w:left w:val="single" w:sz="4" w:space="0" w:color="auto"/>
              <w:bottom w:val="single" w:sz="4" w:space="0" w:color="auto"/>
              <w:right w:val="nil"/>
            </w:tcBorders>
            <w:vAlign w:val="center"/>
          </w:tcPr>
          <w:p w:rsidR="00BD5820" w:rsidRDefault="00F64314" w:rsidP="00511129">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Pr>
                <w:rFonts w:ascii="Times New Roman" w:cs="Times New Roman"/>
                <w:kern w:val="2"/>
                <w:sz w:val="21"/>
                <w:szCs w:val="21"/>
              </w:rPr>
              <w:t>16.8</w:t>
            </w:r>
          </w:p>
        </w:tc>
      </w:tr>
      <w:tr w:rsidR="00BD5820">
        <w:trPr>
          <w:trHeight w:val="15"/>
          <w:jc w:val="center"/>
        </w:trPr>
        <w:tc>
          <w:tcPr>
            <w:tcW w:w="0" w:type="auto"/>
            <w:vMerge/>
            <w:tcBorders>
              <w:top w:val="single" w:sz="4" w:space="0" w:color="auto"/>
              <w:left w:val="nil"/>
              <w:bottom w:val="single" w:sz="4" w:space="0" w:color="auto"/>
              <w:right w:val="single" w:sz="4" w:space="0" w:color="auto"/>
            </w:tcBorders>
            <w:vAlign w:val="center"/>
          </w:tcPr>
          <w:p w:rsidR="00BD5820" w:rsidRDefault="00BD5820">
            <w:pPr>
              <w:widowControl/>
              <w:topLinePunct w:val="0"/>
              <w:adjustRightInd/>
              <w:spacing w:afterAutospacing="1" w:line="240" w:lineRule="auto"/>
              <w:ind w:firstLineChars="0" w:firstLine="0"/>
              <w:jc w:val="left"/>
              <w:rPr>
                <w:rFonts w:ascii="Times New Roman" w:cs="Times New Roman"/>
                <w:kern w:val="2"/>
                <w:sz w:val="21"/>
                <w:szCs w:val="21"/>
              </w:rPr>
            </w:pPr>
          </w:p>
        </w:tc>
        <w:tc>
          <w:tcPr>
            <w:tcW w:w="1081" w:type="pct"/>
            <w:tcBorders>
              <w:top w:val="single" w:sz="4" w:space="0" w:color="auto"/>
              <w:left w:val="single" w:sz="4" w:space="0" w:color="auto"/>
              <w:bottom w:val="single" w:sz="4" w:space="0" w:color="auto"/>
              <w:right w:val="single" w:sz="4" w:space="0" w:color="auto"/>
            </w:tcBorders>
            <w:vAlign w:val="center"/>
          </w:tcPr>
          <w:p w:rsidR="00BD5820" w:rsidRDefault="00F64314" w:rsidP="00511129">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Pr>
                <w:rFonts w:ascii="Times New Roman" w:cs="Times New Roman"/>
                <w:kern w:val="2"/>
                <w:sz w:val="21"/>
                <w:szCs w:val="21"/>
              </w:rPr>
              <w:t>极端最高气温</w:t>
            </w:r>
          </w:p>
        </w:tc>
        <w:tc>
          <w:tcPr>
            <w:tcW w:w="1518" w:type="pct"/>
            <w:tcBorders>
              <w:top w:val="single" w:sz="4" w:space="0" w:color="auto"/>
              <w:left w:val="single" w:sz="4" w:space="0" w:color="auto"/>
              <w:bottom w:val="single" w:sz="4" w:space="0" w:color="auto"/>
              <w:right w:val="single" w:sz="4" w:space="0" w:color="auto"/>
            </w:tcBorders>
          </w:tcPr>
          <w:p w:rsidR="00BD5820" w:rsidRDefault="00F64314" w:rsidP="00511129">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Pr>
                <w:rFonts w:ascii="Times New Roman" w:cs="Times New Roman"/>
                <w:kern w:val="2"/>
                <w:sz w:val="21"/>
                <w:szCs w:val="21"/>
              </w:rPr>
              <w:t>℃</w:t>
            </w:r>
          </w:p>
        </w:tc>
        <w:tc>
          <w:tcPr>
            <w:tcW w:w="1672" w:type="pct"/>
            <w:tcBorders>
              <w:top w:val="single" w:sz="4" w:space="0" w:color="auto"/>
              <w:left w:val="single" w:sz="4" w:space="0" w:color="auto"/>
              <w:bottom w:val="single" w:sz="4" w:space="0" w:color="auto"/>
              <w:right w:val="nil"/>
            </w:tcBorders>
            <w:vAlign w:val="center"/>
          </w:tcPr>
          <w:p w:rsidR="00BD5820" w:rsidRDefault="00F64314" w:rsidP="00511129">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Pr>
                <w:rFonts w:ascii="Times New Roman" w:cs="Times New Roman"/>
                <w:kern w:val="2"/>
                <w:sz w:val="21"/>
                <w:szCs w:val="21"/>
              </w:rPr>
              <w:t>41.3</w:t>
            </w:r>
          </w:p>
        </w:tc>
      </w:tr>
      <w:tr w:rsidR="00BD5820">
        <w:trPr>
          <w:trHeight w:val="15"/>
          <w:jc w:val="center"/>
        </w:trPr>
        <w:tc>
          <w:tcPr>
            <w:tcW w:w="0" w:type="auto"/>
            <w:vMerge/>
            <w:tcBorders>
              <w:top w:val="single" w:sz="4" w:space="0" w:color="auto"/>
              <w:left w:val="nil"/>
              <w:bottom w:val="single" w:sz="4" w:space="0" w:color="auto"/>
              <w:right w:val="single" w:sz="4" w:space="0" w:color="auto"/>
            </w:tcBorders>
            <w:vAlign w:val="center"/>
          </w:tcPr>
          <w:p w:rsidR="00BD5820" w:rsidRDefault="00BD5820">
            <w:pPr>
              <w:widowControl/>
              <w:topLinePunct w:val="0"/>
              <w:adjustRightInd/>
              <w:spacing w:afterAutospacing="1" w:line="240" w:lineRule="auto"/>
              <w:ind w:firstLineChars="0" w:firstLine="0"/>
              <w:jc w:val="left"/>
              <w:rPr>
                <w:rFonts w:ascii="Times New Roman" w:cs="Times New Roman"/>
                <w:kern w:val="2"/>
                <w:sz w:val="21"/>
                <w:szCs w:val="21"/>
              </w:rPr>
            </w:pPr>
          </w:p>
        </w:tc>
        <w:tc>
          <w:tcPr>
            <w:tcW w:w="1081" w:type="pct"/>
            <w:tcBorders>
              <w:top w:val="single" w:sz="4" w:space="0" w:color="auto"/>
              <w:left w:val="single" w:sz="4" w:space="0" w:color="auto"/>
              <w:bottom w:val="single" w:sz="4" w:space="0" w:color="auto"/>
              <w:right w:val="single" w:sz="4" w:space="0" w:color="auto"/>
            </w:tcBorders>
            <w:vAlign w:val="center"/>
          </w:tcPr>
          <w:p w:rsidR="00BD5820" w:rsidRDefault="00F64314" w:rsidP="00511129">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Pr>
                <w:rFonts w:ascii="Times New Roman" w:cs="Times New Roman"/>
                <w:kern w:val="2"/>
                <w:sz w:val="21"/>
                <w:szCs w:val="21"/>
              </w:rPr>
              <w:t>极端最低气温</w:t>
            </w:r>
          </w:p>
        </w:tc>
        <w:tc>
          <w:tcPr>
            <w:tcW w:w="1518" w:type="pct"/>
            <w:tcBorders>
              <w:top w:val="single" w:sz="4" w:space="0" w:color="auto"/>
              <w:left w:val="single" w:sz="4" w:space="0" w:color="auto"/>
              <w:bottom w:val="single" w:sz="4" w:space="0" w:color="auto"/>
              <w:right w:val="single" w:sz="4" w:space="0" w:color="auto"/>
            </w:tcBorders>
          </w:tcPr>
          <w:p w:rsidR="00BD5820" w:rsidRDefault="00F64314" w:rsidP="00511129">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Pr>
                <w:rFonts w:ascii="Times New Roman" w:cs="Times New Roman"/>
                <w:kern w:val="2"/>
                <w:sz w:val="21"/>
                <w:szCs w:val="21"/>
              </w:rPr>
              <w:t>℃</w:t>
            </w:r>
          </w:p>
        </w:tc>
        <w:tc>
          <w:tcPr>
            <w:tcW w:w="1672" w:type="pct"/>
            <w:tcBorders>
              <w:top w:val="single" w:sz="4" w:space="0" w:color="auto"/>
              <w:left w:val="single" w:sz="4" w:space="0" w:color="auto"/>
              <w:bottom w:val="single" w:sz="4" w:space="0" w:color="auto"/>
              <w:right w:val="nil"/>
            </w:tcBorders>
            <w:vAlign w:val="center"/>
          </w:tcPr>
          <w:p w:rsidR="00BD5820" w:rsidRDefault="00F64314" w:rsidP="00511129">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Pr>
                <w:rFonts w:ascii="Times New Roman" w:cs="Times New Roman"/>
                <w:kern w:val="2"/>
                <w:sz w:val="21"/>
                <w:szCs w:val="21"/>
              </w:rPr>
              <w:t>-2.3</w:t>
            </w:r>
          </w:p>
        </w:tc>
      </w:tr>
      <w:tr w:rsidR="00BD5820">
        <w:trPr>
          <w:trHeight w:val="15"/>
          <w:jc w:val="center"/>
        </w:trPr>
        <w:tc>
          <w:tcPr>
            <w:tcW w:w="728" w:type="pct"/>
            <w:vMerge w:val="restart"/>
            <w:tcBorders>
              <w:top w:val="single" w:sz="4" w:space="0" w:color="auto"/>
              <w:left w:val="nil"/>
              <w:bottom w:val="single" w:sz="4" w:space="0" w:color="auto"/>
              <w:right w:val="single" w:sz="4" w:space="0" w:color="auto"/>
            </w:tcBorders>
            <w:vAlign w:val="center"/>
          </w:tcPr>
          <w:p w:rsidR="00BD5820" w:rsidRDefault="00F64314" w:rsidP="00511129">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Pr>
                <w:rFonts w:ascii="Times New Roman" w:cs="Times New Roman"/>
                <w:kern w:val="2"/>
                <w:sz w:val="21"/>
                <w:szCs w:val="21"/>
              </w:rPr>
              <w:t>年降水量</w:t>
            </w:r>
          </w:p>
        </w:tc>
        <w:tc>
          <w:tcPr>
            <w:tcW w:w="1081" w:type="pct"/>
            <w:tcBorders>
              <w:top w:val="single" w:sz="4" w:space="0" w:color="auto"/>
              <w:left w:val="single" w:sz="4" w:space="0" w:color="auto"/>
              <w:bottom w:val="single" w:sz="4" w:space="0" w:color="auto"/>
              <w:right w:val="single" w:sz="4" w:space="0" w:color="auto"/>
            </w:tcBorders>
            <w:vAlign w:val="center"/>
          </w:tcPr>
          <w:p w:rsidR="00BD5820" w:rsidRDefault="00F64314" w:rsidP="00511129">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Pr>
                <w:rFonts w:ascii="Times New Roman" w:cs="Times New Roman"/>
                <w:kern w:val="2"/>
                <w:sz w:val="21"/>
                <w:szCs w:val="21"/>
              </w:rPr>
              <w:t>平均</w:t>
            </w:r>
          </w:p>
        </w:tc>
        <w:tc>
          <w:tcPr>
            <w:tcW w:w="1518" w:type="pct"/>
            <w:tcBorders>
              <w:top w:val="single" w:sz="4" w:space="0" w:color="auto"/>
              <w:left w:val="single" w:sz="4" w:space="0" w:color="auto"/>
              <w:bottom w:val="single" w:sz="4" w:space="0" w:color="auto"/>
              <w:right w:val="single" w:sz="4" w:space="0" w:color="auto"/>
            </w:tcBorders>
          </w:tcPr>
          <w:p w:rsidR="00BD5820" w:rsidRDefault="00F64314" w:rsidP="00511129">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Pr>
                <w:rFonts w:ascii="Times New Roman" w:cs="Times New Roman"/>
                <w:kern w:val="2"/>
                <w:sz w:val="21"/>
                <w:szCs w:val="21"/>
              </w:rPr>
              <w:t>mm</w:t>
            </w:r>
          </w:p>
        </w:tc>
        <w:tc>
          <w:tcPr>
            <w:tcW w:w="1672" w:type="pct"/>
            <w:tcBorders>
              <w:top w:val="single" w:sz="4" w:space="0" w:color="auto"/>
              <w:left w:val="single" w:sz="4" w:space="0" w:color="auto"/>
              <w:bottom w:val="single" w:sz="4" w:space="0" w:color="auto"/>
              <w:right w:val="nil"/>
            </w:tcBorders>
            <w:vAlign w:val="center"/>
          </w:tcPr>
          <w:p w:rsidR="00BD5820" w:rsidRDefault="00F64314" w:rsidP="00511129">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Pr>
                <w:rFonts w:ascii="Times New Roman" w:cs="Times New Roman"/>
                <w:kern w:val="2"/>
                <w:sz w:val="21"/>
                <w:szCs w:val="21"/>
              </w:rPr>
              <w:t>1132.69</w:t>
            </w:r>
          </w:p>
        </w:tc>
      </w:tr>
      <w:tr w:rsidR="00BD5820">
        <w:trPr>
          <w:trHeight w:val="15"/>
          <w:jc w:val="center"/>
        </w:trPr>
        <w:tc>
          <w:tcPr>
            <w:tcW w:w="0" w:type="auto"/>
            <w:vMerge/>
            <w:tcBorders>
              <w:top w:val="single" w:sz="4" w:space="0" w:color="auto"/>
              <w:left w:val="nil"/>
              <w:bottom w:val="single" w:sz="4" w:space="0" w:color="auto"/>
              <w:right w:val="single" w:sz="4" w:space="0" w:color="auto"/>
            </w:tcBorders>
            <w:vAlign w:val="center"/>
          </w:tcPr>
          <w:p w:rsidR="00BD5820" w:rsidRDefault="00BD5820">
            <w:pPr>
              <w:widowControl/>
              <w:topLinePunct w:val="0"/>
              <w:adjustRightInd/>
              <w:spacing w:afterAutospacing="1" w:line="240" w:lineRule="auto"/>
              <w:ind w:firstLineChars="0" w:firstLine="0"/>
              <w:jc w:val="left"/>
              <w:rPr>
                <w:rFonts w:ascii="Times New Roman" w:cs="Times New Roman"/>
                <w:kern w:val="2"/>
                <w:sz w:val="21"/>
                <w:szCs w:val="21"/>
              </w:rPr>
            </w:pPr>
          </w:p>
        </w:tc>
        <w:tc>
          <w:tcPr>
            <w:tcW w:w="1081" w:type="pct"/>
            <w:tcBorders>
              <w:top w:val="single" w:sz="4" w:space="0" w:color="auto"/>
              <w:left w:val="single" w:sz="4" w:space="0" w:color="auto"/>
              <w:bottom w:val="single" w:sz="4" w:space="0" w:color="auto"/>
              <w:right w:val="single" w:sz="4" w:space="0" w:color="auto"/>
            </w:tcBorders>
            <w:vAlign w:val="center"/>
          </w:tcPr>
          <w:p w:rsidR="00BD5820" w:rsidRDefault="00F64314" w:rsidP="00511129">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Pr>
                <w:rFonts w:ascii="Times New Roman" w:cs="Times New Roman"/>
                <w:kern w:val="2"/>
                <w:sz w:val="21"/>
                <w:szCs w:val="21"/>
              </w:rPr>
              <w:t>最大</w:t>
            </w:r>
          </w:p>
        </w:tc>
        <w:tc>
          <w:tcPr>
            <w:tcW w:w="1518" w:type="pct"/>
            <w:tcBorders>
              <w:top w:val="single" w:sz="4" w:space="0" w:color="auto"/>
              <w:left w:val="single" w:sz="4" w:space="0" w:color="auto"/>
              <w:bottom w:val="single" w:sz="4" w:space="0" w:color="auto"/>
              <w:right w:val="single" w:sz="4" w:space="0" w:color="auto"/>
            </w:tcBorders>
          </w:tcPr>
          <w:p w:rsidR="00BD5820" w:rsidRDefault="00F64314" w:rsidP="00511129">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Pr>
                <w:rFonts w:ascii="Times New Roman" w:cs="Times New Roman"/>
                <w:kern w:val="2"/>
                <w:sz w:val="21"/>
                <w:szCs w:val="21"/>
              </w:rPr>
              <w:t>mm</w:t>
            </w:r>
          </w:p>
        </w:tc>
        <w:tc>
          <w:tcPr>
            <w:tcW w:w="1672" w:type="pct"/>
            <w:tcBorders>
              <w:top w:val="single" w:sz="4" w:space="0" w:color="auto"/>
              <w:left w:val="single" w:sz="4" w:space="0" w:color="auto"/>
              <w:bottom w:val="single" w:sz="4" w:space="0" w:color="auto"/>
              <w:right w:val="nil"/>
            </w:tcBorders>
            <w:vAlign w:val="center"/>
          </w:tcPr>
          <w:p w:rsidR="00BD5820" w:rsidRDefault="00F64314" w:rsidP="00511129">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Pr>
                <w:rFonts w:ascii="Times New Roman" w:cs="Times New Roman"/>
                <w:kern w:val="2"/>
                <w:sz w:val="21"/>
                <w:szCs w:val="21"/>
              </w:rPr>
              <w:t>1698</w:t>
            </w:r>
          </w:p>
        </w:tc>
      </w:tr>
      <w:tr w:rsidR="00BD5820">
        <w:trPr>
          <w:trHeight w:val="15"/>
          <w:jc w:val="center"/>
        </w:trPr>
        <w:tc>
          <w:tcPr>
            <w:tcW w:w="0" w:type="auto"/>
            <w:vMerge/>
            <w:tcBorders>
              <w:top w:val="single" w:sz="4" w:space="0" w:color="auto"/>
              <w:left w:val="nil"/>
              <w:bottom w:val="single" w:sz="4" w:space="0" w:color="auto"/>
              <w:right w:val="single" w:sz="4" w:space="0" w:color="auto"/>
            </w:tcBorders>
            <w:vAlign w:val="center"/>
          </w:tcPr>
          <w:p w:rsidR="00BD5820" w:rsidRDefault="00BD5820">
            <w:pPr>
              <w:widowControl/>
              <w:topLinePunct w:val="0"/>
              <w:adjustRightInd/>
              <w:spacing w:afterAutospacing="1" w:line="240" w:lineRule="auto"/>
              <w:ind w:firstLineChars="0" w:firstLine="0"/>
              <w:jc w:val="left"/>
              <w:rPr>
                <w:rFonts w:ascii="Times New Roman" w:cs="Times New Roman"/>
                <w:kern w:val="2"/>
                <w:sz w:val="21"/>
                <w:szCs w:val="21"/>
              </w:rPr>
            </w:pPr>
          </w:p>
        </w:tc>
        <w:tc>
          <w:tcPr>
            <w:tcW w:w="1081" w:type="pct"/>
            <w:tcBorders>
              <w:top w:val="single" w:sz="4" w:space="0" w:color="auto"/>
              <w:left w:val="single" w:sz="4" w:space="0" w:color="auto"/>
              <w:bottom w:val="single" w:sz="4" w:space="0" w:color="auto"/>
              <w:right w:val="single" w:sz="4" w:space="0" w:color="auto"/>
            </w:tcBorders>
            <w:vAlign w:val="center"/>
          </w:tcPr>
          <w:p w:rsidR="00BD5820" w:rsidRDefault="00F64314" w:rsidP="00511129">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Pr>
                <w:rFonts w:ascii="Times New Roman" w:cs="Times New Roman"/>
                <w:kern w:val="2"/>
                <w:sz w:val="21"/>
                <w:szCs w:val="21"/>
              </w:rPr>
              <w:t>最小</w:t>
            </w:r>
          </w:p>
        </w:tc>
        <w:tc>
          <w:tcPr>
            <w:tcW w:w="1518" w:type="pct"/>
            <w:tcBorders>
              <w:top w:val="single" w:sz="4" w:space="0" w:color="auto"/>
              <w:left w:val="single" w:sz="4" w:space="0" w:color="auto"/>
              <w:bottom w:val="single" w:sz="4" w:space="0" w:color="auto"/>
              <w:right w:val="single" w:sz="4" w:space="0" w:color="auto"/>
            </w:tcBorders>
          </w:tcPr>
          <w:p w:rsidR="00BD5820" w:rsidRDefault="00F64314" w:rsidP="00511129">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Pr>
                <w:rFonts w:ascii="Times New Roman" w:cs="Times New Roman"/>
                <w:kern w:val="2"/>
                <w:sz w:val="21"/>
                <w:szCs w:val="21"/>
              </w:rPr>
              <w:t>mm</w:t>
            </w:r>
          </w:p>
        </w:tc>
        <w:tc>
          <w:tcPr>
            <w:tcW w:w="1672" w:type="pct"/>
            <w:tcBorders>
              <w:top w:val="single" w:sz="4" w:space="0" w:color="auto"/>
              <w:left w:val="single" w:sz="4" w:space="0" w:color="auto"/>
              <w:bottom w:val="single" w:sz="4" w:space="0" w:color="auto"/>
              <w:right w:val="nil"/>
            </w:tcBorders>
            <w:vAlign w:val="center"/>
          </w:tcPr>
          <w:p w:rsidR="00BD5820" w:rsidRDefault="00F64314" w:rsidP="00511129">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Pr>
                <w:rFonts w:ascii="Times New Roman" w:cs="Times New Roman"/>
                <w:kern w:val="2"/>
                <w:sz w:val="21"/>
                <w:szCs w:val="21"/>
              </w:rPr>
              <w:t>865.9</w:t>
            </w:r>
          </w:p>
        </w:tc>
      </w:tr>
      <w:tr w:rsidR="00BD5820">
        <w:trPr>
          <w:trHeight w:val="15"/>
          <w:jc w:val="center"/>
        </w:trPr>
        <w:tc>
          <w:tcPr>
            <w:tcW w:w="728" w:type="pct"/>
            <w:vMerge w:val="restart"/>
            <w:tcBorders>
              <w:top w:val="single" w:sz="4" w:space="0" w:color="auto"/>
              <w:left w:val="nil"/>
              <w:bottom w:val="single" w:sz="4" w:space="0" w:color="auto"/>
              <w:right w:val="single" w:sz="4" w:space="0" w:color="auto"/>
            </w:tcBorders>
            <w:vAlign w:val="center"/>
          </w:tcPr>
          <w:p w:rsidR="00BD5820" w:rsidRDefault="00F64314" w:rsidP="00511129">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Pr>
                <w:rFonts w:ascii="Times New Roman" w:cs="Times New Roman"/>
                <w:kern w:val="2"/>
                <w:sz w:val="21"/>
                <w:szCs w:val="21"/>
              </w:rPr>
              <w:t>风速</w:t>
            </w:r>
          </w:p>
        </w:tc>
        <w:tc>
          <w:tcPr>
            <w:tcW w:w="1081" w:type="pct"/>
            <w:tcBorders>
              <w:top w:val="single" w:sz="4" w:space="0" w:color="auto"/>
              <w:left w:val="single" w:sz="4" w:space="0" w:color="auto"/>
              <w:bottom w:val="single" w:sz="4" w:space="0" w:color="auto"/>
              <w:right w:val="single" w:sz="4" w:space="0" w:color="auto"/>
            </w:tcBorders>
            <w:vAlign w:val="center"/>
          </w:tcPr>
          <w:p w:rsidR="00BD5820" w:rsidRDefault="00F64314" w:rsidP="00511129">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Pr>
                <w:rFonts w:ascii="Times New Roman" w:cs="Times New Roman"/>
                <w:kern w:val="2"/>
                <w:sz w:val="21"/>
                <w:szCs w:val="21"/>
              </w:rPr>
              <w:t>平均</w:t>
            </w:r>
          </w:p>
        </w:tc>
        <w:tc>
          <w:tcPr>
            <w:tcW w:w="1518" w:type="pct"/>
            <w:tcBorders>
              <w:top w:val="single" w:sz="4" w:space="0" w:color="auto"/>
              <w:left w:val="single" w:sz="4" w:space="0" w:color="auto"/>
              <w:bottom w:val="single" w:sz="4" w:space="0" w:color="auto"/>
              <w:right w:val="single" w:sz="4" w:space="0" w:color="auto"/>
            </w:tcBorders>
          </w:tcPr>
          <w:p w:rsidR="00BD5820" w:rsidRDefault="00F64314" w:rsidP="00511129">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Pr>
                <w:rFonts w:ascii="Times New Roman" w:cs="Times New Roman"/>
                <w:kern w:val="2"/>
                <w:sz w:val="21"/>
                <w:szCs w:val="21"/>
              </w:rPr>
              <w:t>m/s</w:t>
            </w:r>
          </w:p>
        </w:tc>
        <w:tc>
          <w:tcPr>
            <w:tcW w:w="1672" w:type="pct"/>
            <w:tcBorders>
              <w:top w:val="single" w:sz="4" w:space="0" w:color="auto"/>
              <w:left w:val="single" w:sz="4" w:space="0" w:color="auto"/>
              <w:bottom w:val="single" w:sz="4" w:space="0" w:color="auto"/>
              <w:right w:val="nil"/>
            </w:tcBorders>
            <w:vAlign w:val="center"/>
          </w:tcPr>
          <w:p w:rsidR="00BD5820" w:rsidRDefault="00F64314" w:rsidP="00511129">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Pr>
                <w:rFonts w:ascii="Times New Roman" w:cs="Times New Roman"/>
                <w:kern w:val="2"/>
                <w:sz w:val="21"/>
                <w:szCs w:val="21"/>
              </w:rPr>
              <w:t>1.5</w:t>
            </w:r>
          </w:p>
        </w:tc>
      </w:tr>
      <w:tr w:rsidR="00BD5820">
        <w:trPr>
          <w:trHeight w:val="15"/>
          <w:jc w:val="center"/>
        </w:trPr>
        <w:tc>
          <w:tcPr>
            <w:tcW w:w="0" w:type="auto"/>
            <w:vMerge/>
            <w:tcBorders>
              <w:top w:val="single" w:sz="4" w:space="0" w:color="auto"/>
              <w:left w:val="nil"/>
              <w:bottom w:val="single" w:sz="4" w:space="0" w:color="auto"/>
              <w:right w:val="single" w:sz="4" w:space="0" w:color="auto"/>
            </w:tcBorders>
            <w:vAlign w:val="center"/>
          </w:tcPr>
          <w:p w:rsidR="00BD5820" w:rsidRDefault="00BD5820">
            <w:pPr>
              <w:widowControl/>
              <w:topLinePunct w:val="0"/>
              <w:adjustRightInd/>
              <w:spacing w:afterAutospacing="1" w:line="240" w:lineRule="auto"/>
              <w:ind w:firstLineChars="0" w:firstLine="0"/>
              <w:jc w:val="left"/>
              <w:rPr>
                <w:rFonts w:ascii="Times New Roman" w:cs="Times New Roman"/>
                <w:kern w:val="2"/>
                <w:sz w:val="21"/>
                <w:szCs w:val="21"/>
              </w:rPr>
            </w:pPr>
          </w:p>
        </w:tc>
        <w:tc>
          <w:tcPr>
            <w:tcW w:w="1081" w:type="pct"/>
            <w:tcBorders>
              <w:top w:val="single" w:sz="4" w:space="0" w:color="auto"/>
              <w:left w:val="single" w:sz="4" w:space="0" w:color="auto"/>
              <w:bottom w:val="single" w:sz="4" w:space="0" w:color="auto"/>
              <w:right w:val="single" w:sz="4" w:space="0" w:color="auto"/>
            </w:tcBorders>
            <w:vAlign w:val="center"/>
          </w:tcPr>
          <w:p w:rsidR="00BD5820" w:rsidRDefault="00F64314" w:rsidP="00511129">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Pr>
                <w:rFonts w:ascii="Times New Roman" w:cs="Times New Roman"/>
                <w:kern w:val="2"/>
                <w:sz w:val="21"/>
                <w:szCs w:val="21"/>
              </w:rPr>
              <w:t>最大</w:t>
            </w:r>
          </w:p>
        </w:tc>
        <w:tc>
          <w:tcPr>
            <w:tcW w:w="1518" w:type="pct"/>
            <w:tcBorders>
              <w:top w:val="single" w:sz="4" w:space="0" w:color="auto"/>
              <w:left w:val="single" w:sz="4" w:space="0" w:color="auto"/>
              <w:bottom w:val="single" w:sz="4" w:space="0" w:color="auto"/>
              <w:right w:val="single" w:sz="4" w:space="0" w:color="auto"/>
            </w:tcBorders>
          </w:tcPr>
          <w:p w:rsidR="00BD5820" w:rsidRDefault="00F64314" w:rsidP="00511129">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Pr>
                <w:rFonts w:ascii="Times New Roman" w:cs="Times New Roman"/>
                <w:kern w:val="2"/>
                <w:sz w:val="21"/>
                <w:szCs w:val="21"/>
              </w:rPr>
              <w:t>m/s</w:t>
            </w:r>
          </w:p>
        </w:tc>
        <w:tc>
          <w:tcPr>
            <w:tcW w:w="1672" w:type="pct"/>
            <w:tcBorders>
              <w:top w:val="single" w:sz="4" w:space="0" w:color="auto"/>
              <w:left w:val="single" w:sz="4" w:space="0" w:color="auto"/>
              <w:bottom w:val="single" w:sz="4" w:space="0" w:color="auto"/>
              <w:right w:val="nil"/>
            </w:tcBorders>
            <w:vAlign w:val="center"/>
          </w:tcPr>
          <w:p w:rsidR="00BD5820" w:rsidRDefault="00F64314" w:rsidP="00511129">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Pr>
                <w:rFonts w:ascii="Times New Roman" w:cs="Times New Roman"/>
                <w:kern w:val="2"/>
                <w:sz w:val="21"/>
                <w:szCs w:val="21"/>
              </w:rPr>
              <w:t>32</w:t>
            </w:r>
          </w:p>
        </w:tc>
      </w:tr>
      <w:tr w:rsidR="00BD5820">
        <w:trPr>
          <w:trHeight w:val="15"/>
          <w:jc w:val="center"/>
        </w:trPr>
        <w:tc>
          <w:tcPr>
            <w:tcW w:w="0" w:type="auto"/>
            <w:vMerge/>
            <w:tcBorders>
              <w:top w:val="single" w:sz="4" w:space="0" w:color="auto"/>
              <w:left w:val="nil"/>
              <w:bottom w:val="single" w:sz="4" w:space="0" w:color="auto"/>
              <w:right w:val="single" w:sz="4" w:space="0" w:color="auto"/>
            </w:tcBorders>
            <w:vAlign w:val="center"/>
          </w:tcPr>
          <w:p w:rsidR="00BD5820" w:rsidRDefault="00BD5820">
            <w:pPr>
              <w:widowControl/>
              <w:topLinePunct w:val="0"/>
              <w:adjustRightInd/>
              <w:spacing w:afterAutospacing="1" w:line="240" w:lineRule="auto"/>
              <w:ind w:firstLineChars="0" w:firstLine="0"/>
              <w:jc w:val="left"/>
              <w:rPr>
                <w:rFonts w:ascii="Times New Roman" w:cs="Times New Roman"/>
                <w:kern w:val="2"/>
                <w:sz w:val="21"/>
                <w:szCs w:val="21"/>
              </w:rPr>
            </w:pPr>
          </w:p>
        </w:tc>
        <w:tc>
          <w:tcPr>
            <w:tcW w:w="1081" w:type="pct"/>
            <w:tcBorders>
              <w:top w:val="single" w:sz="4" w:space="0" w:color="auto"/>
              <w:left w:val="single" w:sz="4" w:space="0" w:color="auto"/>
              <w:bottom w:val="single" w:sz="4" w:space="0" w:color="auto"/>
              <w:right w:val="single" w:sz="4" w:space="0" w:color="auto"/>
            </w:tcBorders>
            <w:vAlign w:val="center"/>
          </w:tcPr>
          <w:p w:rsidR="00BD5820" w:rsidRDefault="00F64314" w:rsidP="00511129">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Pr>
                <w:rFonts w:ascii="Times New Roman" w:cs="Times New Roman"/>
                <w:kern w:val="2"/>
                <w:sz w:val="21"/>
                <w:szCs w:val="21"/>
              </w:rPr>
              <w:t>主导风向</w:t>
            </w:r>
          </w:p>
        </w:tc>
        <w:tc>
          <w:tcPr>
            <w:tcW w:w="1518" w:type="pct"/>
            <w:tcBorders>
              <w:top w:val="single" w:sz="4" w:space="0" w:color="auto"/>
              <w:left w:val="single" w:sz="4" w:space="0" w:color="auto"/>
              <w:bottom w:val="single" w:sz="4" w:space="0" w:color="auto"/>
              <w:right w:val="single" w:sz="4" w:space="0" w:color="auto"/>
            </w:tcBorders>
          </w:tcPr>
          <w:p w:rsidR="00BD5820" w:rsidRDefault="00F64314" w:rsidP="00511129">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Pr>
                <w:rFonts w:ascii="Times New Roman" w:cs="Times New Roman"/>
                <w:kern w:val="2"/>
                <w:sz w:val="21"/>
                <w:szCs w:val="21"/>
              </w:rPr>
              <w:t>m/s</w:t>
            </w:r>
          </w:p>
        </w:tc>
        <w:tc>
          <w:tcPr>
            <w:tcW w:w="1672" w:type="pct"/>
            <w:tcBorders>
              <w:top w:val="single" w:sz="4" w:space="0" w:color="auto"/>
              <w:left w:val="single" w:sz="4" w:space="0" w:color="auto"/>
              <w:bottom w:val="single" w:sz="4" w:space="0" w:color="auto"/>
              <w:right w:val="nil"/>
            </w:tcBorders>
            <w:vAlign w:val="center"/>
          </w:tcPr>
          <w:p w:rsidR="00BD5820" w:rsidRDefault="00F64314" w:rsidP="00511129">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Pr>
                <w:rFonts w:ascii="Times New Roman" w:cs="Times New Roman"/>
                <w:kern w:val="2"/>
                <w:sz w:val="21"/>
                <w:szCs w:val="21"/>
              </w:rPr>
              <w:t>NE</w:t>
            </w:r>
          </w:p>
        </w:tc>
      </w:tr>
      <w:tr w:rsidR="00BD5820">
        <w:trPr>
          <w:trHeight w:val="15"/>
          <w:jc w:val="center"/>
        </w:trPr>
        <w:tc>
          <w:tcPr>
            <w:tcW w:w="728" w:type="pct"/>
            <w:vMerge w:val="restart"/>
            <w:tcBorders>
              <w:top w:val="single" w:sz="4" w:space="0" w:color="auto"/>
              <w:left w:val="nil"/>
              <w:bottom w:val="single" w:sz="4" w:space="0" w:color="auto"/>
              <w:right w:val="single" w:sz="4" w:space="0" w:color="auto"/>
            </w:tcBorders>
            <w:vAlign w:val="center"/>
          </w:tcPr>
          <w:p w:rsidR="00BD5820" w:rsidRDefault="00F64314" w:rsidP="00511129">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Pr>
                <w:rFonts w:ascii="Times New Roman" w:cs="Times New Roman"/>
                <w:kern w:val="2"/>
                <w:sz w:val="21"/>
                <w:szCs w:val="21"/>
              </w:rPr>
              <w:t>多年平均地温</w:t>
            </w:r>
          </w:p>
        </w:tc>
        <w:tc>
          <w:tcPr>
            <w:tcW w:w="1081" w:type="pct"/>
            <w:tcBorders>
              <w:top w:val="single" w:sz="4" w:space="0" w:color="auto"/>
              <w:left w:val="single" w:sz="4" w:space="0" w:color="auto"/>
              <w:bottom w:val="single" w:sz="4" w:space="0" w:color="auto"/>
              <w:right w:val="single" w:sz="4" w:space="0" w:color="auto"/>
            </w:tcBorders>
            <w:vAlign w:val="center"/>
          </w:tcPr>
          <w:p w:rsidR="00BD5820" w:rsidRDefault="00F64314" w:rsidP="00511129">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Pr>
                <w:rFonts w:ascii="Times New Roman" w:cs="Times New Roman"/>
                <w:kern w:val="2"/>
                <w:sz w:val="21"/>
                <w:szCs w:val="21"/>
              </w:rPr>
              <w:t>地面</w:t>
            </w:r>
          </w:p>
        </w:tc>
        <w:tc>
          <w:tcPr>
            <w:tcW w:w="1518" w:type="pct"/>
            <w:tcBorders>
              <w:top w:val="single" w:sz="4" w:space="0" w:color="auto"/>
              <w:left w:val="single" w:sz="4" w:space="0" w:color="auto"/>
              <w:bottom w:val="single" w:sz="4" w:space="0" w:color="auto"/>
              <w:right w:val="single" w:sz="4" w:space="0" w:color="auto"/>
            </w:tcBorders>
          </w:tcPr>
          <w:p w:rsidR="00BD5820" w:rsidRDefault="00F64314" w:rsidP="00511129">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Pr>
                <w:rFonts w:ascii="Times New Roman" w:cs="Times New Roman"/>
                <w:kern w:val="2"/>
                <w:sz w:val="21"/>
                <w:szCs w:val="21"/>
              </w:rPr>
              <w:t>℃</w:t>
            </w:r>
          </w:p>
        </w:tc>
        <w:tc>
          <w:tcPr>
            <w:tcW w:w="1672" w:type="pct"/>
            <w:tcBorders>
              <w:top w:val="single" w:sz="4" w:space="0" w:color="auto"/>
              <w:left w:val="single" w:sz="4" w:space="0" w:color="auto"/>
              <w:bottom w:val="single" w:sz="4" w:space="0" w:color="auto"/>
              <w:right w:val="nil"/>
            </w:tcBorders>
            <w:vAlign w:val="center"/>
          </w:tcPr>
          <w:p w:rsidR="00BD5820" w:rsidRDefault="00F64314" w:rsidP="00511129">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Pr>
                <w:rFonts w:ascii="Times New Roman" w:cs="Times New Roman"/>
                <w:kern w:val="2"/>
                <w:sz w:val="21"/>
                <w:szCs w:val="21"/>
              </w:rPr>
              <w:t>18.1</w:t>
            </w:r>
          </w:p>
        </w:tc>
      </w:tr>
      <w:tr w:rsidR="00BD5820">
        <w:trPr>
          <w:trHeight w:val="15"/>
          <w:jc w:val="center"/>
        </w:trPr>
        <w:tc>
          <w:tcPr>
            <w:tcW w:w="0" w:type="auto"/>
            <w:vMerge/>
            <w:tcBorders>
              <w:top w:val="single" w:sz="4" w:space="0" w:color="auto"/>
              <w:left w:val="nil"/>
              <w:bottom w:val="single" w:sz="4" w:space="0" w:color="auto"/>
              <w:right w:val="single" w:sz="4" w:space="0" w:color="auto"/>
            </w:tcBorders>
            <w:vAlign w:val="center"/>
          </w:tcPr>
          <w:p w:rsidR="00BD5820" w:rsidRDefault="00BD5820">
            <w:pPr>
              <w:widowControl/>
              <w:topLinePunct w:val="0"/>
              <w:adjustRightInd/>
              <w:spacing w:afterAutospacing="1" w:line="240" w:lineRule="auto"/>
              <w:ind w:firstLineChars="0" w:firstLine="0"/>
              <w:jc w:val="left"/>
              <w:rPr>
                <w:rFonts w:ascii="Times New Roman" w:cs="Times New Roman"/>
                <w:kern w:val="2"/>
                <w:sz w:val="21"/>
                <w:szCs w:val="21"/>
              </w:rPr>
            </w:pPr>
          </w:p>
        </w:tc>
        <w:tc>
          <w:tcPr>
            <w:tcW w:w="1081" w:type="pct"/>
            <w:tcBorders>
              <w:top w:val="single" w:sz="4" w:space="0" w:color="auto"/>
              <w:left w:val="single" w:sz="4" w:space="0" w:color="auto"/>
              <w:bottom w:val="single" w:sz="4" w:space="0" w:color="auto"/>
              <w:right w:val="single" w:sz="4" w:space="0" w:color="auto"/>
            </w:tcBorders>
            <w:vAlign w:val="center"/>
          </w:tcPr>
          <w:p w:rsidR="00BD5820" w:rsidRDefault="00F64314" w:rsidP="00511129">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Pr>
                <w:rFonts w:ascii="Times New Roman" w:cs="Times New Roman"/>
                <w:kern w:val="2"/>
                <w:sz w:val="21"/>
                <w:szCs w:val="21"/>
              </w:rPr>
              <w:t>-0.2m</w:t>
            </w:r>
          </w:p>
        </w:tc>
        <w:tc>
          <w:tcPr>
            <w:tcW w:w="1518" w:type="pct"/>
            <w:tcBorders>
              <w:top w:val="single" w:sz="4" w:space="0" w:color="auto"/>
              <w:left w:val="single" w:sz="4" w:space="0" w:color="auto"/>
              <w:bottom w:val="single" w:sz="4" w:space="0" w:color="auto"/>
              <w:right w:val="single" w:sz="4" w:space="0" w:color="auto"/>
            </w:tcBorders>
          </w:tcPr>
          <w:p w:rsidR="00BD5820" w:rsidRDefault="00F64314" w:rsidP="00511129">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Pr>
                <w:rFonts w:ascii="Times New Roman" w:cs="Times New Roman"/>
                <w:kern w:val="2"/>
                <w:sz w:val="21"/>
                <w:szCs w:val="21"/>
              </w:rPr>
              <w:t>℃</w:t>
            </w:r>
          </w:p>
        </w:tc>
        <w:tc>
          <w:tcPr>
            <w:tcW w:w="1672" w:type="pct"/>
            <w:tcBorders>
              <w:top w:val="single" w:sz="4" w:space="0" w:color="auto"/>
              <w:left w:val="single" w:sz="4" w:space="0" w:color="auto"/>
              <w:bottom w:val="single" w:sz="4" w:space="0" w:color="auto"/>
              <w:right w:val="nil"/>
            </w:tcBorders>
            <w:vAlign w:val="center"/>
          </w:tcPr>
          <w:p w:rsidR="00BD5820" w:rsidRDefault="00F64314" w:rsidP="00511129">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Pr>
                <w:rFonts w:ascii="Times New Roman" w:cs="Times New Roman"/>
                <w:kern w:val="2"/>
                <w:sz w:val="21"/>
                <w:szCs w:val="21"/>
              </w:rPr>
              <w:t>20.2</w:t>
            </w:r>
          </w:p>
        </w:tc>
      </w:tr>
      <w:tr w:rsidR="00BD5820">
        <w:trPr>
          <w:trHeight w:val="15"/>
          <w:jc w:val="center"/>
        </w:trPr>
        <w:tc>
          <w:tcPr>
            <w:tcW w:w="1809" w:type="pct"/>
            <w:gridSpan w:val="2"/>
            <w:tcBorders>
              <w:top w:val="single" w:sz="4" w:space="0" w:color="auto"/>
              <w:left w:val="nil"/>
              <w:bottom w:val="single" w:sz="4" w:space="0" w:color="auto"/>
              <w:right w:val="single" w:sz="4" w:space="0" w:color="auto"/>
            </w:tcBorders>
            <w:vAlign w:val="center"/>
          </w:tcPr>
          <w:p w:rsidR="00BD5820" w:rsidRDefault="00F64314" w:rsidP="00511129">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Pr>
                <w:rFonts w:ascii="Times New Roman" w:cs="Times New Roman"/>
                <w:kern w:val="2"/>
                <w:sz w:val="21"/>
                <w:szCs w:val="21"/>
              </w:rPr>
              <w:t>年平均日照时数</w:t>
            </w:r>
          </w:p>
        </w:tc>
        <w:tc>
          <w:tcPr>
            <w:tcW w:w="1518" w:type="pct"/>
            <w:tcBorders>
              <w:top w:val="single" w:sz="4" w:space="0" w:color="auto"/>
              <w:left w:val="single" w:sz="4" w:space="0" w:color="auto"/>
              <w:bottom w:val="single" w:sz="4" w:space="0" w:color="auto"/>
              <w:right w:val="single" w:sz="4" w:space="0" w:color="auto"/>
            </w:tcBorders>
          </w:tcPr>
          <w:p w:rsidR="00BD5820" w:rsidRDefault="00F64314" w:rsidP="00511129">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Pr>
                <w:rFonts w:ascii="Times New Roman" w:cs="Times New Roman"/>
                <w:kern w:val="2"/>
                <w:sz w:val="21"/>
                <w:szCs w:val="21"/>
              </w:rPr>
              <w:t>h</w:t>
            </w:r>
          </w:p>
        </w:tc>
        <w:tc>
          <w:tcPr>
            <w:tcW w:w="1672" w:type="pct"/>
            <w:tcBorders>
              <w:top w:val="single" w:sz="4" w:space="0" w:color="auto"/>
              <w:left w:val="single" w:sz="4" w:space="0" w:color="auto"/>
              <w:bottom w:val="single" w:sz="4" w:space="0" w:color="auto"/>
              <w:right w:val="nil"/>
            </w:tcBorders>
            <w:vAlign w:val="center"/>
          </w:tcPr>
          <w:p w:rsidR="00BD5820" w:rsidRDefault="00F64314" w:rsidP="00511129">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Pr>
                <w:rFonts w:ascii="Times New Roman" w:cs="Times New Roman"/>
                <w:kern w:val="2"/>
                <w:sz w:val="21"/>
                <w:szCs w:val="21"/>
              </w:rPr>
              <w:t>1596.3</w:t>
            </w:r>
          </w:p>
        </w:tc>
      </w:tr>
      <w:tr w:rsidR="00BD5820">
        <w:trPr>
          <w:trHeight w:val="15"/>
          <w:jc w:val="center"/>
        </w:trPr>
        <w:tc>
          <w:tcPr>
            <w:tcW w:w="1809" w:type="pct"/>
            <w:gridSpan w:val="2"/>
            <w:tcBorders>
              <w:top w:val="single" w:sz="4" w:space="0" w:color="auto"/>
              <w:left w:val="nil"/>
              <w:bottom w:val="single" w:sz="4" w:space="0" w:color="auto"/>
              <w:right w:val="single" w:sz="4" w:space="0" w:color="auto"/>
            </w:tcBorders>
            <w:vAlign w:val="center"/>
          </w:tcPr>
          <w:p w:rsidR="00BD5820" w:rsidRDefault="00F64314" w:rsidP="00511129">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Pr>
                <w:rFonts w:ascii="Times New Roman" w:cs="Times New Roman"/>
                <w:kern w:val="2"/>
                <w:sz w:val="21"/>
                <w:szCs w:val="21"/>
              </w:rPr>
              <w:t>年平均蒸发量</w:t>
            </w:r>
          </w:p>
        </w:tc>
        <w:tc>
          <w:tcPr>
            <w:tcW w:w="1518" w:type="pct"/>
            <w:tcBorders>
              <w:top w:val="single" w:sz="4" w:space="0" w:color="auto"/>
              <w:left w:val="single" w:sz="4" w:space="0" w:color="auto"/>
              <w:bottom w:val="single" w:sz="4" w:space="0" w:color="auto"/>
              <w:right w:val="single" w:sz="4" w:space="0" w:color="auto"/>
            </w:tcBorders>
          </w:tcPr>
          <w:p w:rsidR="00BD5820" w:rsidRDefault="00F64314" w:rsidP="00511129">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Pr>
                <w:rFonts w:ascii="Times New Roman" w:cs="Times New Roman"/>
                <w:kern w:val="2"/>
                <w:sz w:val="21"/>
                <w:szCs w:val="21"/>
              </w:rPr>
              <w:t>mm</w:t>
            </w:r>
          </w:p>
        </w:tc>
        <w:tc>
          <w:tcPr>
            <w:tcW w:w="1672" w:type="pct"/>
            <w:tcBorders>
              <w:top w:val="single" w:sz="4" w:space="0" w:color="auto"/>
              <w:left w:val="single" w:sz="4" w:space="0" w:color="auto"/>
              <w:bottom w:val="single" w:sz="4" w:space="0" w:color="auto"/>
              <w:right w:val="nil"/>
            </w:tcBorders>
            <w:vAlign w:val="center"/>
          </w:tcPr>
          <w:p w:rsidR="00BD5820" w:rsidRDefault="00F64314" w:rsidP="00511129">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Pr>
                <w:rFonts w:ascii="Times New Roman" w:cs="Times New Roman"/>
                <w:kern w:val="2"/>
                <w:sz w:val="21"/>
                <w:szCs w:val="21"/>
              </w:rPr>
              <w:t>1215.9</w:t>
            </w:r>
          </w:p>
        </w:tc>
      </w:tr>
      <w:tr w:rsidR="00BD5820">
        <w:trPr>
          <w:trHeight w:val="15"/>
          <w:jc w:val="center"/>
        </w:trPr>
        <w:tc>
          <w:tcPr>
            <w:tcW w:w="1809" w:type="pct"/>
            <w:gridSpan w:val="2"/>
            <w:tcBorders>
              <w:top w:val="single" w:sz="4" w:space="0" w:color="auto"/>
              <w:left w:val="nil"/>
              <w:bottom w:val="single" w:sz="4" w:space="0" w:color="auto"/>
              <w:right w:val="single" w:sz="4" w:space="0" w:color="auto"/>
            </w:tcBorders>
            <w:vAlign w:val="center"/>
          </w:tcPr>
          <w:p w:rsidR="00BD5820" w:rsidRDefault="00F64314" w:rsidP="00511129">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Pr>
                <w:rFonts w:ascii="Times New Roman" w:cs="Times New Roman"/>
                <w:kern w:val="2"/>
                <w:sz w:val="21"/>
                <w:szCs w:val="21"/>
              </w:rPr>
              <w:t>年均无霜期</w:t>
            </w:r>
          </w:p>
        </w:tc>
        <w:tc>
          <w:tcPr>
            <w:tcW w:w="1518" w:type="pct"/>
            <w:tcBorders>
              <w:top w:val="single" w:sz="4" w:space="0" w:color="auto"/>
              <w:left w:val="single" w:sz="4" w:space="0" w:color="auto"/>
              <w:bottom w:val="single" w:sz="4" w:space="0" w:color="auto"/>
              <w:right w:val="single" w:sz="4" w:space="0" w:color="auto"/>
            </w:tcBorders>
          </w:tcPr>
          <w:p w:rsidR="00BD5820" w:rsidRDefault="00F64314" w:rsidP="00511129">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Pr>
                <w:rFonts w:ascii="Times New Roman" w:cs="Times New Roman"/>
                <w:kern w:val="2"/>
                <w:sz w:val="21"/>
                <w:szCs w:val="21"/>
              </w:rPr>
              <w:t>d</w:t>
            </w:r>
          </w:p>
        </w:tc>
        <w:tc>
          <w:tcPr>
            <w:tcW w:w="1672" w:type="pct"/>
            <w:tcBorders>
              <w:top w:val="single" w:sz="4" w:space="0" w:color="auto"/>
              <w:left w:val="single" w:sz="4" w:space="0" w:color="auto"/>
              <w:bottom w:val="single" w:sz="4" w:space="0" w:color="auto"/>
              <w:right w:val="nil"/>
            </w:tcBorders>
            <w:vAlign w:val="center"/>
          </w:tcPr>
          <w:p w:rsidR="00BD5820" w:rsidRDefault="00F64314" w:rsidP="00511129">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Pr>
                <w:rFonts w:ascii="Times New Roman" w:cs="Times New Roman"/>
                <w:kern w:val="2"/>
                <w:sz w:val="21"/>
                <w:szCs w:val="21"/>
              </w:rPr>
              <w:t>296</w:t>
            </w:r>
          </w:p>
        </w:tc>
      </w:tr>
      <w:tr w:rsidR="00BD5820">
        <w:trPr>
          <w:trHeight w:val="15"/>
          <w:jc w:val="center"/>
        </w:trPr>
        <w:tc>
          <w:tcPr>
            <w:tcW w:w="1809" w:type="pct"/>
            <w:gridSpan w:val="2"/>
            <w:tcBorders>
              <w:top w:val="single" w:sz="4" w:space="0" w:color="auto"/>
              <w:left w:val="nil"/>
              <w:bottom w:val="single" w:sz="12" w:space="0" w:color="auto"/>
              <w:right w:val="single" w:sz="4" w:space="0" w:color="auto"/>
            </w:tcBorders>
            <w:vAlign w:val="center"/>
          </w:tcPr>
          <w:p w:rsidR="00BD5820" w:rsidRDefault="00F64314" w:rsidP="00511129">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Pr>
                <w:rFonts w:ascii="Times New Roman" w:cs="Times New Roman"/>
                <w:kern w:val="2"/>
                <w:sz w:val="21"/>
                <w:szCs w:val="21"/>
              </w:rPr>
              <w:t>相对湿度</w:t>
            </w:r>
          </w:p>
        </w:tc>
        <w:tc>
          <w:tcPr>
            <w:tcW w:w="1518" w:type="pct"/>
            <w:tcBorders>
              <w:top w:val="single" w:sz="4" w:space="0" w:color="auto"/>
              <w:left w:val="single" w:sz="4" w:space="0" w:color="auto"/>
              <w:bottom w:val="single" w:sz="12" w:space="0" w:color="auto"/>
              <w:right w:val="single" w:sz="4" w:space="0" w:color="auto"/>
            </w:tcBorders>
          </w:tcPr>
          <w:p w:rsidR="00BD5820" w:rsidRDefault="00F64314" w:rsidP="00511129">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Pr>
                <w:rFonts w:ascii="Times New Roman" w:cs="Times New Roman"/>
                <w:kern w:val="2"/>
                <w:sz w:val="21"/>
                <w:szCs w:val="21"/>
              </w:rPr>
              <w:t>%</w:t>
            </w:r>
          </w:p>
        </w:tc>
        <w:tc>
          <w:tcPr>
            <w:tcW w:w="1672" w:type="pct"/>
            <w:tcBorders>
              <w:top w:val="single" w:sz="4" w:space="0" w:color="auto"/>
              <w:left w:val="single" w:sz="4" w:space="0" w:color="auto"/>
              <w:bottom w:val="single" w:sz="12" w:space="0" w:color="auto"/>
              <w:right w:val="nil"/>
            </w:tcBorders>
            <w:vAlign w:val="center"/>
          </w:tcPr>
          <w:p w:rsidR="00BD5820" w:rsidRDefault="00F64314" w:rsidP="00511129">
            <w:pPr>
              <w:topLinePunct w:val="0"/>
              <w:autoSpaceDE w:val="0"/>
              <w:autoSpaceDN w:val="0"/>
              <w:snapToGrid w:val="0"/>
              <w:spacing w:beforeLines="20" w:line="240" w:lineRule="auto"/>
              <w:ind w:firstLineChars="0" w:firstLine="0"/>
              <w:jc w:val="center"/>
              <w:rPr>
                <w:rFonts w:ascii="Times New Roman" w:cs="Times New Roman"/>
                <w:kern w:val="2"/>
                <w:sz w:val="21"/>
                <w:szCs w:val="21"/>
              </w:rPr>
            </w:pPr>
            <w:r>
              <w:rPr>
                <w:rFonts w:ascii="Times New Roman" w:cs="Times New Roman"/>
                <w:kern w:val="2"/>
                <w:sz w:val="21"/>
                <w:szCs w:val="21"/>
              </w:rPr>
              <w:t>77</w:t>
            </w:r>
          </w:p>
        </w:tc>
      </w:tr>
    </w:tbl>
    <w:p w:rsidR="00BD5820" w:rsidRDefault="00F64314">
      <w:pPr>
        <w:pStyle w:val="3"/>
        <w:rPr>
          <w:rFonts w:eastAsia="宋体"/>
        </w:rPr>
      </w:pPr>
      <w:bookmarkStart w:id="323" w:name="_Toc19816009"/>
      <w:bookmarkStart w:id="324" w:name="_Toc19816007"/>
      <w:r>
        <w:rPr>
          <w:rFonts w:eastAsia="宋体"/>
        </w:rPr>
        <w:t xml:space="preserve">5.1.4 </w:t>
      </w:r>
      <w:r>
        <w:rPr>
          <w:rFonts w:eastAsia="宋体"/>
        </w:rPr>
        <w:t>水文</w:t>
      </w:r>
      <w:bookmarkEnd w:id="323"/>
      <w:r>
        <w:rPr>
          <w:rFonts w:eastAsia="宋体"/>
        </w:rPr>
        <w:t>与地质</w:t>
      </w:r>
    </w:p>
    <w:p w:rsidR="00BD5820" w:rsidRDefault="00F64314">
      <w:pPr>
        <w:pStyle w:val="affa"/>
        <w:ind w:firstLine="482"/>
        <w:rPr>
          <w:rStyle w:val="afc"/>
          <w:spacing w:val="0"/>
          <w:position w:val="0"/>
          <w:sz w:val="24"/>
        </w:rPr>
      </w:pPr>
      <w:r>
        <w:rPr>
          <w:rStyle w:val="afc"/>
          <w:spacing w:val="0"/>
          <w:position w:val="0"/>
          <w:sz w:val="24"/>
        </w:rPr>
        <w:t>1</w:t>
      </w:r>
      <w:r>
        <w:rPr>
          <w:rStyle w:val="afc"/>
          <w:spacing w:val="0"/>
          <w:position w:val="0"/>
          <w:sz w:val="24"/>
        </w:rPr>
        <w:t>、地表水</w:t>
      </w:r>
    </w:p>
    <w:p w:rsidR="00BD5820" w:rsidRDefault="00F64314">
      <w:pPr>
        <w:pStyle w:val="affa"/>
        <w:ind w:firstLine="480"/>
      </w:pPr>
      <w:r>
        <w:t>达州市河流主要属长江支流的嘉陵江水系，发源于大巴山，由北而南呈树枝状分布。前河、中河、后河汇成州河后与巴河在渠县三汇镇汇合成渠江，南流</w:t>
      </w:r>
      <w:r>
        <w:t>300km</w:t>
      </w:r>
      <w:r>
        <w:t>入长江。境内流域面积在</w:t>
      </w:r>
      <w:r>
        <w:t>100km</w:t>
      </w:r>
      <w:r>
        <w:rPr>
          <w:vertAlign w:val="superscript"/>
        </w:rPr>
        <w:t>2</w:t>
      </w:r>
      <w:r>
        <w:t>以上的河流有</w:t>
      </w:r>
      <w:r>
        <w:t>53</w:t>
      </w:r>
      <w:r>
        <w:t>条，</w:t>
      </w:r>
      <w:r>
        <w:t>1000km</w:t>
      </w:r>
      <w:r>
        <w:rPr>
          <w:vertAlign w:val="superscript"/>
        </w:rPr>
        <w:t>2</w:t>
      </w:r>
      <w:r>
        <w:t>以上的干流有</w:t>
      </w:r>
      <w:r>
        <w:t>15</w:t>
      </w:r>
      <w:r>
        <w:t>条。共有通航河流</w:t>
      </w:r>
      <w:r>
        <w:t>9</w:t>
      </w:r>
      <w:r>
        <w:t>条，分别是渠江、州河、巴河、前河、后河、中河、铁溪河、清溪河、林岗溪，基本形成以渠江、州河、巴河这主干流的水路运输网络，流域覆盖达州市四个县（市）。各河流可通航里程不等，运载量在</w:t>
      </w:r>
      <w:r>
        <w:t>100t</w:t>
      </w:r>
      <w:r>
        <w:t>以下。本项目</w:t>
      </w:r>
      <w:r>
        <w:rPr>
          <w:rFonts w:hint="eastAsia"/>
        </w:rPr>
        <w:t>所在</w:t>
      </w:r>
      <w:r>
        <w:t>区域水系的后河、中河、白沙河均属渠江水系。</w:t>
      </w:r>
    </w:p>
    <w:p w:rsidR="00BD5820" w:rsidRDefault="00F64314">
      <w:pPr>
        <w:pStyle w:val="affa"/>
        <w:ind w:firstLine="480"/>
      </w:pPr>
      <w:r>
        <w:lastRenderedPageBreak/>
        <w:t>后河：后河在达州市境内，流程约</w:t>
      </w:r>
      <w:r>
        <w:t>25</w:t>
      </w:r>
      <w:r>
        <w:t>公里，流域面积</w:t>
      </w:r>
      <w:r>
        <w:t>263</w:t>
      </w:r>
      <w:r>
        <w:t>平方公里。河床平均宽约</w:t>
      </w:r>
      <w:r>
        <w:t>250</w:t>
      </w:r>
      <w:r>
        <w:t>米。平均枯水位</w:t>
      </w:r>
      <w:r>
        <w:t>270</w:t>
      </w:r>
      <w:r>
        <w:t>米，最低水位</w:t>
      </w:r>
      <w:r>
        <w:t>269.56</w:t>
      </w:r>
      <w:r>
        <w:t>米，平均含沙量</w:t>
      </w:r>
      <w:r>
        <w:t>1277.67</w:t>
      </w:r>
      <w:r>
        <w:t>克</w:t>
      </w:r>
      <w:r>
        <w:t>/</w:t>
      </w:r>
      <w:r>
        <w:t>立方米。最大洪水位为</w:t>
      </w:r>
      <w:r>
        <w:t>1902</w:t>
      </w:r>
      <w:r>
        <w:t>年，水位达</w:t>
      </w:r>
      <w:r>
        <w:t>286.71</w:t>
      </w:r>
      <w:r>
        <w:t>米，流量为</w:t>
      </w:r>
      <w:r>
        <w:t>13700</w:t>
      </w:r>
      <w:r>
        <w:t>立方米</w:t>
      </w:r>
      <w:r>
        <w:t>/</w:t>
      </w:r>
      <w:r>
        <w:t>秒。其次为</w:t>
      </w:r>
      <w:r>
        <w:t>1982</w:t>
      </w:r>
      <w:r>
        <w:t>年</w:t>
      </w:r>
      <w:r>
        <w:t>7</w:t>
      </w:r>
      <w:r>
        <w:t>月</w:t>
      </w:r>
      <w:r>
        <w:t>16</w:t>
      </w:r>
      <w:r>
        <w:t>日，水位达</w:t>
      </w:r>
      <w:r>
        <w:t>285.99</w:t>
      </w:r>
      <w:r>
        <w:t>米（实测），流量为</w:t>
      </w:r>
      <w:r>
        <w:t>13000</w:t>
      </w:r>
      <w:r>
        <w:t>立方米</w:t>
      </w:r>
      <w:r>
        <w:t>/</w:t>
      </w:r>
      <w:r>
        <w:t>秒。其中，东林站（</w:t>
      </w:r>
      <w:r>
        <w:t>14</w:t>
      </w:r>
      <w:r>
        <w:t>点）水位为</w:t>
      </w:r>
      <w:r>
        <w:t>313.2.</w:t>
      </w:r>
      <w:r>
        <w:t>米，流量为</w:t>
      </w:r>
      <w:r>
        <w:t>11800</w:t>
      </w:r>
      <w:r>
        <w:t>立方米</w:t>
      </w:r>
      <w:r>
        <w:t>/</w:t>
      </w:r>
      <w:r>
        <w:t>秒。东林站洪水一般约</w:t>
      </w:r>
      <w:r>
        <w:t>3</w:t>
      </w:r>
      <w:r>
        <w:t>小时到达城区，最快约</w:t>
      </w:r>
      <w:r>
        <w:t>2.5</w:t>
      </w:r>
      <w:r>
        <w:t>小时。市境多年平均流量火石岭入口处为</w:t>
      </w:r>
      <w:r>
        <w:t>165.7</w:t>
      </w:r>
      <w:r>
        <w:t>立方米</w:t>
      </w:r>
      <w:r>
        <w:t>/</w:t>
      </w:r>
      <w:r>
        <w:t>秒。达城锅厂梁断面年均流量</w:t>
      </w:r>
      <w:r>
        <w:t>201.4</w:t>
      </w:r>
      <w:r>
        <w:t>立方米</w:t>
      </w:r>
      <w:r>
        <w:t>/</w:t>
      </w:r>
      <w:r>
        <w:t>秒。阁溪桥出口处为</w:t>
      </w:r>
      <w:r>
        <w:t>211</w:t>
      </w:r>
      <w:r>
        <w:t>立方米</w:t>
      </w:r>
      <w:r>
        <w:t>/</w:t>
      </w:r>
      <w:r>
        <w:t>秒。天然落差</w:t>
      </w:r>
      <w:r>
        <w:t>8</w:t>
      </w:r>
      <w:r>
        <w:t>米，从北外乡起至大中坝止，有滩</w:t>
      </w:r>
      <w:r>
        <w:t>21</w:t>
      </w:r>
      <w:r>
        <w:t>处，河心有坝</w:t>
      </w:r>
      <w:r>
        <w:t>4</w:t>
      </w:r>
      <w:r>
        <w:t>处。水温，上游东林站多年的平均水温为</w:t>
      </w:r>
      <w:r>
        <w:t>15.7</w:t>
      </w:r>
      <w:r>
        <w:rPr>
          <w:rFonts w:ascii="宋体" w:hAnsi="宋体" w:cs="宋体" w:hint="eastAsia"/>
        </w:rPr>
        <w:t>℃</w:t>
      </w:r>
      <w:r>
        <w:t>，最高水温为</w:t>
      </w:r>
      <w:r>
        <w:t>26.2</w:t>
      </w:r>
      <w:r>
        <w:rPr>
          <w:rFonts w:ascii="宋体" w:hAnsi="宋体" w:cs="宋体" w:hint="eastAsia"/>
        </w:rPr>
        <w:t>℃</w:t>
      </w:r>
      <w:r>
        <w:t>，最低水温为</w:t>
      </w:r>
      <w:r>
        <w:t>5</w:t>
      </w:r>
      <w:r>
        <w:rPr>
          <w:rFonts w:ascii="宋体" w:hAnsi="宋体" w:cs="宋体" w:hint="eastAsia"/>
        </w:rPr>
        <w:t>℃</w:t>
      </w:r>
      <w:r>
        <w:t>。</w:t>
      </w:r>
    </w:p>
    <w:p w:rsidR="00BD5820" w:rsidRDefault="00F64314">
      <w:pPr>
        <w:pStyle w:val="a1"/>
        <w:ind w:firstLine="482"/>
        <w:rPr>
          <w:rStyle w:val="aff"/>
          <w:rFonts w:cs="Times New Roman"/>
        </w:rPr>
      </w:pPr>
      <w:bookmarkStart w:id="325" w:name="_Toc19816012"/>
      <w:r>
        <w:rPr>
          <w:rStyle w:val="aff"/>
          <w:rFonts w:cs="Times New Roman"/>
        </w:rPr>
        <w:t>2</w:t>
      </w:r>
      <w:r>
        <w:rPr>
          <w:rStyle w:val="aff"/>
          <w:rFonts w:cs="Times New Roman"/>
        </w:rPr>
        <w:t>、</w:t>
      </w:r>
      <w:bookmarkEnd w:id="325"/>
      <w:r>
        <w:rPr>
          <w:rStyle w:val="aff"/>
          <w:rFonts w:cs="Times New Roman"/>
        </w:rPr>
        <w:t>地下水</w:t>
      </w:r>
    </w:p>
    <w:p w:rsidR="00BD5820" w:rsidRDefault="00F64314">
      <w:pPr>
        <w:pStyle w:val="affa"/>
        <w:ind w:firstLine="480"/>
      </w:pPr>
      <w:r>
        <w:rPr>
          <w:rFonts w:hint="eastAsia"/>
        </w:rPr>
        <w:t>本项目</w:t>
      </w:r>
      <w:r>
        <w:t>建设区域内地下水类型可划分为两类：第四系松散堆积层孔隙水和基岩裂隙水。主要分布于剥蚀平台和沟谷</w:t>
      </w:r>
      <w:r>
        <w:t>-</w:t>
      </w:r>
      <w:r>
        <w:t>斜坡地带，含水层为侏罗系中统上沙溪庙组（</w:t>
      </w:r>
      <w:r>
        <w:t>J2s</w:t>
      </w:r>
      <w:r>
        <w:t>）风化泥质粉砂岩、细砂岩，水文地质条件较简单，地下水以风化带网状裂隙赋存、运移，地层富水性差、水量较小，水位埋深一般大于</w:t>
      </w:r>
      <w:r>
        <w:t>10m</w:t>
      </w:r>
      <w:r>
        <w:t>。</w:t>
      </w:r>
    </w:p>
    <w:p w:rsidR="00BD5820" w:rsidRDefault="00F64314">
      <w:pPr>
        <w:pStyle w:val="3"/>
        <w:rPr>
          <w:rFonts w:eastAsia="宋体"/>
        </w:rPr>
      </w:pPr>
      <w:bookmarkStart w:id="326" w:name="_Toc19816008"/>
      <w:r>
        <w:rPr>
          <w:rFonts w:eastAsia="宋体"/>
        </w:rPr>
        <w:t xml:space="preserve">5.1.5 </w:t>
      </w:r>
      <w:bookmarkEnd w:id="326"/>
      <w:r>
        <w:rPr>
          <w:rFonts w:eastAsia="宋体"/>
        </w:rPr>
        <w:t>地质构造与地震</w:t>
      </w:r>
    </w:p>
    <w:p w:rsidR="00BD5820" w:rsidRDefault="00F64314">
      <w:pPr>
        <w:pStyle w:val="a1"/>
        <w:ind w:firstLine="482"/>
        <w:rPr>
          <w:rFonts w:ascii="Times New Roman" w:cs="Times New Roman"/>
          <w:b/>
          <w:bCs/>
        </w:rPr>
      </w:pPr>
      <w:r>
        <w:rPr>
          <w:rFonts w:ascii="Times New Roman" w:cs="Times New Roman"/>
          <w:b/>
          <w:bCs/>
        </w:rPr>
        <w:t>1</w:t>
      </w:r>
      <w:r>
        <w:rPr>
          <w:rFonts w:ascii="Times New Roman" w:cs="Times New Roman"/>
          <w:b/>
          <w:bCs/>
        </w:rPr>
        <w:t>、地质构造</w:t>
      </w:r>
    </w:p>
    <w:p w:rsidR="00BD5820" w:rsidRDefault="00F64314">
      <w:pPr>
        <w:snapToGrid w:val="0"/>
        <w:spacing w:line="500" w:lineRule="exact"/>
        <w:ind w:firstLine="480"/>
        <w:rPr>
          <w:rFonts w:ascii="Times New Roman" w:cs="Times New Roman"/>
        </w:rPr>
      </w:pPr>
      <w:r>
        <w:rPr>
          <w:rFonts w:ascii="Times New Roman" w:cs="Times New Roman"/>
        </w:rPr>
        <w:t>宣汉县内地质构造的展布轮廊清楚，具有一定的方向和方位。断层走向和褶皱轴呈弧形展布，从西南向东北岩层倾角渐增，褶皱渐趋紧密，卷入地层渐老，褶皱的规模也由小到大，一般轴向长几公里至几十公里，并且多以复背斜形式出现。宣汉县境东北部的北西向构造有八台山</w:t>
      </w:r>
      <w:r>
        <w:rPr>
          <w:rFonts w:ascii="Times New Roman" w:cs="Times New Roman"/>
        </w:rPr>
        <w:t>-</w:t>
      </w:r>
      <w:r>
        <w:rPr>
          <w:rFonts w:ascii="Times New Roman" w:cs="Times New Roman"/>
        </w:rPr>
        <w:t>大宁厂向斜，渔沙</w:t>
      </w:r>
      <w:r>
        <w:rPr>
          <w:rFonts w:ascii="Times New Roman" w:cs="Times New Roman"/>
        </w:rPr>
        <w:t>-</w:t>
      </w:r>
      <w:r>
        <w:rPr>
          <w:rFonts w:ascii="Times New Roman" w:cs="Times New Roman"/>
        </w:rPr>
        <w:t>建楼冲断复背斜，满月冲断向斜，石塘坝</w:t>
      </w:r>
      <w:r>
        <w:rPr>
          <w:rFonts w:ascii="Times New Roman" w:cs="Times New Roman"/>
        </w:rPr>
        <w:t>-</w:t>
      </w:r>
      <w:r>
        <w:rPr>
          <w:rFonts w:ascii="Times New Roman" w:cs="Times New Roman"/>
        </w:rPr>
        <w:t>添子城复背斜，斜水园背斜等，这些构造的规模都较大，县境内只是其局部地段。其复背斜轴部最老地层为志留系徐家坪组砂岩、砂质页岩，两翼为二迭系和三迭系灰岩、白云质灰岩；向斜核部最新地层为三迭系嘉陵江组灰岩，褶皱紧闭，并伴随逆冲断层产生。县境西部的北西向构造规模最小，一般都在</w:t>
      </w:r>
      <w:r>
        <w:rPr>
          <w:rFonts w:ascii="Times New Roman" w:cs="Times New Roman"/>
        </w:rPr>
        <w:t>10</w:t>
      </w:r>
      <w:r>
        <w:rPr>
          <w:rFonts w:ascii="Times New Roman" w:cs="Times New Roman"/>
        </w:rPr>
        <w:t>公里以内。</w:t>
      </w:r>
    </w:p>
    <w:p w:rsidR="00BD5820" w:rsidRDefault="00F64314">
      <w:pPr>
        <w:snapToGrid w:val="0"/>
        <w:spacing w:line="500" w:lineRule="exact"/>
        <w:ind w:firstLine="480"/>
        <w:rPr>
          <w:rFonts w:ascii="Times New Roman" w:cs="Times New Roman"/>
        </w:rPr>
      </w:pPr>
      <w:r>
        <w:rPr>
          <w:rFonts w:ascii="Times New Roman" w:cs="Times New Roman"/>
        </w:rPr>
        <w:t>根据地表露头，普光地区下古生界地层较完整，仅缺失志留系上统。上古生界缺失了泥盆系全部和石炭系大部，仅残留中石炭统黄龙组，二叠系保留较全。中生界三叠系、侏罗系保留较全，白垩系仅局部有少量残留，新生界基本缺失。</w:t>
      </w:r>
    </w:p>
    <w:p w:rsidR="00BD5820" w:rsidRDefault="00F64314">
      <w:pPr>
        <w:snapToGrid w:val="0"/>
        <w:spacing w:line="500" w:lineRule="exact"/>
        <w:ind w:firstLine="482"/>
        <w:rPr>
          <w:rFonts w:ascii="Times New Roman" w:cs="Times New Roman"/>
          <w:b/>
          <w:bCs/>
        </w:rPr>
      </w:pPr>
      <w:r>
        <w:rPr>
          <w:rFonts w:ascii="Times New Roman" w:cs="Times New Roman"/>
          <w:b/>
          <w:bCs/>
        </w:rPr>
        <w:lastRenderedPageBreak/>
        <w:t>2</w:t>
      </w:r>
      <w:r>
        <w:rPr>
          <w:rFonts w:ascii="Times New Roman" w:cs="Times New Roman"/>
          <w:b/>
          <w:bCs/>
        </w:rPr>
        <w:t>、地震</w:t>
      </w:r>
    </w:p>
    <w:p w:rsidR="00BD5820" w:rsidRDefault="00F64314">
      <w:pPr>
        <w:pStyle w:val="affa"/>
        <w:ind w:firstLine="480"/>
      </w:pPr>
      <w:r>
        <w:rPr>
          <w:rStyle w:val="afc"/>
          <w:b w:val="0"/>
          <w:bCs w:val="0"/>
          <w:spacing w:val="0"/>
          <w:position w:val="0"/>
          <w:sz w:val="24"/>
        </w:rPr>
        <w:t>根据《建筑抗震设计规范》（</w:t>
      </w:r>
      <w:r>
        <w:rPr>
          <w:rStyle w:val="afc"/>
          <w:b w:val="0"/>
          <w:bCs w:val="0"/>
          <w:spacing w:val="0"/>
          <w:position w:val="0"/>
          <w:sz w:val="24"/>
        </w:rPr>
        <w:t>GB50011-2010</w:t>
      </w:r>
      <w:r>
        <w:rPr>
          <w:rStyle w:val="afc"/>
          <w:b w:val="0"/>
          <w:bCs w:val="0"/>
          <w:spacing w:val="0"/>
          <w:position w:val="0"/>
          <w:sz w:val="24"/>
        </w:rPr>
        <w:t>），宣汉抗震设防烈度为</w:t>
      </w:r>
      <w:r>
        <w:rPr>
          <w:rStyle w:val="afc"/>
          <w:b w:val="0"/>
          <w:bCs w:val="0"/>
          <w:spacing w:val="0"/>
          <w:position w:val="0"/>
          <w:sz w:val="24"/>
        </w:rPr>
        <w:t>6</w:t>
      </w:r>
      <w:r>
        <w:rPr>
          <w:rStyle w:val="afc"/>
          <w:b w:val="0"/>
          <w:bCs w:val="0"/>
          <w:spacing w:val="0"/>
          <w:position w:val="0"/>
          <w:sz w:val="24"/>
        </w:rPr>
        <w:t>度，设计基本地震加速度值为</w:t>
      </w:r>
      <w:r>
        <w:rPr>
          <w:rStyle w:val="afc"/>
          <w:b w:val="0"/>
          <w:bCs w:val="0"/>
          <w:spacing w:val="0"/>
          <w:position w:val="0"/>
          <w:sz w:val="24"/>
        </w:rPr>
        <w:t>0.05g</w:t>
      </w:r>
      <w:r>
        <w:rPr>
          <w:rStyle w:val="afc"/>
          <w:b w:val="0"/>
          <w:bCs w:val="0"/>
          <w:spacing w:val="0"/>
          <w:position w:val="0"/>
          <w:sz w:val="24"/>
        </w:rPr>
        <w:t>，属第一组，可不考虑地震液化问题。另查阅县志，整个宣汉县境尚无地震活动的记载。因此总体上区域稳定性良好，适宜工程修建。</w:t>
      </w:r>
    </w:p>
    <w:p w:rsidR="00BD5820" w:rsidRDefault="00F64314">
      <w:pPr>
        <w:pStyle w:val="3"/>
        <w:rPr>
          <w:rFonts w:eastAsia="宋体"/>
        </w:rPr>
      </w:pPr>
      <w:bookmarkStart w:id="327" w:name="_Toc19816010"/>
      <w:bookmarkStart w:id="328" w:name="_Toc12288548"/>
      <w:bookmarkEnd w:id="322"/>
      <w:bookmarkEnd w:id="324"/>
      <w:r>
        <w:rPr>
          <w:rFonts w:eastAsia="宋体"/>
        </w:rPr>
        <w:t xml:space="preserve">5.1.6 </w:t>
      </w:r>
      <w:r>
        <w:rPr>
          <w:rFonts w:eastAsia="宋体"/>
        </w:rPr>
        <w:t>土壤</w:t>
      </w:r>
    </w:p>
    <w:p w:rsidR="00BD5820" w:rsidRDefault="00F64314">
      <w:pPr>
        <w:pStyle w:val="affa"/>
        <w:ind w:firstLine="480"/>
      </w:pPr>
      <w:r>
        <w:t>线路所经地面以冲洪积砂质粘土夹砾岩为主，次为残坡积和崩坡积之砂质粘土夹碎块石，局部有小卵石混杂其中。区内土壤多由灰岩和砂页岩发育而成的砾石土、砾质土为主。土壤质地与母岩和地形关系密切，一般由砂岩发育的多为沙质土；由砂页岩互层发育的多为壤质土；泥岩和灰岩发育的多为粘质土，陡坡地和二迭系以前母岩发育的多为砾石土和砾质土。土壤剖面各发生层的质地上下变化较小，仅少数土壤剖面物粘含量有随深度增加而增加的趋势。</w:t>
      </w:r>
    </w:p>
    <w:p w:rsidR="00BD5820" w:rsidRDefault="00F64314">
      <w:pPr>
        <w:pStyle w:val="affa"/>
        <w:ind w:firstLine="480"/>
      </w:pPr>
      <w:r>
        <w:t>土壤以中性和微酸性为主，其次是微碱性，少数酸性。</w:t>
      </w:r>
      <w:r>
        <w:t>pH</w:t>
      </w:r>
      <w:r>
        <w:t>值在</w:t>
      </w:r>
      <w:r>
        <w:t>4.5</w:t>
      </w:r>
      <w:r>
        <w:t>～</w:t>
      </w:r>
      <w:r>
        <w:t>5.4</w:t>
      </w:r>
      <w:r>
        <w:t>之间的占</w:t>
      </w:r>
      <w:r>
        <w:t>6.4%</w:t>
      </w:r>
      <w:r>
        <w:t>；</w:t>
      </w:r>
      <w:r>
        <w:t>5.5</w:t>
      </w:r>
      <w:r>
        <w:t>～</w:t>
      </w:r>
      <w:r>
        <w:t>6.4</w:t>
      </w:r>
      <w:r>
        <w:t>之间的占</w:t>
      </w:r>
      <w:r>
        <w:t>34%</w:t>
      </w:r>
      <w:r>
        <w:t>；</w:t>
      </w:r>
      <w:r>
        <w:t>6.5</w:t>
      </w:r>
      <w:r>
        <w:t>～</w:t>
      </w:r>
      <w:r>
        <w:t>7.5</w:t>
      </w:r>
      <w:r>
        <w:t>之间的占</w:t>
      </w:r>
      <w:r>
        <w:t>34.2%</w:t>
      </w:r>
      <w:r>
        <w:t>；</w:t>
      </w:r>
      <w:r>
        <w:t>7.6</w:t>
      </w:r>
      <w:r>
        <w:t>～</w:t>
      </w:r>
      <w:r>
        <w:t>8.5</w:t>
      </w:r>
      <w:r>
        <w:t>之间的占</w:t>
      </w:r>
      <w:r>
        <w:t>25.3%</w:t>
      </w:r>
      <w:r>
        <w:t>。</w:t>
      </w:r>
    </w:p>
    <w:p w:rsidR="00BD5820" w:rsidRDefault="00F64314">
      <w:pPr>
        <w:pStyle w:val="affa"/>
        <w:ind w:firstLine="480"/>
      </w:pPr>
      <w:r>
        <w:t>工程区域地层岩性较为单一，上部主要为第四系松散覆盖层，包括残坡积层、崩坡积层，下伏基岩为侏罗系中统沙溪庙组（</w:t>
      </w:r>
      <w:r>
        <w:t>J</w:t>
      </w:r>
      <w:r>
        <w:rPr>
          <w:vertAlign w:val="subscript"/>
        </w:rPr>
        <w:t>2</w:t>
      </w:r>
      <w:r>
        <w:t>S</w:t>
      </w:r>
      <w:r>
        <w:t>）。沿线出露地层由上至下分别为：</w:t>
      </w:r>
    </w:p>
    <w:p w:rsidR="00BD5820" w:rsidRDefault="00F64314">
      <w:pPr>
        <w:pStyle w:val="affa"/>
        <w:ind w:firstLine="480"/>
      </w:pPr>
      <w:r>
        <w:t>1</w:t>
      </w:r>
      <w:r>
        <w:t>）第四系残坡积层：</w:t>
      </w:r>
    </w:p>
    <w:p w:rsidR="00BD5820" w:rsidRDefault="00F64314">
      <w:pPr>
        <w:pStyle w:val="affa"/>
        <w:ind w:firstLine="480"/>
      </w:pPr>
      <w:r>
        <w:t>主要为砂土、砂质粘土、粘土，干燥，松散，分布很广。坡体及坡体上覆盖层厚度很薄，一般</w:t>
      </w:r>
      <w:r>
        <w:t>0.2</w:t>
      </w:r>
      <w:r>
        <w:t>～</w:t>
      </w:r>
      <w:r>
        <w:t>0.5m</w:t>
      </w:r>
      <w:r>
        <w:t>。沟谷中为砂质粘土、粘土。厚度较大，一般为</w:t>
      </w:r>
      <w:r>
        <w:t>1.0</w:t>
      </w:r>
      <w:r>
        <w:t>～</w:t>
      </w:r>
      <w:r>
        <w:t>2.5m</w:t>
      </w:r>
      <w:r>
        <w:t>左右，为可塑状。</w:t>
      </w:r>
    </w:p>
    <w:p w:rsidR="00BD5820" w:rsidRDefault="00F64314">
      <w:pPr>
        <w:pStyle w:val="affa"/>
        <w:ind w:firstLine="480"/>
      </w:pPr>
      <w:r>
        <w:t>2</w:t>
      </w:r>
      <w:r>
        <w:t>）第四系崩坡积层：</w:t>
      </w:r>
    </w:p>
    <w:p w:rsidR="00BD5820" w:rsidRDefault="00F64314">
      <w:pPr>
        <w:pStyle w:val="affa"/>
        <w:ind w:firstLine="480"/>
      </w:pPr>
      <w:r>
        <w:t>主要分布于陡坡下部，为含碎块石土，厚度一般为</w:t>
      </w:r>
      <w:r>
        <w:t>1.0</w:t>
      </w:r>
      <w:r>
        <w:t>～</w:t>
      </w:r>
      <w:r>
        <w:t>3.0m</w:t>
      </w:r>
      <w:r>
        <w:t>。碎块石成份主要为砂岩碎块石，另外可见巨大孤石。</w:t>
      </w:r>
    </w:p>
    <w:p w:rsidR="00BD5820" w:rsidRDefault="00F64314">
      <w:pPr>
        <w:pStyle w:val="affa"/>
        <w:ind w:firstLine="480"/>
      </w:pPr>
      <w:r>
        <w:t>3</w:t>
      </w:r>
      <w:r>
        <w:t>）基岩</w:t>
      </w:r>
    </w:p>
    <w:p w:rsidR="00BD5820" w:rsidRDefault="00F64314">
      <w:pPr>
        <w:pStyle w:val="affa"/>
        <w:ind w:firstLine="480"/>
      </w:pPr>
      <w:r>
        <w:t>侏罗系中统沙溪庙组为含钙质结核的紫红色砂质泥岩、粉砂岩、泥质粉砂岩与黄灰色块状长石岩屑石英砂岩不等厚互层。砂岩坚硬性脆，常形成陡坎陡崖，泥岩易风化剥落，多形成缓坡。</w:t>
      </w:r>
    </w:p>
    <w:p w:rsidR="00BD5820" w:rsidRDefault="00F64314">
      <w:pPr>
        <w:pStyle w:val="3"/>
        <w:rPr>
          <w:rFonts w:eastAsia="宋体"/>
        </w:rPr>
      </w:pPr>
      <w:r>
        <w:rPr>
          <w:rFonts w:eastAsia="宋体"/>
        </w:rPr>
        <w:lastRenderedPageBreak/>
        <w:t xml:space="preserve">5.1.7 </w:t>
      </w:r>
      <w:r>
        <w:rPr>
          <w:rFonts w:eastAsia="宋体"/>
        </w:rPr>
        <w:t>自然资源</w:t>
      </w:r>
    </w:p>
    <w:p w:rsidR="00BD5820" w:rsidRDefault="00F64314">
      <w:pPr>
        <w:ind w:firstLine="482"/>
        <w:rPr>
          <w:rFonts w:ascii="Times New Roman" w:cs="Times New Roman"/>
          <w:b/>
          <w:bCs/>
        </w:rPr>
      </w:pPr>
      <w:r>
        <w:rPr>
          <w:rFonts w:ascii="Times New Roman" w:cs="Times New Roman"/>
          <w:b/>
          <w:bCs/>
        </w:rPr>
        <w:t>1</w:t>
      </w:r>
      <w:r>
        <w:rPr>
          <w:rFonts w:ascii="Times New Roman" w:cs="Times New Roman"/>
          <w:b/>
          <w:bCs/>
        </w:rPr>
        <w:t>、植物资源</w:t>
      </w:r>
    </w:p>
    <w:p w:rsidR="00BD5820" w:rsidRDefault="00F64314">
      <w:pPr>
        <w:pStyle w:val="affa"/>
        <w:ind w:firstLine="480"/>
      </w:pPr>
      <w:r>
        <w:t>宣汉县自然地带性植物为亚热带常绿阔叶林，自然植被分布较为广泛，其群落结构和优势树种依山形地和土地利用现状而有所不同。境内有乔木、灌木、藤木、草木等各种植物</w:t>
      </w:r>
      <w:r>
        <w:t>700</w:t>
      </w:r>
      <w:r>
        <w:t>多种，乔木以马尾松为主，分布在县境内三低山区，杉木、柏木、栎类等马尾松林类散生分布，浅丘、平坝多为桉树、千丈、桤木、泡桐等，初步查清乔木树种有</w:t>
      </w:r>
      <w:r>
        <w:t>38</w:t>
      </w:r>
      <w:r>
        <w:t>个科、</w:t>
      </w:r>
      <w:r>
        <w:t>63</w:t>
      </w:r>
      <w:r>
        <w:t>个属、</w:t>
      </w:r>
      <w:r>
        <w:t>223</w:t>
      </w:r>
      <w:r>
        <w:t>个种；灌木主要有马桑、黄刺、杜鹊、水红子等</w:t>
      </w:r>
      <w:r>
        <w:t>14</w:t>
      </w:r>
      <w:r>
        <w:t>个种；竹类主要有慈竹、白夹竹、水竹、楠竹、斑竹等</w:t>
      </w:r>
      <w:r>
        <w:t>50</w:t>
      </w:r>
      <w:r>
        <w:t>多个竹种；草本有艾蒿、茅草、芭茅、苔藓、蕨类等；还有菌类低等植物。稀有植物有银杏、红豆、香樟、楠木、水杉等。</w:t>
      </w:r>
    </w:p>
    <w:p w:rsidR="00BD5820" w:rsidRDefault="00F64314">
      <w:pPr>
        <w:pStyle w:val="affa"/>
        <w:ind w:firstLine="480"/>
      </w:pPr>
      <w:r>
        <w:t>宣汉县截至</w:t>
      </w:r>
      <w:r>
        <w:t>2019</w:t>
      </w:r>
      <w:r>
        <w:t>年末，现有林业用地面积</w:t>
      </w:r>
      <w:r>
        <w:t>380</w:t>
      </w:r>
      <w:r>
        <w:t>万亩，森林面积</w:t>
      </w:r>
      <w:r>
        <w:t>350</w:t>
      </w:r>
      <w:r>
        <w:t>万亩，活立木储蓄量</w:t>
      </w:r>
      <w:r>
        <w:t>1267</w:t>
      </w:r>
      <w:r>
        <w:t>万立方米；宣汉县境内植被多样，野生植物</w:t>
      </w:r>
      <w:r>
        <w:t>3000</w:t>
      </w:r>
      <w:r>
        <w:t>余种，桫椤、崖柏、银杏、黄连、天麻、杜仲等国家重点保护植物达</w:t>
      </w:r>
      <w:r>
        <w:t>10</w:t>
      </w:r>
      <w:r>
        <w:t>余种。</w:t>
      </w:r>
      <w:r>
        <w:t>2016</w:t>
      </w:r>
      <w:r>
        <w:t>年完成造林面积</w:t>
      </w:r>
      <w:r>
        <w:t>800</w:t>
      </w:r>
      <w:r>
        <w:t>公顷，年末森林面积</w:t>
      </w:r>
      <w:r>
        <w:t>256797</w:t>
      </w:r>
      <w:r>
        <w:t>公顷，森林覆盖率达</w:t>
      </w:r>
      <w:r>
        <w:t>60.1%</w:t>
      </w:r>
      <w:r>
        <w:t>。</w:t>
      </w:r>
    </w:p>
    <w:p w:rsidR="00BD5820" w:rsidRDefault="00F64314">
      <w:pPr>
        <w:pStyle w:val="affa"/>
        <w:ind w:firstLine="482"/>
        <w:rPr>
          <w:b/>
          <w:bCs/>
        </w:rPr>
      </w:pPr>
      <w:r>
        <w:rPr>
          <w:b/>
          <w:bCs/>
        </w:rPr>
        <w:t>据调查，评价区域内无需特殊保护的珍稀濒危野生动植物及名木古树。</w:t>
      </w:r>
    </w:p>
    <w:p w:rsidR="00BD5820" w:rsidRDefault="00F64314">
      <w:pPr>
        <w:ind w:firstLine="482"/>
        <w:rPr>
          <w:rFonts w:ascii="Times New Roman" w:cs="Times New Roman"/>
          <w:b/>
          <w:bCs/>
        </w:rPr>
      </w:pPr>
      <w:r>
        <w:rPr>
          <w:rFonts w:ascii="Times New Roman" w:cs="Times New Roman"/>
          <w:b/>
          <w:bCs/>
        </w:rPr>
        <w:t>2</w:t>
      </w:r>
      <w:r>
        <w:rPr>
          <w:rFonts w:ascii="Times New Roman" w:cs="Times New Roman"/>
          <w:b/>
          <w:bCs/>
        </w:rPr>
        <w:t>、动物资源</w:t>
      </w:r>
    </w:p>
    <w:p w:rsidR="00BD5820" w:rsidRDefault="00F64314">
      <w:pPr>
        <w:ind w:firstLine="480"/>
        <w:rPr>
          <w:rFonts w:ascii="Times New Roman" w:cs="Times New Roman"/>
        </w:rPr>
      </w:pPr>
      <w:r>
        <w:rPr>
          <w:rFonts w:ascii="Times New Roman" w:cs="Times New Roman"/>
        </w:rPr>
        <w:t>宣汉县野生动物较多，兽类有麂、刺猬、果子狸、狐狸、水獭、黄鼠狼、野兔、松鼠等；鸟类有鹭鸶、鹰、鹧鸪、燕子、野鸡、斑鸠、猫头鹰、喜鹊等；蛇虫类有乌梢蛇、螳螂、蜻蜓、蜜蜂、蝴蝶、蜘蛛、蚂蚁等；水生动物有鱼、虾、蚌、蟹、蛙等。</w:t>
      </w:r>
    </w:p>
    <w:p w:rsidR="00BD5820" w:rsidRDefault="00F64314">
      <w:pPr>
        <w:ind w:firstLine="480"/>
        <w:rPr>
          <w:rFonts w:ascii="Times New Roman" w:cs="Times New Roman"/>
          <w:b/>
          <w:bCs/>
        </w:rPr>
      </w:pPr>
      <w:r>
        <w:rPr>
          <w:rFonts w:ascii="Times New Roman" w:cs="Times New Roman"/>
        </w:rPr>
        <w:t>经现场踏勘，本项目评价范围内未发现国家保护的珍稀植物分布。本项目附近的野生动物主要是适合栖息于农田、居民点周边的种类，如农田常见的啮齿类、两栖类、爬行类和画眉、麻雀等常见鸟类，无大型陆生野生动物，也无国家保护的陆生珍稀野生动物。经调查访问和沿途观察，本项目所在区域的自然植被受人为活动影响不复存在，区域内无需保护的珍稀动、植物及古树名木。</w:t>
      </w:r>
    </w:p>
    <w:p w:rsidR="00BD5820" w:rsidRDefault="00F64314">
      <w:pPr>
        <w:pStyle w:val="3"/>
        <w:rPr>
          <w:rFonts w:eastAsia="宋体"/>
        </w:rPr>
      </w:pPr>
      <w:r>
        <w:rPr>
          <w:rFonts w:eastAsia="宋体"/>
        </w:rPr>
        <w:t xml:space="preserve">5.1.8 </w:t>
      </w:r>
      <w:r>
        <w:rPr>
          <w:rFonts w:eastAsia="宋体"/>
        </w:rPr>
        <w:t>矿产资源</w:t>
      </w:r>
      <w:bookmarkEnd w:id="327"/>
    </w:p>
    <w:p w:rsidR="00BD5820" w:rsidRDefault="00F64314">
      <w:pPr>
        <w:pStyle w:val="affa"/>
        <w:ind w:firstLine="480"/>
      </w:pPr>
      <w:r>
        <w:t>截至</w:t>
      </w:r>
      <w:r>
        <w:t>2018</w:t>
      </w:r>
      <w:r>
        <w:t>年，宣汉县共探测到的资源达</w:t>
      </w:r>
      <w:r>
        <w:t>28</w:t>
      </w:r>
      <w:r>
        <w:t>种，主要矿产资源概括为：一煤（煤炭），二气（石油、天然气），三土（粘土、高岭土、膨润土），五石（滑石、长石、大理石、石英石、石灰石），八矿（铁、砷、硅、硫磺、石膏、铝、</w:t>
      </w:r>
      <w:r>
        <w:lastRenderedPageBreak/>
        <w:t>卤钾、岩盐）。天然气预测储量高达</w:t>
      </w:r>
      <w:r>
        <w:t>1.5</w:t>
      </w:r>
      <w:r>
        <w:t>万亿立方米，居中国第</w:t>
      </w:r>
      <w:r>
        <w:t>2</w:t>
      </w:r>
      <w:r>
        <w:t>位，已探明开发储量达</w:t>
      </w:r>
      <w:r>
        <w:t>3000-6000</w:t>
      </w:r>
      <w:r>
        <w:t>亿立方米，系西南地区天然气气田中心、国家</w:t>
      </w:r>
      <w:r>
        <w:t>“</w:t>
      </w:r>
      <w:r>
        <w:t>西气东输工程</w:t>
      </w:r>
      <w:r>
        <w:t>”</w:t>
      </w:r>
      <w:r>
        <w:t>重要基地。原煤储量达</w:t>
      </w:r>
      <w:r>
        <w:t>1.6</w:t>
      </w:r>
      <w:r>
        <w:t>亿吨，发热量</w:t>
      </w:r>
      <w:r>
        <w:t>6000</w:t>
      </w:r>
      <w:r>
        <w:t>大卡以上。富钾卤水储量达</w:t>
      </w:r>
      <w:r>
        <w:t>1.3</w:t>
      </w:r>
      <w:r>
        <w:t>亿立方米，是国家盐化工业基地自贡黑卤的</w:t>
      </w:r>
      <w:r>
        <w:t>10</w:t>
      </w:r>
      <w:r>
        <w:t>倍。此外，还有大理石</w:t>
      </w:r>
      <w:r>
        <w:t>30</w:t>
      </w:r>
      <w:r>
        <w:t>亿立方米，石灰石</w:t>
      </w:r>
      <w:r>
        <w:t>30</w:t>
      </w:r>
      <w:r>
        <w:t>亿立方米，石英石</w:t>
      </w:r>
      <w:r>
        <w:t>3000</w:t>
      </w:r>
      <w:r>
        <w:t>万立方米，硫磺矿</w:t>
      </w:r>
      <w:r>
        <w:t>867</w:t>
      </w:r>
      <w:r>
        <w:t>万吨，铁矿</w:t>
      </w:r>
      <w:r>
        <w:t>1800</w:t>
      </w:r>
      <w:r>
        <w:t>万吨等。</w:t>
      </w:r>
    </w:p>
    <w:p w:rsidR="00BD5820" w:rsidRDefault="00F64314">
      <w:pPr>
        <w:pStyle w:val="2"/>
        <w:spacing w:before="120"/>
        <w:rPr>
          <w:rFonts w:cs="Times New Roman"/>
        </w:rPr>
      </w:pPr>
      <w:bookmarkStart w:id="329" w:name="bookmark28"/>
      <w:bookmarkStart w:id="330" w:name="_Toc16148"/>
      <w:bookmarkStart w:id="331" w:name="_Toc19816013"/>
      <w:bookmarkStart w:id="332" w:name="_Toc12288559"/>
      <w:bookmarkEnd w:id="328"/>
      <w:bookmarkEnd w:id="329"/>
      <w:r>
        <w:rPr>
          <w:rFonts w:cs="Times New Roman"/>
        </w:rPr>
        <w:t xml:space="preserve">5.2 </w:t>
      </w:r>
      <w:r>
        <w:rPr>
          <w:rFonts w:cs="Times New Roman"/>
        </w:rPr>
        <w:t>生态环境调查与评价</w:t>
      </w:r>
      <w:bookmarkEnd w:id="330"/>
    </w:p>
    <w:p w:rsidR="00BD5820" w:rsidRDefault="00F64314">
      <w:pPr>
        <w:pStyle w:val="affa"/>
        <w:ind w:firstLine="480"/>
      </w:pPr>
      <w:r>
        <w:t>生态现状调查是生态现状评价、影响预测的基础和依据，本次工程生态现状调查的主要内容包括：生态功能区划、主要生态问题、土地利用现状、基本农田现状、植被分布现状、土壤侵蚀现状、评价区野生动植物和沿线生态敏感区分布等生态背景和生态问题。区域的主要生态问题为水土流失问题。调查查明了水土流失的成因、空间分布和发生特点。</w:t>
      </w:r>
    </w:p>
    <w:p w:rsidR="00BD5820" w:rsidRDefault="00F64314">
      <w:pPr>
        <w:tabs>
          <w:tab w:val="left" w:pos="0"/>
        </w:tabs>
        <w:ind w:firstLine="480"/>
        <w:rPr>
          <w:rFonts w:ascii="Times New Roman" w:cs="Times New Roman"/>
        </w:rPr>
      </w:pPr>
      <w:r>
        <w:t>本项目生态影响评价等级为</w:t>
      </w:r>
      <w:r>
        <w:rPr>
          <w:rFonts w:hint="eastAsia"/>
        </w:rPr>
        <w:t>二</w:t>
      </w:r>
      <w:r>
        <w:t>级，</w:t>
      </w:r>
      <w:r>
        <w:rPr>
          <w:rFonts w:ascii="Times New Roman" w:cs="Times New Roman"/>
        </w:rPr>
        <w:t>根据《环境影响评价技术导则</w:t>
      </w:r>
      <w:r>
        <w:rPr>
          <w:rFonts w:ascii="Times New Roman" w:cs="Times New Roman"/>
        </w:rPr>
        <w:t xml:space="preserve"> </w:t>
      </w:r>
      <w:r>
        <w:rPr>
          <w:rFonts w:ascii="Times New Roman" w:cs="Times New Roman"/>
        </w:rPr>
        <w:t>生态影响》（</w:t>
      </w:r>
      <w:r>
        <w:rPr>
          <w:rFonts w:ascii="Times New Roman" w:cs="Times New Roman"/>
        </w:rPr>
        <w:t>HJ19-2022</w:t>
      </w:r>
      <w:r>
        <w:rPr>
          <w:rFonts w:ascii="Times New Roman" w:cs="Times New Roman"/>
        </w:rPr>
        <w:t>）、《环境影响评价技术导则</w:t>
      </w:r>
      <w:r>
        <w:rPr>
          <w:rFonts w:ascii="Times New Roman" w:cs="Times New Roman"/>
        </w:rPr>
        <w:t xml:space="preserve"> </w:t>
      </w:r>
      <w:r>
        <w:rPr>
          <w:rFonts w:ascii="Times New Roman" w:cs="Times New Roman"/>
        </w:rPr>
        <w:t>陆地石油天然气开发建设项目》（</w:t>
      </w:r>
      <w:r>
        <w:rPr>
          <w:rFonts w:ascii="Times New Roman" w:cs="Times New Roman"/>
        </w:rPr>
        <w:t>HJ/T349-2007</w:t>
      </w:r>
      <w:r>
        <w:rPr>
          <w:rFonts w:ascii="Times New Roman" w:cs="Times New Roman"/>
        </w:rPr>
        <w:t>）中关于评价范围的划分原则和本项目现场踏勘调查实际情况，确定本评价范围如下：</w:t>
      </w:r>
    </w:p>
    <w:p w:rsidR="00BD5820" w:rsidRDefault="00F64314">
      <w:pPr>
        <w:pStyle w:val="affa"/>
        <w:ind w:firstLine="480"/>
      </w:pPr>
      <w:r>
        <w:rPr>
          <w:rFonts w:hint="eastAsia"/>
          <w:szCs w:val="24"/>
        </w:rPr>
        <w:t>普光气田</w:t>
      </w:r>
      <w:r>
        <w:rPr>
          <w:rFonts w:hint="eastAsia"/>
          <w:szCs w:val="24"/>
        </w:rPr>
        <w:t>1#</w:t>
      </w:r>
      <w:r>
        <w:rPr>
          <w:rFonts w:hint="eastAsia"/>
          <w:szCs w:val="24"/>
        </w:rPr>
        <w:t>增压站</w:t>
      </w:r>
      <w:r>
        <w:rPr>
          <w:szCs w:val="24"/>
        </w:rPr>
        <w:t>站场周边</w:t>
      </w:r>
      <w:r>
        <w:rPr>
          <w:szCs w:val="24"/>
        </w:rPr>
        <w:t>2000m</w:t>
      </w:r>
      <w:r>
        <w:rPr>
          <w:rFonts w:hint="eastAsia"/>
          <w:szCs w:val="24"/>
        </w:rPr>
        <w:t>，面积</w:t>
      </w:r>
      <w:r>
        <w:rPr>
          <w:rFonts w:hint="eastAsia"/>
          <w:szCs w:val="24"/>
        </w:rPr>
        <w:t>1256.76hm</w:t>
      </w:r>
      <w:r>
        <w:rPr>
          <w:rFonts w:hint="eastAsia"/>
          <w:szCs w:val="24"/>
          <w:vertAlign w:val="superscript"/>
        </w:rPr>
        <w:t>2</w:t>
      </w:r>
      <w:r w:rsidR="00F01092" w:rsidRPr="00F01092">
        <w:rPr>
          <w:rFonts w:hint="eastAsia"/>
          <w:color w:val="FF0000"/>
          <w:szCs w:val="24"/>
        </w:rPr>
        <w:t>（</w:t>
      </w:r>
      <w:r w:rsidR="00F01092" w:rsidRPr="00F01092">
        <w:rPr>
          <w:rFonts w:hint="eastAsia"/>
          <w:bCs/>
          <w:color w:val="FF0000"/>
        </w:rPr>
        <w:t>普光气田</w:t>
      </w:r>
      <w:r w:rsidR="00F01092" w:rsidRPr="00F01092">
        <w:rPr>
          <w:rFonts w:hint="eastAsia"/>
          <w:bCs/>
          <w:color w:val="FF0000"/>
        </w:rPr>
        <w:t>2</w:t>
      </w:r>
      <w:r w:rsidR="00F01092" w:rsidRPr="00F01092">
        <w:rPr>
          <w:bCs/>
          <w:color w:val="FF0000"/>
        </w:rPr>
        <w:t>#</w:t>
      </w:r>
      <w:r w:rsidR="00F01092" w:rsidRPr="00F01092">
        <w:rPr>
          <w:rFonts w:hint="eastAsia"/>
          <w:bCs/>
          <w:color w:val="FF0000"/>
        </w:rPr>
        <w:t>增压站</w:t>
      </w:r>
      <w:r w:rsidR="00F01092" w:rsidRPr="00F01092">
        <w:rPr>
          <w:color w:val="FF0000"/>
        </w:rPr>
        <w:t>土壤影响范围内不涉及</w:t>
      </w:r>
      <w:r w:rsidR="00F01092" w:rsidRPr="00F01092">
        <w:rPr>
          <w:bCs/>
          <w:color w:val="FF0000"/>
        </w:rPr>
        <w:t>生态保护目标</w:t>
      </w:r>
      <w:r w:rsidR="00F01092" w:rsidRPr="00F01092">
        <w:rPr>
          <w:rFonts w:hint="eastAsia"/>
          <w:color w:val="FF0000"/>
          <w:szCs w:val="24"/>
        </w:rPr>
        <w:t>）</w:t>
      </w:r>
      <w:r>
        <w:rPr>
          <w:szCs w:val="24"/>
        </w:rPr>
        <w:t>。</w:t>
      </w:r>
    </w:p>
    <w:p w:rsidR="00BD5820" w:rsidRDefault="00F64314">
      <w:pPr>
        <w:pStyle w:val="3"/>
        <w:rPr>
          <w:rFonts w:eastAsia="宋体"/>
        </w:rPr>
      </w:pPr>
      <w:bookmarkStart w:id="333" w:name="_Toc12288582"/>
      <w:r>
        <w:rPr>
          <w:rFonts w:eastAsia="宋体"/>
        </w:rPr>
        <w:t xml:space="preserve">5.2.1 </w:t>
      </w:r>
      <w:r>
        <w:rPr>
          <w:rFonts w:eastAsia="宋体"/>
        </w:rPr>
        <w:t>生态系统类型及主要生态环境问题</w:t>
      </w:r>
    </w:p>
    <w:p w:rsidR="00BD5820" w:rsidRDefault="00F64314">
      <w:pPr>
        <w:pStyle w:val="affa"/>
        <w:ind w:firstLine="480"/>
      </w:pPr>
      <w:r>
        <w:t>拟建管道沿线经过宣汉县，根据《四川省生态功能区划》（</w:t>
      </w:r>
      <w:r>
        <w:t>2010</w:t>
      </w:r>
      <w:r>
        <w:t>版），管线穿越地区的生态功能区划见下表。</w:t>
      </w:r>
    </w:p>
    <w:p w:rsidR="00BD5820" w:rsidRDefault="00F64314">
      <w:pPr>
        <w:pStyle w:val="10"/>
        <w:rPr>
          <w:rFonts w:cs="Times New Roman"/>
        </w:rPr>
      </w:pPr>
      <w:r>
        <w:rPr>
          <w:rFonts w:cs="Times New Roman"/>
        </w:rPr>
        <w:t>表</w:t>
      </w:r>
      <w:r>
        <w:rPr>
          <w:rFonts w:cs="Times New Roman"/>
        </w:rPr>
        <w:t xml:space="preserve">5.2-1  </w:t>
      </w:r>
      <w:r>
        <w:rPr>
          <w:rFonts w:cs="Times New Roman"/>
        </w:rPr>
        <w:t>管线穿越的生态功能区</w:t>
      </w:r>
    </w:p>
    <w:tbl>
      <w:tblPr>
        <w:tblW w:w="5269" w:type="pct"/>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tblPr>
      <w:tblGrid>
        <w:gridCol w:w="851"/>
        <w:gridCol w:w="1080"/>
        <w:gridCol w:w="1143"/>
        <w:gridCol w:w="1322"/>
        <w:gridCol w:w="1134"/>
        <w:gridCol w:w="3223"/>
      </w:tblGrid>
      <w:tr w:rsidR="00BD5820">
        <w:trPr>
          <w:trHeight w:val="21"/>
          <w:jc w:val="center"/>
        </w:trPr>
        <w:tc>
          <w:tcPr>
            <w:tcW w:w="486" w:type="pct"/>
            <w:vAlign w:val="center"/>
          </w:tcPr>
          <w:p w:rsidR="00BD5820" w:rsidRDefault="00F64314">
            <w:pPr>
              <w:pStyle w:val="Default"/>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生态区</w:t>
            </w:r>
          </w:p>
        </w:tc>
        <w:tc>
          <w:tcPr>
            <w:tcW w:w="617" w:type="pct"/>
            <w:vAlign w:val="center"/>
          </w:tcPr>
          <w:p w:rsidR="00BD5820" w:rsidRDefault="00F64314">
            <w:pPr>
              <w:pStyle w:val="Default"/>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生态亚区</w:t>
            </w:r>
          </w:p>
        </w:tc>
        <w:tc>
          <w:tcPr>
            <w:tcW w:w="653" w:type="pct"/>
            <w:vAlign w:val="center"/>
          </w:tcPr>
          <w:p w:rsidR="00BD5820" w:rsidRDefault="00F64314">
            <w:pPr>
              <w:pStyle w:val="Default"/>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生态功能区</w:t>
            </w:r>
          </w:p>
        </w:tc>
        <w:tc>
          <w:tcPr>
            <w:tcW w:w="755" w:type="pct"/>
            <w:vAlign w:val="center"/>
          </w:tcPr>
          <w:p w:rsidR="00BD5820" w:rsidRDefault="00F64314">
            <w:pPr>
              <w:pStyle w:val="Default"/>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主要环境问题</w:t>
            </w:r>
          </w:p>
        </w:tc>
        <w:tc>
          <w:tcPr>
            <w:tcW w:w="648" w:type="pct"/>
            <w:vAlign w:val="center"/>
          </w:tcPr>
          <w:p w:rsidR="00BD5820" w:rsidRDefault="00F64314">
            <w:pPr>
              <w:pStyle w:val="Default"/>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服务功能</w:t>
            </w:r>
          </w:p>
        </w:tc>
        <w:tc>
          <w:tcPr>
            <w:tcW w:w="1841" w:type="pct"/>
            <w:vAlign w:val="center"/>
          </w:tcPr>
          <w:p w:rsidR="00BD5820" w:rsidRDefault="00F64314">
            <w:pPr>
              <w:pStyle w:val="Default"/>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保护与发展</w:t>
            </w:r>
          </w:p>
        </w:tc>
      </w:tr>
      <w:tr w:rsidR="00BD5820">
        <w:trPr>
          <w:trHeight w:val="21"/>
          <w:jc w:val="center"/>
        </w:trPr>
        <w:tc>
          <w:tcPr>
            <w:tcW w:w="486" w:type="pct"/>
            <w:vAlign w:val="center"/>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color w:val="auto"/>
                <w:sz w:val="21"/>
                <w:szCs w:val="21"/>
              </w:rPr>
              <w:t>I</w:t>
            </w:r>
            <w:r>
              <w:rPr>
                <w:rFonts w:ascii="Times New Roman" w:hAnsi="Times New Roman" w:cs="Times New Roman"/>
                <w:color w:val="auto"/>
                <w:sz w:val="21"/>
                <w:szCs w:val="21"/>
              </w:rPr>
              <w:t>四川盆地亚热带湿润气候生态区</w:t>
            </w:r>
          </w:p>
        </w:tc>
        <w:tc>
          <w:tcPr>
            <w:tcW w:w="617" w:type="pct"/>
            <w:vAlign w:val="center"/>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color w:val="auto"/>
                <w:sz w:val="21"/>
                <w:szCs w:val="21"/>
              </w:rPr>
              <w:t>I-3</w:t>
            </w:r>
            <w:r>
              <w:rPr>
                <w:rFonts w:ascii="Times New Roman" w:hAnsi="Times New Roman" w:cs="Times New Roman"/>
                <w:color w:val="auto"/>
                <w:sz w:val="21"/>
                <w:szCs w:val="21"/>
              </w:rPr>
              <w:t>盆北秦巴山地常绿阔叶林</w:t>
            </w:r>
            <w:r>
              <w:rPr>
                <w:rFonts w:ascii="Times New Roman" w:hAnsi="Times New Roman" w:cs="Times New Roman"/>
                <w:color w:val="auto"/>
                <w:sz w:val="21"/>
                <w:szCs w:val="21"/>
              </w:rPr>
              <w:t>-</w:t>
            </w:r>
            <w:r>
              <w:rPr>
                <w:rFonts w:ascii="Times New Roman" w:hAnsi="Times New Roman" w:cs="Times New Roman"/>
                <w:color w:val="auto"/>
                <w:sz w:val="21"/>
                <w:szCs w:val="21"/>
              </w:rPr>
              <w:t>针阔混交林生态亚区</w:t>
            </w:r>
          </w:p>
        </w:tc>
        <w:tc>
          <w:tcPr>
            <w:tcW w:w="653" w:type="pct"/>
            <w:vAlign w:val="center"/>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color w:val="auto"/>
                <w:sz w:val="21"/>
                <w:szCs w:val="21"/>
              </w:rPr>
              <w:t>I-3-2</w:t>
            </w:r>
            <w:r>
              <w:rPr>
                <w:rFonts w:ascii="Times New Roman" w:hAnsi="Times New Roman" w:cs="Times New Roman"/>
                <w:color w:val="auto"/>
                <w:sz w:val="21"/>
                <w:szCs w:val="21"/>
              </w:rPr>
              <w:t>大巴山水源涵养与土壤保持生态功能区</w:t>
            </w:r>
          </w:p>
        </w:tc>
        <w:tc>
          <w:tcPr>
            <w:tcW w:w="755" w:type="pct"/>
            <w:vAlign w:val="center"/>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color w:val="auto"/>
                <w:sz w:val="21"/>
                <w:szCs w:val="21"/>
              </w:rPr>
              <w:t>多洪灾，滑坡崩塌强烈发育，水土流失严重</w:t>
            </w:r>
          </w:p>
        </w:tc>
        <w:tc>
          <w:tcPr>
            <w:tcW w:w="648" w:type="pct"/>
            <w:vAlign w:val="center"/>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color w:val="auto"/>
                <w:sz w:val="21"/>
                <w:szCs w:val="21"/>
              </w:rPr>
              <w:t>水源涵养功能，土壤保持功能</w:t>
            </w:r>
          </w:p>
        </w:tc>
        <w:tc>
          <w:tcPr>
            <w:tcW w:w="1841" w:type="pct"/>
            <w:vAlign w:val="center"/>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color w:val="auto"/>
                <w:sz w:val="21"/>
                <w:szCs w:val="21"/>
              </w:rPr>
              <w:t>保护森林植被和生物多样性，巩固长江上游防护林建设、天然林保护和退耕还林成果。合理开发和利用自然资源，发展特色农业，绿色和有机农产品。拓展生态农业产业链，培育新的经济增长点。规范和严格管理矿产、水电、生物资源的开发，防止对生态环境和生态系统的不利影响</w:t>
            </w:r>
          </w:p>
        </w:tc>
      </w:tr>
    </w:tbl>
    <w:p w:rsidR="00BD5820" w:rsidRDefault="00F64314">
      <w:pPr>
        <w:pStyle w:val="affa"/>
        <w:ind w:firstLine="480"/>
      </w:pPr>
      <w:r>
        <w:lastRenderedPageBreak/>
        <w:t>本项目位于四川盆地亚热带湿润气候生态区，属于大巴山水源涵养与土壤保持生态功能区（</w:t>
      </w:r>
      <w:r>
        <w:t>I-3-2</w:t>
      </w:r>
      <w:r>
        <w:t>），该生态功能区的主导功能是水源涵养功能，土壤保持功能。面临的主要环境问题是多洪灾，滑坡崩塌强烈发育，水土流失严重。</w:t>
      </w:r>
    </w:p>
    <w:p w:rsidR="00BD5820" w:rsidRDefault="00F64314">
      <w:pPr>
        <w:pStyle w:val="3"/>
        <w:rPr>
          <w:rFonts w:eastAsia="宋体"/>
        </w:rPr>
      </w:pPr>
      <w:r>
        <w:rPr>
          <w:rFonts w:eastAsia="宋体"/>
        </w:rPr>
        <w:t>5.2.2</w:t>
      </w:r>
      <w:r>
        <w:rPr>
          <w:rFonts w:eastAsia="宋体" w:hint="eastAsia"/>
        </w:rPr>
        <w:t>生态环境现状调查方法</w:t>
      </w:r>
    </w:p>
    <w:p w:rsidR="00BD5820" w:rsidRDefault="00F64314">
      <w:pPr>
        <w:spacing w:line="480" w:lineRule="exact"/>
        <w:ind w:firstLineChars="196" w:firstLine="472"/>
        <w:rPr>
          <w:rFonts w:ascii="Times New Roman" w:cs="Times New Roman"/>
          <w:b/>
          <w:bCs/>
        </w:rPr>
      </w:pPr>
      <w:r>
        <w:rPr>
          <w:rFonts w:ascii="Times New Roman" w:cs="Times New Roman"/>
          <w:b/>
          <w:bCs/>
        </w:rPr>
        <w:t>1</w:t>
      </w:r>
      <w:r>
        <w:rPr>
          <w:rFonts w:ascii="Times New Roman" w:cs="Times New Roman"/>
          <w:b/>
          <w:bCs/>
        </w:rPr>
        <w:t>、基础资料收集</w:t>
      </w:r>
    </w:p>
    <w:p w:rsidR="00BD5820" w:rsidRDefault="00F64314">
      <w:pPr>
        <w:pStyle w:val="44"/>
        <w:spacing w:line="480" w:lineRule="exact"/>
        <w:ind w:left="0" w:firstLineChars="200" w:firstLine="480"/>
        <w:rPr>
          <w:rFonts w:ascii="Times New Roman" w:eastAsia="宋体" w:hAnsi="Times New Roman"/>
          <w:sz w:val="24"/>
          <w:szCs w:val="24"/>
        </w:rPr>
      </w:pPr>
      <w:r>
        <w:rPr>
          <w:rFonts w:ascii="Times New Roman" w:eastAsia="宋体" w:hAnsi="Times New Roman"/>
          <w:sz w:val="24"/>
          <w:szCs w:val="24"/>
        </w:rPr>
        <w:t>收集整理项目涉及区域现有生物资料，包括市志、统计年鉴以及林业、环保、水利、农业、国土资源等部门提供的相关资料，并且参考《中国植物志》、《中国高等植物图鉴》、《四川植物志》和《四川资源动物志》系列等专著。</w:t>
      </w:r>
    </w:p>
    <w:p w:rsidR="00BD5820" w:rsidRDefault="00F64314">
      <w:pPr>
        <w:spacing w:line="480" w:lineRule="exact"/>
        <w:ind w:firstLineChars="196" w:firstLine="472"/>
        <w:rPr>
          <w:rFonts w:ascii="Times New Roman" w:cs="Times New Roman"/>
          <w:b/>
          <w:bCs/>
        </w:rPr>
      </w:pPr>
      <w:r>
        <w:rPr>
          <w:rFonts w:ascii="Times New Roman" w:cs="Times New Roman"/>
          <w:b/>
          <w:bCs/>
        </w:rPr>
        <w:t>2</w:t>
      </w:r>
      <w:r>
        <w:rPr>
          <w:rFonts w:ascii="Times New Roman" w:cs="Times New Roman"/>
          <w:b/>
          <w:bCs/>
        </w:rPr>
        <w:t>、生物资源调查方法</w:t>
      </w:r>
    </w:p>
    <w:p w:rsidR="00BD5820" w:rsidRDefault="00F64314">
      <w:pPr>
        <w:spacing w:line="480" w:lineRule="exact"/>
        <w:ind w:firstLineChars="196" w:firstLine="472"/>
        <w:rPr>
          <w:rFonts w:ascii="Times New Roman" w:cs="Times New Roman"/>
          <w:b/>
          <w:bCs/>
        </w:rPr>
      </w:pPr>
      <w:r>
        <w:rPr>
          <w:rFonts w:ascii="Times New Roman" w:cs="Times New Roman"/>
          <w:b/>
          <w:bCs/>
        </w:rPr>
        <w:t>（</w:t>
      </w:r>
      <w:r>
        <w:rPr>
          <w:rFonts w:ascii="Times New Roman" w:cs="Times New Roman"/>
          <w:b/>
          <w:bCs/>
        </w:rPr>
        <w:t>1</w:t>
      </w:r>
      <w:r>
        <w:rPr>
          <w:rFonts w:ascii="Times New Roman" w:cs="Times New Roman"/>
          <w:b/>
          <w:bCs/>
        </w:rPr>
        <w:t>）野外生态信息数据的采集与处理</w:t>
      </w:r>
    </w:p>
    <w:p w:rsidR="00BD5820" w:rsidRDefault="00F64314">
      <w:pPr>
        <w:pStyle w:val="44"/>
        <w:spacing w:line="480" w:lineRule="exact"/>
        <w:ind w:left="0" w:firstLineChars="200" w:firstLine="480"/>
        <w:rPr>
          <w:rFonts w:ascii="Times New Roman" w:eastAsia="宋体" w:hAnsi="Times New Roman"/>
          <w:sz w:val="24"/>
          <w:szCs w:val="24"/>
        </w:rPr>
      </w:pPr>
      <w:r>
        <w:rPr>
          <w:rFonts w:ascii="Times New Roman" w:eastAsia="宋体" w:hAnsi="Times New Roman"/>
          <w:sz w:val="24"/>
        </w:rPr>
        <w:t>野外生态信息数据的采集主要借助</w:t>
      </w:r>
      <w:r>
        <w:rPr>
          <w:rFonts w:ascii="Times New Roman" w:eastAsia="宋体" w:hAnsi="Times New Roman"/>
          <w:sz w:val="24"/>
        </w:rPr>
        <w:t>HOLUX M-241</w:t>
      </w:r>
      <w:r>
        <w:rPr>
          <w:rFonts w:ascii="Times New Roman" w:eastAsia="宋体" w:hAnsi="Times New Roman"/>
          <w:sz w:val="24"/>
        </w:rPr>
        <w:t>蓝牙</w:t>
      </w:r>
      <w:r>
        <w:rPr>
          <w:rFonts w:ascii="Times New Roman" w:eastAsia="宋体" w:hAnsi="Times New Roman"/>
          <w:sz w:val="24"/>
        </w:rPr>
        <w:t>GPS</w:t>
      </w:r>
      <w:r>
        <w:rPr>
          <w:rFonts w:ascii="Times New Roman" w:eastAsia="宋体" w:hAnsi="Times New Roman"/>
          <w:sz w:val="24"/>
        </w:rPr>
        <w:t>记录器获取及尼康单反数码相机。</w:t>
      </w:r>
      <w:r>
        <w:rPr>
          <w:rFonts w:ascii="Times New Roman" w:eastAsia="宋体" w:hAnsi="Times New Roman"/>
          <w:sz w:val="24"/>
        </w:rPr>
        <w:t>HOLUX M-241</w:t>
      </w:r>
      <w:r>
        <w:rPr>
          <w:rFonts w:ascii="Times New Roman" w:eastAsia="宋体" w:hAnsi="Times New Roman"/>
          <w:sz w:val="24"/>
        </w:rPr>
        <w:t>蓝牙</w:t>
      </w:r>
      <w:r>
        <w:rPr>
          <w:rFonts w:ascii="Times New Roman" w:eastAsia="宋体" w:hAnsi="Times New Roman"/>
          <w:sz w:val="24"/>
        </w:rPr>
        <w:t>GPS</w:t>
      </w:r>
      <w:r>
        <w:rPr>
          <w:rFonts w:ascii="Times New Roman" w:eastAsia="宋体" w:hAnsi="Times New Roman"/>
          <w:sz w:val="24"/>
        </w:rPr>
        <w:t>纪录器可以记录高达</w:t>
      </w:r>
      <w:r>
        <w:rPr>
          <w:rFonts w:ascii="Times New Roman" w:eastAsia="宋体" w:hAnsi="Times New Roman"/>
          <w:sz w:val="24"/>
        </w:rPr>
        <w:t>13</w:t>
      </w:r>
      <w:r>
        <w:rPr>
          <w:rFonts w:ascii="Times New Roman" w:eastAsia="宋体" w:hAnsi="Times New Roman"/>
          <w:sz w:val="24"/>
        </w:rPr>
        <w:t>万个位置，每个位置都含有经度、纬度、时间和高度资料；野外生态考察中开机让记</w:t>
      </w:r>
      <w:r>
        <w:rPr>
          <w:rFonts w:ascii="Times New Roman" w:eastAsia="宋体" w:hAnsi="Times New Roman"/>
          <w:sz w:val="24"/>
          <w:szCs w:val="24"/>
        </w:rPr>
        <w:t>录器始终处于运行状态，每</w:t>
      </w:r>
      <w:r>
        <w:rPr>
          <w:rFonts w:ascii="Times New Roman" w:eastAsia="宋体" w:hAnsi="Times New Roman"/>
          <w:sz w:val="24"/>
          <w:szCs w:val="24"/>
        </w:rPr>
        <w:t>5</w:t>
      </w:r>
      <w:r>
        <w:rPr>
          <w:rFonts w:ascii="Times New Roman" w:eastAsia="宋体" w:hAnsi="Times New Roman"/>
          <w:sz w:val="24"/>
          <w:szCs w:val="24"/>
        </w:rPr>
        <w:t>秒自动存储一个</w:t>
      </w:r>
      <w:r>
        <w:rPr>
          <w:rFonts w:ascii="Times New Roman" w:eastAsia="宋体" w:hAnsi="Times New Roman"/>
          <w:sz w:val="24"/>
          <w:szCs w:val="24"/>
        </w:rPr>
        <w:t>GPS</w:t>
      </w:r>
      <w:r>
        <w:rPr>
          <w:rFonts w:ascii="Times New Roman" w:eastAsia="宋体" w:hAnsi="Times New Roman"/>
          <w:sz w:val="24"/>
          <w:szCs w:val="24"/>
        </w:rPr>
        <w:t>点位，以保证野外考察中生态信息采集的完整性，同时于不同生态系统及重要生态考察点上采集照片。</w:t>
      </w:r>
    </w:p>
    <w:p w:rsidR="00BD5820" w:rsidRDefault="00F64314">
      <w:pPr>
        <w:pStyle w:val="44"/>
        <w:spacing w:line="480" w:lineRule="exact"/>
        <w:ind w:left="0" w:firstLineChars="200" w:firstLine="480"/>
        <w:rPr>
          <w:rFonts w:ascii="Times New Roman" w:eastAsia="宋体" w:hAnsi="Times New Roman"/>
          <w:sz w:val="24"/>
          <w:szCs w:val="24"/>
        </w:rPr>
      </w:pPr>
      <w:r>
        <w:rPr>
          <w:rFonts w:ascii="Times New Roman" w:eastAsia="宋体" w:hAnsi="Times New Roman"/>
          <w:sz w:val="24"/>
          <w:szCs w:val="24"/>
        </w:rPr>
        <w:t>将野外采集的</w:t>
      </w:r>
      <w:r>
        <w:rPr>
          <w:rFonts w:ascii="Times New Roman" w:eastAsia="宋体" w:hAnsi="Times New Roman"/>
          <w:sz w:val="24"/>
          <w:szCs w:val="24"/>
        </w:rPr>
        <w:t>GPS</w:t>
      </w:r>
      <w:r>
        <w:rPr>
          <w:rFonts w:ascii="Times New Roman" w:eastAsia="宋体" w:hAnsi="Times New Roman"/>
          <w:sz w:val="24"/>
          <w:szCs w:val="24"/>
        </w:rPr>
        <w:t>轨迹及照片导入电脑，运用</w:t>
      </w:r>
      <w:r>
        <w:rPr>
          <w:rFonts w:ascii="Times New Roman" w:eastAsia="宋体" w:hAnsi="Times New Roman"/>
          <w:sz w:val="24"/>
          <w:szCs w:val="24"/>
        </w:rPr>
        <w:t>GPicSync</w:t>
      </w:r>
      <w:r>
        <w:rPr>
          <w:rFonts w:ascii="Times New Roman" w:eastAsia="宋体" w:hAnsi="Times New Roman"/>
          <w:sz w:val="24"/>
          <w:szCs w:val="24"/>
        </w:rPr>
        <w:t>软件将航迹文件中各个记录点的时间信息与照片中</w:t>
      </w:r>
      <w:r>
        <w:rPr>
          <w:rFonts w:ascii="Times New Roman" w:eastAsia="宋体" w:hAnsi="Times New Roman"/>
          <w:sz w:val="24"/>
          <w:szCs w:val="24"/>
        </w:rPr>
        <w:t>exif</w:t>
      </w:r>
      <w:r>
        <w:rPr>
          <w:rFonts w:ascii="Times New Roman" w:eastAsia="宋体" w:hAnsi="Times New Roman"/>
          <w:sz w:val="24"/>
          <w:szCs w:val="24"/>
        </w:rPr>
        <w:t>信息中的时间信息进行匹配，当某个记录点的时间与某张照片中的时间匹配时（匹配的精度可以任意设置，软件默认</w:t>
      </w:r>
      <w:r>
        <w:rPr>
          <w:rFonts w:ascii="Times New Roman" w:eastAsia="宋体" w:hAnsi="Times New Roman"/>
          <w:sz w:val="24"/>
          <w:szCs w:val="24"/>
        </w:rPr>
        <w:t>300</w:t>
      </w:r>
      <w:r>
        <w:rPr>
          <w:rFonts w:ascii="Times New Roman" w:eastAsia="宋体" w:hAnsi="Times New Roman"/>
          <w:sz w:val="24"/>
          <w:szCs w:val="24"/>
        </w:rPr>
        <w:t>秒），即认为航迹文件中这个点的坐标即为照片拍摄地点的坐标，并将这个坐标写入照片的</w:t>
      </w:r>
      <w:r>
        <w:rPr>
          <w:rFonts w:ascii="Times New Roman" w:eastAsia="宋体" w:hAnsi="Times New Roman"/>
          <w:sz w:val="24"/>
          <w:szCs w:val="24"/>
        </w:rPr>
        <w:t>exif</w:t>
      </w:r>
      <w:r>
        <w:rPr>
          <w:rFonts w:ascii="Times New Roman" w:eastAsia="宋体" w:hAnsi="Times New Roman"/>
          <w:sz w:val="24"/>
          <w:szCs w:val="24"/>
        </w:rPr>
        <w:t>信息中并形成</w:t>
      </w:r>
      <w:r>
        <w:rPr>
          <w:rFonts w:ascii="Times New Roman" w:eastAsia="宋体" w:hAnsi="Times New Roman"/>
          <w:sz w:val="24"/>
          <w:szCs w:val="24"/>
        </w:rPr>
        <w:t>kml</w:t>
      </w:r>
      <w:r>
        <w:rPr>
          <w:rFonts w:ascii="Times New Roman" w:eastAsia="宋体" w:hAnsi="Times New Roman"/>
          <w:sz w:val="24"/>
          <w:szCs w:val="24"/>
        </w:rPr>
        <w:t>格式文件。最后可在</w:t>
      </w:r>
      <w:r>
        <w:rPr>
          <w:rFonts w:ascii="Times New Roman" w:eastAsia="宋体" w:hAnsi="Times New Roman"/>
          <w:sz w:val="24"/>
          <w:szCs w:val="24"/>
        </w:rPr>
        <w:t>ArcGIS</w:t>
      </w:r>
      <w:r>
        <w:rPr>
          <w:rFonts w:ascii="Times New Roman" w:eastAsia="宋体" w:hAnsi="Times New Roman"/>
          <w:sz w:val="24"/>
          <w:szCs w:val="24"/>
        </w:rPr>
        <w:t>及</w:t>
      </w:r>
      <w:r>
        <w:rPr>
          <w:rFonts w:ascii="Times New Roman" w:eastAsia="宋体" w:hAnsi="Times New Roman"/>
          <w:sz w:val="24"/>
          <w:szCs w:val="24"/>
        </w:rPr>
        <w:t>Google earth</w:t>
      </w:r>
      <w:r>
        <w:rPr>
          <w:rFonts w:ascii="Times New Roman" w:eastAsia="宋体" w:hAnsi="Times New Roman"/>
          <w:sz w:val="24"/>
          <w:szCs w:val="24"/>
        </w:rPr>
        <w:t>中调取相应生态考察点照片并结合卫片判读考察点生态现状，同时也为土地利用、水土流失、植被类型等生态图件的编绘提供依据并校正相应图件。</w:t>
      </w:r>
    </w:p>
    <w:p w:rsidR="00BD5820" w:rsidRDefault="00F64314">
      <w:pPr>
        <w:pStyle w:val="44"/>
        <w:spacing w:line="480" w:lineRule="exact"/>
        <w:ind w:left="0" w:firstLineChars="196" w:firstLine="472"/>
        <w:rPr>
          <w:rFonts w:ascii="Times New Roman" w:eastAsia="宋体" w:hAnsi="Times New Roman"/>
          <w:b/>
          <w:bCs/>
          <w:sz w:val="24"/>
          <w:szCs w:val="24"/>
        </w:rPr>
      </w:pPr>
      <w:r>
        <w:rPr>
          <w:rFonts w:ascii="Times New Roman" w:eastAsia="宋体" w:hAnsi="Times New Roman"/>
          <w:b/>
          <w:bCs/>
          <w:sz w:val="24"/>
          <w:szCs w:val="24"/>
        </w:rPr>
        <w:t>（</w:t>
      </w:r>
      <w:r>
        <w:rPr>
          <w:rFonts w:ascii="Times New Roman" w:eastAsia="宋体" w:hAnsi="Times New Roman"/>
          <w:b/>
          <w:bCs/>
          <w:sz w:val="24"/>
          <w:szCs w:val="24"/>
        </w:rPr>
        <w:t>2</w:t>
      </w:r>
      <w:r>
        <w:rPr>
          <w:rFonts w:ascii="Times New Roman" w:eastAsia="宋体" w:hAnsi="Times New Roman"/>
          <w:b/>
          <w:bCs/>
          <w:sz w:val="24"/>
          <w:szCs w:val="24"/>
        </w:rPr>
        <w:t>）</w:t>
      </w:r>
      <w:r>
        <w:rPr>
          <w:rFonts w:ascii="Times New Roman" w:eastAsia="宋体" w:hAnsi="Times New Roman"/>
          <w:b/>
          <w:bCs/>
          <w:sz w:val="24"/>
          <w:szCs w:val="24"/>
        </w:rPr>
        <w:t>GPS</w:t>
      </w:r>
      <w:r>
        <w:rPr>
          <w:rFonts w:ascii="Times New Roman" w:eastAsia="宋体" w:hAnsi="Times New Roman"/>
          <w:b/>
          <w:bCs/>
          <w:sz w:val="24"/>
          <w:szCs w:val="24"/>
        </w:rPr>
        <w:t>地面类型及植被调查取样</w:t>
      </w:r>
    </w:p>
    <w:p w:rsidR="00BD5820" w:rsidRDefault="00F64314">
      <w:pPr>
        <w:pStyle w:val="44"/>
        <w:spacing w:line="480" w:lineRule="exact"/>
        <w:ind w:left="0" w:firstLineChars="200" w:firstLine="480"/>
        <w:rPr>
          <w:rFonts w:ascii="Times New Roman" w:eastAsia="宋体" w:hAnsi="Times New Roman"/>
          <w:sz w:val="24"/>
          <w:szCs w:val="24"/>
        </w:rPr>
      </w:pPr>
      <w:r>
        <w:rPr>
          <w:rFonts w:ascii="Times New Roman" w:eastAsia="宋体" w:hAnsi="Times New Roman"/>
          <w:sz w:val="24"/>
          <w:szCs w:val="24"/>
        </w:rPr>
        <w:t>GPS</w:t>
      </w:r>
      <w:r>
        <w:rPr>
          <w:rFonts w:ascii="Times New Roman" w:eastAsia="宋体" w:hAnsi="Times New Roman"/>
          <w:sz w:val="24"/>
          <w:szCs w:val="24"/>
        </w:rPr>
        <w:t>样点是卫星遥感影像判读各种景观类型的基础，根据室内判读的植被与土地利用类型图，现场核实判读的正误率，并对每个</w:t>
      </w:r>
      <w:r>
        <w:rPr>
          <w:rFonts w:ascii="Times New Roman" w:eastAsia="宋体" w:hAnsi="Times New Roman"/>
          <w:sz w:val="24"/>
          <w:szCs w:val="24"/>
        </w:rPr>
        <w:t>GPS</w:t>
      </w:r>
      <w:r>
        <w:rPr>
          <w:rFonts w:ascii="Times New Roman" w:eastAsia="宋体" w:hAnsi="Times New Roman"/>
          <w:sz w:val="24"/>
          <w:szCs w:val="24"/>
        </w:rPr>
        <w:t>取样点作如下记录：</w:t>
      </w:r>
    </w:p>
    <w:p w:rsidR="00BD5820" w:rsidRDefault="00F64314">
      <w:pPr>
        <w:pStyle w:val="44"/>
        <w:spacing w:line="480" w:lineRule="exact"/>
        <w:ind w:left="0" w:firstLineChars="200" w:firstLine="480"/>
        <w:rPr>
          <w:rFonts w:ascii="Times New Roman" w:eastAsia="宋体" w:hAnsi="Times New Roman"/>
          <w:sz w:val="24"/>
          <w:szCs w:val="24"/>
        </w:rPr>
      </w:pPr>
      <w:r>
        <w:rPr>
          <w:rFonts w:ascii="Times New Roman" w:eastAsia="宋体" w:hAnsi="Times New Roman"/>
          <w:sz w:val="24"/>
          <w:szCs w:val="24"/>
        </w:rPr>
        <w:lastRenderedPageBreak/>
        <w:t>1</w:t>
      </w:r>
      <w:r>
        <w:rPr>
          <w:rFonts w:ascii="Times New Roman" w:eastAsia="宋体" w:hAnsi="Times New Roman"/>
          <w:sz w:val="24"/>
          <w:szCs w:val="24"/>
        </w:rPr>
        <w:t>）</w:t>
      </w:r>
      <w:r>
        <w:rPr>
          <w:rFonts w:ascii="Times New Roman" w:eastAsia="宋体" w:hAnsi="Times New Roman"/>
          <w:sz w:val="24"/>
          <w:szCs w:val="24"/>
        </w:rPr>
        <w:t>GPS</w:t>
      </w:r>
      <w:r>
        <w:rPr>
          <w:rFonts w:ascii="Times New Roman" w:eastAsia="宋体" w:hAnsi="Times New Roman"/>
          <w:sz w:val="24"/>
          <w:szCs w:val="24"/>
        </w:rPr>
        <w:t>读出测点的海拔值和经纬度；</w:t>
      </w:r>
    </w:p>
    <w:p w:rsidR="00BD5820" w:rsidRDefault="00F64314">
      <w:pPr>
        <w:pStyle w:val="44"/>
        <w:spacing w:line="480" w:lineRule="exact"/>
        <w:ind w:left="0" w:firstLineChars="200" w:firstLine="480"/>
        <w:rPr>
          <w:rFonts w:ascii="Times New Roman" w:eastAsia="宋体" w:hAnsi="Times New Roman"/>
          <w:sz w:val="24"/>
          <w:szCs w:val="24"/>
        </w:rPr>
      </w:pPr>
      <w:r>
        <w:rPr>
          <w:rFonts w:ascii="Times New Roman" w:eastAsia="宋体" w:hAnsi="Times New Roman"/>
          <w:sz w:val="24"/>
          <w:szCs w:val="24"/>
        </w:rPr>
        <w:t>2</w:t>
      </w:r>
      <w:r>
        <w:rPr>
          <w:rFonts w:ascii="Times New Roman" w:eastAsia="宋体" w:hAnsi="Times New Roman"/>
          <w:sz w:val="24"/>
          <w:szCs w:val="24"/>
        </w:rPr>
        <w:t>）记录样点植被类型，以群系或群丛为单位，同时记录样点坡向、坡度；</w:t>
      </w:r>
    </w:p>
    <w:p w:rsidR="00BD5820" w:rsidRDefault="00F64314">
      <w:pPr>
        <w:pStyle w:val="44"/>
        <w:spacing w:line="480" w:lineRule="exact"/>
        <w:ind w:left="0" w:firstLineChars="200" w:firstLine="480"/>
        <w:rPr>
          <w:rFonts w:ascii="Times New Roman" w:eastAsia="宋体" w:hAnsi="Times New Roman"/>
          <w:sz w:val="24"/>
          <w:szCs w:val="24"/>
        </w:rPr>
      </w:pPr>
      <w:r>
        <w:rPr>
          <w:rFonts w:ascii="Times New Roman" w:eastAsia="宋体" w:hAnsi="Times New Roman"/>
          <w:sz w:val="24"/>
          <w:szCs w:val="24"/>
        </w:rPr>
        <w:t>3</w:t>
      </w:r>
      <w:r>
        <w:rPr>
          <w:rFonts w:ascii="Times New Roman" w:eastAsia="宋体" w:hAnsi="Times New Roman"/>
          <w:sz w:val="24"/>
          <w:szCs w:val="24"/>
        </w:rPr>
        <w:t>）记录样点优势植物以及观察动物活动的情况；</w:t>
      </w:r>
    </w:p>
    <w:p w:rsidR="00BD5820" w:rsidRDefault="00F64314">
      <w:pPr>
        <w:pStyle w:val="44"/>
        <w:spacing w:line="480" w:lineRule="exact"/>
        <w:ind w:left="0" w:firstLineChars="200" w:firstLine="480"/>
        <w:rPr>
          <w:rFonts w:ascii="Times New Roman" w:eastAsia="宋体" w:hAnsi="Times New Roman"/>
          <w:sz w:val="24"/>
          <w:szCs w:val="24"/>
        </w:rPr>
      </w:pPr>
      <w:r>
        <w:rPr>
          <w:rFonts w:ascii="Times New Roman" w:eastAsia="宋体" w:hAnsi="Times New Roman"/>
          <w:sz w:val="24"/>
          <w:szCs w:val="24"/>
        </w:rPr>
        <w:t>4</w:t>
      </w:r>
      <w:r>
        <w:rPr>
          <w:rFonts w:ascii="Times New Roman" w:eastAsia="宋体" w:hAnsi="Times New Roman"/>
          <w:sz w:val="24"/>
          <w:szCs w:val="24"/>
        </w:rPr>
        <w:t>）拍摄典型植被外貌与结构特征。</w:t>
      </w:r>
    </w:p>
    <w:p w:rsidR="00BD5820" w:rsidRDefault="00F64314">
      <w:pPr>
        <w:pStyle w:val="44"/>
        <w:spacing w:line="480" w:lineRule="exact"/>
        <w:ind w:left="0" w:firstLineChars="196" w:firstLine="472"/>
        <w:rPr>
          <w:rFonts w:ascii="Times New Roman" w:eastAsia="宋体" w:hAnsi="Times New Roman"/>
          <w:b/>
          <w:bCs/>
          <w:sz w:val="24"/>
          <w:szCs w:val="24"/>
        </w:rPr>
      </w:pPr>
      <w:r>
        <w:rPr>
          <w:rFonts w:ascii="Times New Roman" w:eastAsia="宋体" w:hAnsi="Times New Roman"/>
          <w:b/>
          <w:bCs/>
          <w:sz w:val="24"/>
          <w:szCs w:val="24"/>
        </w:rPr>
        <w:t>（</w:t>
      </w:r>
      <w:r>
        <w:rPr>
          <w:rFonts w:ascii="Times New Roman" w:eastAsia="宋体" w:hAnsi="Times New Roman"/>
          <w:b/>
          <w:bCs/>
          <w:sz w:val="24"/>
          <w:szCs w:val="24"/>
        </w:rPr>
        <w:t>3</w:t>
      </w:r>
      <w:r>
        <w:rPr>
          <w:rFonts w:ascii="Times New Roman" w:eastAsia="宋体" w:hAnsi="Times New Roman"/>
          <w:b/>
          <w:bCs/>
          <w:sz w:val="24"/>
          <w:szCs w:val="24"/>
        </w:rPr>
        <w:t>）陆生植被调查</w:t>
      </w:r>
    </w:p>
    <w:p w:rsidR="00BD5820" w:rsidRDefault="00F64314">
      <w:pPr>
        <w:pStyle w:val="44"/>
        <w:spacing w:line="480" w:lineRule="exact"/>
        <w:ind w:left="0" w:firstLineChars="200" w:firstLine="480"/>
        <w:rPr>
          <w:rFonts w:ascii="Times New Roman" w:eastAsia="宋体" w:hAnsi="Times New Roman"/>
          <w:sz w:val="24"/>
          <w:szCs w:val="24"/>
        </w:rPr>
      </w:pPr>
      <w:r>
        <w:rPr>
          <w:rFonts w:ascii="Times New Roman" w:eastAsia="宋体" w:hAnsi="Times New Roman"/>
          <w:sz w:val="24"/>
          <w:szCs w:val="24"/>
        </w:rPr>
        <w:t>在调查过程中，确定评价范围内的植物种类及资源状况、经济植物种类及资源状况、珍稀濒危植物的种类及生存状况等。实地调查采取路线调查与重点调查相结合的方法，对于没有原生植被的区域采取路线调查，在项目占地范围以及植被状况良好的区域实行重点调查；重点调查采取样方调查方法，记录评价范围内的常见植物种类，同时记录坡向、坡度、土壤、岩石类型等环境特征，拍摄典型植被外貌与结构特征；对保护植物、古树名木调查采取现场调查和民间查访相结合的方法进行；对有疑问的植物和珍稀濒危植物采集凭证标本并拍摄照片。</w:t>
      </w:r>
    </w:p>
    <w:p w:rsidR="00BD5820" w:rsidRDefault="00F64314">
      <w:pPr>
        <w:pStyle w:val="44"/>
        <w:spacing w:line="480" w:lineRule="exact"/>
        <w:ind w:left="0" w:firstLineChars="200" w:firstLine="480"/>
        <w:rPr>
          <w:rFonts w:ascii="Times New Roman" w:eastAsia="宋体" w:hAnsi="Times New Roman"/>
          <w:sz w:val="24"/>
          <w:szCs w:val="24"/>
        </w:rPr>
      </w:pPr>
      <w:r>
        <w:rPr>
          <w:rFonts w:ascii="Times New Roman" w:eastAsia="宋体" w:hAnsi="Times New Roman"/>
          <w:sz w:val="24"/>
          <w:szCs w:val="24"/>
        </w:rPr>
        <w:t>样方布点原则：</w:t>
      </w:r>
    </w:p>
    <w:p w:rsidR="00BD5820" w:rsidRDefault="00F64314">
      <w:pPr>
        <w:pStyle w:val="44"/>
        <w:spacing w:line="480" w:lineRule="exact"/>
        <w:ind w:left="0" w:firstLineChars="200" w:firstLine="480"/>
        <w:rPr>
          <w:rFonts w:ascii="Times New Roman" w:eastAsia="宋体" w:hAnsi="Times New Roman"/>
          <w:sz w:val="24"/>
          <w:szCs w:val="24"/>
        </w:rPr>
      </w:pPr>
      <w:r>
        <w:rPr>
          <w:rFonts w:ascii="Times New Roman" w:eastAsia="宋体" w:hAnsi="Times New Roman"/>
          <w:sz w:val="24"/>
          <w:szCs w:val="24"/>
        </w:rPr>
        <w:t>植被调查取样的目的是要通过样地的研究准确地推测评价范围植被的总体情况，所选取的样地要具有代表性，能通过尽可能少的抽样获得较为准确的评价范围内植被总体的特征。按照如下原则：</w:t>
      </w:r>
      <w:r w:rsidR="00EA3750">
        <w:rPr>
          <w:rFonts w:ascii="Times New Roman" w:eastAsia="宋体" w:hAnsi="Times New Roman"/>
          <w:sz w:val="24"/>
          <w:szCs w:val="24"/>
        </w:rPr>
        <w:fldChar w:fldCharType="begin"/>
      </w:r>
      <w:r>
        <w:rPr>
          <w:rFonts w:ascii="Times New Roman" w:eastAsia="宋体" w:hAnsi="Times New Roman"/>
          <w:sz w:val="24"/>
          <w:szCs w:val="24"/>
        </w:rPr>
        <w:instrText xml:space="preserve"> = 1 \* GB3 </w:instrText>
      </w:r>
      <w:r w:rsidR="00EA3750">
        <w:rPr>
          <w:rFonts w:ascii="Times New Roman" w:eastAsia="宋体" w:hAnsi="Times New Roman"/>
          <w:sz w:val="24"/>
          <w:szCs w:val="24"/>
        </w:rPr>
        <w:fldChar w:fldCharType="separate"/>
      </w:r>
      <w:r>
        <w:rPr>
          <w:rFonts w:ascii="Times New Roman" w:eastAsia="宋体" w:hAnsi="Times New Roman"/>
          <w:sz w:val="24"/>
          <w:szCs w:val="24"/>
          <w:lang w:val="zh-CN"/>
        </w:rPr>
        <w:t>①</w:t>
      </w:r>
      <w:r w:rsidR="00EA3750">
        <w:rPr>
          <w:rFonts w:ascii="Times New Roman" w:eastAsia="宋体" w:hAnsi="Times New Roman"/>
          <w:sz w:val="24"/>
          <w:szCs w:val="24"/>
        </w:rPr>
        <w:fldChar w:fldCharType="end"/>
      </w:r>
      <w:r>
        <w:rPr>
          <w:rFonts w:ascii="Times New Roman" w:eastAsia="宋体" w:hAnsi="Times New Roman"/>
          <w:sz w:val="24"/>
          <w:szCs w:val="24"/>
        </w:rPr>
        <w:t>尽量在对生态影响较大区域内设置样地，并考虑评价范围内布点的均匀性、不同植被类型的全面性等特点；</w:t>
      </w:r>
      <w:r>
        <w:rPr>
          <w:rFonts w:ascii="Times New Roman" w:eastAsia="宋体" w:hAnsi="Times New Roman"/>
          <w:sz w:val="24"/>
          <w:szCs w:val="24"/>
        </w:rPr>
        <w:t>②</w:t>
      </w:r>
      <w:r>
        <w:rPr>
          <w:rFonts w:ascii="Times New Roman" w:eastAsia="宋体" w:hAnsi="Times New Roman"/>
          <w:sz w:val="24"/>
          <w:szCs w:val="24"/>
        </w:rPr>
        <w:t>样方设置避免对同一种植被类型进行重复设点，特别是对植物变化较大的地段进行增加设点。</w:t>
      </w:r>
    </w:p>
    <w:p w:rsidR="00BD5820" w:rsidRDefault="00F64314">
      <w:pPr>
        <w:pStyle w:val="44"/>
        <w:spacing w:line="480" w:lineRule="exact"/>
        <w:ind w:left="0" w:firstLineChars="200" w:firstLine="480"/>
        <w:rPr>
          <w:rFonts w:ascii="Times New Roman" w:eastAsia="宋体" w:hAnsi="Times New Roman"/>
          <w:sz w:val="24"/>
          <w:szCs w:val="24"/>
        </w:rPr>
      </w:pPr>
      <w:r>
        <w:rPr>
          <w:rFonts w:ascii="Times New Roman" w:eastAsia="宋体" w:hAnsi="Times New Roman"/>
          <w:sz w:val="24"/>
          <w:szCs w:val="24"/>
        </w:rPr>
        <w:t>样方调查方法：</w:t>
      </w:r>
    </w:p>
    <w:p w:rsidR="00BD5820" w:rsidRDefault="00F64314">
      <w:pPr>
        <w:pStyle w:val="44"/>
        <w:spacing w:line="480" w:lineRule="exact"/>
        <w:ind w:left="0" w:firstLineChars="200" w:firstLine="480"/>
        <w:rPr>
          <w:rFonts w:ascii="Times New Roman" w:eastAsia="宋体" w:hAnsi="Times New Roman"/>
          <w:sz w:val="24"/>
          <w:szCs w:val="24"/>
        </w:rPr>
      </w:pPr>
      <w:r>
        <w:rPr>
          <w:rFonts w:ascii="Times New Roman" w:eastAsia="宋体" w:hAnsi="Times New Roman"/>
          <w:sz w:val="24"/>
          <w:szCs w:val="24"/>
        </w:rPr>
        <w:t>根据评价范围内不同植被类型设置调查样地，并对典型样地进行拍照，对评价范围植被类型、农业生态环境、野生动植物资源进行较为详细的勘察。</w:t>
      </w:r>
    </w:p>
    <w:p w:rsidR="00BD5820" w:rsidRDefault="00F64314">
      <w:pPr>
        <w:pStyle w:val="affa"/>
        <w:ind w:firstLine="480"/>
        <w:rPr>
          <w:szCs w:val="24"/>
          <w:lang w:val="zh-CN"/>
        </w:rPr>
      </w:pPr>
      <w:r>
        <w:rPr>
          <w:szCs w:val="24"/>
          <w:lang w:val="zh-CN"/>
        </w:rPr>
        <w:t>乔木林样地面积为</w:t>
      </w:r>
      <w:r>
        <w:rPr>
          <w:szCs w:val="24"/>
        </w:rPr>
        <w:t>20</w:t>
      </w:r>
      <w:r>
        <w:rPr>
          <w:szCs w:val="24"/>
          <w:lang w:val="zh-CN"/>
        </w:rPr>
        <w:t>×</w:t>
      </w:r>
      <w:r>
        <w:rPr>
          <w:szCs w:val="24"/>
        </w:rPr>
        <w:t>20</w:t>
      </w:r>
      <w:r>
        <w:rPr>
          <w:szCs w:val="24"/>
          <w:lang w:val="zh-CN"/>
        </w:rPr>
        <w:t>m</w:t>
      </w:r>
      <w:r>
        <w:rPr>
          <w:szCs w:val="24"/>
          <w:lang w:val="zh-CN"/>
        </w:rPr>
        <w:t>，灌</w:t>
      </w:r>
      <w:r>
        <w:rPr>
          <w:szCs w:val="24"/>
        </w:rPr>
        <w:t>草</w:t>
      </w:r>
      <w:r>
        <w:rPr>
          <w:szCs w:val="24"/>
          <w:lang w:val="zh-CN"/>
        </w:rPr>
        <w:t>丛样地为</w:t>
      </w:r>
      <w:r>
        <w:rPr>
          <w:szCs w:val="24"/>
        </w:rPr>
        <w:t>5</w:t>
      </w:r>
      <w:r>
        <w:rPr>
          <w:szCs w:val="24"/>
          <w:lang w:val="zh-CN"/>
        </w:rPr>
        <w:t>×</w:t>
      </w:r>
      <w:r>
        <w:rPr>
          <w:szCs w:val="24"/>
        </w:rPr>
        <w:t>5</w:t>
      </w:r>
      <w:r>
        <w:rPr>
          <w:szCs w:val="24"/>
          <w:lang w:val="zh-CN"/>
        </w:rPr>
        <w:t>m</w:t>
      </w:r>
      <w:r>
        <w:rPr>
          <w:szCs w:val="24"/>
          <w:lang w:val="zh-CN"/>
        </w:rPr>
        <w:t>，</w:t>
      </w:r>
      <w:r>
        <w:rPr>
          <w:spacing w:val="-4"/>
          <w:szCs w:val="24"/>
        </w:rPr>
        <w:t>草丛样方设置为</w:t>
      </w:r>
      <w:r>
        <w:rPr>
          <w:spacing w:val="-4"/>
          <w:szCs w:val="24"/>
        </w:rPr>
        <w:t>1×1m</w:t>
      </w:r>
      <w:r>
        <w:rPr>
          <w:spacing w:val="-4"/>
          <w:szCs w:val="24"/>
        </w:rPr>
        <w:t>，</w:t>
      </w:r>
      <w:r>
        <w:rPr>
          <w:szCs w:val="24"/>
          <w:lang w:val="zh-CN"/>
        </w:rPr>
        <w:t>根据实际情况可以略有改变。乔木林</w:t>
      </w:r>
      <w:r>
        <w:rPr>
          <w:szCs w:val="24"/>
        </w:rPr>
        <w:t>对乔木层进行全面调查，再设置小样方调查灌木层和草本层；灌草丛和草丛对样地内植物进行全面调查。本次调查共设置样地</w:t>
      </w:r>
      <w:r>
        <w:rPr>
          <w:rFonts w:hint="eastAsia"/>
          <w:szCs w:val="24"/>
        </w:rPr>
        <w:t>9</w:t>
      </w:r>
      <w:r>
        <w:rPr>
          <w:szCs w:val="24"/>
        </w:rPr>
        <w:t>个，涵盖乔灌草多种地类，布点情况</w:t>
      </w:r>
      <w:r>
        <w:rPr>
          <w:szCs w:val="24"/>
          <w:lang w:val="zh-CN"/>
        </w:rPr>
        <w:t>详见表</w:t>
      </w:r>
      <w:r>
        <w:rPr>
          <w:rFonts w:hint="eastAsia"/>
          <w:szCs w:val="24"/>
        </w:rPr>
        <w:t>5</w:t>
      </w:r>
      <w:r>
        <w:rPr>
          <w:szCs w:val="24"/>
        </w:rPr>
        <w:t>.</w:t>
      </w:r>
      <w:r>
        <w:rPr>
          <w:rFonts w:hint="eastAsia"/>
          <w:szCs w:val="24"/>
        </w:rPr>
        <w:t>2</w:t>
      </w:r>
      <w:r>
        <w:rPr>
          <w:szCs w:val="24"/>
        </w:rPr>
        <w:t>-2</w:t>
      </w:r>
      <w:r>
        <w:rPr>
          <w:szCs w:val="24"/>
          <w:lang w:val="zh-CN"/>
        </w:rPr>
        <w:t>。</w:t>
      </w:r>
    </w:p>
    <w:p w:rsidR="00BD5820" w:rsidRDefault="00BD5820">
      <w:pPr>
        <w:pStyle w:val="affa"/>
        <w:ind w:firstLine="480"/>
        <w:rPr>
          <w:rFonts w:hint="eastAsia"/>
          <w:szCs w:val="24"/>
          <w:lang w:val="zh-CN"/>
        </w:rPr>
      </w:pPr>
    </w:p>
    <w:p w:rsidR="00120DD0" w:rsidRDefault="00120DD0">
      <w:pPr>
        <w:pStyle w:val="affa"/>
        <w:ind w:firstLine="480"/>
        <w:rPr>
          <w:szCs w:val="24"/>
          <w:lang w:val="zh-CN"/>
        </w:rPr>
      </w:pPr>
    </w:p>
    <w:p w:rsidR="00BD5820" w:rsidRDefault="00F64314" w:rsidP="00511129">
      <w:pPr>
        <w:topLinePunct w:val="0"/>
        <w:autoSpaceDE w:val="0"/>
        <w:autoSpaceDN w:val="0"/>
        <w:spacing w:beforeLines="50" w:line="240" w:lineRule="auto"/>
        <w:ind w:firstLineChars="0" w:firstLine="0"/>
        <w:jc w:val="center"/>
        <w:rPr>
          <w:rFonts w:ascii="Times New Roman" w:cs="Times New Roman"/>
          <w:b/>
          <w:sz w:val="21"/>
        </w:rPr>
      </w:pPr>
      <w:r>
        <w:rPr>
          <w:rFonts w:ascii="Times New Roman" w:cs="Times New Roman"/>
          <w:b/>
          <w:sz w:val="21"/>
        </w:rPr>
        <w:lastRenderedPageBreak/>
        <w:t>表</w:t>
      </w:r>
      <w:r>
        <w:rPr>
          <w:rFonts w:ascii="Times New Roman" w:cs="Times New Roman" w:hint="eastAsia"/>
          <w:b/>
          <w:sz w:val="21"/>
        </w:rPr>
        <w:t>5</w:t>
      </w:r>
      <w:r>
        <w:rPr>
          <w:rFonts w:ascii="Times New Roman" w:cs="Times New Roman"/>
          <w:b/>
          <w:sz w:val="21"/>
        </w:rPr>
        <w:t>.</w:t>
      </w:r>
      <w:r>
        <w:rPr>
          <w:rFonts w:ascii="Times New Roman" w:cs="Times New Roman" w:hint="eastAsia"/>
          <w:b/>
          <w:sz w:val="21"/>
        </w:rPr>
        <w:t>2</w:t>
      </w:r>
      <w:r>
        <w:rPr>
          <w:rFonts w:ascii="Times New Roman" w:cs="Times New Roman"/>
          <w:b/>
          <w:sz w:val="21"/>
        </w:rPr>
        <w:t xml:space="preserve">-2 </w:t>
      </w:r>
      <w:r>
        <w:rPr>
          <w:rFonts w:ascii="Times New Roman" w:cs="Times New Roman"/>
          <w:b/>
          <w:sz w:val="21"/>
        </w:rPr>
        <w:t>项目评价范围内植被群系样方调查点分布情况</w:t>
      </w:r>
    </w:p>
    <w:tbl>
      <w:tblPr>
        <w:tblW w:w="8787" w:type="dxa"/>
        <w:jc w:val="center"/>
        <w:tblBorders>
          <w:top w:val="single" w:sz="12" w:space="0" w:color="000000"/>
          <w:bottom w:val="single" w:sz="12" w:space="0" w:color="000000"/>
          <w:insideH w:val="single" w:sz="2" w:space="0" w:color="000000"/>
          <w:insideV w:val="single" w:sz="4" w:space="0" w:color="000000"/>
        </w:tblBorders>
        <w:tblLayout w:type="fixed"/>
        <w:tblCellMar>
          <w:left w:w="0" w:type="dxa"/>
          <w:right w:w="0" w:type="dxa"/>
        </w:tblCellMar>
        <w:tblLook w:val="04A0"/>
      </w:tblPr>
      <w:tblGrid>
        <w:gridCol w:w="519"/>
        <w:gridCol w:w="1026"/>
        <w:gridCol w:w="1764"/>
        <w:gridCol w:w="2279"/>
        <w:gridCol w:w="1133"/>
        <w:gridCol w:w="2066"/>
      </w:tblGrid>
      <w:tr w:rsidR="00BD5820">
        <w:trPr>
          <w:trHeight w:val="733"/>
          <w:jc w:val="center"/>
        </w:trPr>
        <w:tc>
          <w:tcPr>
            <w:tcW w:w="519" w:type="dxa"/>
            <w:textDirection w:val="tbRlV"/>
            <w:vAlign w:val="center"/>
          </w:tcPr>
          <w:p w:rsidR="00BD5820" w:rsidRDefault="00F64314">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bCs/>
                <w:sz w:val="21"/>
                <w:szCs w:val="21"/>
              </w:rPr>
              <w:t>序号</w:t>
            </w:r>
          </w:p>
        </w:tc>
        <w:tc>
          <w:tcPr>
            <w:tcW w:w="1026" w:type="dxa"/>
            <w:vAlign w:val="center"/>
          </w:tcPr>
          <w:p w:rsidR="00BD5820" w:rsidRDefault="00F64314">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bCs/>
                <w:sz w:val="21"/>
                <w:szCs w:val="21"/>
              </w:rPr>
              <w:t>样方面积</w:t>
            </w:r>
          </w:p>
        </w:tc>
        <w:tc>
          <w:tcPr>
            <w:tcW w:w="1764" w:type="dxa"/>
            <w:vAlign w:val="center"/>
          </w:tcPr>
          <w:p w:rsidR="00BD5820" w:rsidRDefault="00F64314">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bCs/>
                <w:sz w:val="21"/>
                <w:szCs w:val="21"/>
              </w:rPr>
              <w:t>经纬度</w:t>
            </w:r>
          </w:p>
        </w:tc>
        <w:tc>
          <w:tcPr>
            <w:tcW w:w="2279" w:type="dxa"/>
            <w:vAlign w:val="center"/>
          </w:tcPr>
          <w:p w:rsidR="00BD5820" w:rsidRDefault="00F64314">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bCs/>
                <w:sz w:val="21"/>
                <w:szCs w:val="21"/>
              </w:rPr>
              <w:t>群落名称</w:t>
            </w:r>
          </w:p>
        </w:tc>
        <w:tc>
          <w:tcPr>
            <w:tcW w:w="1133" w:type="dxa"/>
            <w:vAlign w:val="center"/>
          </w:tcPr>
          <w:p w:rsidR="00BD5820" w:rsidRDefault="00F64314">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bCs/>
                <w:sz w:val="21"/>
                <w:szCs w:val="21"/>
              </w:rPr>
              <w:t>关键种、建群种</w:t>
            </w:r>
          </w:p>
        </w:tc>
        <w:tc>
          <w:tcPr>
            <w:tcW w:w="2066" w:type="dxa"/>
            <w:vAlign w:val="center"/>
          </w:tcPr>
          <w:p w:rsidR="00BD5820" w:rsidRDefault="00F64314">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bCs/>
                <w:sz w:val="21"/>
                <w:szCs w:val="21"/>
              </w:rPr>
              <w:t>优势种</w:t>
            </w:r>
          </w:p>
        </w:tc>
      </w:tr>
      <w:tr w:rsidR="00BD5820">
        <w:trPr>
          <w:trHeight w:val="504"/>
          <w:jc w:val="center"/>
        </w:trPr>
        <w:tc>
          <w:tcPr>
            <w:tcW w:w="519" w:type="dxa"/>
            <w:vAlign w:val="center"/>
          </w:tcPr>
          <w:p w:rsidR="00BD5820" w:rsidRDefault="00F64314">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bCs/>
                <w:sz w:val="21"/>
                <w:szCs w:val="21"/>
              </w:rPr>
              <w:t>1</w:t>
            </w:r>
          </w:p>
        </w:tc>
        <w:tc>
          <w:tcPr>
            <w:tcW w:w="1026" w:type="dxa"/>
            <w:vAlign w:val="center"/>
          </w:tcPr>
          <w:p w:rsidR="00BD5820" w:rsidRDefault="00F64314">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hint="eastAsia"/>
                <w:bCs/>
                <w:sz w:val="21"/>
                <w:szCs w:val="21"/>
              </w:rPr>
              <w:t>20</w:t>
            </w:r>
            <w:r>
              <w:rPr>
                <w:rFonts w:ascii="Times New Roman" w:cs="Times New Roman"/>
                <w:bCs/>
                <w:sz w:val="21"/>
                <w:szCs w:val="21"/>
              </w:rPr>
              <w:t>m×</w:t>
            </w:r>
            <w:r>
              <w:rPr>
                <w:rFonts w:ascii="Times New Roman" w:cs="Times New Roman" w:hint="eastAsia"/>
                <w:bCs/>
                <w:sz w:val="21"/>
                <w:szCs w:val="21"/>
              </w:rPr>
              <w:t>20</w:t>
            </w:r>
            <w:r>
              <w:rPr>
                <w:rFonts w:ascii="Times New Roman" w:cs="Times New Roman"/>
                <w:bCs/>
                <w:sz w:val="21"/>
                <w:szCs w:val="21"/>
              </w:rPr>
              <w:t>m</w:t>
            </w:r>
          </w:p>
        </w:tc>
        <w:tc>
          <w:tcPr>
            <w:tcW w:w="1764" w:type="dxa"/>
            <w:vAlign w:val="center"/>
          </w:tcPr>
          <w:p w:rsidR="00BD5820" w:rsidRDefault="00F64314">
            <w:pPr>
              <w:topLinePunct w:val="0"/>
              <w:spacing w:line="240" w:lineRule="auto"/>
              <w:ind w:firstLineChars="0" w:firstLine="0"/>
              <w:textAlignment w:val="baseline"/>
              <w:rPr>
                <w:rFonts w:ascii="Times New Roman" w:cs="Times New Roman"/>
                <w:bCs/>
                <w:sz w:val="21"/>
                <w:szCs w:val="21"/>
              </w:rPr>
            </w:pPr>
            <w:r>
              <w:rPr>
                <w:rFonts w:ascii="Times New Roman" w:cs="Times New Roman" w:hint="eastAsia"/>
                <w:bCs/>
                <w:kern w:val="2"/>
                <w:sz w:val="21"/>
                <w:szCs w:val="21"/>
              </w:rPr>
              <w:t>107.7894</w:t>
            </w:r>
            <w:r>
              <w:rPr>
                <w:rFonts w:ascii="Times New Roman" w:cs="Times New Roman" w:hint="eastAsia"/>
                <w:bCs/>
                <w:kern w:val="2"/>
                <w:sz w:val="21"/>
                <w:szCs w:val="21"/>
              </w:rPr>
              <w:t>，</w:t>
            </w:r>
            <w:r>
              <w:rPr>
                <w:rFonts w:ascii="Times New Roman" w:cs="Times New Roman" w:hint="eastAsia"/>
                <w:bCs/>
                <w:kern w:val="2"/>
                <w:sz w:val="21"/>
                <w:szCs w:val="21"/>
              </w:rPr>
              <w:t>31.5425</w:t>
            </w:r>
          </w:p>
        </w:tc>
        <w:tc>
          <w:tcPr>
            <w:tcW w:w="2279" w:type="dxa"/>
            <w:vAlign w:val="center"/>
          </w:tcPr>
          <w:p w:rsidR="00BD5820" w:rsidRDefault="00F64314">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hint="eastAsia"/>
                <w:bCs/>
                <w:sz w:val="21"/>
                <w:szCs w:val="21"/>
              </w:rPr>
              <w:t>马尾松群落</w:t>
            </w:r>
          </w:p>
        </w:tc>
        <w:tc>
          <w:tcPr>
            <w:tcW w:w="1133" w:type="dxa"/>
            <w:vAlign w:val="center"/>
          </w:tcPr>
          <w:p w:rsidR="00BD5820" w:rsidRDefault="00F64314">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hint="eastAsia"/>
                <w:bCs/>
                <w:sz w:val="21"/>
                <w:szCs w:val="21"/>
              </w:rPr>
              <w:t>马尾松</w:t>
            </w:r>
          </w:p>
        </w:tc>
        <w:tc>
          <w:tcPr>
            <w:tcW w:w="2066" w:type="dxa"/>
            <w:vAlign w:val="center"/>
          </w:tcPr>
          <w:p w:rsidR="00BD5820" w:rsidRDefault="00F64314">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bCs/>
                <w:sz w:val="21"/>
                <w:szCs w:val="21"/>
              </w:rPr>
              <w:t>马尾松</w:t>
            </w:r>
          </w:p>
        </w:tc>
      </w:tr>
      <w:tr w:rsidR="00BD5820">
        <w:trPr>
          <w:trHeight w:val="478"/>
          <w:jc w:val="center"/>
        </w:trPr>
        <w:tc>
          <w:tcPr>
            <w:tcW w:w="519" w:type="dxa"/>
            <w:vAlign w:val="center"/>
          </w:tcPr>
          <w:p w:rsidR="00BD5820" w:rsidRDefault="00F64314">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hint="eastAsia"/>
                <w:bCs/>
                <w:sz w:val="21"/>
                <w:szCs w:val="21"/>
              </w:rPr>
              <w:t>2</w:t>
            </w:r>
          </w:p>
        </w:tc>
        <w:tc>
          <w:tcPr>
            <w:tcW w:w="1026" w:type="dxa"/>
            <w:vAlign w:val="center"/>
          </w:tcPr>
          <w:p w:rsidR="00BD5820" w:rsidRDefault="00F64314">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hint="eastAsia"/>
                <w:bCs/>
                <w:sz w:val="21"/>
                <w:szCs w:val="21"/>
              </w:rPr>
              <w:t>20</w:t>
            </w:r>
            <w:r>
              <w:rPr>
                <w:rFonts w:ascii="Times New Roman" w:cs="Times New Roman"/>
                <w:bCs/>
                <w:sz w:val="21"/>
                <w:szCs w:val="21"/>
              </w:rPr>
              <w:t>m×</w:t>
            </w:r>
            <w:r>
              <w:rPr>
                <w:rFonts w:ascii="Times New Roman" w:cs="Times New Roman" w:hint="eastAsia"/>
                <w:bCs/>
                <w:sz w:val="21"/>
                <w:szCs w:val="21"/>
              </w:rPr>
              <w:t>20</w:t>
            </w:r>
            <w:r>
              <w:rPr>
                <w:rFonts w:ascii="Times New Roman" w:cs="Times New Roman"/>
                <w:bCs/>
                <w:sz w:val="21"/>
                <w:szCs w:val="21"/>
              </w:rPr>
              <w:t>m</w:t>
            </w:r>
          </w:p>
        </w:tc>
        <w:tc>
          <w:tcPr>
            <w:tcW w:w="1764" w:type="dxa"/>
            <w:vAlign w:val="center"/>
          </w:tcPr>
          <w:p w:rsidR="00BD5820" w:rsidRDefault="00F64314">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hint="eastAsia"/>
                <w:bCs/>
                <w:kern w:val="2"/>
                <w:sz w:val="21"/>
                <w:szCs w:val="21"/>
              </w:rPr>
              <w:t>107.7892</w:t>
            </w:r>
            <w:r>
              <w:rPr>
                <w:rFonts w:ascii="Times New Roman" w:cs="Times New Roman" w:hint="eastAsia"/>
                <w:bCs/>
                <w:kern w:val="2"/>
                <w:sz w:val="21"/>
                <w:szCs w:val="21"/>
              </w:rPr>
              <w:t>，</w:t>
            </w:r>
            <w:r>
              <w:rPr>
                <w:rFonts w:ascii="Times New Roman" w:cs="Times New Roman" w:hint="eastAsia"/>
                <w:bCs/>
                <w:kern w:val="2"/>
                <w:sz w:val="21"/>
                <w:szCs w:val="21"/>
              </w:rPr>
              <w:t>31.5444</w:t>
            </w:r>
          </w:p>
        </w:tc>
        <w:tc>
          <w:tcPr>
            <w:tcW w:w="2279" w:type="dxa"/>
            <w:vAlign w:val="center"/>
          </w:tcPr>
          <w:p w:rsidR="00BD5820" w:rsidRDefault="00F64314">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bCs/>
                <w:sz w:val="21"/>
                <w:szCs w:val="21"/>
              </w:rPr>
              <w:t>柏木</w:t>
            </w:r>
            <w:r>
              <w:rPr>
                <w:rFonts w:ascii="Times New Roman" w:cs="Times New Roman" w:hint="eastAsia"/>
                <w:bCs/>
                <w:sz w:val="21"/>
                <w:szCs w:val="21"/>
              </w:rPr>
              <w:t>群落</w:t>
            </w:r>
          </w:p>
        </w:tc>
        <w:tc>
          <w:tcPr>
            <w:tcW w:w="1133" w:type="dxa"/>
            <w:vAlign w:val="center"/>
          </w:tcPr>
          <w:p w:rsidR="00BD5820" w:rsidRDefault="00F64314">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bCs/>
                <w:sz w:val="21"/>
                <w:szCs w:val="21"/>
              </w:rPr>
              <w:t>柏木</w:t>
            </w:r>
          </w:p>
        </w:tc>
        <w:tc>
          <w:tcPr>
            <w:tcW w:w="2066" w:type="dxa"/>
            <w:vAlign w:val="center"/>
          </w:tcPr>
          <w:p w:rsidR="00BD5820" w:rsidRDefault="00F64314">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bCs/>
                <w:sz w:val="21"/>
                <w:szCs w:val="21"/>
              </w:rPr>
              <w:t>柏木</w:t>
            </w:r>
          </w:p>
        </w:tc>
      </w:tr>
      <w:tr w:rsidR="00BD5820">
        <w:trPr>
          <w:trHeight w:val="464"/>
          <w:jc w:val="center"/>
        </w:trPr>
        <w:tc>
          <w:tcPr>
            <w:tcW w:w="519" w:type="dxa"/>
            <w:vAlign w:val="center"/>
          </w:tcPr>
          <w:p w:rsidR="00BD5820" w:rsidRDefault="00F64314">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hint="eastAsia"/>
                <w:bCs/>
                <w:sz w:val="21"/>
                <w:szCs w:val="21"/>
              </w:rPr>
              <w:t>3</w:t>
            </w:r>
          </w:p>
        </w:tc>
        <w:tc>
          <w:tcPr>
            <w:tcW w:w="1026" w:type="dxa"/>
            <w:vAlign w:val="center"/>
          </w:tcPr>
          <w:p w:rsidR="00BD5820" w:rsidRDefault="00F64314">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hint="eastAsia"/>
                <w:bCs/>
                <w:sz w:val="21"/>
                <w:szCs w:val="21"/>
              </w:rPr>
              <w:t>20</w:t>
            </w:r>
            <w:r>
              <w:rPr>
                <w:rFonts w:ascii="Times New Roman" w:cs="Times New Roman"/>
                <w:bCs/>
                <w:sz w:val="21"/>
                <w:szCs w:val="21"/>
              </w:rPr>
              <w:t>m×</w:t>
            </w:r>
            <w:r>
              <w:rPr>
                <w:rFonts w:ascii="Times New Roman" w:cs="Times New Roman" w:hint="eastAsia"/>
                <w:bCs/>
                <w:sz w:val="21"/>
                <w:szCs w:val="21"/>
              </w:rPr>
              <w:t>20</w:t>
            </w:r>
            <w:r>
              <w:rPr>
                <w:rFonts w:ascii="Times New Roman" w:cs="Times New Roman"/>
                <w:bCs/>
                <w:sz w:val="21"/>
                <w:szCs w:val="21"/>
              </w:rPr>
              <w:t>m</w:t>
            </w:r>
          </w:p>
        </w:tc>
        <w:tc>
          <w:tcPr>
            <w:tcW w:w="1764" w:type="dxa"/>
            <w:vAlign w:val="center"/>
          </w:tcPr>
          <w:p w:rsidR="00BD5820" w:rsidRDefault="00F64314">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hint="eastAsia"/>
                <w:bCs/>
                <w:kern w:val="2"/>
                <w:sz w:val="21"/>
                <w:szCs w:val="21"/>
              </w:rPr>
              <w:t>107.7916</w:t>
            </w:r>
            <w:r>
              <w:rPr>
                <w:rFonts w:ascii="Times New Roman" w:cs="Times New Roman" w:hint="eastAsia"/>
                <w:bCs/>
                <w:kern w:val="2"/>
                <w:sz w:val="21"/>
                <w:szCs w:val="21"/>
              </w:rPr>
              <w:t>，</w:t>
            </w:r>
            <w:r>
              <w:rPr>
                <w:rFonts w:ascii="Times New Roman" w:cs="Times New Roman" w:hint="eastAsia"/>
                <w:bCs/>
                <w:kern w:val="2"/>
                <w:sz w:val="21"/>
                <w:szCs w:val="21"/>
              </w:rPr>
              <w:t>31.5451</w:t>
            </w:r>
          </w:p>
        </w:tc>
        <w:tc>
          <w:tcPr>
            <w:tcW w:w="2279" w:type="dxa"/>
            <w:vAlign w:val="center"/>
          </w:tcPr>
          <w:p w:rsidR="00BD5820" w:rsidRDefault="00F64314">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bCs/>
                <w:sz w:val="21"/>
                <w:szCs w:val="21"/>
              </w:rPr>
              <w:t>麻栎、</w:t>
            </w:r>
            <w:r>
              <w:rPr>
                <w:rFonts w:ascii="Times New Roman" w:cs="Times New Roman" w:hint="eastAsia"/>
                <w:bCs/>
                <w:sz w:val="21"/>
                <w:szCs w:val="21"/>
              </w:rPr>
              <w:t>青冈、</w:t>
            </w:r>
            <w:r>
              <w:rPr>
                <w:rFonts w:ascii="Times New Roman" w:cs="Times New Roman"/>
                <w:bCs/>
                <w:sz w:val="21"/>
                <w:szCs w:val="21"/>
              </w:rPr>
              <w:t>栓皮栎</w:t>
            </w:r>
            <w:r>
              <w:rPr>
                <w:rFonts w:ascii="Times New Roman" w:cs="Times New Roman" w:hint="eastAsia"/>
                <w:bCs/>
                <w:sz w:val="21"/>
                <w:szCs w:val="21"/>
              </w:rPr>
              <w:t>群落</w:t>
            </w:r>
          </w:p>
        </w:tc>
        <w:tc>
          <w:tcPr>
            <w:tcW w:w="1133" w:type="dxa"/>
            <w:vAlign w:val="center"/>
          </w:tcPr>
          <w:p w:rsidR="00BD5820" w:rsidRDefault="00F64314">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bCs/>
                <w:sz w:val="21"/>
                <w:szCs w:val="21"/>
              </w:rPr>
              <w:t>麻栎</w:t>
            </w:r>
          </w:p>
        </w:tc>
        <w:tc>
          <w:tcPr>
            <w:tcW w:w="2066" w:type="dxa"/>
            <w:vAlign w:val="center"/>
          </w:tcPr>
          <w:p w:rsidR="00BD5820" w:rsidRDefault="00F64314">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bCs/>
                <w:sz w:val="21"/>
                <w:szCs w:val="21"/>
              </w:rPr>
              <w:t>麻栎、</w:t>
            </w:r>
            <w:r>
              <w:rPr>
                <w:rFonts w:ascii="Times New Roman" w:cs="Times New Roman" w:hint="eastAsia"/>
                <w:bCs/>
                <w:sz w:val="21"/>
                <w:szCs w:val="21"/>
              </w:rPr>
              <w:t>青冈、</w:t>
            </w:r>
            <w:r>
              <w:rPr>
                <w:rFonts w:ascii="Times New Roman" w:cs="Times New Roman"/>
                <w:bCs/>
                <w:sz w:val="21"/>
                <w:szCs w:val="21"/>
              </w:rPr>
              <w:t>栓皮栎</w:t>
            </w:r>
          </w:p>
        </w:tc>
      </w:tr>
      <w:tr w:rsidR="00BD5820">
        <w:trPr>
          <w:trHeight w:val="590"/>
          <w:jc w:val="center"/>
        </w:trPr>
        <w:tc>
          <w:tcPr>
            <w:tcW w:w="519" w:type="dxa"/>
            <w:vAlign w:val="center"/>
          </w:tcPr>
          <w:p w:rsidR="00BD5820" w:rsidRDefault="00F64314">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hint="eastAsia"/>
                <w:bCs/>
                <w:sz w:val="21"/>
                <w:szCs w:val="21"/>
              </w:rPr>
              <w:t>4</w:t>
            </w:r>
          </w:p>
        </w:tc>
        <w:tc>
          <w:tcPr>
            <w:tcW w:w="1026" w:type="dxa"/>
            <w:vAlign w:val="center"/>
          </w:tcPr>
          <w:p w:rsidR="00BD5820" w:rsidRDefault="00F64314">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bCs/>
                <w:sz w:val="21"/>
                <w:szCs w:val="21"/>
              </w:rPr>
              <w:t>5</w:t>
            </w:r>
            <w:r>
              <w:rPr>
                <w:rFonts w:ascii="Times New Roman" w:cs="Times New Roman"/>
                <w:bCs/>
                <w:sz w:val="21"/>
                <w:szCs w:val="21"/>
                <w:lang w:val="zh-CN"/>
              </w:rPr>
              <w:t>×</w:t>
            </w:r>
            <w:r>
              <w:rPr>
                <w:rFonts w:ascii="Times New Roman" w:cs="Times New Roman"/>
                <w:bCs/>
                <w:sz w:val="21"/>
                <w:szCs w:val="21"/>
              </w:rPr>
              <w:t>5</w:t>
            </w:r>
            <w:r>
              <w:rPr>
                <w:rFonts w:ascii="Times New Roman" w:cs="Times New Roman"/>
                <w:bCs/>
                <w:sz w:val="21"/>
                <w:szCs w:val="21"/>
                <w:lang w:val="zh-CN"/>
              </w:rPr>
              <w:t>m</w:t>
            </w:r>
          </w:p>
        </w:tc>
        <w:tc>
          <w:tcPr>
            <w:tcW w:w="1764" w:type="dxa"/>
            <w:vAlign w:val="center"/>
          </w:tcPr>
          <w:p w:rsidR="00BD5820" w:rsidRDefault="00F64314">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hint="eastAsia"/>
                <w:bCs/>
                <w:kern w:val="2"/>
                <w:sz w:val="21"/>
                <w:szCs w:val="21"/>
              </w:rPr>
              <w:t>107.8007</w:t>
            </w:r>
            <w:r>
              <w:rPr>
                <w:rFonts w:ascii="Times New Roman" w:cs="Times New Roman" w:hint="eastAsia"/>
                <w:bCs/>
                <w:kern w:val="2"/>
                <w:sz w:val="21"/>
                <w:szCs w:val="21"/>
              </w:rPr>
              <w:t>，</w:t>
            </w:r>
            <w:r>
              <w:rPr>
                <w:rFonts w:ascii="Times New Roman" w:cs="Times New Roman" w:hint="eastAsia"/>
                <w:bCs/>
                <w:kern w:val="2"/>
                <w:sz w:val="21"/>
                <w:szCs w:val="21"/>
              </w:rPr>
              <w:t>31.5398</w:t>
            </w:r>
          </w:p>
        </w:tc>
        <w:tc>
          <w:tcPr>
            <w:tcW w:w="2279" w:type="dxa"/>
            <w:vAlign w:val="center"/>
          </w:tcPr>
          <w:p w:rsidR="00BD5820" w:rsidRDefault="00F64314">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bCs/>
                <w:sz w:val="21"/>
                <w:szCs w:val="21"/>
              </w:rPr>
              <w:t>槲栎灌丛</w:t>
            </w:r>
            <w:r>
              <w:rPr>
                <w:rFonts w:ascii="Times New Roman" w:cs="Times New Roman" w:hint="eastAsia"/>
                <w:bCs/>
                <w:sz w:val="21"/>
                <w:szCs w:val="21"/>
              </w:rPr>
              <w:t>群落</w:t>
            </w:r>
          </w:p>
        </w:tc>
        <w:tc>
          <w:tcPr>
            <w:tcW w:w="1133" w:type="dxa"/>
            <w:vAlign w:val="center"/>
          </w:tcPr>
          <w:p w:rsidR="00BD5820" w:rsidRDefault="00F64314">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bCs/>
                <w:sz w:val="21"/>
                <w:szCs w:val="21"/>
              </w:rPr>
              <w:t>槲栎</w:t>
            </w:r>
          </w:p>
        </w:tc>
        <w:tc>
          <w:tcPr>
            <w:tcW w:w="2066" w:type="dxa"/>
            <w:vAlign w:val="center"/>
          </w:tcPr>
          <w:p w:rsidR="00BD5820" w:rsidRDefault="00F64314">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bCs/>
                <w:sz w:val="21"/>
                <w:szCs w:val="21"/>
              </w:rPr>
              <w:t>槲栎</w:t>
            </w:r>
            <w:r>
              <w:rPr>
                <w:rFonts w:ascii="Times New Roman" w:cs="Times New Roman" w:hint="eastAsia"/>
                <w:bCs/>
                <w:sz w:val="21"/>
                <w:szCs w:val="21"/>
              </w:rPr>
              <w:t>、</w:t>
            </w:r>
            <w:r>
              <w:rPr>
                <w:rFonts w:ascii="Times New Roman" w:cs="Times New Roman"/>
                <w:bCs/>
                <w:sz w:val="21"/>
                <w:szCs w:val="21"/>
              </w:rPr>
              <w:t>毛黄栌</w:t>
            </w:r>
          </w:p>
        </w:tc>
      </w:tr>
      <w:tr w:rsidR="00BD5820">
        <w:trPr>
          <w:trHeight w:val="590"/>
          <w:jc w:val="center"/>
        </w:trPr>
        <w:tc>
          <w:tcPr>
            <w:tcW w:w="519" w:type="dxa"/>
            <w:vAlign w:val="center"/>
          </w:tcPr>
          <w:p w:rsidR="00BD5820" w:rsidRDefault="00F64314">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hint="eastAsia"/>
                <w:bCs/>
                <w:sz w:val="21"/>
                <w:szCs w:val="21"/>
              </w:rPr>
              <w:t>5</w:t>
            </w:r>
          </w:p>
        </w:tc>
        <w:tc>
          <w:tcPr>
            <w:tcW w:w="1026" w:type="dxa"/>
            <w:vAlign w:val="center"/>
          </w:tcPr>
          <w:p w:rsidR="00BD5820" w:rsidRDefault="00F64314">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bCs/>
                <w:sz w:val="21"/>
                <w:szCs w:val="21"/>
              </w:rPr>
              <w:t>5</w:t>
            </w:r>
            <w:r>
              <w:rPr>
                <w:rFonts w:ascii="Times New Roman" w:cs="Times New Roman"/>
                <w:bCs/>
                <w:sz w:val="21"/>
                <w:szCs w:val="21"/>
                <w:lang w:val="zh-CN"/>
              </w:rPr>
              <w:t>×</w:t>
            </w:r>
            <w:r>
              <w:rPr>
                <w:rFonts w:ascii="Times New Roman" w:cs="Times New Roman"/>
                <w:bCs/>
                <w:sz w:val="21"/>
                <w:szCs w:val="21"/>
              </w:rPr>
              <w:t>5</w:t>
            </w:r>
            <w:r>
              <w:rPr>
                <w:rFonts w:ascii="Times New Roman" w:cs="Times New Roman"/>
                <w:bCs/>
                <w:sz w:val="21"/>
                <w:szCs w:val="21"/>
                <w:lang w:val="zh-CN"/>
              </w:rPr>
              <w:t>m</w:t>
            </w:r>
          </w:p>
        </w:tc>
        <w:tc>
          <w:tcPr>
            <w:tcW w:w="1764" w:type="dxa"/>
            <w:vAlign w:val="center"/>
          </w:tcPr>
          <w:p w:rsidR="00BD5820" w:rsidRDefault="00F64314">
            <w:pPr>
              <w:topLinePunct w:val="0"/>
              <w:spacing w:line="240" w:lineRule="auto"/>
              <w:ind w:firstLineChars="0" w:firstLine="0"/>
              <w:jc w:val="center"/>
              <w:textAlignment w:val="baseline"/>
              <w:rPr>
                <w:rFonts w:ascii="Times New Roman" w:cs="Times New Roman"/>
                <w:bCs/>
                <w:kern w:val="2"/>
                <w:sz w:val="21"/>
                <w:szCs w:val="21"/>
              </w:rPr>
            </w:pPr>
            <w:r>
              <w:rPr>
                <w:rFonts w:ascii="Times New Roman" w:cs="Times New Roman" w:hint="eastAsia"/>
                <w:bCs/>
                <w:kern w:val="2"/>
                <w:sz w:val="21"/>
                <w:szCs w:val="21"/>
              </w:rPr>
              <w:t>107.8018</w:t>
            </w:r>
            <w:r>
              <w:rPr>
                <w:rFonts w:ascii="Times New Roman" w:cs="Times New Roman" w:hint="eastAsia"/>
                <w:bCs/>
                <w:kern w:val="2"/>
                <w:sz w:val="21"/>
                <w:szCs w:val="21"/>
              </w:rPr>
              <w:t>，</w:t>
            </w:r>
            <w:r>
              <w:rPr>
                <w:rFonts w:ascii="Times New Roman" w:cs="Times New Roman" w:hint="eastAsia"/>
                <w:bCs/>
                <w:kern w:val="2"/>
                <w:sz w:val="21"/>
                <w:szCs w:val="21"/>
              </w:rPr>
              <w:t>31.5392</w:t>
            </w:r>
          </w:p>
        </w:tc>
        <w:tc>
          <w:tcPr>
            <w:tcW w:w="2279" w:type="dxa"/>
            <w:vAlign w:val="center"/>
          </w:tcPr>
          <w:p w:rsidR="00BD5820" w:rsidRDefault="00F64314">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hint="eastAsia"/>
                <w:bCs/>
                <w:sz w:val="21"/>
                <w:szCs w:val="21"/>
              </w:rPr>
              <w:t>马桑</w:t>
            </w:r>
            <w:r>
              <w:rPr>
                <w:rFonts w:ascii="Times New Roman" w:cs="Times New Roman"/>
                <w:bCs/>
                <w:sz w:val="21"/>
                <w:szCs w:val="21"/>
              </w:rPr>
              <w:t>灌丛</w:t>
            </w:r>
            <w:r>
              <w:rPr>
                <w:rFonts w:ascii="Times New Roman" w:cs="Times New Roman" w:hint="eastAsia"/>
                <w:bCs/>
                <w:sz w:val="21"/>
                <w:szCs w:val="21"/>
              </w:rPr>
              <w:t>群落</w:t>
            </w:r>
          </w:p>
        </w:tc>
        <w:tc>
          <w:tcPr>
            <w:tcW w:w="1133" w:type="dxa"/>
            <w:vAlign w:val="center"/>
          </w:tcPr>
          <w:p w:rsidR="00BD5820" w:rsidRDefault="00F64314">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hint="eastAsia"/>
                <w:bCs/>
                <w:sz w:val="21"/>
                <w:szCs w:val="21"/>
              </w:rPr>
              <w:t>马桑</w:t>
            </w:r>
          </w:p>
        </w:tc>
        <w:tc>
          <w:tcPr>
            <w:tcW w:w="2066" w:type="dxa"/>
            <w:vAlign w:val="center"/>
          </w:tcPr>
          <w:p w:rsidR="00BD5820" w:rsidRDefault="00F64314">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hint="eastAsia"/>
                <w:bCs/>
                <w:sz w:val="21"/>
                <w:szCs w:val="21"/>
              </w:rPr>
              <w:t>马桑</w:t>
            </w:r>
          </w:p>
        </w:tc>
      </w:tr>
      <w:tr w:rsidR="00BD5820">
        <w:trPr>
          <w:trHeight w:val="570"/>
          <w:jc w:val="center"/>
        </w:trPr>
        <w:tc>
          <w:tcPr>
            <w:tcW w:w="519" w:type="dxa"/>
            <w:vAlign w:val="center"/>
          </w:tcPr>
          <w:p w:rsidR="00BD5820" w:rsidRDefault="00F64314">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hint="eastAsia"/>
                <w:bCs/>
                <w:sz w:val="21"/>
                <w:szCs w:val="21"/>
              </w:rPr>
              <w:t>6</w:t>
            </w:r>
          </w:p>
        </w:tc>
        <w:tc>
          <w:tcPr>
            <w:tcW w:w="1026" w:type="dxa"/>
            <w:vAlign w:val="center"/>
          </w:tcPr>
          <w:p w:rsidR="00BD5820" w:rsidRDefault="00F64314">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bCs/>
                <w:sz w:val="21"/>
                <w:szCs w:val="21"/>
              </w:rPr>
              <w:t>5</w:t>
            </w:r>
            <w:r>
              <w:rPr>
                <w:rFonts w:ascii="Times New Roman" w:cs="Times New Roman"/>
                <w:bCs/>
                <w:sz w:val="21"/>
                <w:szCs w:val="21"/>
                <w:lang w:val="zh-CN"/>
              </w:rPr>
              <w:t>×</w:t>
            </w:r>
            <w:r>
              <w:rPr>
                <w:rFonts w:ascii="Times New Roman" w:cs="Times New Roman"/>
                <w:bCs/>
                <w:sz w:val="21"/>
                <w:szCs w:val="21"/>
              </w:rPr>
              <w:t>5</w:t>
            </w:r>
            <w:r>
              <w:rPr>
                <w:rFonts w:ascii="Times New Roman" w:cs="Times New Roman"/>
                <w:bCs/>
                <w:sz w:val="21"/>
                <w:szCs w:val="21"/>
                <w:lang w:val="zh-CN"/>
              </w:rPr>
              <w:t>m</w:t>
            </w:r>
          </w:p>
        </w:tc>
        <w:tc>
          <w:tcPr>
            <w:tcW w:w="1764" w:type="dxa"/>
            <w:vAlign w:val="center"/>
          </w:tcPr>
          <w:p w:rsidR="00BD5820" w:rsidRDefault="00F64314">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hint="eastAsia"/>
                <w:bCs/>
                <w:kern w:val="2"/>
                <w:sz w:val="21"/>
                <w:szCs w:val="21"/>
              </w:rPr>
              <w:t>107.8009</w:t>
            </w:r>
            <w:r>
              <w:rPr>
                <w:rFonts w:ascii="Times New Roman" w:cs="Times New Roman" w:hint="eastAsia"/>
                <w:bCs/>
                <w:kern w:val="2"/>
                <w:sz w:val="21"/>
                <w:szCs w:val="21"/>
              </w:rPr>
              <w:t>，</w:t>
            </w:r>
            <w:r>
              <w:rPr>
                <w:rFonts w:ascii="Times New Roman" w:cs="Times New Roman" w:hint="eastAsia"/>
                <w:bCs/>
                <w:kern w:val="2"/>
                <w:sz w:val="21"/>
                <w:szCs w:val="21"/>
              </w:rPr>
              <w:t>31.5386</w:t>
            </w:r>
          </w:p>
        </w:tc>
        <w:tc>
          <w:tcPr>
            <w:tcW w:w="2279" w:type="dxa"/>
            <w:vAlign w:val="center"/>
          </w:tcPr>
          <w:p w:rsidR="00BD5820" w:rsidRDefault="00F64314">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bCs/>
                <w:sz w:val="21"/>
                <w:szCs w:val="21"/>
              </w:rPr>
              <w:t>马桑、黄荆、火棘</w:t>
            </w:r>
            <w:r>
              <w:rPr>
                <w:rFonts w:ascii="Times New Roman" w:cs="Times New Roman" w:hint="eastAsia"/>
                <w:bCs/>
                <w:sz w:val="21"/>
                <w:szCs w:val="21"/>
              </w:rPr>
              <w:t>群落</w:t>
            </w:r>
          </w:p>
        </w:tc>
        <w:tc>
          <w:tcPr>
            <w:tcW w:w="1133" w:type="dxa"/>
            <w:vAlign w:val="center"/>
          </w:tcPr>
          <w:p w:rsidR="00BD5820" w:rsidRDefault="00F64314">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bCs/>
                <w:sz w:val="21"/>
                <w:szCs w:val="21"/>
              </w:rPr>
              <w:t>马桑</w:t>
            </w:r>
          </w:p>
        </w:tc>
        <w:tc>
          <w:tcPr>
            <w:tcW w:w="2066" w:type="dxa"/>
            <w:vAlign w:val="center"/>
          </w:tcPr>
          <w:p w:rsidR="00BD5820" w:rsidRDefault="00F64314">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bCs/>
                <w:sz w:val="21"/>
                <w:szCs w:val="21"/>
              </w:rPr>
              <w:t>马桑、黄荆、火棘</w:t>
            </w:r>
          </w:p>
        </w:tc>
      </w:tr>
      <w:tr w:rsidR="00BD5820">
        <w:trPr>
          <w:trHeight w:val="570"/>
          <w:jc w:val="center"/>
        </w:trPr>
        <w:tc>
          <w:tcPr>
            <w:tcW w:w="519" w:type="dxa"/>
            <w:vAlign w:val="center"/>
          </w:tcPr>
          <w:p w:rsidR="00BD5820" w:rsidRDefault="00F64314">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hint="eastAsia"/>
                <w:bCs/>
                <w:sz w:val="21"/>
                <w:szCs w:val="21"/>
              </w:rPr>
              <w:t>7</w:t>
            </w:r>
          </w:p>
        </w:tc>
        <w:tc>
          <w:tcPr>
            <w:tcW w:w="1026" w:type="dxa"/>
            <w:vAlign w:val="center"/>
          </w:tcPr>
          <w:p w:rsidR="00BD5820" w:rsidRDefault="00F64314">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bCs/>
                <w:sz w:val="21"/>
                <w:szCs w:val="21"/>
              </w:rPr>
              <w:t>1×1m</w:t>
            </w:r>
          </w:p>
        </w:tc>
        <w:tc>
          <w:tcPr>
            <w:tcW w:w="1764" w:type="dxa"/>
            <w:vAlign w:val="center"/>
          </w:tcPr>
          <w:p w:rsidR="00BD5820" w:rsidRDefault="00F64314">
            <w:pPr>
              <w:topLinePunct w:val="0"/>
              <w:spacing w:line="240" w:lineRule="auto"/>
              <w:ind w:firstLineChars="0" w:firstLine="0"/>
              <w:jc w:val="center"/>
              <w:textAlignment w:val="baseline"/>
              <w:rPr>
                <w:rFonts w:ascii="Times New Roman" w:cs="Times New Roman"/>
                <w:bCs/>
                <w:kern w:val="2"/>
                <w:sz w:val="21"/>
                <w:szCs w:val="21"/>
              </w:rPr>
            </w:pPr>
            <w:r>
              <w:rPr>
                <w:rFonts w:ascii="Times New Roman" w:cs="Times New Roman" w:hint="eastAsia"/>
                <w:bCs/>
                <w:kern w:val="2"/>
                <w:sz w:val="21"/>
                <w:szCs w:val="21"/>
              </w:rPr>
              <w:t>107.7865</w:t>
            </w:r>
            <w:r>
              <w:rPr>
                <w:rFonts w:ascii="Times New Roman" w:cs="Times New Roman" w:hint="eastAsia"/>
                <w:bCs/>
                <w:kern w:val="2"/>
                <w:sz w:val="21"/>
                <w:szCs w:val="21"/>
              </w:rPr>
              <w:t>，</w:t>
            </w:r>
            <w:r>
              <w:rPr>
                <w:rFonts w:ascii="Times New Roman" w:cs="Times New Roman" w:hint="eastAsia"/>
                <w:bCs/>
                <w:kern w:val="2"/>
                <w:sz w:val="21"/>
                <w:szCs w:val="21"/>
              </w:rPr>
              <w:t>31.5346</w:t>
            </w:r>
          </w:p>
        </w:tc>
        <w:tc>
          <w:tcPr>
            <w:tcW w:w="2279" w:type="dxa"/>
            <w:vAlign w:val="center"/>
          </w:tcPr>
          <w:p w:rsidR="00BD5820" w:rsidRDefault="00F64314">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bCs/>
                <w:sz w:val="21"/>
                <w:szCs w:val="21"/>
              </w:rPr>
              <w:t>白茅</w:t>
            </w:r>
            <w:r>
              <w:rPr>
                <w:rFonts w:ascii="Times New Roman" w:cs="Times New Roman" w:hint="eastAsia"/>
                <w:bCs/>
                <w:sz w:val="21"/>
                <w:szCs w:val="21"/>
              </w:rPr>
              <w:t>草丛群落</w:t>
            </w:r>
          </w:p>
        </w:tc>
        <w:tc>
          <w:tcPr>
            <w:tcW w:w="1133" w:type="dxa"/>
            <w:vAlign w:val="center"/>
          </w:tcPr>
          <w:p w:rsidR="00BD5820" w:rsidRDefault="00F64314">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bCs/>
                <w:sz w:val="21"/>
                <w:szCs w:val="21"/>
              </w:rPr>
              <w:t>白茅</w:t>
            </w:r>
          </w:p>
        </w:tc>
        <w:tc>
          <w:tcPr>
            <w:tcW w:w="2066" w:type="dxa"/>
            <w:vAlign w:val="center"/>
          </w:tcPr>
          <w:p w:rsidR="00BD5820" w:rsidRDefault="00F64314">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bCs/>
                <w:sz w:val="21"/>
                <w:szCs w:val="21"/>
              </w:rPr>
              <w:t>白茅</w:t>
            </w:r>
          </w:p>
        </w:tc>
      </w:tr>
      <w:tr w:rsidR="00BD5820">
        <w:trPr>
          <w:trHeight w:val="599"/>
          <w:jc w:val="center"/>
        </w:trPr>
        <w:tc>
          <w:tcPr>
            <w:tcW w:w="519" w:type="dxa"/>
            <w:vAlign w:val="center"/>
          </w:tcPr>
          <w:p w:rsidR="00BD5820" w:rsidRDefault="00F64314">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hint="eastAsia"/>
                <w:bCs/>
                <w:sz w:val="21"/>
                <w:szCs w:val="21"/>
              </w:rPr>
              <w:t>8</w:t>
            </w:r>
          </w:p>
        </w:tc>
        <w:tc>
          <w:tcPr>
            <w:tcW w:w="1026" w:type="dxa"/>
            <w:vAlign w:val="center"/>
          </w:tcPr>
          <w:p w:rsidR="00BD5820" w:rsidRDefault="00F64314">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bCs/>
                <w:sz w:val="21"/>
                <w:szCs w:val="21"/>
              </w:rPr>
              <w:t>1×1m</w:t>
            </w:r>
          </w:p>
        </w:tc>
        <w:tc>
          <w:tcPr>
            <w:tcW w:w="1764" w:type="dxa"/>
            <w:vAlign w:val="center"/>
          </w:tcPr>
          <w:p w:rsidR="00BD5820" w:rsidRDefault="00F64314">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hint="eastAsia"/>
                <w:bCs/>
                <w:kern w:val="2"/>
                <w:sz w:val="21"/>
                <w:szCs w:val="21"/>
              </w:rPr>
              <w:t>107.7861</w:t>
            </w:r>
            <w:r>
              <w:rPr>
                <w:rFonts w:ascii="Times New Roman" w:cs="Times New Roman" w:hint="eastAsia"/>
                <w:bCs/>
                <w:kern w:val="2"/>
                <w:sz w:val="21"/>
                <w:szCs w:val="21"/>
              </w:rPr>
              <w:t>，</w:t>
            </w:r>
            <w:r>
              <w:rPr>
                <w:rFonts w:ascii="Times New Roman" w:cs="Times New Roman" w:hint="eastAsia"/>
                <w:bCs/>
                <w:kern w:val="2"/>
                <w:sz w:val="21"/>
                <w:szCs w:val="21"/>
              </w:rPr>
              <w:t>31.5355</w:t>
            </w:r>
          </w:p>
        </w:tc>
        <w:tc>
          <w:tcPr>
            <w:tcW w:w="2279" w:type="dxa"/>
            <w:vAlign w:val="center"/>
          </w:tcPr>
          <w:p w:rsidR="00BD5820" w:rsidRDefault="00F64314">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bCs/>
                <w:sz w:val="21"/>
                <w:szCs w:val="21"/>
              </w:rPr>
              <w:t>白茅、五节芒、野古草、斑茅</w:t>
            </w:r>
            <w:r>
              <w:rPr>
                <w:rFonts w:ascii="Times New Roman" w:cs="Times New Roman" w:hint="eastAsia"/>
                <w:bCs/>
                <w:sz w:val="21"/>
                <w:szCs w:val="21"/>
              </w:rPr>
              <w:t>群落</w:t>
            </w:r>
          </w:p>
        </w:tc>
        <w:tc>
          <w:tcPr>
            <w:tcW w:w="1133" w:type="dxa"/>
            <w:vAlign w:val="center"/>
          </w:tcPr>
          <w:p w:rsidR="00BD5820" w:rsidRDefault="00F64314">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bCs/>
                <w:sz w:val="21"/>
                <w:szCs w:val="21"/>
              </w:rPr>
              <w:t>白茅</w:t>
            </w:r>
          </w:p>
        </w:tc>
        <w:tc>
          <w:tcPr>
            <w:tcW w:w="2066" w:type="dxa"/>
            <w:vAlign w:val="center"/>
          </w:tcPr>
          <w:p w:rsidR="00BD5820" w:rsidRDefault="00F64314">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bCs/>
                <w:sz w:val="21"/>
                <w:szCs w:val="21"/>
              </w:rPr>
              <w:t>白茅、五节芒、野古草、斑茅</w:t>
            </w:r>
          </w:p>
        </w:tc>
      </w:tr>
      <w:tr w:rsidR="00BD5820">
        <w:trPr>
          <w:trHeight w:val="599"/>
          <w:jc w:val="center"/>
        </w:trPr>
        <w:tc>
          <w:tcPr>
            <w:tcW w:w="519" w:type="dxa"/>
            <w:vAlign w:val="center"/>
          </w:tcPr>
          <w:p w:rsidR="00BD5820" w:rsidRDefault="00F64314">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hint="eastAsia"/>
                <w:bCs/>
                <w:sz w:val="21"/>
                <w:szCs w:val="21"/>
              </w:rPr>
              <w:t>9</w:t>
            </w:r>
          </w:p>
        </w:tc>
        <w:tc>
          <w:tcPr>
            <w:tcW w:w="1026" w:type="dxa"/>
            <w:vAlign w:val="center"/>
          </w:tcPr>
          <w:p w:rsidR="00BD5820" w:rsidRDefault="00F64314">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bCs/>
                <w:sz w:val="21"/>
                <w:szCs w:val="21"/>
              </w:rPr>
              <w:t>1×1m</w:t>
            </w:r>
          </w:p>
        </w:tc>
        <w:tc>
          <w:tcPr>
            <w:tcW w:w="1764" w:type="dxa"/>
            <w:vAlign w:val="center"/>
          </w:tcPr>
          <w:p w:rsidR="00BD5820" w:rsidRDefault="00F64314">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hint="eastAsia"/>
                <w:bCs/>
                <w:kern w:val="2"/>
                <w:sz w:val="21"/>
                <w:szCs w:val="21"/>
              </w:rPr>
              <w:t>107.7855</w:t>
            </w:r>
            <w:r>
              <w:rPr>
                <w:rFonts w:ascii="Times New Roman" w:cs="Times New Roman" w:hint="eastAsia"/>
                <w:bCs/>
                <w:kern w:val="2"/>
                <w:sz w:val="21"/>
                <w:szCs w:val="21"/>
              </w:rPr>
              <w:t>，</w:t>
            </w:r>
            <w:r>
              <w:rPr>
                <w:rFonts w:ascii="Times New Roman" w:cs="Times New Roman" w:hint="eastAsia"/>
                <w:bCs/>
                <w:kern w:val="2"/>
                <w:sz w:val="21"/>
                <w:szCs w:val="21"/>
              </w:rPr>
              <w:t>31.5360</w:t>
            </w:r>
          </w:p>
        </w:tc>
        <w:tc>
          <w:tcPr>
            <w:tcW w:w="2279" w:type="dxa"/>
            <w:vAlign w:val="center"/>
          </w:tcPr>
          <w:p w:rsidR="00BD5820" w:rsidRDefault="00F64314">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bCs/>
                <w:sz w:val="21"/>
                <w:szCs w:val="21"/>
              </w:rPr>
              <w:t>芒、蕨、芒萁</w:t>
            </w:r>
            <w:r>
              <w:rPr>
                <w:rFonts w:ascii="Times New Roman" w:cs="Times New Roman" w:hint="eastAsia"/>
                <w:bCs/>
                <w:sz w:val="21"/>
                <w:szCs w:val="21"/>
              </w:rPr>
              <w:t>群落</w:t>
            </w:r>
          </w:p>
        </w:tc>
        <w:tc>
          <w:tcPr>
            <w:tcW w:w="1133" w:type="dxa"/>
            <w:vAlign w:val="center"/>
          </w:tcPr>
          <w:p w:rsidR="00BD5820" w:rsidRDefault="00F64314">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bCs/>
                <w:sz w:val="21"/>
                <w:szCs w:val="21"/>
              </w:rPr>
              <w:t>芒</w:t>
            </w:r>
          </w:p>
        </w:tc>
        <w:tc>
          <w:tcPr>
            <w:tcW w:w="2066" w:type="dxa"/>
            <w:vAlign w:val="center"/>
          </w:tcPr>
          <w:p w:rsidR="00BD5820" w:rsidRDefault="00F64314">
            <w:pPr>
              <w:topLinePunct w:val="0"/>
              <w:spacing w:line="240" w:lineRule="auto"/>
              <w:ind w:firstLineChars="0" w:firstLine="0"/>
              <w:jc w:val="center"/>
              <w:textAlignment w:val="baseline"/>
              <w:rPr>
                <w:rFonts w:ascii="Times New Roman" w:cs="Times New Roman"/>
                <w:bCs/>
                <w:sz w:val="21"/>
                <w:szCs w:val="21"/>
              </w:rPr>
            </w:pPr>
            <w:r>
              <w:rPr>
                <w:rFonts w:ascii="Times New Roman" w:cs="Times New Roman"/>
                <w:bCs/>
                <w:sz w:val="21"/>
                <w:szCs w:val="21"/>
              </w:rPr>
              <w:t>芒、蕨、芒萁</w:t>
            </w:r>
          </w:p>
        </w:tc>
      </w:tr>
    </w:tbl>
    <w:p w:rsidR="00BD5820" w:rsidRDefault="00F64314">
      <w:pPr>
        <w:topLinePunct w:val="0"/>
        <w:adjustRightInd/>
        <w:spacing w:line="480" w:lineRule="exact"/>
        <w:ind w:firstLine="482"/>
        <w:rPr>
          <w:rFonts w:ascii="Times New Roman" w:cs="Times New Roman"/>
          <w:b/>
          <w:bCs/>
          <w:kern w:val="2"/>
        </w:rPr>
      </w:pPr>
      <w:r>
        <w:rPr>
          <w:rFonts w:ascii="Times New Roman" w:cs="Times New Roman"/>
          <w:b/>
          <w:bCs/>
          <w:kern w:val="2"/>
        </w:rPr>
        <w:t>（</w:t>
      </w:r>
      <w:r>
        <w:rPr>
          <w:rFonts w:ascii="Times New Roman" w:cs="Times New Roman"/>
          <w:b/>
          <w:bCs/>
          <w:kern w:val="2"/>
        </w:rPr>
        <w:t>4</w:t>
      </w:r>
      <w:r>
        <w:rPr>
          <w:rFonts w:ascii="Times New Roman" w:cs="Times New Roman"/>
          <w:b/>
          <w:bCs/>
          <w:kern w:val="2"/>
        </w:rPr>
        <w:t>）景观生态和生态系统类型调查</w:t>
      </w:r>
    </w:p>
    <w:p w:rsidR="00BD5820" w:rsidRDefault="00F64314">
      <w:pPr>
        <w:topLinePunct w:val="0"/>
        <w:adjustRightInd/>
        <w:spacing w:line="480" w:lineRule="exact"/>
        <w:ind w:firstLine="480"/>
        <w:rPr>
          <w:rFonts w:ascii="Times New Roman" w:cs="Times New Roman"/>
          <w:kern w:val="2"/>
        </w:rPr>
      </w:pPr>
      <w:r>
        <w:rPr>
          <w:rFonts w:ascii="Times New Roman" w:cs="Times New Roman"/>
          <w:kern w:val="2"/>
        </w:rPr>
        <w:t>以能够获得的近期卫星影像图为工作用图，采用路线调查法和主要景观地段重点观测相结合，区划记录评价范围不同自然景观类型、范围、特征及生态系统类型，以此分析生态系统服务功能。</w:t>
      </w:r>
    </w:p>
    <w:p w:rsidR="00BD5820" w:rsidRDefault="00F64314">
      <w:pPr>
        <w:topLinePunct w:val="0"/>
        <w:adjustRightInd/>
        <w:spacing w:line="480" w:lineRule="exact"/>
        <w:ind w:firstLine="482"/>
        <w:rPr>
          <w:rFonts w:ascii="Times New Roman" w:cs="Times New Roman"/>
          <w:b/>
          <w:bCs/>
          <w:kern w:val="2"/>
        </w:rPr>
      </w:pPr>
      <w:r>
        <w:rPr>
          <w:rFonts w:ascii="Times New Roman" w:cs="Times New Roman"/>
          <w:b/>
          <w:bCs/>
          <w:kern w:val="2"/>
        </w:rPr>
        <w:t>（</w:t>
      </w:r>
      <w:r>
        <w:rPr>
          <w:rFonts w:ascii="Times New Roman" w:cs="Times New Roman"/>
          <w:b/>
          <w:bCs/>
          <w:kern w:val="2"/>
        </w:rPr>
        <w:t>5</w:t>
      </w:r>
      <w:r>
        <w:rPr>
          <w:rFonts w:ascii="Times New Roman" w:cs="Times New Roman"/>
          <w:b/>
          <w:bCs/>
          <w:kern w:val="2"/>
        </w:rPr>
        <w:t>）陆生野生动物调查</w:t>
      </w:r>
    </w:p>
    <w:p w:rsidR="00BD5820" w:rsidRDefault="00F64314">
      <w:pPr>
        <w:topLinePunct w:val="0"/>
        <w:adjustRightInd/>
        <w:spacing w:line="480" w:lineRule="exact"/>
        <w:ind w:firstLine="480"/>
        <w:rPr>
          <w:rFonts w:ascii="Times New Roman" w:cs="Times New Roman"/>
          <w:kern w:val="2"/>
        </w:rPr>
      </w:pPr>
      <w:r>
        <w:rPr>
          <w:rFonts w:ascii="Times New Roman" w:cs="Times New Roman"/>
          <w:kern w:val="2"/>
        </w:rPr>
        <w:t>野生动物调查采用野外实地调查、访问、查阅相关文献资料等</w:t>
      </w:r>
      <w:r>
        <w:rPr>
          <w:rFonts w:ascii="Times New Roman" w:cs="Times New Roman"/>
          <w:spacing w:val="-2"/>
          <w:kern w:val="2"/>
        </w:rPr>
        <w:t>三种方式</w:t>
      </w:r>
      <w:r>
        <w:rPr>
          <w:rFonts w:ascii="Times New Roman" w:cs="Times New Roman"/>
          <w:kern w:val="2"/>
        </w:rPr>
        <w:t>进行，记录到种。</w:t>
      </w:r>
    </w:p>
    <w:p w:rsidR="00BD5820" w:rsidRDefault="00F64314">
      <w:pPr>
        <w:topLinePunct w:val="0"/>
        <w:adjustRightInd/>
        <w:spacing w:line="480" w:lineRule="exact"/>
        <w:ind w:firstLine="480"/>
        <w:rPr>
          <w:rFonts w:ascii="Times New Roman" w:cs="Times New Roman"/>
          <w:kern w:val="2"/>
        </w:rPr>
      </w:pPr>
      <w:r>
        <w:rPr>
          <w:rFonts w:ascii="Times New Roman" w:cs="Times New Roman"/>
          <w:kern w:val="2"/>
        </w:rPr>
        <w:t>资料检索法：主要收集、查阅项目区域相关</w:t>
      </w:r>
      <w:r>
        <w:rPr>
          <w:rFonts w:ascii="Times New Roman" w:cs="Times New Roman"/>
          <w:spacing w:val="-2"/>
          <w:kern w:val="2"/>
        </w:rPr>
        <w:t>科学研究和野外调查资料</w:t>
      </w:r>
      <w:r>
        <w:rPr>
          <w:rFonts w:ascii="Times New Roman" w:cs="Times New Roman"/>
          <w:kern w:val="2"/>
        </w:rPr>
        <w:t>以及其它专家、学者发表的涉及项目区域的学术论文。应用这些文献资料时，尤其是在动物物种多样性方面，属当时调查获得的资料，直接引用或应用；属查阅资料获得的信息</w:t>
      </w:r>
      <w:r>
        <w:rPr>
          <w:rFonts w:ascii="Times New Roman" w:cs="Times New Roman"/>
          <w:spacing w:val="-2"/>
          <w:kern w:val="2"/>
        </w:rPr>
        <w:t>，</w:t>
      </w:r>
      <w:r>
        <w:rPr>
          <w:rFonts w:ascii="Times New Roman" w:cs="Times New Roman"/>
          <w:kern w:val="2"/>
        </w:rPr>
        <w:t>如有其它文献资料佐证的也应用，否则，不应用。</w:t>
      </w:r>
    </w:p>
    <w:p w:rsidR="00BD5820" w:rsidRDefault="00F64314">
      <w:pPr>
        <w:topLinePunct w:val="0"/>
        <w:adjustRightInd/>
        <w:spacing w:line="480" w:lineRule="exact"/>
        <w:ind w:firstLine="480"/>
        <w:rPr>
          <w:rFonts w:ascii="Times New Roman" w:cs="Times New Roman"/>
          <w:kern w:val="2"/>
        </w:rPr>
      </w:pPr>
      <w:r>
        <w:rPr>
          <w:rFonts w:ascii="Times New Roman" w:cs="Times New Roman"/>
          <w:kern w:val="2"/>
        </w:rPr>
        <w:t>访谈法：通过对当地林业及野生动物保护工作者、有野外经验的农民等进行访问和调查，与当地林业部门和林场的管理人员的有关同志进行交谈，了解当地动物的种类分布、数量情况。访谈时，先让访谈对象列举在当地见过哪些动物，再请其初步描述动物的形态特征和生活习性，最后提供动物图片供其辨认以确定具体种类。访谈时，调查人员避免诱导性提问，尽可能获得客观信息。调查人员</w:t>
      </w:r>
      <w:r>
        <w:rPr>
          <w:rFonts w:ascii="Times New Roman" w:cs="Times New Roman"/>
          <w:kern w:val="2"/>
        </w:rPr>
        <w:lastRenderedPageBreak/>
        <w:t>对访谈对象提供的信息进行综合分析，确定物种的有无情况。访谈法可以快速了解野生动物在调查范围内的种类、分布情况及大致数量等信息，是对野外调查的重要补充，有利于了解整个评价区的动物资源状况。</w:t>
      </w:r>
    </w:p>
    <w:p w:rsidR="00BD5820" w:rsidRDefault="00F64314">
      <w:pPr>
        <w:topLinePunct w:val="0"/>
        <w:adjustRightInd/>
        <w:spacing w:line="480" w:lineRule="exact"/>
        <w:ind w:firstLine="480"/>
        <w:rPr>
          <w:rFonts w:ascii="Times New Roman" w:cs="Times New Roman"/>
          <w:kern w:val="2"/>
        </w:rPr>
      </w:pPr>
      <w:r>
        <w:rPr>
          <w:rFonts w:ascii="Times New Roman" w:cs="Times New Roman"/>
          <w:kern w:val="2"/>
        </w:rPr>
        <w:t>野外实地调查方法：主要为样线法，辅以样方法进行，具体如下：</w:t>
      </w:r>
    </w:p>
    <w:p w:rsidR="00BD5820" w:rsidRDefault="00F64314">
      <w:pPr>
        <w:topLinePunct w:val="0"/>
        <w:adjustRightInd/>
        <w:spacing w:line="480" w:lineRule="exact"/>
        <w:ind w:firstLine="480"/>
        <w:rPr>
          <w:rFonts w:ascii="Times New Roman" w:cs="Times New Roman"/>
          <w:kern w:val="2"/>
        </w:rPr>
      </w:pPr>
      <w:r>
        <w:rPr>
          <w:rFonts w:ascii="Times New Roman" w:cs="Times New Roman"/>
          <w:kern w:val="2"/>
        </w:rPr>
        <w:t>1</w:t>
      </w:r>
      <w:r>
        <w:rPr>
          <w:rFonts w:ascii="Times New Roman" w:cs="Times New Roman"/>
          <w:kern w:val="2"/>
        </w:rPr>
        <w:t>）兽类</w:t>
      </w:r>
    </w:p>
    <w:p w:rsidR="00BD5820" w:rsidRDefault="00F64314">
      <w:pPr>
        <w:topLinePunct w:val="0"/>
        <w:adjustRightInd/>
        <w:spacing w:line="480" w:lineRule="exact"/>
        <w:ind w:firstLine="480"/>
        <w:rPr>
          <w:rFonts w:ascii="Times New Roman" w:cs="Times New Roman"/>
          <w:kern w:val="2"/>
        </w:rPr>
      </w:pPr>
      <w:r>
        <w:rPr>
          <w:rFonts w:ascii="Times New Roman" w:cs="Times New Roman"/>
          <w:kern w:val="2"/>
        </w:rPr>
        <w:t>在评价区内采用样线法进行调查，现场记录遇见的动物，并对粪便、毛发、脚印和其它痕迹进行采样及识别。小型兽类调查采用设置样方法，并在样方内用铗日法进行调查；调查主要哺乳动物的种类时，则以现地调查结合座谈访问为主，并参考《四川兽类原色图鉴》进行确认，同时结合文献资料进行整理和分析。</w:t>
      </w:r>
    </w:p>
    <w:p w:rsidR="00BD5820" w:rsidRDefault="00F64314">
      <w:pPr>
        <w:topLinePunct w:val="0"/>
        <w:adjustRightInd/>
        <w:spacing w:line="480" w:lineRule="exact"/>
        <w:ind w:firstLine="480"/>
        <w:rPr>
          <w:rFonts w:ascii="Times New Roman" w:cs="Times New Roman"/>
          <w:kern w:val="2"/>
        </w:rPr>
      </w:pPr>
      <w:r>
        <w:rPr>
          <w:rFonts w:ascii="Times New Roman" w:cs="Times New Roman"/>
          <w:kern w:val="2"/>
        </w:rPr>
        <w:t>2</w:t>
      </w:r>
      <w:r>
        <w:rPr>
          <w:rFonts w:ascii="Times New Roman" w:cs="Times New Roman"/>
          <w:kern w:val="2"/>
        </w:rPr>
        <w:t>）鸟类</w:t>
      </w:r>
    </w:p>
    <w:p w:rsidR="00BD5820" w:rsidRDefault="00F64314">
      <w:pPr>
        <w:topLinePunct w:val="0"/>
        <w:adjustRightInd/>
        <w:spacing w:line="480" w:lineRule="exact"/>
        <w:ind w:firstLine="480"/>
        <w:rPr>
          <w:rFonts w:ascii="Times New Roman" w:cs="Times New Roman"/>
          <w:kern w:val="2"/>
        </w:rPr>
      </w:pPr>
      <w:r>
        <w:rPr>
          <w:rFonts w:ascii="Times New Roman" w:cs="Times New Roman"/>
          <w:kern w:val="2"/>
        </w:rPr>
        <w:t>在评价区内用样线法统计调查鸟类鸣声、羽毛和个体等行经，同时结合文献资料确定其种类组成及其种群数量。此外对珍稀鸟类或大型鸟类则进行访问调查，并参考《四川鸟类原色图鉴》进行确认，同时结合文献资料进行整理和分析。</w:t>
      </w:r>
    </w:p>
    <w:p w:rsidR="00BD5820" w:rsidRDefault="00F64314">
      <w:pPr>
        <w:topLinePunct w:val="0"/>
        <w:adjustRightInd/>
        <w:spacing w:line="480" w:lineRule="exact"/>
        <w:ind w:firstLine="480"/>
        <w:rPr>
          <w:rFonts w:ascii="Times New Roman" w:cs="Times New Roman"/>
          <w:kern w:val="2"/>
        </w:rPr>
      </w:pPr>
      <w:r>
        <w:rPr>
          <w:rFonts w:ascii="Times New Roman" w:cs="Times New Roman"/>
          <w:kern w:val="2"/>
        </w:rPr>
        <w:t>3</w:t>
      </w:r>
      <w:r>
        <w:rPr>
          <w:rFonts w:ascii="Times New Roman" w:cs="Times New Roman"/>
          <w:kern w:val="2"/>
        </w:rPr>
        <w:t>）两栖、爬行类</w:t>
      </w:r>
    </w:p>
    <w:p w:rsidR="00BD5820" w:rsidRDefault="00F64314">
      <w:pPr>
        <w:topLinePunct w:val="0"/>
        <w:adjustRightInd/>
        <w:spacing w:line="480" w:lineRule="exact"/>
        <w:ind w:firstLine="480"/>
        <w:rPr>
          <w:rFonts w:ascii="Times New Roman" w:cs="Times New Roman"/>
          <w:kern w:val="2"/>
        </w:rPr>
      </w:pPr>
      <w:r>
        <w:rPr>
          <w:rFonts w:ascii="Times New Roman" w:cs="Times New Roman"/>
          <w:kern w:val="2"/>
        </w:rPr>
        <w:t>两栖、爬行动物行动慢，活动范围小，对水环境的依赖性强，采用沿评价区附近溪河布设样线，辅以足够数量的样方于傍晚进行调查，依据看到的动物实体或痕迹并结合访问、文献资料进行分析整理，并参考《四川两栖类原色图鉴》、《四川爬行类动物原色图鉴》确定其种类。</w:t>
      </w:r>
    </w:p>
    <w:p w:rsidR="00BD5820" w:rsidRDefault="00F64314">
      <w:pPr>
        <w:topLinePunct w:val="0"/>
        <w:adjustRightInd/>
        <w:spacing w:line="480" w:lineRule="exact"/>
        <w:ind w:firstLine="480"/>
        <w:rPr>
          <w:rFonts w:ascii="Times New Roman" w:cs="Times New Roman"/>
          <w:kern w:val="2"/>
        </w:rPr>
      </w:pPr>
      <w:r>
        <w:rPr>
          <w:rFonts w:ascii="Times New Roman" w:cs="Times New Roman"/>
          <w:kern w:val="2"/>
        </w:rPr>
        <w:t>综合实地调查、访问调查和资料查阅，通过分析归纳和总结，得出项目区及其周边地区动物物种、种群数量和分布资料，为评价和保护提供科学依据。</w:t>
      </w:r>
    </w:p>
    <w:p w:rsidR="00BD5820" w:rsidRDefault="00F64314">
      <w:pPr>
        <w:topLinePunct w:val="0"/>
        <w:adjustRightInd/>
        <w:spacing w:line="480" w:lineRule="exact"/>
        <w:ind w:firstLine="482"/>
        <w:rPr>
          <w:rFonts w:ascii="Times New Roman" w:cs="Times New Roman"/>
          <w:b/>
          <w:bCs/>
          <w:kern w:val="2"/>
        </w:rPr>
      </w:pPr>
      <w:r>
        <w:rPr>
          <w:rFonts w:ascii="Times New Roman" w:cs="Times New Roman"/>
          <w:b/>
          <w:bCs/>
          <w:kern w:val="2"/>
        </w:rPr>
        <w:t>3</w:t>
      </w:r>
      <w:r>
        <w:rPr>
          <w:rFonts w:ascii="Times New Roman" w:cs="Times New Roman"/>
          <w:b/>
          <w:bCs/>
          <w:kern w:val="2"/>
        </w:rPr>
        <w:t>、生态制图</w:t>
      </w:r>
    </w:p>
    <w:p w:rsidR="00BD5820" w:rsidRDefault="00F64314">
      <w:pPr>
        <w:topLinePunct w:val="0"/>
        <w:adjustRightInd/>
        <w:spacing w:line="480" w:lineRule="exact"/>
        <w:ind w:firstLine="480"/>
        <w:rPr>
          <w:rFonts w:ascii="Times New Roman" w:cs="Times New Roman"/>
          <w:kern w:val="2"/>
        </w:rPr>
      </w:pPr>
      <w:r>
        <w:rPr>
          <w:rFonts w:ascii="Times New Roman" w:cs="Times New Roman"/>
          <w:kern w:val="2"/>
        </w:rPr>
        <w:t>在现场调查和群系样地调查的基础上，采用</w:t>
      </w:r>
      <w:r>
        <w:rPr>
          <w:rFonts w:ascii="Times New Roman" w:cs="Times New Roman"/>
          <w:kern w:val="2"/>
        </w:rPr>
        <w:t>GPS</w:t>
      </w:r>
      <w:r>
        <w:rPr>
          <w:rFonts w:ascii="Times New Roman" w:cs="Times New Roman"/>
          <w:kern w:val="2"/>
        </w:rPr>
        <w:t>、</w:t>
      </w:r>
      <w:r>
        <w:rPr>
          <w:rFonts w:ascii="Times New Roman" w:cs="Times New Roman"/>
          <w:kern w:val="2"/>
        </w:rPr>
        <w:t>RS</w:t>
      </w:r>
      <w:r>
        <w:rPr>
          <w:rFonts w:ascii="Times New Roman" w:cs="Times New Roman"/>
          <w:kern w:val="2"/>
        </w:rPr>
        <w:t>和</w:t>
      </w:r>
      <w:r>
        <w:rPr>
          <w:rFonts w:ascii="Times New Roman" w:cs="Times New Roman"/>
          <w:kern w:val="2"/>
        </w:rPr>
        <w:t>GIS</w:t>
      </w:r>
      <w:r>
        <w:rPr>
          <w:rFonts w:ascii="Times New Roman" w:cs="Times New Roman"/>
          <w:kern w:val="2"/>
        </w:rPr>
        <w:t>相结合的空间信息技术，进行地面类型的数字化判读，统计评价范围内各植被类型、面积、土地利用现状类型及数量。完成数字化的植被类型图和土地利用现状图及土壤侵蚀图，进行景观质量和生态环境质量的定性和定量评价。</w:t>
      </w:r>
    </w:p>
    <w:p w:rsidR="00BD5820" w:rsidRDefault="00F64314">
      <w:pPr>
        <w:pStyle w:val="affa"/>
        <w:ind w:firstLine="480"/>
      </w:pPr>
      <w:r>
        <w:rPr>
          <w:kern w:val="2"/>
          <w:szCs w:val="24"/>
        </w:rPr>
        <w:t>本次研究选用国产资源卫星</w:t>
      </w:r>
      <w:r>
        <w:rPr>
          <w:kern w:val="2"/>
          <w:szCs w:val="24"/>
        </w:rPr>
        <w:t>zy-3</w:t>
      </w:r>
      <w:r>
        <w:rPr>
          <w:kern w:val="2"/>
          <w:szCs w:val="24"/>
        </w:rPr>
        <w:t>卫片，融合后地面精度为</w:t>
      </w:r>
      <w:r>
        <w:rPr>
          <w:kern w:val="2"/>
          <w:szCs w:val="24"/>
        </w:rPr>
        <w:t>2.1m</w:t>
      </w:r>
      <w:r>
        <w:rPr>
          <w:kern w:val="2"/>
          <w:szCs w:val="24"/>
        </w:rPr>
        <w:t>，采用地表植被特征的</w:t>
      </w:r>
      <w:r>
        <w:rPr>
          <w:kern w:val="2"/>
          <w:szCs w:val="24"/>
        </w:rPr>
        <w:t>“</w:t>
      </w:r>
      <w:r>
        <w:rPr>
          <w:kern w:val="2"/>
          <w:szCs w:val="24"/>
        </w:rPr>
        <w:t>近红外、红外、绿</w:t>
      </w:r>
      <w:r>
        <w:rPr>
          <w:kern w:val="2"/>
          <w:szCs w:val="24"/>
        </w:rPr>
        <w:t>”</w:t>
      </w:r>
      <w:r>
        <w:rPr>
          <w:kern w:val="2"/>
          <w:szCs w:val="24"/>
        </w:rPr>
        <w:t>三个波段，其中植被影响主要反映为红色。植被类型不同，色彩和色调都发生相应变化，因此可区分出植被亚型以上的植被类型以及农田、居民用地等地面类型。同时也参考了美国</w:t>
      </w:r>
      <w:r>
        <w:rPr>
          <w:kern w:val="2"/>
          <w:szCs w:val="24"/>
        </w:rPr>
        <w:t>wordview</w:t>
      </w:r>
      <w:r>
        <w:rPr>
          <w:kern w:val="2"/>
          <w:szCs w:val="24"/>
        </w:rPr>
        <w:t>卫片作为参考，</w:t>
      </w:r>
      <w:r>
        <w:rPr>
          <w:kern w:val="2"/>
          <w:szCs w:val="24"/>
        </w:rPr>
        <w:lastRenderedPageBreak/>
        <w:t>分辨率</w:t>
      </w:r>
      <w:r>
        <w:rPr>
          <w:kern w:val="2"/>
          <w:szCs w:val="24"/>
        </w:rPr>
        <w:t>1.24</w:t>
      </w:r>
      <w:r>
        <w:rPr>
          <w:kern w:val="2"/>
          <w:szCs w:val="24"/>
        </w:rPr>
        <w:t>米能较好地满足调查需求，但是，植被类型的确定需结合不同植被类型分布的生态学特征，不能单纯依靠色彩进行划分，对监督分类产生的植被初图，结合路线调查记录和等高线、坡度、坡向等信息，对植被图进行目视解译校正，得到符合精度的植被图。在植被图的基础上，进一步合并有关地面类型，得到土地利用类型图。</w:t>
      </w:r>
    </w:p>
    <w:p w:rsidR="00BD5820" w:rsidRDefault="00F64314">
      <w:pPr>
        <w:pStyle w:val="affa"/>
        <w:ind w:firstLine="480"/>
      </w:pPr>
      <w:r>
        <w:rPr>
          <w:szCs w:val="24"/>
        </w:rPr>
        <w:t>评价范围内植被概况见表</w:t>
      </w:r>
      <w:r>
        <w:rPr>
          <w:rFonts w:hint="eastAsia"/>
          <w:szCs w:val="24"/>
        </w:rPr>
        <w:t>5</w:t>
      </w:r>
      <w:r>
        <w:rPr>
          <w:szCs w:val="24"/>
        </w:rPr>
        <w:t>.</w:t>
      </w:r>
      <w:r>
        <w:rPr>
          <w:rFonts w:hint="eastAsia"/>
          <w:szCs w:val="24"/>
        </w:rPr>
        <w:t>2</w:t>
      </w:r>
      <w:r>
        <w:rPr>
          <w:szCs w:val="24"/>
        </w:rPr>
        <w:t>-3</w:t>
      </w:r>
      <w:r>
        <w:rPr>
          <w:szCs w:val="24"/>
        </w:rPr>
        <w:t>及《附图</w:t>
      </w:r>
      <w:r>
        <w:rPr>
          <w:szCs w:val="24"/>
        </w:rPr>
        <w:t xml:space="preserve"> </w:t>
      </w:r>
      <w:r>
        <w:rPr>
          <w:szCs w:val="24"/>
        </w:rPr>
        <w:t>评价区植被类型图》。</w:t>
      </w:r>
    </w:p>
    <w:p w:rsidR="00BD5820" w:rsidRDefault="00F64314">
      <w:pPr>
        <w:topLinePunct w:val="0"/>
        <w:adjustRightInd/>
        <w:spacing w:line="500" w:lineRule="exact"/>
        <w:ind w:left="60" w:right="100" w:firstLineChars="0" w:firstLine="482"/>
        <w:jc w:val="center"/>
        <w:rPr>
          <w:rFonts w:ascii="Times New Roman" w:cs="Times New Roman"/>
          <w:b/>
          <w:kern w:val="2"/>
          <w:sz w:val="21"/>
          <w:szCs w:val="20"/>
        </w:rPr>
      </w:pPr>
      <w:r>
        <w:rPr>
          <w:rFonts w:ascii="Times New Roman" w:cs="Times New Roman"/>
          <w:b/>
          <w:kern w:val="2"/>
          <w:sz w:val="21"/>
          <w:szCs w:val="20"/>
        </w:rPr>
        <w:t>表</w:t>
      </w:r>
      <w:r w:rsidR="00120DD0">
        <w:rPr>
          <w:rFonts w:ascii="Times New Roman" w:cs="Times New Roman" w:hint="eastAsia"/>
          <w:b/>
          <w:kern w:val="2"/>
          <w:sz w:val="21"/>
          <w:szCs w:val="20"/>
        </w:rPr>
        <w:t>5</w:t>
      </w:r>
      <w:r>
        <w:rPr>
          <w:rFonts w:ascii="Times New Roman" w:cs="Times New Roman"/>
          <w:b/>
          <w:kern w:val="2"/>
          <w:sz w:val="21"/>
          <w:szCs w:val="20"/>
        </w:rPr>
        <w:t>.</w:t>
      </w:r>
      <w:r w:rsidR="00120DD0">
        <w:rPr>
          <w:rFonts w:ascii="Times New Roman" w:cs="Times New Roman" w:hint="eastAsia"/>
          <w:b/>
          <w:kern w:val="2"/>
          <w:sz w:val="21"/>
          <w:szCs w:val="20"/>
        </w:rPr>
        <w:t>2</w:t>
      </w:r>
      <w:r>
        <w:rPr>
          <w:rFonts w:ascii="Times New Roman" w:cs="Times New Roman"/>
          <w:b/>
          <w:kern w:val="2"/>
          <w:sz w:val="21"/>
          <w:szCs w:val="20"/>
        </w:rPr>
        <w:t xml:space="preserve">-3 </w:t>
      </w:r>
      <w:r>
        <w:rPr>
          <w:rFonts w:ascii="Times New Roman" w:cs="Times New Roman"/>
          <w:b/>
          <w:kern w:val="2"/>
          <w:sz w:val="21"/>
          <w:szCs w:val="20"/>
        </w:rPr>
        <w:t>评价范围内主要植被类型面积统计表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5566"/>
        <w:gridCol w:w="1638"/>
        <w:gridCol w:w="1318"/>
      </w:tblGrid>
      <w:tr w:rsidR="00BD5820">
        <w:trPr>
          <w:trHeight w:hRule="exact" w:val="464"/>
          <w:jc w:val="center"/>
        </w:trPr>
        <w:tc>
          <w:tcPr>
            <w:tcW w:w="5031" w:type="dxa"/>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sz w:val="21"/>
                <w:szCs w:val="21"/>
              </w:rPr>
              <w:t>植被类型</w:t>
            </w:r>
          </w:p>
        </w:tc>
        <w:tc>
          <w:tcPr>
            <w:tcW w:w="1480" w:type="dxa"/>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w:t>
            </w:r>
            <w:r>
              <w:rPr>
                <w:rFonts w:ascii="Times New Roman" w:cs="Times New Roman"/>
                <w:sz w:val="21"/>
                <w:szCs w:val="21"/>
              </w:rPr>
              <w:t>面积</w:t>
            </w:r>
            <w:r>
              <w:rPr>
                <w:rFonts w:ascii="Times New Roman" w:cs="Times New Roman"/>
                <w:sz w:val="21"/>
                <w:szCs w:val="21"/>
              </w:rPr>
              <w:t>hm</w:t>
            </w:r>
            <w:r>
              <w:rPr>
                <w:rFonts w:ascii="Times New Roman" w:cs="Times New Roman"/>
                <w:sz w:val="21"/>
                <w:szCs w:val="21"/>
                <w:vertAlign w:val="superscript"/>
              </w:rPr>
              <w:t>2</w:t>
            </w:r>
            <w:r>
              <w:rPr>
                <w:rFonts w:ascii="Times New Roman" w:cs="Times New Roman" w:hint="eastAsia"/>
                <w:sz w:val="21"/>
                <w:szCs w:val="21"/>
              </w:rPr>
              <w:t>）</w:t>
            </w:r>
          </w:p>
        </w:tc>
        <w:tc>
          <w:tcPr>
            <w:tcW w:w="1191" w:type="dxa"/>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sz w:val="21"/>
                <w:szCs w:val="21"/>
              </w:rPr>
              <w:t>百分比</w:t>
            </w:r>
            <w:r>
              <w:rPr>
                <w:rFonts w:ascii="Times New Roman" w:cs="Times New Roman" w:hint="eastAsia"/>
                <w:sz w:val="21"/>
                <w:szCs w:val="21"/>
              </w:rPr>
              <w:t>（</w:t>
            </w:r>
            <w:r>
              <w:rPr>
                <w:rFonts w:ascii="Times New Roman" w:cs="Times New Roman"/>
                <w:sz w:val="21"/>
                <w:szCs w:val="21"/>
              </w:rPr>
              <w:t>%</w:t>
            </w:r>
            <w:r>
              <w:rPr>
                <w:rFonts w:ascii="Times New Roman" w:cs="Times New Roman" w:hint="eastAsia"/>
                <w:sz w:val="21"/>
                <w:szCs w:val="21"/>
              </w:rPr>
              <w:t>）</w:t>
            </w:r>
          </w:p>
        </w:tc>
      </w:tr>
      <w:tr w:rsidR="00BD5820">
        <w:trPr>
          <w:trHeight w:hRule="exact" w:val="397"/>
          <w:jc w:val="center"/>
        </w:trPr>
        <w:tc>
          <w:tcPr>
            <w:tcW w:w="5031"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以马尾松、柏木为主的</w:t>
            </w:r>
            <w:r>
              <w:rPr>
                <w:rFonts w:ascii="Times New Roman" w:cs="Times New Roman"/>
                <w:kern w:val="2"/>
                <w:sz w:val="21"/>
                <w:szCs w:val="21"/>
              </w:rPr>
              <w:t>针叶林植被</w:t>
            </w:r>
          </w:p>
        </w:tc>
        <w:tc>
          <w:tcPr>
            <w:tcW w:w="1480"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319.85</w:t>
            </w:r>
          </w:p>
        </w:tc>
        <w:tc>
          <w:tcPr>
            <w:tcW w:w="1191"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25.45</w:t>
            </w:r>
          </w:p>
        </w:tc>
      </w:tr>
      <w:tr w:rsidR="00BD5820">
        <w:trPr>
          <w:trHeight w:hRule="exact" w:val="658"/>
          <w:jc w:val="center"/>
        </w:trPr>
        <w:tc>
          <w:tcPr>
            <w:tcW w:w="5031"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以麻栎、青冈、栓皮栎、枫香、响叶杨等为主的</w:t>
            </w:r>
            <w:r>
              <w:rPr>
                <w:rFonts w:ascii="Times New Roman" w:cs="Times New Roman"/>
                <w:kern w:val="2"/>
                <w:sz w:val="21"/>
                <w:szCs w:val="21"/>
              </w:rPr>
              <w:t>阔叶林植被</w:t>
            </w:r>
          </w:p>
        </w:tc>
        <w:tc>
          <w:tcPr>
            <w:tcW w:w="1480"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452.09</w:t>
            </w:r>
          </w:p>
        </w:tc>
        <w:tc>
          <w:tcPr>
            <w:tcW w:w="1191"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35.97</w:t>
            </w:r>
          </w:p>
        </w:tc>
      </w:tr>
      <w:tr w:rsidR="00BD5820">
        <w:trPr>
          <w:trHeight w:hRule="exact" w:val="714"/>
          <w:jc w:val="center"/>
        </w:trPr>
        <w:tc>
          <w:tcPr>
            <w:tcW w:w="5031"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以</w:t>
            </w:r>
            <w:r>
              <w:rPr>
                <w:rFonts w:ascii="Times New Roman" w:cs="Times New Roman" w:hint="eastAsia"/>
                <w:kern w:val="2"/>
                <w:sz w:val="21"/>
                <w:szCs w:val="21"/>
              </w:rPr>
              <w:t>槲栎、马桑、黄荆、火棘、荚蒾、盐肤木</w:t>
            </w:r>
            <w:r>
              <w:rPr>
                <w:rFonts w:ascii="Times New Roman" w:cs="Times New Roman"/>
                <w:kern w:val="2"/>
                <w:sz w:val="21"/>
                <w:szCs w:val="21"/>
              </w:rPr>
              <w:t>为主的灌丛植被</w:t>
            </w:r>
          </w:p>
        </w:tc>
        <w:tc>
          <w:tcPr>
            <w:tcW w:w="1480"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268.42</w:t>
            </w:r>
          </w:p>
        </w:tc>
        <w:tc>
          <w:tcPr>
            <w:tcW w:w="1191"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21.36</w:t>
            </w:r>
          </w:p>
        </w:tc>
      </w:tr>
      <w:tr w:rsidR="00BD5820">
        <w:trPr>
          <w:trHeight w:hRule="exact" w:val="745"/>
          <w:jc w:val="center"/>
        </w:trPr>
        <w:tc>
          <w:tcPr>
            <w:tcW w:w="5031"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以</w:t>
            </w:r>
            <w:r>
              <w:rPr>
                <w:rFonts w:ascii="Times New Roman" w:cs="Times New Roman" w:hint="eastAsia"/>
                <w:kern w:val="2"/>
                <w:sz w:val="21"/>
                <w:szCs w:val="21"/>
              </w:rPr>
              <w:t>白茅、五节芒、芒、芒萁、野古草、斑茅、蕨</w:t>
            </w:r>
            <w:r>
              <w:rPr>
                <w:rFonts w:ascii="Times New Roman" w:cs="Times New Roman"/>
                <w:kern w:val="2"/>
                <w:sz w:val="21"/>
                <w:szCs w:val="21"/>
              </w:rPr>
              <w:t>等为主的草丛植被</w:t>
            </w:r>
          </w:p>
        </w:tc>
        <w:tc>
          <w:tcPr>
            <w:tcW w:w="1480"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2.17</w:t>
            </w:r>
          </w:p>
        </w:tc>
        <w:tc>
          <w:tcPr>
            <w:tcW w:w="1191"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0.17</w:t>
            </w:r>
          </w:p>
        </w:tc>
      </w:tr>
      <w:tr w:rsidR="00BD5820">
        <w:trPr>
          <w:trHeight w:hRule="exact" w:val="397"/>
          <w:jc w:val="center"/>
        </w:trPr>
        <w:tc>
          <w:tcPr>
            <w:tcW w:w="5031"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水稻</w:t>
            </w:r>
            <w:r>
              <w:rPr>
                <w:rFonts w:ascii="Times New Roman" w:cs="Times New Roman"/>
                <w:kern w:val="2"/>
                <w:sz w:val="21"/>
                <w:szCs w:val="21"/>
              </w:rPr>
              <w:t>为主的水田作物植被</w:t>
            </w:r>
          </w:p>
        </w:tc>
        <w:tc>
          <w:tcPr>
            <w:tcW w:w="1480"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3.65</w:t>
            </w:r>
          </w:p>
        </w:tc>
        <w:tc>
          <w:tcPr>
            <w:tcW w:w="1191"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0.29</w:t>
            </w:r>
          </w:p>
        </w:tc>
      </w:tr>
      <w:tr w:rsidR="00BD5820">
        <w:trPr>
          <w:trHeight w:hRule="exact" w:val="730"/>
          <w:jc w:val="center"/>
        </w:trPr>
        <w:tc>
          <w:tcPr>
            <w:tcW w:w="5031"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玉米、红苕、棉花、花生、小麦、马铃薯、豌豆</w:t>
            </w:r>
            <w:r>
              <w:rPr>
                <w:rFonts w:ascii="Times New Roman" w:cs="Times New Roman"/>
                <w:kern w:val="2"/>
                <w:sz w:val="21"/>
                <w:szCs w:val="21"/>
              </w:rPr>
              <w:t>为主的旱地作物植被</w:t>
            </w:r>
          </w:p>
        </w:tc>
        <w:tc>
          <w:tcPr>
            <w:tcW w:w="1480"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129.05</w:t>
            </w:r>
          </w:p>
        </w:tc>
        <w:tc>
          <w:tcPr>
            <w:tcW w:w="1191"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10.27</w:t>
            </w:r>
          </w:p>
        </w:tc>
      </w:tr>
      <w:tr w:rsidR="00BD5820">
        <w:trPr>
          <w:trHeight w:hRule="exact" w:val="397"/>
          <w:jc w:val="center"/>
        </w:trPr>
        <w:tc>
          <w:tcPr>
            <w:tcW w:w="5031"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无植被</w:t>
            </w:r>
          </w:p>
        </w:tc>
        <w:tc>
          <w:tcPr>
            <w:tcW w:w="1480"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81.53</w:t>
            </w:r>
          </w:p>
        </w:tc>
        <w:tc>
          <w:tcPr>
            <w:tcW w:w="1191"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6.49</w:t>
            </w:r>
          </w:p>
        </w:tc>
      </w:tr>
      <w:tr w:rsidR="00BD5820">
        <w:trPr>
          <w:trHeight w:hRule="exact" w:val="397"/>
          <w:jc w:val="center"/>
        </w:trPr>
        <w:tc>
          <w:tcPr>
            <w:tcW w:w="5031"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合计</w:t>
            </w:r>
          </w:p>
        </w:tc>
        <w:tc>
          <w:tcPr>
            <w:tcW w:w="1480"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1256.76</w:t>
            </w:r>
          </w:p>
        </w:tc>
        <w:tc>
          <w:tcPr>
            <w:tcW w:w="1191"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100</w:t>
            </w:r>
          </w:p>
        </w:tc>
      </w:tr>
    </w:tbl>
    <w:p w:rsidR="00BD5820" w:rsidRDefault="00F64314">
      <w:pPr>
        <w:pStyle w:val="affa"/>
        <w:ind w:firstLine="480"/>
      </w:pPr>
      <w:r>
        <w:t>由表</w:t>
      </w:r>
      <w:r>
        <w:rPr>
          <w:rFonts w:hint="eastAsia"/>
        </w:rPr>
        <w:t>5</w:t>
      </w:r>
      <w:r>
        <w:t>.</w:t>
      </w:r>
      <w:r>
        <w:rPr>
          <w:rFonts w:hint="eastAsia"/>
        </w:rPr>
        <w:t>2</w:t>
      </w:r>
      <w:r>
        <w:t>-3</w:t>
      </w:r>
      <w:r>
        <w:t>可看出，本次评价范围内</w:t>
      </w:r>
      <w:r>
        <w:rPr>
          <w:rFonts w:hint="eastAsia"/>
        </w:rPr>
        <w:t>以麻栎、青冈、栓皮栎、枫香、响叶杨等为主的</w:t>
      </w:r>
      <w:r>
        <w:t>阔叶林植被占比最大，占评价面积的</w:t>
      </w:r>
      <w:r>
        <w:rPr>
          <w:rFonts w:hint="eastAsia"/>
        </w:rPr>
        <w:t>35.97</w:t>
      </w:r>
      <w:r>
        <w:t>%</w:t>
      </w:r>
      <w:r>
        <w:t>，</w:t>
      </w:r>
      <w:r>
        <w:rPr>
          <w:rFonts w:hint="eastAsia"/>
        </w:rPr>
        <w:t>其次以马尾松、柏木为主的</w:t>
      </w:r>
      <w:r>
        <w:t>针叶林植被，占评价面积的</w:t>
      </w:r>
      <w:r>
        <w:rPr>
          <w:rFonts w:hint="eastAsia"/>
        </w:rPr>
        <w:t>25.45</w:t>
      </w:r>
      <w:r>
        <w:rPr>
          <w:rFonts w:hint="eastAsia"/>
        </w:rPr>
        <w:t>；以槲栎、马桑、黄荆、火棘、荚蒾、盐肤木为主的灌丛植被，</w:t>
      </w:r>
      <w:r>
        <w:t>占评价面积的</w:t>
      </w:r>
      <w:r>
        <w:rPr>
          <w:rFonts w:hint="eastAsia"/>
        </w:rPr>
        <w:t>21.36</w:t>
      </w:r>
      <w:r>
        <w:t>%</w:t>
      </w:r>
      <w:r>
        <w:rPr>
          <w:rFonts w:hint="eastAsia"/>
        </w:rPr>
        <w:t>，以玉米、红苕、棉花、花生、小麦、马铃薯、豌豆为主的旱地作物植被</w:t>
      </w:r>
      <w:r>
        <w:t>，占评价面积的</w:t>
      </w:r>
      <w:r>
        <w:rPr>
          <w:rFonts w:hint="eastAsia"/>
        </w:rPr>
        <w:t>10.27</w:t>
      </w:r>
      <w:r>
        <w:t>%</w:t>
      </w:r>
      <w:r>
        <w:t>，</w:t>
      </w:r>
      <w:r>
        <w:rPr>
          <w:rFonts w:hint="eastAsia"/>
          <w:szCs w:val="24"/>
        </w:rPr>
        <w:t>其余类均低于</w:t>
      </w:r>
      <w:r>
        <w:rPr>
          <w:rFonts w:hint="eastAsia"/>
          <w:szCs w:val="24"/>
        </w:rPr>
        <w:t>10%</w:t>
      </w:r>
      <w:r>
        <w:rPr>
          <w:rFonts w:hint="eastAsia"/>
          <w:szCs w:val="24"/>
        </w:rPr>
        <w:t>，</w:t>
      </w:r>
      <w:r>
        <w:t>综上，本项目评价范围</w:t>
      </w:r>
      <w:r>
        <w:rPr>
          <w:rFonts w:hint="eastAsia"/>
        </w:rPr>
        <w:t>植被类型</w:t>
      </w:r>
      <w:r>
        <w:t>主要</w:t>
      </w:r>
      <w:r>
        <w:rPr>
          <w:rFonts w:hint="eastAsia"/>
        </w:rPr>
        <w:t>以阔叶林植被、针叶林植被、灌丛植被、旱地</w:t>
      </w:r>
      <w:r>
        <w:t>占优。</w:t>
      </w:r>
    </w:p>
    <w:p w:rsidR="00BD5820" w:rsidRDefault="00F64314">
      <w:pPr>
        <w:pStyle w:val="affa"/>
        <w:ind w:firstLineChars="196" w:firstLine="472"/>
        <w:rPr>
          <w:b/>
          <w:bCs/>
        </w:rPr>
      </w:pPr>
      <w:r>
        <w:rPr>
          <w:rFonts w:hint="eastAsia"/>
          <w:b/>
          <w:bCs/>
        </w:rPr>
        <w:t>（</w:t>
      </w:r>
      <w:r>
        <w:rPr>
          <w:rFonts w:hint="eastAsia"/>
          <w:b/>
          <w:bCs/>
        </w:rPr>
        <w:t>2</w:t>
      </w:r>
      <w:r>
        <w:rPr>
          <w:rFonts w:hint="eastAsia"/>
          <w:b/>
          <w:bCs/>
        </w:rPr>
        <w:t>）</w:t>
      </w:r>
      <w:r>
        <w:rPr>
          <w:b/>
          <w:bCs/>
        </w:rPr>
        <w:t>评价范围土地利用现状</w:t>
      </w:r>
    </w:p>
    <w:p w:rsidR="00BD5820" w:rsidRDefault="00F64314">
      <w:pPr>
        <w:pStyle w:val="affa"/>
        <w:ind w:firstLine="480"/>
        <w:rPr>
          <w:color w:val="FF0000"/>
        </w:rPr>
      </w:pPr>
      <w:r>
        <w:t>评价范围内土地利用概况见表</w:t>
      </w:r>
      <w:r>
        <w:rPr>
          <w:rFonts w:hint="eastAsia"/>
        </w:rPr>
        <w:t>5</w:t>
      </w:r>
      <w:r>
        <w:t>.</w:t>
      </w:r>
      <w:r>
        <w:rPr>
          <w:rFonts w:hint="eastAsia"/>
        </w:rPr>
        <w:t>2</w:t>
      </w:r>
      <w:r>
        <w:t>-4</w:t>
      </w:r>
      <w:r>
        <w:t>及《附图</w:t>
      </w:r>
      <w:r>
        <w:t xml:space="preserve"> </w:t>
      </w:r>
      <w:r>
        <w:t>评价区土地利用现状图》。</w:t>
      </w:r>
    </w:p>
    <w:p w:rsidR="00BD5820" w:rsidRDefault="00F64314">
      <w:pPr>
        <w:topLinePunct w:val="0"/>
        <w:adjustRightInd/>
        <w:spacing w:line="500" w:lineRule="exact"/>
        <w:ind w:left="60" w:right="100" w:firstLineChars="0" w:firstLine="482"/>
        <w:jc w:val="center"/>
        <w:rPr>
          <w:rFonts w:ascii="Times New Roman" w:cs="Times New Roman"/>
          <w:b/>
          <w:kern w:val="2"/>
          <w:sz w:val="21"/>
          <w:szCs w:val="20"/>
        </w:rPr>
      </w:pPr>
      <w:r>
        <w:rPr>
          <w:rFonts w:ascii="Times New Roman" w:cs="Times New Roman"/>
          <w:b/>
          <w:kern w:val="2"/>
          <w:sz w:val="21"/>
          <w:szCs w:val="20"/>
        </w:rPr>
        <w:t>表</w:t>
      </w:r>
      <w:r>
        <w:rPr>
          <w:rFonts w:ascii="Times New Roman" w:cs="Times New Roman" w:hint="eastAsia"/>
          <w:b/>
          <w:kern w:val="2"/>
          <w:sz w:val="21"/>
          <w:szCs w:val="20"/>
        </w:rPr>
        <w:t>5</w:t>
      </w:r>
      <w:r>
        <w:rPr>
          <w:rFonts w:ascii="Times New Roman" w:cs="Times New Roman"/>
          <w:b/>
          <w:kern w:val="2"/>
          <w:sz w:val="21"/>
          <w:szCs w:val="20"/>
        </w:rPr>
        <w:t>.</w:t>
      </w:r>
      <w:r>
        <w:rPr>
          <w:rFonts w:ascii="Times New Roman" w:cs="Times New Roman" w:hint="eastAsia"/>
          <w:b/>
          <w:kern w:val="2"/>
          <w:sz w:val="21"/>
          <w:szCs w:val="20"/>
        </w:rPr>
        <w:t>2</w:t>
      </w:r>
      <w:r>
        <w:rPr>
          <w:rFonts w:ascii="Times New Roman" w:cs="Times New Roman"/>
          <w:b/>
          <w:kern w:val="2"/>
          <w:sz w:val="21"/>
          <w:szCs w:val="20"/>
        </w:rPr>
        <w:t xml:space="preserve">-4 </w:t>
      </w:r>
      <w:r>
        <w:rPr>
          <w:rFonts w:ascii="Times New Roman" w:cs="Times New Roman"/>
          <w:b/>
          <w:kern w:val="2"/>
          <w:sz w:val="21"/>
          <w:szCs w:val="20"/>
        </w:rPr>
        <w:t>本次评价范围内土地利用现状情况</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2827"/>
        <w:gridCol w:w="2889"/>
        <w:gridCol w:w="2806"/>
      </w:tblGrid>
      <w:tr w:rsidR="00BD5820">
        <w:trPr>
          <w:trHeight w:hRule="exact" w:val="340"/>
          <w:jc w:val="center"/>
        </w:trPr>
        <w:tc>
          <w:tcPr>
            <w:tcW w:w="2827" w:type="dxa"/>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sz w:val="21"/>
                <w:szCs w:val="21"/>
              </w:rPr>
              <w:t>土地利用类型</w:t>
            </w:r>
          </w:p>
        </w:tc>
        <w:tc>
          <w:tcPr>
            <w:tcW w:w="2889" w:type="dxa"/>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w:t>
            </w:r>
            <w:r>
              <w:rPr>
                <w:rFonts w:ascii="Times New Roman" w:cs="Times New Roman"/>
                <w:sz w:val="21"/>
                <w:szCs w:val="21"/>
              </w:rPr>
              <w:t>面积</w:t>
            </w:r>
            <w:r>
              <w:rPr>
                <w:rFonts w:ascii="Times New Roman" w:cs="Times New Roman"/>
                <w:sz w:val="21"/>
                <w:szCs w:val="21"/>
              </w:rPr>
              <w:t>hm</w:t>
            </w:r>
            <w:r>
              <w:rPr>
                <w:rFonts w:ascii="Times New Roman" w:cs="Times New Roman"/>
                <w:sz w:val="21"/>
                <w:szCs w:val="21"/>
                <w:vertAlign w:val="superscript"/>
              </w:rPr>
              <w:t>2</w:t>
            </w:r>
            <w:r>
              <w:rPr>
                <w:rFonts w:ascii="Times New Roman" w:cs="Times New Roman" w:hint="eastAsia"/>
                <w:sz w:val="21"/>
                <w:szCs w:val="21"/>
              </w:rPr>
              <w:t>）</w:t>
            </w:r>
          </w:p>
        </w:tc>
        <w:tc>
          <w:tcPr>
            <w:tcW w:w="2806" w:type="dxa"/>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sz w:val="21"/>
                <w:szCs w:val="21"/>
              </w:rPr>
              <w:t>百分比</w:t>
            </w:r>
            <w:r>
              <w:rPr>
                <w:rFonts w:ascii="Times New Roman" w:cs="Times New Roman" w:hint="eastAsia"/>
                <w:sz w:val="21"/>
                <w:szCs w:val="21"/>
              </w:rPr>
              <w:t>（</w:t>
            </w:r>
            <w:r>
              <w:rPr>
                <w:rFonts w:ascii="Times New Roman" w:cs="Times New Roman"/>
                <w:sz w:val="21"/>
                <w:szCs w:val="21"/>
              </w:rPr>
              <w:t>%</w:t>
            </w:r>
            <w:r>
              <w:rPr>
                <w:rFonts w:ascii="Times New Roman" w:cs="Times New Roman" w:hint="eastAsia"/>
                <w:sz w:val="21"/>
                <w:szCs w:val="21"/>
              </w:rPr>
              <w:t>）</w:t>
            </w:r>
          </w:p>
        </w:tc>
      </w:tr>
      <w:tr w:rsidR="00BD5820">
        <w:trPr>
          <w:trHeight w:hRule="exact" w:val="340"/>
          <w:jc w:val="center"/>
        </w:trPr>
        <w:tc>
          <w:tcPr>
            <w:tcW w:w="2827" w:type="dxa"/>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水田</w:t>
            </w:r>
          </w:p>
        </w:tc>
        <w:tc>
          <w:tcPr>
            <w:tcW w:w="2889" w:type="dxa"/>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3.65</w:t>
            </w:r>
          </w:p>
        </w:tc>
        <w:tc>
          <w:tcPr>
            <w:tcW w:w="2806" w:type="dxa"/>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0.29</w:t>
            </w:r>
          </w:p>
        </w:tc>
      </w:tr>
      <w:tr w:rsidR="00BD5820">
        <w:trPr>
          <w:trHeight w:hRule="exact" w:val="340"/>
          <w:jc w:val="center"/>
        </w:trPr>
        <w:tc>
          <w:tcPr>
            <w:tcW w:w="2827" w:type="dxa"/>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lastRenderedPageBreak/>
              <w:t>旱地</w:t>
            </w:r>
          </w:p>
        </w:tc>
        <w:tc>
          <w:tcPr>
            <w:tcW w:w="2889" w:type="dxa"/>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129.05</w:t>
            </w:r>
          </w:p>
        </w:tc>
        <w:tc>
          <w:tcPr>
            <w:tcW w:w="2806" w:type="dxa"/>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10.27</w:t>
            </w:r>
          </w:p>
        </w:tc>
      </w:tr>
      <w:tr w:rsidR="00BD5820">
        <w:trPr>
          <w:trHeight w:hRule="exact" w:val="340"/>
          <w:jc w:val="center"/>
        </w:trPr>
        <w:tc>
          <w:tcPr>
            <w:tcW w:w="2827" w:type="dxa"/>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乔木林地</w:t>
            </w:r>
          </w:p>
        </w:tc>
        <w:tc>
          <w:tcPr>
            <w:tcW w:w="2889" w:type="dxa"/>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319.85</w:t>
            </w:r>
          </w:p>
        </w:tc>
        <w:tc>
          <w:tcPr>
            <w:tcW w:w="2806" w:type="dxa"/>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25.45</w:t>
            </w:r>
          </w:p>
        </w:tc>
      </w:tr>
      <w:tr w:rsidR="00BD5820">
        <w:trPr>
          <w:trHeight w:hRule="exact" w:val="340"/>
          <w:jc w:val="center"/>
        </w:trPr>
        <w:tc>
          <w:tcPr>
            <w:tcW w:w="2827" w:type="dxa"/>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灌木林地</w:t>
            </w:r>
          </w:p>
        </w:tc>
        <w:tc>
          <w:tcPr>
            <w:tcW w:w="2889" w:type="dxa"/>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268.42</w:t>
            </w:r>
          </w:p>
        </w:tc>
        <w:tc>
          <w:tcPr>
            <w:tcW w:w="2806" w:type="dxa"/>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21.36</w:t>
            </w:r>
          </w:p>
        </w:tc>
      </w:tr>
      <w:tr w:rsidR="00BD5820">
        <w:trPr>
          <w:trHeight w:hRule="exact" w:val="340"/>
          <w:jc w:val="center"/>
        </w:trPr>
        <w:tc>
          <w:tcPr>
            <w:tcW w:w="2827" w:type="dxa"/>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其他林地</w:t>
            </w:r>
          </w:p>
        </w:tc>
        <w:tc>
          <w:tcPr>
            <w:tcW w:w="2889" w:type="dxa"/>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452.09</w:t>
            </w:r>
          </w:p>
        </w:tc>
        <w:tc>
          <w:tcPr>
            <w:tcW w:w="2806" w:type="dxa"/>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35.97</w:t>
            </w:r>
          </w:p>
        </w:tc>
      </w:tr>
      <w:tr w:rsidR="00BD5820">
        <w:trPr>
          <w:trHeight w:hRule="exact" w:val="340"/>
          <w:jc w:val="center"/>
        </w:trPr>
        <w:tc>
          <w:tcPr>
            <w:tcW w:w="2827" w:type="dxa"/>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其他草地</w:t>
            </w:r>
          </w:p>
        </w:tc>
        <w:tc>
          <w:tcPr>
            <w:tcW w:w="2889" w:type="dxa"/>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2.17</w:t>
            </w:r>
          </w:p>
        </w:tc>
        <w:tc>
          <w:tcPr>
            <w:tcW w:w="2806" w:type="dxa"/>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0.17</w:t>
            </w:r>
          </w:p>
        </w:tc>
      </w:tr>
      <w:tr w:rsidR="00BD5820">
        <w:trPr>
          <w:trHeight w:hRule="exact" w:val="340"/>
          <w:jc w:val="center"/>
        </w:trPr>
        <w:tc>
          <w:tcPr>
            <w:tcW w:w="2827" w:type="dxa"/>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坑塘水面</w:t>
            </w:r>
          </w:p>
        </w:tc>
        <w:tc>
          <w:tcPr>
            <w:tcW w:w="2889" w:type="dxa"/>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8.94</w:t>
            </w:r>
          </w:p>
        </w:tc>
        <w:tc>
          <w:tcPr>
            <w:tcW w:w="2806" w:type="dxa"/>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0.70</w:t>
            </w:r>
          </w:p>
        </w:tc>
      </w:tr>
      <w:tr w:rsidR="00BD5820">
        <w:trPr>
          <w:trHeight w:hRule="exact" w:val="340"/>
          <w:jc w:val="center"/>
        </w:trPr>
        <w:tc>
          <w:tcPr>
            <w:tcW w:w="2827" w:type="dxa"/>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住宅用地</w:t>
            </w:r>
          </w:p>
        </w:tc>
        <w:tc>
          <w:tcPr>
            <w:tcW w:w="2889" w:type="dxa"/>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23.46</w:t>
            </w:r>
          </w:p>
        </w:tc>
        <w:tc>
          <w:tcPr>
            <w:tcW w:w="2806" w:type="dxa"/>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1.87</w:t>
            </w:r>
          </w:p>
        </w:tc>
      </w:tr>
      <w:tr w:rsidR="00BD5820">
        <w:trPr>
          <w:trHeight w:hRule="exact" w:val="340"/>
          <w:jc w:val="center"/>
        </w:trPr>
        <w:tc>
          <w:tcPr>
            <w:tcW w:w="2827" w:type="dxa"/>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公路用地</w:t>
            </w:r>
          </w:p>
        </w:tc>
        <w:tc>
          <w:tcPr>
            <w:tcW w:w="2889" w:type="dxa"/>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5.30</w:t>
            </w:r>
          </w:p>
        </w:tc>
        <w:tc>
          <w:tcPr>
            <w:tcW w:w="2806" w:type="dxa"/>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0.42</w:t>
            </w:r>
          </w:p>
        </w:tc>
      </w:tr>
      <w:tr w:rsidR="00BD5820">
        <w:trPr>
          <w:trHeight w:hRule="exact" w:val="340"/>
          <w:jc w:val="center"/>
        </w:trPr>
        <w:tc>
          <w:tcPr>
            <w:tcW w:w="2827" w:type="dxa"/>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农村道路</w:t>
            </w:r>
          </w:p>
        </w:tc>
        <w:tc>
          <w:tcPr>
            <w:tcW w:w="2889" w:type="dxa"/>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15.40</w:t>
            </w:r>
          </w:p>
        </w:tc>
        <w:tc>
          <w:tcPr>
            <w:tcW w:w="2806" w:type="dxa"/>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1.23</w:t>
            </w:r>
          </w:p>
        </w:tc>
      </w:tr>
      <w:tr w:rsidR="00BD5820">
        <w:trPr>
          <w:trHeight w:hRule="exact" w:val="340"/>
          <w:jc w:val="center"/>
        </w:trPr>
        <w:tc>
          <w:tcPr>
            <w:tcW w:w="2827" w:type="dxa"/>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工业用地</w:t>
            </w:r>
          </w:p>
        </w:tc>
        <w:tc>
          <w:tcPr>
            <w:tcW w:w="2889" w:type="dxa"/>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7.10</w:t>
            </w:r>
          </w:p>
        </w:tc>
        <w:tc>
          <w:tcPr>
            <w:tcW w:w="2806" w:type="dxa"/>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0.57</w:t>
            </w:r>
          </w:p>
        </w:tc>
      </w:tr>
      <w:tr w:rsidR="00BD5820">
        <w:trPr>
          <w:trHeight w:hRule="exact" w:val="340"/>
          <w:jc w:val="center"/>
        </w:trPr>
        <w:tc>
          <w:tcPr>
            <w:tcW w:w="2827" w:type="dxa"/>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教育用地</w:t>
            </w:r>
          </w:p>
        </w:tc>
        <w:tc>
          <w:tcPr>
            <w:tcW w:w="2889" w:type="dxa"/>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3.01</w:t>
            </w:r>
          </w:p>
        </w:tc>
        <w:tc>
          <w:tcPr>
            <w:tcW w:w="2806" w:type="dxa"/>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0.24</w:t>
            </w:r>
          </w:p>
        </w:tc>
      </w:tr>
      <w:tr w:rsidR="00BD5820">
        <w:trPr>
          <w:trHeight w:hRule="exact" w:val="340"/>
          <w:jc w:val="center"/>
        </w:trPr>
        <w:tc>
          <w:tcPr>
            <w:tcW w:w="2827" w:type="dxa"/>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河流水面</w:t>
            </w:r>
          </w:p>
        </w:tc>
        <w:tc>
          <w:tcPr>
            <w:tcW w:w="2889" w:type="dxa"/>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16.80</w:t>
            </w:r>
          </w:p>
        </w:tc>
        <w:tc>
          <w:tcPr>
            <w:tcW w:w="2806" w:type="dxa"/>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1.34</w:t>
            </w:r>
          </w:p>
        </w:tc>
      </w:tr>
      <w:tr w:rsidR="00BD5820">
        <w:trPr>
          <w:trHeight w:hRule="exact" w:val="340"/>
          <w:jc w:val="center"/>
        </w:trPr>
        <w:tc>
          <w:tcPr>
            <w:tcW w:w="2827" w:type="dxa"/>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裸地</w:t>
            </w:r>
          </w:p>
        </w:tc>
        <w:tc>
          <w:tcPr>
            <w:tcW w:w="2889" w:type="dxa"/>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1.52</w:t>
            </w:r>
          </w:p>
        </w:tc>
        <w:tc>
          <w:tcPr>
            <w:tcW w:w="2806" w:type="dxa"/>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0.12</w:t>
            </w:r>
          </w:p>
        </w:tc>
      </w:tr>
      <w:tr w:rsidR="00BD5820">
        <w:trPr>
          <w:trHeight w:hRule="exact" w:val="340"/>
          <w:jc w:val="center"/>
        </w:trPr>
        <w:tc>
          <w:tcPr>
            <w:tcW w:w="2827" w:type="dxa"/>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合计</w:t>
            </w:r>
          </w:p>
        </w:tc>
        <w:tc>
          <w:tcPr>
            <w:tcW w:w="2889" w:type="dxa"/>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kern w:val="2"/>
                <w:sz w:val="21"/>
                <w:szCs w:val="21"/>
              </w:rPr>
              <w:t>1256.76</w:t>
            </w:r>
          </w:p>
        </w:tc>
        <w:tc>
          <w:tcPr>
            <w:tcW w:w="2806" w:type="dxa"/>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100</w:t>
            </w:r>
          </w:p>
        </w:tc>
      </w:tr>
    </w:tbl>
    <w:p w:rsidR="00BD5820" w:rsidRDefault="00F64314">
      <w:pPr>
        <w:pStyle w:val="affa"/>
        <w:ind w:firstLine="480"/>
        <w:rPr>
          <w:szCs w:val="24"/>
        </w:rPr>
      </w:pPr>
      <w:r>
        <w:rPr>
          <w:szCs w:val="24"/>
        </w:rPr>
        <w:t>由表</w:t>
      </w:r>
      <w:r>
        <w:rPr>
          <w:rFonts w:hint="eastAsia"/>
          <w:szCs w:val="24"/>
        </w:rPr>
        <w:t>2</w:t>
      </w:r>
      <w:r>
        <w:rPr>
          <w:szCs w:val="24"/>
        </w:rPr>
        <w:t>.</w:t>
      </w:r>
      <w:r>
        <w:rPr>
          <w:rFonts w:hint="eastAsia"/>
          <w:szCs w:val="24"/>
        </w:rPr>
        <w:t>2</w:t>
      </w:r>
      <w:r>
        <w:rPr>
          <w:szCs w:val="24"/>
        </w:rPr>
        <w:t>-4</w:t>
      </w:r>
      <w:r>
        <w:rPr>
          <w:szCs w:val="24"/>
        </w:rPr>
        <w:t>看出，本次评价范围内</w:t>
      </w:r>
      <w:r>
        <w:rPr>
          <w:rFonts w:hint="eastAsia"/>
          <w:szCs w:val="24"/>
        </w:rPr>
        <w:t>其他林地</w:t>
      </w:r>
      <w:r>
        <w:rPr>
          <w:rFonts w:hint="eastAsia"/>
          <w:szCs w:val="24"/>
        </w:rPr>
        <w:t>452.09</w:t>
      </w:r>
      <w:r>
        <w:rPr>
          <w:szCs w:val="24"/>
        </w:rPr>
        <w:t>hm</w:t>
      </w:r>
      <w:r>
        <w:rPr>
          <w:szCs w:val="24"/>
          <w:vertAlign w:val="superscript"/>
        </w:rPr>
        <w:t>2</w:t>
      </w:r>
      <w:r>
        <w:rPr>
          <w:szCs w:val="24"/>
        </w:rPr>
        <w:t>，占评价范围的</w:t>
      </w:r>
      <w:r>
        <w:rPr>
          <w:rFonts w:hint="eastAsia"/>
          <w:szCs w:val="24"/>
        </w:rPr>
        <w:t>35.97</w:t>
      </w:r>
      <w:r>
        <w:rPr>
          <w:szCs w:val="24"/>
        </w:rPr>
        <w:t>%</w:t>
      </w:r>
      <w:r>
        <w:rPr>
          <w:szCs w:val="24"/>
        </w:rPr>
        <w:t>，乔木林地</w:t>
      </w:r>
      <w:r>
        <w:rPr>
          <w:rFonts w:hint="eastAsia"/>
          <w:szCs w:val="24"/>
        </w:rPr>
        <w:t>319.85</w:t>
      </w:r>
      <w:r>
        <w:rPr>
          <w:szCs w:val="24"/>
        </w:rPr>
        <w:t>hm</w:t>
      </w:r>
      <w:r>
        <w:rPr>
          <w:szCs w:val="24"/>
          <w:vertAlign w:val="superscript"/>
        </w:rPr>
        <w:t>2</w:t>
      </w:r>
      <w:r>
        <w:rPr>
          <w:szCs w:val="24"/>
        </w:rPr>
        <w:t>，占评价范围的</w:t>
      </w:r>
      <w:r>
        <w:rPr>
          <w:rFonts w:hint="eastAsia"/>
          <w:szCs w:val="24"/>
        </w:rPr>
        <w:t>25.45</w:t>
      </w:r>
      <w:r>
        <w:rPr>
          <w:szCs w:val="24"/>
        </w:rPr>
        <w:t>%</w:t>
      </w:r>
      <w:r>
        <w:rPr>
          <w:szCs w:val="24"/>
        </w:rPr>
        <w:t>，</w:t>
      </w:r>
      <w:r>
        <w:rPr>
          <w:rFonts w:hint="eastAsia"/>
          <w:szCs w:val="24"/>
        </w:rPr>
        <w:t>灌</w:t>
      </w:r>
      <w:r>
        <w:rPr>
          <w:szCs w:val="24"/>
        </w:rPr>
        <w:t>木林地</w:t>
      </w:r>
      <w:r>
        <w:rPr>
          <w:rFonts w:hint="eastAsia"/>
          <w:szCs w:val="24"/>
        </w:rPr>
        <w:t>268.42</w:t>
      </w:r>
      <w:r>
        <w:rPr>
          <w:szCs w:val="24"/>
        </w:rPr>
        <w:t>hm</w:t>
      </w:r>
      <w:r>
        <w:rPr>
          <w:szCs w:val="24"/>
          <w:vertAlign w:val="superscript"/>
        </w:rPr>
        <w:t>2</w:t>
      </w:r>
      <w:r>
        <w:rPr>
          <w:szCs w:val="24"/>
        </w:rPr>
        <w:t>，占评价范围的</w:t>
      </w:r>
      <w:r>
        <w:rPr>
          <w:rFonts w:hint="eastAsia"/>
          <w:szCs w:val="24"/>
        </w:rPr>
        <w:t>21.36</w:t>
      </w:r>
      <w:r>
        <w:rPr>
          <w:szCs w:val="24"/>
        </w:rPr>
        <w:t>%</w:t>
      </w:r>
      <w:r>
        <w:rPr>
          <w:szCs w:val="24"/>
        </w:rPr>
        <w:t>，</w:t>
      </w:r>
      <w:r>
        <w:rPr>
          <w:rFonts w:hint="eastAsia"/>
          <w:szCs w:val="24"/>
        </w:rPr>
        <w:t>旱地</w:t>
      </w:r>
      <w:r>
        <w:rPr>
          <w:rFonts w:hint="eastAsia"/>
          <w:szCs w:val="24"/>
        </w:rPr>
        <w:t>129.05</w:t>
      </w:r>
      <w:r>
        <w:rPr>
          <w:szCs w:val="24"/>
        </w:rPr>
        <w:t>hm</w:t>
      </w:r>
      <w:r>
        <w:rPr>
          <w:szCs w:val="24"/>
          <w:vertAlign w:val="superscript"/>
        </w:rPr>
        <w:t>2</w:t>
      </w:r>
      <w:r>
        <w:rPr>
          <w:szCs w:val="24"/>
        </w:rPr>
        <w:t>，占评价范围的</w:t>
      </w:r>
      <w:r>
        <w:rPr>
          <w:rFonts w:hint="eastAsia"/>
          <w:szCs w:val="24"/>
        </w:rPr>
        <w:t>10.27</w:t>
      </w:r>
      <w:r>
        <w:rPr>
          <w:szCs w:val="24"/>
        </w:rPr>
        <w:t>%</w:t>
      </w:r>
      <w:r>
        <w:rPr>
          <w:rFonts w:hint="eastAsia"/>
          <w:szCs w:val="24"/>
        </w:rPr>
        <w:t>，其余地类均低于</w:t>
      </w:r>
      <w:r>
        <w:rPr>
          <w:rFonts w:hint="eastAsia"/>
          <w:szCs w:val="24"/>
        </w:rPr>
        <w:t>5%</w:t>
      </w:r>
      <w:r>
        <w:rPr>
          <w:szCs w:val="24"/>
        </w:rPr>
        <w:t>。综上，本次评价范围内土地类型以</w:t>
      </w:r>
      <w:r>
        <w:rPr>
          <w:rFonts w:hint="eastAsia"/>
          <w:szCs w:val="24"/>
        </w:rPr>
        <w:t>其他林地、</w:t>
      </w:r>
      <w:r>
        <w:rPr>
          <w:szCs w:val="24"/>
        </w:rPr>
        <w:t>乔木林地</w:t>
      </w:r>
      <w:r>
        <w:rPr>
          <w:rFonts w:hint="eastAsia"/>
          <w:szCs w:val="24"/>
        </w:rPr>
        <w:t>、灌</w:t>
      </w:r>
      <w:r>
        <w:rPr>
          <w:szCs w:val="24"/>
        </w:rPr>
        <w:t>木林地和</w:t>
      </w:r>
      <w:r>
        <w:rPr>
          <w:rFonts w:hint="eastAsia"/>
          <w:szCs w:val="24"/>
        </w:rPr>
        <w:t>旱地</w:t>
      </w:r>
      <w:r>
        <w:rPr>
          <w:szCs w:val="24"/>
        </w:rPr>
        <w:t>为主。</w:t>
      </w:r>
    </w:p>
    <w:p w:rsidR="00BD5820" w:rsidRDefault="00F64314" w:rsidP="00511129">
      <w:pPr>
        <w:topLinePunct w:val="0"/>
        <w:snapToGrid w:val="0"/>
        <w:spacing w:beforeLines="50"/>
        <w:ind w:firstLine="482"/>
        <w:rPr>
          <w:rFonts w:ascii="Times New Roman" w:cs="Times New Roman"/>
          <w:b/>
          <w:bCs/>
          <w:kern w:val="2"/>
        </w:rPr>
      </w:pPr>
      <w:r>
        <w:rPr>
          <w:rFonts w:ascii="Times New Roman" w:cs="Times New Roman"/>
          <w:b/>
          <w:bCs/>
          <w:kern w:val="2"/>
        </w:rPr>
        <w:t>（</w:t>
      </w:r>
      <w:r>
        <w:rPr>
          <w:rFonts w:ascii="Times New Roman" w:cs="Times New Roman"/>
          <w:b/>
          <w:bCs/>
          <w:kern w:val="2"/>
        </w:rPr>
        <w:t>3</w:t>
      </w:r>
      <w:r>
        <w:rPr>
          <w:rFonts w:ascii="Times New Roman" w:cs="Times New Roman"/>
          <w:b/>
          <w:bCs/>
          <w:kern w:val="2"/>
        </w:rPr>
        <w:t>）</w:t>
      </w:r>
      <w:bookmarkStart w:id="334" w:name="_Toc296319726"/>
      <w:r>
        <w:rPr>
          <w:rFonts w:ascii="Times New Roman" w:cs="Times New Roman"/>
          <w:b/>
          <w:bCs/>
          <w:kern w:val="2"/>
        </w:rPr>
        <w:t>评价范围土壤侵蚀特点</w:t>
      </w:r>
      <w:bookmarkEnd w:id="334"/>
    </w:p>
    <w:p w:rsidR="00BD5820" w:rsidRDefault="00F64314" w:rsidP="00511129">
      <w:pPr>
        <w:topLinePunct w:val="0"/>
        <w:snapToGrid w:val="0"/>
        <w:spacing w:beforeLines="50"/>
        <w:ind w:firstLine="480"/>
        <w:rPr>
          <w:rFonts w:ascii="Times New Roman" w:cs="Times New Roman"/>
          <w:kern w:val="2"/>
        </w:rPr>
      </w:pPr>
      <w:r>
        <w:rPr>
          <w:rFonts w:ascii="Times New Roman" w:cs="Times New Roman"/>
          <w:kern w:val="2"/>
        </w:rPr>
        <w:t>1</w:t>
      </w:r>
      <w:r>
        <w:rPr>
          <w:rFonts w:ascii="Times New Roman" w:cs="Times New Roman"/>
          <w:kern w:val="2"/>
        </w:rPr>
        <w:t>）土壤侵蚀强度分类与遥感影像特征</w:t>
      </w:r>
    </w:p>
    <w:p w:rsidR="00BD5820" w:rsidRDefault="00F64314">
      <w:pPr>
        <w:pStyle w:val="affa"/>
        <w:ind w:firstLine="480"/>
      </w:pPr>
      <w:r>
        <w:rPr>
          <w:kern w:val="2"/>
          <w:szCs w:val="24"/>
        </w:rPr>
        <w:t>参照《生态环境状况评价技术规范》（</w:t>
      </w:r>
      <w:r>
        <w:rPr>
          <w:kern w:val="2"/>
          <w:szCs w:val="24"/>
        </w:rPr>
        <w:t>HJ192-2015</w:t>
      </w:r>
      <w:r>
        <w:rPr>
          <w:kern w:val="2"/>
          <w:szCs w:val="24"/>
        </w:rPr>
        <w:t>，</w:t>
      </w:r>
      <w:r>
        <w:rPr>
          <w:kern w:val="2"/>
          <w:szCs w:val="24"/>
        </w:rPr>
        <w:t>2015-03-13</w:t>
      </w:r>
      <w:r>
        <w:rPr>
          <w:kern w:val="2"/>
          <w:szCs w:val="24"/>
        </w:rPr>
        <w:t>）、《土壤侵蚀分类分级标准》（</w:t>
      </w:r>
      <w:r>
        <w:rPr>
          <w:kern w:val="2"/>
          <w:szCs w:val="24"/>
        </w:rPr>
        <w:t>SL190-2007</w:t>
      </w:r>
      <w:r>
        <w:rPr>
          <w:kern w:val="2"/>
          <w:szCs w:val="24"/>
        </w:rPr>
        <w:t>，</w:t>
      </w:r>
      <w:r>
        <w:rPr>
          <w:kern w:val="2"/>
          <w:szCs w:val="24"/>
        </w:rPr>
        <w:t>2008-01-04</w:t>
      </w:r>
      <w:r>
        <w:rPr>
          <w:kern w:val="2"/>
          <w:szCs w:val="24"/>
        </w:rPr>
        <w:t>）中侵蚀强度分级参考指标（表</w:t>
      </w:r>
      <w:r>
        <w:rPr>
          <w:rFonts w:hint="eastAsia"/>
          <w:kern w:val="2"/>
          <w:szCs w:val="24"/>
        </w:rPr>
        <w:t>5</w:t>
      </w:r>
      <w:r>
        <w:rPr>
          <w:kern w:val="2"/>
          <w:szCs w:val="24"/>
        </w:rPr>
        <w:t>.</w:t>
      </w:r>
      <w:r>
        <w:rPr>
          <w:rFonts w:hint="eastAsia"/>
          <w:kern w:val="2"/>
          <w:szCs w:val="24"/>
        </w:rPr>
        <w:t>2</w:t>
      </w:r>
      <w:r>
        <w:rPr>
          <w:kern w:val="2"/>
          <w:szCs w:val="24"/>
        </w:rPr>
        <w:t>-5</w:t>
      </w:r>
      <w:r>
        <w:rPr>
          <w:kern w:val="2"/>
          <w:szCs w:val="24"/>
        </w:rPr>
        <w:t>），以气候、地表物质组成、植被覆盖度、土地利用现状、水土保持措施及地形因素中的沟谷密度、坡度等因素为划分依据，将评价范围内土壤侵蚀划分为</w:t>
      </w:r>
      <w:r>
        <w:rPr>
          <w:kern w:val="2"/>
          <w:szCs w:val="24"/>
        </w:rPr>
        <w:t>4</w:t>
      </w:r>
      <w:r>
        <w:rPr>
          <w:kern w:val="2"/>
          <w:szCs w:val="24"/>
        </w:rPr>
        <w:t>个等级。评价范围土壤侵蚀现状见表</w:t>
      </w:r>
      <w:r>
        <w:rPr>
          <w:rFonts w:hint="eastAsia"/>
          <w:kern w:val="2"/>
          <w:szCs w:val="24"/>
        </w:rPr>
        <w:t>5</w:t>
      </w:r>
      <w:r>
        <w:rPr>
          <w:kern w:val="2"/>
          <w:szCs w:val="24"/>
        </w:rPr>
        <w:t>.</w:t>
      </w:r>
      <w:r>
        <w:rPr>
          <w:rFonts w:hint="eastAsia"/>
          <w:kern w:val="2"/>
          <w:szCs w:val="24"/>
        </w:rPr>
        <w:t>2</w:t>
      </w:r>
      <w:r>
        <w:rPr>
          <w:kern w:val="2"/>
          <w:szCs w:val="24"/>
        </w:rPr>
        <w:t>-6</w:t>
      </w:r>
      <w:r>
        <w:rPr>
          <w:kern w:val="2"/>
          <w:szCs w:val="24"/>
        </w:rPr>
        <w:t>及《附图</w:t>
      </w:r>
      <w:r>
        <w:rPr>
          <w:kern w:val="2"/>
          <w:szCs w:val="24"/>
        </w:rPr>
        <w:t xml:space="preserve"> </w:t>
      </w:r>
      <w:r>
        <w:rPr>
          <w:kern w:val="2"/>
          <w:szCs w:val="24"/>
        </w:rPr>
        <w:t>评价区土壤侵蚀图》。</w:t>
      </w:r>
    </w:p>
    <w:p w:rsidR="00BD5820" w:rsidRPr="00120DD0" w:rsidRDefault="00F64314" w:rsidP="00120DD0">
      <w:pPr>
        <w:spacing w:line="500" w:lineRule="exact"/>
        <w:ind w:left="60" w:right="100" w:firstLine="422"/>
        <w:jc w:val="center"/>
        <w:rPr>
          <w:rFonts w:ascii="Times New Roman" w:cs="Times New Roman"/>
          <w:b/>
          <w:sz w:val="21"/>
          <w:szCs w:val="21"/>
        </w:rPr>
      </w:pPr>
      <w:r w:rsidRPr="00120DD0">
        <w:rPr>
          <w:rFonts w:ascii="Times New Roman" w:cs="Times New Roman"/>
          <w:b/>
          <w:sz w:val="21"/>
          <w:szCs w:val="21"/>
        </w:rPr>
        <w:t>表</w:t>
      </w:r>
      <w:r w:rsidRPr="00120DD0">
        <w:rPr>
          <w:rFonts w:ascii="Times New Roman" w:cs="Times New Roman" w:hint="eastAsia"/>
          <w:b/>
          <w:sz w:val="21"/>
          <w:szCs w:val="21"/>
        </w:rPr>
        <w:t>5</w:t>
      </w:r>
      <w:r w:rsidRPr="00120DD0">
        <w:rPr>
          <w:rFonts w:ascii="Times New Roman" w:cs="Times New Roman"/>
          <w:b/>
          <w:sz w:val="21"/>
          <w:szCs w:val="21"/>
        </w:rPr>
        <w:t>.</w:t>
      </w:r>
      <w:r w:rsidRPr="00120DD0">
        <w:rPr>
          <w:rFonts w:ascii="Times New Roman" w:cs="Times New Roman" w:hint="eastAsia"/>
          <w:b/>
          <w:sz w:val="21"/>
          <w:szCs w:val="21"/>
        </w:rPr>
        <w:t>2</w:t>
      </w:r>
      <w:r w:rsidRPr="00120DD0">
        <w:rPr>
          <w:rFonts w:ascii="Times New Roman" w:cs="Times New Roman"/>
          <w:b/>
          <w:sz w:val="21"/>
          <w:szCs w:val="21"/>
        </w:rPr>
        <w:t xml:space="preserve">-5 </w:t>
      </w:r>
      <w:r w:rsidRPr="00120DD0">
        <w:rPr>
          <w:rFonts w:ascii="Times New Roman" w:cs="Times New Roman"/>
          <w:b/>
          <w:sz w:val="21"/>
          <w:szCs w:val="21"/>
        </w:rPr>
        <w:t>土壤侵蚀强度分级指标</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4221"/>
        <w:gridCol w:w="4301"/>
      </w:tblGrid>
      <w:tr w:rsidR="00BD5820">
        <w:trPr>
          <w:trHeight w:hRule="exact" w:val="397"/>
          <w:jc w:val="center"/>
        </w:trPr>
        <w:tc>
          <w:tcPr>
            <w:tcW w:w="3177" w:type="dxa"/>
            <w:vAlign w:val="center"/>
          </w:tcPr>
          <w:p w:rsidR="00BD5820" w:rsidRDefault="00F64314">
            <w:pPr>
              <w:pStyle w:val="ac"/>
              <w:spacing w:line="240" w:lineRule="auto"/>
              <w:ind w:firstLineChars="0" w:firstLine="0"/>
              <w:jc w:val="center"/>
              <w:rPr>
                <w:rFonts w:ascii="Times New Roman" w:cs="Times New Roman"/>
                <w:b/>
                <w:sz w:val="21"/>
                <w:szCs w:val="21"/>
              </w:rPr>
            </w:pPr>
            <w:r>
              <w:rPr>
                <w:rFonts w:ascii="Times New Roman" w:cs="Times New Roman"/>
                <w:b/>
                <w:sz w:val="21"/>
                <w:szCs w:val="21"/>
              </w:rPr>
              <w:t>侵蚀等级</w:t>
            </w:r>
          </w:p>
        </w:tc>
        <w:tc>
          <w:tcPr>
            <w:tcW w:w="3237" w:type="dxa"/>
            <w:vAlign w:val="center"/>
          </w:tcPr>
          <w:p w:rsidR="00BD5820" w:rsidRDefault="00F64314">
            <w:pPr>
              <w:pStyle w:val="ac"/>
              <w:spacing w:line="240" w:lineRule="auto"/>
              <w:ind w:firstLine="422"/>
              <w:jc w:val="center"/>
              <w:rPr>
                <w:rFonts w:ascii="Times New Roman" w:cs="Times New Roman"/>
                <w:b/>
                <w:sz w:val="21"/>
                <w:szCs w:val="21"/>
              </w:rPr>
            </w:pPr>
            <w:r>
              <w:rPr>
                <w:rFonts w:ascii="Times New Roman" w:cs="Times New Roman"/>
                <w:b/>
                <w:sz w:val="21"/>
                <w:szCs w:val="21"/>
              </w:rPr>
              <w:t>侵蚀模数（</w:t>
            </w:r>
            <w:r>
              <w:rPr>
                <w:rFonts w:ascii="Times New Roman" w:cs="Times New Roman"/>
                <w:b/>
                <w:sz w:val="21"/>
                <w:szCs w:val="21"/>
              </w:rPr>
              <w:t>t/km</w:t>
            </w:r>
            <w:r>
              <w:rPr>
                <w:rFonts w:ascii="Times New Roman" w:cs="Times New Roman"/>
                <w:b/>
                <w:sz w:val="21"/>
                <w:szCs w:val="21"/>
                <w:vertAlign w:val="superscript"/>
              </w:rPr>
              <w:t>2</w:t>
            </w:r>
            <w:r>
              <w:rPr>
                <w:rFonts w:ascii="Times New Roman" w:cs="Times New Roman"/>
                <w:b/>
                <w:sz w:val="21"/>
                <w:szCs w:val="21"/>
              </w:rPr>
              <w:t>.a</w:t>
            </w:r>
            <w:r>
              <w:rPr>
                <w:rFonts w:ascii="Times New Roman" w:cs="Times New Roman"/>
                <w:b/>
                <w:sz w:val="21"/>
                <w:szCs w:val="21"/>
              </w:rPr>
              <w:t>）</w:t>
            </w:r>
          </w:p>
        </w:tc>
      </w:tr>
      <w:tr w:rsidR="00BD5820">
        <w:trPr>
          <w:trHeight w:hRule="exact" w:val="397"/>
          <w:jc w:val="center"/>
        </w:trPr>
        <w:tc>
          <w:tcPr>
            <w:tcW w:w="3177" w:type="dxa"/>
            <w:vAlign w:val="center"/>
          </w:tcPr>
          <w:p w:rsidR="00BD5820" w:rsidRDefault="00F64314">
            <w:pPr>
              <w:pStyle w:val="af"/>
              <w:jc w:val="center"/>
              <w:rPr>
                <w:rFonts w:ascii="Times New Roman" w:hAnsi="Times New Roman"/>
                <w:sz w:val="21"/>
              </w:rPr>
            </w:pPr>
            <w:r>
              <w:rPr>
                <w:rFonts w:ascii="Times New Roman" w:hAnsi="Times New Roman"/>
                <w:sz w:val="21"/>
              </w:rPr>
              <w:t>微度侵蚀</w:t>
            </w:r>
          </w:p>
        </w:tc>
        <w:tc>
          <w:tcPr>
            <w:tcW w:w="3237" w:type="dxa"/>
            <w:vAlign w:val="center"/>
          </w:tcPr>
          <w:p w:rsidR="00BD5820" w:rsidRDefault="00F64314">
            <w:pPr>
              <w:spacing w:line="240" w:lineRule="auto"/>
              <w:ind w:firstLine="420"/>
              <w:jc w:val="center"/>
              <w:rPr>
                <w:rFonts w:ascii="Times New Roman" w:cs="Times New Roman"/>
                <w:sz w:val="21"/>
                <w:szCs w:val="21"/>
              </w:rPr>
            </w:pPr>
            <w:r>
              <w:rPr>
                <w:rFonts w:ascii="Times New Roman" w:cs="Times New Roman"/>
                <w:sz w:val="21"/>
                <w:szCs w:val="21"/>
              </w:rPr>
              <w:t>＜</w:t>
            </w:r>
            <w:r>
              <w:rPr>
                <w:rFonts w:ascii="Times New Roman" w:cs="Times New Roman"/>
                <w:sz w:val="21"/>
                <w:szCs w:val="21"/>
              </w:rPr>
              <w:t>500</w:t>
            </w:r>
          </w:p>
        </w:tc>
      </w:tr>
      <w:tr w:rsidR="00BD5820">
        <w:trPr>
          <w:trHeight w:hRule="exact" w:val="397"/>
          <w:jc w:val="center"/>
        </w:trPr>
        <w:tc>
          <w:tcPr>
            <w:tcW w:w="3177" w:type="dxa"/>
            <w:vAlign w:val="center"/>
          </w:tcPr>
          <w:p w:rsidR="00BD5820" w:rsidRDefault="00F64314">
            <w:pPr>
              <w:pStyle w:val="af"/>
              <w:jc w:val="center"/>
              <w:rPr>
                <w:rFonts w:ascii="Times New Roman" w:hAnsi="Times New Roman"/>
                <w:sz w:val="21"/>
              </w:rPr>
            </w:pPr>
            <w:r>
              <w:rPr>
                <w:rFonts w:ascii="Times New Roman" w:hAnsi="Times New Roman"/>
                <w:sz w:val="21"/>
              </w:rPr>
              <w:t>轻度侵蚀</w:t>
            </w:r>
          </w:p>
        </w:tc>
        <w:tc>
          <w:tcPr>
            <w:tcW w:w="3237" w:type="dxa"/>
            <w:vAlign w:val="center"/>
          </w:tcPr>
          <w:p w:rsidR="00BD5820" w:rsidRDefault="00F64314">
            <w:pPr>
              <w:spacing w:line="240" w:lineRule="auto"/>
              <w:ind w:firstLine="420"/>
              <w:jc w:val="center"/>
              <w:rPr>
                <w:rFonts w:ascii="Times New Roman" w:cs="Times New Roman"/>
                <w:sz w:val="21"/>
                <w:szCs w:val="21"/>
              </w:rPr>
            </w:pPr>
            <w:r>
              <w:rPr>
                <w:rFonts w:ascii="Times New Roman" w:cs="Times New Roman"/>
                <w:sz w:val="21"/>
                <w:szCs w:val="21"/>
              </w:rPr>
              <w:t>500</w:t>
            </w:r>
            <w:r>
              <w:rPr>
                <w:rFonts w:ascii="Times New Roman" w:cs="Times New Roman"/>
                <w:sz w:val="21"/>
                <w:szCs w:val="21"/>
              </w:rPr>
              <w:t>～</w:t>
            </w:r>
            <w:r>
              <w:rPr>
                <w:rFonts w:ascii="Times New Roman" w:cs="Times New Roman"/>
                <w:sz w:val="21"/>
                <w:szCs w:val="21"/>
              </w:rPr>
              <w:t>2500</w:t>
            </w:r>
          </w:p>
        </w:tc>
      </w:tr>
      <w:tr w:rsidR="00BD5820">
        <w:trPr>
          <w:trHeight w:hRule="exact" w:val="397"/>
          <w:jc w:val="center"/>
        </w:trPr>
        <w:tc>
          <w:tcPr>
            <w:tcW w:w="3177" w:type="dxa"/>
            <w:vAlign w:val="center"/>
          </w:tcPr>
          <w:p w:rsidR="00BD5820" w:rsidRDefault="00F64314">
            <w:pPr>
              <w:pStyle w:val="af"/>
              <w:jc w:val="center"/>
              <w:rPr>
                <w:rFonts w:ascii="Times New Roman" w:hAnsi="Times New Roman"/>
                <w:sz w:val="21"/>
              </w:rPr>
            </w:pPr>
            <w:r>
              <w:rPr>
                <w:rFonts w:ascii="Times New Roman" w:hAnsi="Times New Roman"/>
                <w:sz w:val="21"/>
              </w:rPr>
              <w:t>中度侵蚀</w:t>
            </w:r>
          </w:p>
        </w:tc>
        <w:tc>
          <w:tcPr>
            <w:tcW w:w="3237" w:type="dxa"/>
            <w:vAlign w:val="center"/>
          </w:tcPr>
          <w:p w:rsidR="00BD5820" w:rsidRDefault="00F64314">
            <w:pPr>
              <w:spacing w:line="240" w:lineRule="auto"/>
              <w:ind w:firstLine="420"/>
              <w:jc w:val="center"/>
              <w:rPr>
                <w:rFonts w:ascii="Times New Roman" w:cs="Times New Roman"/>
                <w:sz w:val="21"/>
                <w:szCs w:val="21"/>
              </w:rPr>
            </w:pPr>
            <w:r>
              <w:rPr>
                <w:rFonts w:ascii="Times New Roman" w:cs="Times New Roman"/>
                <w:sz w:val="21"/>
                <w:szCs w:val="21"/>
              </w:rPr>
              <w:t>2500</w:t>
            </w:r>
            <w:r>
              <w:rPr>
                <w:rFonts w:ascii="Times New Roman" w:cs="Times New Roman"/>
                <w:sz w:val="21"/>
                <w:szCs w:val="21"/>
              </w:rPr>
              <w:t>～</w:t>
            </w:r>
            <w:r>
              <w:rPr>
                <w:rFonts w:ascii="Times New Roman" w:cs="Times New Roman"/>
                <w:sz w:val="21"/>
                <w:szCs w:val="21"/>
              </w:rPr>
              <w:t>5000</w:t>
            </w:r>
          </w:p>
        </w:tc>
      </w:tr>
      <w:tr w:rsidR="00BD5820">
        <w:trPr>
          <w:trHeight w:hRule="exact" w:val="397"/>
          <w:jc w:val="center"/>
        </w:trPr>
        <w:tc>
          <w:tcPr>
            <w:tcW w:w="3177" w:type="dxa"/>
            <w:vAlign w:val="center"/>
          </w:tcPr>
          <w:p w:rsidR="00BD5820" w:rsidRDefault="00F64314">
            <w:pPr>
              <w:pStyle w:val="af"/>
              <w:jc w:val="center"/>
              <w:rPr>
                <w:rFonts w:ascii="Times New Roman" w:hAnsi="Times New Roman"/>
                <w:sz w:val="21"/>
              </w:rPr>
            </w:pPr>
            <w:r>
              <w:rPr>
                <w:rFonts w:ascii="Times New Roman" w:hAnsi="Times New Roman"/>
                <w:sz w:val="21"/>
              </w:rPr>
              <w:t>强度侵蚀</w:t>
            </w:r>
          </w:p>
        </w:tc>
        <w:tc>
          <w:tcPr>
            <w:tcW w:w="3237" w:type="dxa"/>
            <w:vAlign w:val="center"/>
          </w:tcPr>
          <w:p w:rsidR="00BD5820" w:rsidRDefault="00F64314">
            <w:pPr>
              <w:spacing w:line="240" w:lineRule="auto"/>
              <w:ind w:firstLine="420"/>
              <w:jc w:val="center"/>
              <w:rPr>
                <w:rFonts w:ascii="Times New Roman" w:cs="Times New Roman"/>
                <w:sz w:val="21"/>
                <w:szCs w:val="21"/>
              </w:rPr>
            </w:pPr>
            <w:r>
              <w:rPr>
                <w:rFonts w:ascii="Times New Roman" w:cs="Times New Roman"/>
                <w:sz w:val="21"/>
                <w:szCs w:val="21"/>
              </w:rPr>
              <w:t>5000</w:t>
            </w:r>
            <w:r>
              <w:rPr>
                <w:rFonts w:ascii="Times New Roman" w:cs="Times New Roman"/>
                <w:sz w:val="21"/>
                <w:szCs w:val="21"/>
              </w:rPr>
              <w:t>～</w:t>
            </w:r>
            <w:r>
              <w:rPr>
                <w:rFonts w:ascii="Times New Roman" w:cs="Times New Roman"/>
                <w:sz w:val="21"/>
                <w:szCs w:val="21"/>
              </w:rPr>
              <w:t>8000</w:t>
            </w:r>
          </w:p>
        </w:tc>
      </w:tr>
      <w:tr w:rsidR="00BD5820">
        <w:trPr>
          <w:trHeight w:hRule="exact" w:val="397"/>
          <w:jc w:val="center"/>
        </w:trPr>
        <w:tc>
          <w:tcPr>
            <w:tcW w:w="3177" w:type="dxa"/>
            <w:vAlign w:val="center"/>
          </w:tcPr>
          <w:p w:rsidR="00BD5820" w:rsidRDefault="00F64314">
            <w:pPr>
              <w:pStyle w:val="af"/>
              <w:jc w:val="center"/>
              <w:rPr>
                <w:rFonts w:ascii="Times New Roman" w:hAnsi="Times New Roman"/>
                <w:sz w:val="21"/>
              </w:rPr>
            </w:pPr>
            <w:r>
              <w:rPr>
                <w:rFonts w:ascii="Times New Roman" w:hAnsi="Times New Roman"/>
                <w:sz w:val="21"/>
              </w:rPr>
              <w:t>极强度侵蚀</w:t>
            </w:r>
          </w:p>
        </w:tc>
        <w:tc>
          <w:tcPr>
            <w:tcW w:w="3237" w:type="dxa"/>
            <w:vAlign w:val="center"/>
          </w:tcPr>
          <w:p w:rsidR="00BD5820" w:rsidRDefault="00F64314">
            <w:pPr>
              <w:spacing w:line="240" w:lineRule="auto"/>
              <w:ind w:firstLine="420"/>
              <w:jc w:val="center"/>
              <w:rPr>
                <w:rFonts w:ascii="Times New Roman" w:cs="Times New Roman"/>
                <w:sz w:val="21"/>
                <w:szCs w:val="21"/>
              </w:rPr>
            </w:pPr>
            <w:r>
              <w:rPr>
                <w:rFonts w:ascii="Times New Roman" w:cs="Times New Roman"/>
                <w:sz w:val="21"/>
                <w:szCs w:val="21"/>
              </w:rPr>
              <w:t>8000</w:t>
            </w:r>
            <w:r>
              <w:rPr>
                <w:rFonts w:ascii="Times New Roman" w:cs="Times New Roman"/>
                <w:sz w:val="21"/>
                <w:szCs w:val="21"/>
              </w:rPr>
              <w:t>～</w:t>
            </w:r>
            <w:r>
              <w:rPr>
                <w:rFonts w:ascii="Times New Roman" w:cs="Times New Roman"/>
                <w:sz w:val="21"/>
                <w:szCs w:val="21"/>
              </w:rPr>
              <w:t>15000</w:t>
            </w:r>
          </w:p>
        </w:tc>
      </w:tr>
      <w:tr w:rsidR="00BD5820">
        <w:trPr>
          <w:trHeight w:hRule="exact" w:val="397"/>
          <w:jc w:val="center"/>
        </w:trPr>
        <w:tc>
          <w:tcPr>
            <w:tcW w:w="3177" w:type="dxa"/>
            <w:vAlign w:val="center"/>
          </w:tcPr>
          <w:p w:rsidR="00BD5820" w:rsidRDefault="00F64314">
            <w:pPr>
              <w:pStyle w:val="af"/>
              <w:jc w:val="center"/>
              <w:rPr>
                <w:rFonts w:ascii="Times New Roman" w:hAnsi="Times New Roman"/>
                <w:sz w:val="21"/>
              </w:rPr>
            </w:pPr>
            <w:r>
              <w:rPr>
                <w:rFonts w:ascii="Times New Roman" w:hAnsi="Times New Roman"/>
                <w:sz w:val="21"/>
              </w:rPr>
              <w:t>剧烈侵蚀</w:t>
            </w:r>
          </w:p>
        </w:tc>
        <w:tc>
          <w:tcPr>
            <w:tcW w:w="3237" w:type="dxa"/>
            <w:vAlign w:val="center"/>
          </w:tcPr>
          <w:p w:rsidR="00BD5820" w:rsidRDefault="00F64314">
            <w:pPr>
              <w:spacing w:line="240" w:lineRule="auto"/>
              <w:ind w:firstLine="420"/>
              <w:jc w:val="center"/>
              <w:rPr>
                <w:rFonts w:ascii="Times New Roman" w:cs="Times New Roman"/>
                <w:sz w:val="21"/>
                <w:szCs w:val="21"/>
              </w:rPr>
            </w:pPr>
            <w:r>
              <w:rPr>
                <w:rFonts w:ascii="Times New Roman" w:cs="Times New Roman"/>
                <w:sz w:val="21"/>
                <w:szCs w:val="21"/>
              </w:rPr>
              <w:t>＞</w:t>
            </w:r>
            <w:r>
              <w:rPr>
                <w:rFonts w:ascii="Times New Roman" w:cs="Times New Roman"/>
                <w:sz w:val="21"/>
                <w:szCs w:val="21"/>
              </w:rPr>
              <w:t>15000</w:t>
            </w:r>
          </w:p>
        </w:tc>
      </w:tr>
    </w:tbl>
    <w:p w:rsidR="00BD5820" w:rsidRPr="00120DD0" w:rsidRDefault="00F64314" w:rsidP="00120DD0">
      <w:pPr>
        <w:spacing w:line="500" w:lineRule="exact"/>
        <w:ind w:left="60" w:right="100" w:firstLine="422"/>
        <w:jc w:val="center"/>
        <w:rPr>
          <w:rFonts w:ascii="Times New Roman" w:cs="Times New Roman"/>
          <w:b/>
          <w:sz w:val="21"/>
          <w:szCs w:val="21"/>
        </w:rPr>
      </w:pPr>
      <w:r w:rsidRPr="00120DD0">
        <w:rPr>
          <w:rFonts w:ascii="Times New Roman" w:cs="Times New Roman"/>
          <w:b/>
          <w:sz w:val="21"/>
          <w:szCs w:val="21"/>
        </w:rPr>
        <w:lastRenderedPageBreak/>
        <w:t>表</w:t>
      </w:r>
      <w:r w:rsidRPr="00120DD0">
        <w:rPr>
          <w:rFonts w:ascii="Times New Roman" w:cs="Times New Roman" w:hint="eastAsia"/>
          <w:b/>
          <w:sz w:val="21"/>
          <w:szCs w:val="21"/>
        </w:rPr>
        <w:t>5</w:t>
      </w:r>
      <w:r w:rsidRPr="00120DD0">
        <w:rPr>
          <w:rFonts w:ascii="Times New Roman" w:cs="Times New Roman"/>
          <w:b/>
          <w:sz w:val="21"/>
          <w:szCs w:val="21"/>
        </w:rPr>
        <w:t>.</w:t>
      </w:r>
      <w:r w:rsidRPr="00120DD0">
        <w:rPr>
          <w:rFonts w:ascii="Times New Roman" w:cs="Times New Roman" w:hint="eastAsia"/>
          <w:b/>
          <w:sz w:val="21"/>
          <w:szCs w:val="21"/>
        </w:rPr>
        <w:t>2</w:t>
      </w:r>
      <w:r w:rsidRPr="00120DD0">
        <w:rPr>
          <w:rFonts w:ascii="Times New Roman" w:cs="Times New Roman"/>
          <w:b/>
          <w:sz w:val="21"/>
          <w:szCs w:val="21"/>
        </w:rPr>
        <w:t xml:space="preserve">-6 </w:t>
      </w:r>
      <w:r w:rsidRPr="00120DD0">
        <w:rPr>
          <w:rFonts w:ascii="Times New Roman" w:cs="Times New Roman"/>
          <w:b/>
          <w:sz w:val="21"/>
          <w:szCs w:val="21"/>
        </w:rPr>
        <w:t>评价范围内土壤侵蚀状况表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2897"/>
        <w:gridCol w:w="2824"/>
        <w:gridCol w:w="2801"/>
      </w:tblGrid>
      <w:tr w:rsidR="00BD5820">
        <w:trPr>
          <w:trHeight w:hRule="exact" w:val="397"/>
          <w:jc w:val="center"/>
        </w:trPr>
        <w:tc>
          <w:tcPr>
            <w:tcW w:w="2897" w:type="dxa"/>
            <w:vAlign w:val="center"/>
          </w:tcPr>
          <w:p w:rsidR="00BD5820" w:rsidRDefault="00F64314">
            <w:pPr>
              <w:widowControl/>
              <w:ind w:firstLine="422"/>
              <w:jc w:val="center"/>
              <w:rPr>
                <w:rFonts w:ascii="Times New Roman" w:cs="Times New Roman"/>
                <w:b/>
                <w:sz w:val="21"/>
                <w:szCs w:val="21"/>
              </w:rPr>
            </w:pPr>
            <w:r>
              <w:rPr>
                <w:rFonts w:ascii="Times New Roman" w:cs="Times New Roman"/>
                <w:b/>
                <w:sz w:val="21"/>
                <w:szCs w:val="21"/>
              </w:rPr>
              <w:t>土壤侵蚀强度</w:t>
            </w:r>
          </w:p>
        </w:tc>
        <w:tc>
          <w:tcPr>
            <w:tcW w:w="2824" w:type="dxa"/>
            <w:vAlign w:val="center"/>
          </w:tcPr>
          <w:p w:rsidR="00BD5820" w:rsidRDefault="00F64314">
            <w:pPr>
              <w:widowControl/>
              <w:ind w:firstLine="422"/>
              <w:jc w:val="center"/>
              <w:rPr>
                <w:rFonts w:ascii="Times New Roman" w:cs="Times New Roman"/>
                <w:b/>
                <w:sz w:val="21"/>
                <w:szCs w:val="21"/>
              </w:rPr>
            </w:pPr>
            <w:r>
              <w:rPr>
                <w:rFonts w:ascii="Times New Roman" w:cs="Times New Roman"/>
                <w:b/>
                <w:sz w:val="21"/>
                <w:szCs w:val="21"/>
              </w:rPr>
              <w:t>面积（</w:t>
            </w:r>
            <w:r>
              <w:rPr>
                <w:rFonts w:ascii="Times New Roman" w:cs="Times New Roman"/>
                <w:b/>
                <w:sz w:val="21"/>
                <w:szCs w:val="21"/>
              </w:rPr>
              <w:t>hm</w:t>
            </w:r>
            <w:r>
              <w:rPr>
                <w:rFonts w:ascii="Times New Roman" w:cs="Times New Roman"/>
                <w:b/>
                <w:sz w:val="21"/>
                <w:szCs w:val="21"/>
                <w:vertAlign w:val="superscript"/>
              </w:rPr>
              <w:t>2</w:t>
            </w:r>
            <w:r>
              <w:rPr>
                <w:rFonts w:ascii="Times New Roman" w:cs="Times New Roman"/>
                <w:b/>
                <w:sz w:val="21"/>
                <w:szCs w:val="21"/>
              </w:rPr>
              <w:t>）</w:t>
            </w:r>
          </w:p>
        </w:tc>
        <w:tc>
          <w:tcPr>
            <w:tcW w:w="2801" w:type="dxa"/>
            <w:vAlign w:val="center"/>
          </w:tcPr>
          <w:p w:rsidR="00BD5820" w:rsidRDefault="00F64314">
            <w:pPr>
              <w:widowControl/>
              <w:ind w:firstLine="422"/>
              <w:jc w:val="center"/>
              <w:rPr>
                <w:rFonts w:ascii="Times New Roman" w:cs="Times New Roman"/>
                <w:b/>
                <w:sz w:val="21"/>
                <w:szCs w:val="21"/>
              </w:rPr>
            </w:pPr>
            <w:r>
              <w:rPr>
                <w:rFonts w:ascii="Times New Roman" w:cs="Times New Roman"/>
                <w:b/>
                <w:sz w:val="21"/>
                <w:szCs w:val="21"/>
              </w:rPr>
              <w:t>百分比（</w:t>
            </w:r>
            <w:r>
              <w:rPr>
                <w:rFonts w:ascii="Times New Roman" w:cs="Times New Roman"/>
                <w:b/>
                <w:sz w:val="21"/>
                <w:szCs w:val="21"/>
              </w:rPr>
              <w:t>%</w:t>
            </w:r>
            <w:r>
              <w:rPr>
                <w:rFonts w:ascii="Times New Roman" w:cs="Times New Roman"/>
                <w:b/>
                <w:sz w:val="21"/>
                <w:szCs w:val="21"/>
              </w:rPr>
              <w:t>）</w:t>
            </w:r>
          </w:p>
        </w:tc>
      </w:tr>
      <w:tr w:rsidR="00BD5820">
        <w:trPr>
          <w:trHeight w:hRule="exact" w:val="397"/>
          <w:jc w:val="center"/>
        </w:trPr>
        <w:tc>
          <w:tcPr>
            <w:tcW w:w="2897" w:type="dxa"/>
            <w:vAlign w:val="center"/>
          </w:tcPr>
          <w:p w:rsidR="00BD5820" w:rsidRDefault="00F64314">
            <w:pPr>
              <w:widowControl/>
              <w:ind w:firstLine="420"/>
              <w:jc w:val="center"/>
              <w:textAlignment w:val="center"/>
              <w:rPr>
                <w:rFonts w:ascii="Times New Roman" w:cs="Times New Roman"/>
                <w:sz w:val="21"/>
                <w:szCs w:val="21"/>
              </w:rPr>
            </w:pPr>
            <w:r>
              <w:rPr>
                <w:rFonts w:ascii="Times New Roman" w:cs="Times New Roman"/>
                <w:sz w:val="21"/>
                <w:szCs w:val="21"/>
              </w:rPr>
              <w:t>微度侵蚀</w:t>
            </w:r>
          </w:p>
        </w:tc>
        <w:tc>
          <w:tcPr>
            <w:tcW w:w="2824" w:type="dxa"/>
            <w:vAlign w:val="center"/>
          </w:tcPr>
          <w:p w:rsidR="00BD5820" w:rsidRDefault="00F64314">
            <w:pPr>
              <w:widowControl/>
              <w:ind w:firstLine="420"/>
              <w:jc w:val="center"/>
              <w:textAlignment w:val="center"/>
              <w:rPr>
                <w:rFonts w:ascii="Times New Roman" w:cs="Times New Roman"/>
                <w:sz w:val="21"/>
                <w:szCs w:val="21"/>
              </w:rPr>
            </w:pPr>
            <w:r>
              <w:rPr>
                <w:rFonts w:ascii="Times New Roman" w:cs="Times New Roman" w:hint="eastAsia"/>
                <w:sz w:val="21"/>
                <w:szCs w:val="21"/>
              </w:rPr>
              <w:t>633.42</w:t>
            </w:r>
          </w:p>
        </w:tc>
        <w:tc>
          <w:tcPr>
            <w:tcW w:w="2801" w:type="dxa"/>
            <w:vAlign w:val="center"/>
          </w:tcPr>
          <w:p w:rsidR="00BD5820" w:rsidRDefault="00F64314">
            <w:pPr>
              <w:widowControl/>
              <w:ind w:firstLine="420"/>
              <w:jc w:val="center"/>
              <w:textAlignment w:val="center"/>
              <w:rPr>
                <w:rFonts w:ascii="Times New Roman" w:cs="Times New Roman"/>
                <w:sz w:val="21"/>
                <w:szCs w:val="21"/>
              </w:rPr>
            </w:pPr>
            <w:r>
              <w:rPr>
                <w:rFonts w:ascii="Times New Roman" w:cs="Times New Roman" w:hint="eastAsia"/>
                <w:sz w:val="21"/>
                <w:szCs w:val="21"/>
              </w:rPr>
              <w:t>50.4</w:t>
            </w:r>
          </w:p>
        </w:tc>
      </w:tr>
      <w:tr w:rsidR="00BD5820">
        <w:trPr>
          <w:trHeight w:hRule="exact" w:val="397"/>
          <w:jc w:val="center"/>
        </w:trPr>
        <w:tc>
          <w:tcPr>
            <w:tcW w:w="2897" w:type="dxa"/>
            <w:vAlign w:val="center"/>
          </w:tcPr>
          <w:p w:rsidR="00BD5820" w:rsidRDefault="00F64314">
            <w:pPr>
              <w:widowControl/>
              <w:ind w:firstLine="420"/>
              <w:jc w:val="center"/>
              <w:textAlignment w:val="center"/>
              <w:rPr>
                <w:rFonts w:ascii="Times New Roman" w:cs="Times New Roman"/>
                <w:sz w:val="21"/>
                <w:szCs w:val="21"/>
              </w:rPr>
            </w:pPr>
            <w:r>
              <w:rPr>
                <w:rFonts w:ascii="Times New Roman" w:cs="Times New Roman"/>
                <w:sz w:val="21"/>
                <w:szCs w:val="21"/>
              </w:rPr>
              <w:t>轻度侵蚀</w:t>
            </w:r>
          </w:p>
        </w:tc>
        <w:tc>
          <w:tcPr>
            <w:tcW w:w="2824" w:type="dxa"/>
            <w:vAlign w:val="center"/>
          </w:tcPr>
          <w:p w:rsidR="00BD5820" w:rsidRDefault="00F64314">
            <w:pPr>
              <w:widowControl/>
              <w:ind w:firstLine="420"/>
              <w:jc w:val="center"/>
              <w:textAlignment w:val="center"/>
              <w:rPr>
                <w:rFonts w:ascii="Times New Roman" w:cs="Times New Roman"/>
                <w:sz w:val="21"/>
                <w:szCs w:val="21"/>
              </w:rPr>
            </w:pPr>
            <w:r>
              <w:rPr>
                <w:rFonts w:ascii="Times New Roman" w:cs="Times New Roman" w:hint="eastAsia"/>
                <w:sz w:val="21"/>
                <w:szCs w:val="21"/>
              </w:rPr>
              <w:t>550.01</w:t>
            </w:r>
          </w:p>
        </w:tc>
        <w:tc>
          <w:tcPr>
            <w:tcW w:w="2801" w:type="dxa"/>
            <w:vAlign w:val="center"/>
          </w:tcPr>
          <w:p w:rsidR="00BD5820" w:rsidRDefault="00F64314">
            <w:pPr>
              <w:widowControl/>
              <w:ind w:firstLine="420"/>
              <w:jc w:val="center"/>
              <w:textAlignment w:val="center"/>
              <w:rPr>
                <w:rFonts w:ascii="Times New Roman" w:cs="Times New Roman"/>
                <w:sz w:val="21"/>
                <w:szCs w:val="21"/>
              </w:rPr>
            </w:pPr>
            <w:r>
              <w:rPr>
                <w:rFonts w:ascii="Times New Roman" w:cs="Times New Roman" w:hint="eastAsia"/>
                <w:sz w:val="21"/>
                <w:szCs w:val="21"/>
              </w:rPr>
              <w:t>43.77</w:t>
            </w:r>
          </w:p>
        </w:tc>
      </w:tr>
      <w:tr w:rsidR="00BD5820">
        <w:trPr>
          <w:trHeight w:hRule="exact" w:val="397"/>
          <w:jc w:val="center"/>
        </w:trPr>
        <w:tc>
          <w:tcPr>
            <w:tcW w:w="2897" w:type="dxa"/>
            <w:vAlign w:val="center"/>
          </w:tcPr>
          <w:p w:rsidR="00BD5820" w:rsidRDefault="00F64314">
            <w:pPr>
              <w:widowControl/>
              <w:ind w:firstLine="420"/>
              <w:jc w:val="center"/>
              <w:textAlignment w:val="center"/>
              <w:rPr>
                <w:rFonts w:ascii="Times New Roman" w:cs="Times New Roman"/>
                <w:sz w:val="21"/>
                <w:szCs w:val="21"/>
              </w:rPr>
            </w:pPr>
            <w:r>
              <w:rPr>
                <w:rFonts w:ascii="Times New Roman" w:cs="Times New Roman"/>
                <w:sz w:val="21"/>
                <w:szCs w:val="21"/>
              </w:rPr>
              <w:t>中度侵蚀</w:t>
            </w:r>
          </w:p>
        </w:tc>
        <w:tc>
          <w:tcPr>
            <w:tcW w:w="2824" w:type="dxa"/>
            <w:vAlign w:val="center"/>
          </w:tcPr>
          <w:p w:rsidR="00BD5820" w:rsidRDefault="00F64314">
            <w:pPr>
              <w:widowControl/>
              <w:ind w:firstLine="420"/>
              <w:jc w:val="center"/>
              <w:textAlignment w:val="center"/>
              <w:rPr>
                <w:rFonts w:ascii="Times New Roman" w:cs="Times New Roman"/>
                <w:sz w:val="21"/>
                <w:szCs w:val="21"/>
              </w:rPr>
            </w:pPr>
            <w:r>
              <w:rPr>
                <w:rFonts w:ascii="Times New Roman" w:cs="Times New Roman" w:hint="eastAsia"/>
                <w:sz w:val="21"/>
                <w:szCs w:val="21"/>
              </w:rPr>
              <w:t>46.67</w:t>
            </w:r>
          </w:p>
        </w:tc>
        <w:tc>
          <w:tcPr>
            <w:tcW w:w="2801" w:type="dxa"/>
            <w:vAlign w:val="center"/>
          </w:tcPr>
          <w:p w:rsidR="00BD5820" w:rsidRDefault="00F64314">
            <w:pPr>
              <w:widowControl/>
              <w:ind w:firstLine="420"/>
              <w:jc w:val="center"/>
              <w:textAlignment w:val="center"/>
              <w:rPr>
                <w:rFonts w:ascii="Times New Roman" w:cs="Times New Roman"/>
                <w:sz w:val="21"/>
                <w:szCs w:val="21"/>
              </w:rPr>
            </w:pPr>
            <w:r>
              <w:rPr>
                <w:rFonts w:ascii="Times New Roman" w:cs="Times New Roman" w:hint="eastAsia"/>
                <w:sz w:val="21"/>
                <w:szCs w:val="21"/>
              </w:rPr>
              <w:t>3.71</w:t>
            </w:r>
          </w:p>
        </w:tc>
      </w:tr>
      <w:tr w:rsidR="00BD5820">
        <w:trPr>
          <w:trHeight w:hRule="exact" w:val="397"/>
          <w:jc w:val="center"/>
        </w:trPr>
        <w:tc>
          <w:tcPr>
            <w:tcW w:w="2897" w:type="dxa"/>
            <w:vAlign w:val="bottom"/>
          </w:tcPr>
          <w:p w:rsidR="00BD5820" w:rsidRDefault="00F64314">
            <w:pPr>
              <w:widowControl/>
              <w:ind w:firstLine="420"/>
              <w:jc w:val="center"/>
              <w:textAlignment w:val="bottom"/>
              <w:rPr>
                <w:rFonts w:ascii="Times New Roman" w:cs="Times New Roman"/>
                <w:sz w:val="21"/>
                <w:szCs w:val="21"/>
              </w:rPr>
            </w:pPr>
            <w:r>
              <w:rPr>
                <w:rFonts w:ascii="Times New Roman" w:cs="Times New Roman"/>
                <w:sz w:val="21"/>
                <w:szCs w:val="21"/>
              </w:rPr>
              <w:t>强烈侵蚀</w:t>
            </w:r>
          </w:p>
        </w:tc>
        <w:tc>
          <w:tcPr>
            <w:tcW w:w="2824" w:type="dxa"/>
            <w:vAlign w:val="center"/>
          </w:tcPr>
          <w:p w:rsidR="00BD5820" w:rsidRDefault="00F64314">
            <w:pPr>
              <w:widowControl/>
              <w:ind w:firstLine="420"/>
              <w:jc w:val="center"/>
              <w:textAlignment w:val="center"/>
              <w:rPr>
                <w:rFonts w:ascii="Times New Roman" w:cs="Times New Roman"/>
                <w:sz w:val="21"/>
                <w:szCs w:val="21"/>
              </w:rPr>
            </w:pPr>
            <w:r>
              <w:rPr>
                <w:rFonts w:ascii="Times New Roman" w:cs="Times New Roman" w:hint="eastAsia"/>
                <w:sz w:val="21"/>
                <w:szCs w:val="21"/>
              </w:rPr>
              <w:t>0.93</w:t>
            </w:r>
          </w:p>
        </w:tc>
        <w:tc>
          <w:tcPr>
            <w:tcW w:w="2801" w:type="dxa"/>
            <w:vAlign w:val="center"/>
          </w:tcPr>
          <w:p w:rsidR="00BD5820" w:rsidRDefault="00F64314">
            <w:pPr>
              <w:widowControl/>
              <w:ind w:firstLine="420"/>
              <w:jc w:val="center"/>
              <w:textAlignment w:val="center"/>
              <w:rPr>
                <w:rFonts w:ascii="Times New Roman" w:cs="Times New Roman"/>
                <w:sz w:val="21"/>
                <w:szCs w:val="21"/>
              </w:rPr>
            </w:pPr>
            <w:r>
              <w:rPr>
                <w:rFonts w:ascii="Times New Roman" w:cs="Times New Roman" w:hint="eastAsia"/>
                <w:sz w:val="21"/>
                <w:szCs w:val="21"/>
              </w:rPr>
              <w:t>0.07</w:t>
            </w:r>
          </w:p>
        </w:tc>
      </w:tr>
      <w:tr w:rsidR="00BD5820">
        <w:trPr>
          <w:trHeight w:hRule="exact" w:val="397"/>
          <w:jc w:val="center"/>
        </w:trPr>
        <w:tc>
          <w:tcPr>
            <w:tcW w:w="2897" w:type="dxa"/>
            <w:vAlign w:val="bottom"/>
          </w:tcPr>
          <w:p w:rsidR="00BD5820" w:rsidRDefault="00F64314">
            <w:pPr>
              <w:widowControl/>
              <w:ind w:firstLine="420"/>
              <w:jc w:val="center"/>
              <w:textAlignment w:val="bottom"/>
              <w:rPr>
                <w:rFonts w:ascii="Times New Roman" w:cs="Times New Roman"/>
                <w:sz w:val="21"/>
                <w:szCs w:val="21"/>
              </w:rPr>
            </w:pPr>
            <w:r>
              <w:rPr>
                <w:rFonts w:ascii="Times New Roman" w:cs="Times New Roman" w:hint="eastAsia"/>
                <w:sz w:val="21"/>
                <w:szCs w:val="21"/>
              </w:rPr>
              <w:t>水域</w:t>
            </w:r>
          </w:p>
        </w:tc>
        <w:tc>
          <w:tcPr>
            <w:tcW w:w="2824" w:type="dxa"/>
            <w:vAlign w:val="center"/>
          </w:tcPr>
          <w:p w:rsidR="00BD5820" w:rsidRDefault="00F64314">
            <w:pPr>
              <w:widowControl/>
              <w:ind w:firstLine="420"/>
              <w:jc w:val="center"/>
              <w:textAlignment w:val="center"/>
              <w:rPr>
                <w:rFonts w:ascii="Times New Roman" w:cs="Times New Roman"/>
                <w:sz w:val="21"/>
                <w:szCs w:val="21"/>
              </w:rPr>
            </w:pPr>
            <w:r>
              <w:rPr>
                <w:rFonts w:ascii="Times New Roman" w:cs="Times New Roman" w:hint="eastAsia"/>
                <w:sz w:val="21"/>
                <w:szCs w:val="21"/>
              </w:rPr>
              <w:t>25.73</w:t>
            </w:r>
          </w:p>
        </w:tc>
        <w:tc>
          <w:tcPr>
            <w:tcW w:w="2801" w:type="dxa"/>
            <w:vAlign w:val="center"/>
          </w:tcPr>
          <w:p w:rsidR="00BD5820" w:rsidRDefault="00F64314">
            <w:pPr>
              <w:widowControl/>
              <w:ind w:firstLine="420"/>
              <w:jc w:val="center"/>
              <w:textAlignment w:val="center"/>
              <w:rPr>
                <w:rFonts w:ascii="Times New Roman" w:cs="Times New Roman"/>
                <w:sz w:val="21"/>
                <w:szCs w:val="21"/>
              </w:rPr>
            </w:pPr>
            <w:r>
              <w:rPr>
                <w:rFonts w:ascii="Times New Roman" w:cs="Times New Roman" w:hint="eastAsia"/>
                <w:sz w:val="21"/>
                <w:szCs w:val="21"/>
              </w:rPr>
              <w:t>2.05</w:t>
            </w:r>
          </w:p>
        </w:tc>
      </w:tr>
      <w:tr w:rsidR="00BD5820">
        <w:trPr>
          <w:trHeight w:hRule="exact" w:val="397"/>
          <w:jc w:val="center"/>
        </w:trPr>
        <w:tc>
          <w:tcPr>
            <w:tcW w:w="2897" w:type="dxa"/>
            <w:vAlign w:val="bottom"/>
          </w:tcPr>
          <w:p w:rsidR="00BD5820" w:rsidRDefault="00F64314">
            <w:pPr>
              <w:widowControl/>
              <w:ind w:firstLine="420"/>
              <w:jc w:val="center"/>
              <w:textAlignment w:val="bottom"/>
              <w:rPr>
                <w:rFonts w:ascii="Times New Roman" w:cs="Times New Roman"/>
                <w:sz w:val="21"/>
                <w:szCs w:val="21"/>
              </w:rPr>
            </w:pPr>
            <w:r>
              <w:rPr>
                <w:rFonts w:ascii="Times New Roman" w:cs="Times New Roman"/>
                <w:sz w:val="21"/>
                <w:szCs w:val="21"/>
              </w:rPr>
              <w:t>合计</w:t>
            </w:r>
          </w:p>
        </w:tc>
        <w:tc>
          <w:tcPr>
            <w:tcW w:w="2824" w:type="dxa"/>
            <w:vAlign w:val="center"/>
          </w:tcPr>
          <w:p w:rsidR="00BD5820" w:rsidRDefault="00F64314">
            <w:pPr>
              <w:widowControl/>
              <w:ind w:firstLine="420"/>
              <w:jc w:val="center"/>
              <w:textAlignment w:val="center"/>
              <w:rPr>
                <w:rFonts w:ascii="Times New Roman" w:cs="Times New Roman"/>
                <w:sz w:val="21"/>
                <w:szCs w:val="21"/>
              </w:rPr>
            </w:pPr>
            <w:r>
              <w:rPr>
                <w:rFonts w:ascii="Times New Roman" w:cs="Times New Roman" w:hint="eastAsia"/>
                <w:sz w:val="21"/>
                <w:szCs w:val="21"/>
              </w:rPr>
              <w:t>1256.76</w:t>
            </w:r>
          </w:p>
        </w:tc>
        <w:tc>
          <w:tcPr>
            <w:tcW w:w="2801" w:type="dxa"/>
            <w:vAlign w:val="center"/>
          </w:tcPr>
          <w:p w:rsidR="00BD5820" w:rsidRDefault="00F64314">
            <w:pPr>
              <w:widowControl/>
              <w:ind w:firstLine="420"/>
              <w:jc w:val="center"/>
              <w:textAlignment w:val="center"/>
              <w:rPr>
                <w:rFonts w:ascii="Times New Roman" w:cs="Times New Roman"/>
                <w:sz w:val="21"/>
                <w:szCs w:val="21"/>
              </w:rPr>
            </w:pPr>
            <w:r>
              <w:rPr>
                <w:rFonts w:ascii="Times New Roman" w:cs="Times New Roman" w:hint="eastAsia"/>
                <w:sz w:val="21"/>
                <w:szCs w:val="21"/>
              </w:rPr>
              <w:t>100</w:t>
            </w:r>
          </w:p>
        </w:tc>
      </w:tr>
    </w:tbl>
    <w:p w:rsidR="00BD5820" w:rsidRDefault="00F64314">
      <w:pPr>
        <w:snapToGrid w:val="0"/>
        <w:ind w:firstLine="480"/>
        <w:rPr>
          <w:rFonts w:ascii="Times New Roman" w:cs="Times New Roman"/>
        </w:rPr>
      </w:pPr>
      <w:r>
        <w:rPr>
          <w:rFonts w:ascii="Times New Roman" w:cs="Times New Roman"/>
        </w:rPr>
        <w:t>从表</w:t>
      </w:r>
      <w:r>
        <w:rPr>
          <w:rFonts w:ascii="Times New Roman" w:cs="Times New Roman" w:hint="eastAsia"/>
        </w:rPr>
        <w:t>5</w:t>
      </w:r>
      <w:r>
        <w:rPr>
          <w:rFonts w:ascii="Times New Roman" w:cs="Times New Roman"/>
        </w:rPr>
        <w:t>.</w:t>
      </w:r>
      <w:r>
        <w:rPr>
          <w:rFonts w:ascii="Times New Roman" w:cs="Times New Roman" w:hint="eastAsia"/>
        </w:rPr>
        <w:t>2</w:t>
      </w:r>
      <w:r>
        <w:rPr>
          <w:rFonts w:ascii="Times New Roman" w:cs="Times New Roman"/>
        </w:rPr>
        <w:t>-6</w:t>
      </w:r>
      <w:r>
        <w:rPr>
          <w:rFonts w:ascii="Times New Roman" w:cs="Times New Roman"/>
        </w:rPr>
        <w:t>可看出，本次评价范围内以微度侵蚀为主，其次为轻度侵蚀及中度侵蚀。</w:t>
      </w:r>
    </w:p>
    <w:p w:rsidR="00BD5820" w:rsidRDefault="00F64314">
      <w:pPr>
        <w:snapToGrid w:val="0"/>
        <w:ind w:firstLine="480"/>
        <w:rPr>
          <w:rFonts w:ascii="Times New Roman" w:cs="Times New Roman"/>
        </w:rPr>
      </w:pPr>
      <w:r>
        <w:rPr>
          <w:rFonts w:ascii="Times New Roman" w:cs="Times New Roman"/>
        </w:rPr>
        <w:t>评价范围内土壤侵蚀主要原因包含自然因素和人为因素，其中：</w:t>
      </w:r>
    </w:p>
    <w:p w:rsidR="00BD5820" w:rsidRDefault="00F64314">
      <w:pPr>
        <w:snapToGrid w:val="0"/>
        <w:ind w:firstLine="480"/>
        <w:rPr>
          <w:rFonts w:ascii="Times New Roman" w:cs="Times New Roman"/>
        </w:rPr>
      </w:pPr>
      <w:r>
        <w:rPr>
          <w:rFonts w:ascii="Times New Roman" w:cs="Times New Roman"/>
        </w:rPr>
        <w:t>1</w:t>
      </w:r>
      <w:r>
        <w:rPr>
          <w:rFonts w:ascii="Times New Roman" w:cs="Times New Roman"/>
        </w:rPr>
        <w:t>）自然因素</w:t>
      </w:r>
    </w:p>
    <w:p w:rsidR="00BD5820" w:rsidRDefault="00F64314">
      <w:pPr>
        <w:snapToGrid w:val="0"/>
        <w:ind w:firstLine="480"/>
        <w:rPr>
          <w:rFonts w:ascii="Times New Roman" w:cs="Times New Roman"/>
        </w:rPr>
      </w:pPr>
      <w:r>
        <w:rPr>
          <w:rFonts w:ascii="Times New Roman" w:cs="Times New Roman"/>
        </w:rPr>
        <w:t>造成水土流失的自然因素主要有降雨、地形地貌、植被、地质、土壤等因素。</w:t>
      </w:r>
    </w:p>
    <w:p w:rsidR="00BD5820" w:rsidRDefault="00F64314">
      <w:pPr>
        <w:snapToGrid w:val="0"/>
        <w:ind w:firstLine="480"/>
        <w:rPr>
          <w:rFonts w:ascii="Times New Roman" w:cs="Times New Roman"/>
        </w:rPr>
      </w:pPr>
      <w:r>
        <w:rPr>
          <w:rFonts w:ascii="Times New Roman" w:cs="Times New Roman"/>
        </w:rPr>
        <w:t>降雨：降雨历时短，强度大，年平均降水量</w:t>
      </w:r>
      <w:r>
        <w:rPr>
          <w:rFonts w:ascii="Times New Roman" w:cs="Times New Roman"/>
        </w:rPr>
        <w:t>1132.69mm</w:t>
      </w:r>
      <w:r>
        <w:rPr>
          <w:rFonts w:ascii="Times New Roman" w:cs="Times New Roman"/>
        </w:rPr>
        <w:t>。</w:t>
      </w:r>
    </w:p>
    <w:p w:rsidR="00BD5820" w:rsidRDefault="00F64314">
      <w:pPr>
        <w:snapToGrid w:val="0"/>
        <w:ind w:firstLine="480"/>
        <w:rPr>
          <w:rFonts w:ascii="Times New Roman" w:cs="Times New Roman"/>
        </w:rPr>
      </w:pPr>
      <w:r>
        <w:rPr>
          <w:rFonts w:ascii="Times New Roman" w:cs="Times New Roman"/>
        </w:rPr>
        <w:t>地形地貌：评价范围周围以中低山为主，坡面长，地面径流汇集速度快，冲刷力强，加剧水土流失。</w:t>
      </w:r>
    </w:p>
    <w:p w:rsidR="00BD5820" w:rsidRDefault="00F64314">
      <w:pPr>
        <w:snapToGrid w:val="0"/>
        <w:ind w:firstLine="480"/>
        <w:rPr>
          <w:rFonts w:ascii="Times New Roman" w:cs="Times New Roman"/>
        </w:rPr>
      </w:pPr>
      <w:r>
        <w:rPr>
          <w:rFonts w:ascii="Times New Roman" w:cs="Times New Roman"/>
        </w:rPr>
        <w:t>2</w:t>
      </w:r>
      <w:r>
        <w:rPr>
          <w:rFonts w:ascii="Times New Roman" w:cs="Times New Roman"/>
        </w:rPr>
        <w:t>）人为因素</w:t>
      </w:r>
    </w:p>
    <w:p w:rsidR="00BD5820" w:rsidRDefault="00F64314">
      <w:pPr>
        <w:snapToGrid w:val="0"/>
        <w:ind w:firstLine="480"/>
        <w:rPr>
          <w:rFonts w:ascii="Times New Roman" w:cs="Times New Roman" w:hint="eastAsia"/>
        </w:rPr>
      </w:pPr>
      <w:r>
        <w:rPr>
          <w:rFonts w:ascii="Times New Roman" w:cs="Times New Roman"/>
        </w:rPr>
        <w:t>由于种种历史原因，一些群众对水土保持工作认识不足，只顾眼前经济利益，不顾长远生态效益，毁林开荒、乱砍滥伐等现象依然存在，重开发、轻治理，在开发建设和生产活动中无论是单位或个人都忽视水土保持措施，造成新的水土流失和破坏。</w:t>
      </w:r>
    </w:p>
    <w:p w:rsidR="00120DD0" w:rsidRPr="00120DD0" w:rsidRDefault="00120DD0" w:rsidP="00120DD0">
      <w:pPr>
        <w:snapToGrid w:val="0"/>
        <w:ind w:firstLine="482"/>
        <w:rPr>
          <w:rFonts w:ascii="Times New Roman" w:cs="Times New Roman"/>
          <w:color w:val="FF0000"/>
        </w:rPr>
      </w:pPr>
      <w:r w:rsidRPr="00120DD0">
        <w:rPr>
          <w:rFonts w:ascii="Times New Roman" w:cs="Times New Roman"/>
          <w:b/>
          <w:bCs/>
          <w:color w:val="FF0000"/>
          <w:kern w:val="2"/>
        </w:rPr>
        <w:t>（</w:t>
      </w:r>
      <w:r w:rsidRPr="00120DD0">
        <w:rPr>
          <w:rFonts w:ascii="Times New Roman" w:cs="Times New Roman" w:hint="eastAsia"/>
          <w:b/>
          <w:bCs/>
          <w:color w:val="FF0000"/>
          <w:kern w:val="2"/>
        </w:rPr>
        <w:t>4</w:t>
      </w:r>
      <w:r w:rsidRPr="00120DD0">
        <w:rPr>
          <w:rFonts w:ascii="Times New Roman" w:cs="Times New Roman"/>
          <w:b/>
          <w:bCs/>
          <w:color w:val="FF0000"/>
          <w:kern w:val="2"/>
        </w:rPr>
        <w:t>）</w:t>
      </w:r>
      <w:r w:rsidRPr="00120DD0">
        <w:rPr>
          <w:rFonts w:ascii="Times New Roman" w:cs="Times New Roman" w:hint="eastAsia"/>
          <w:b/>
          <w:bCs/>
          <w:color w:val="FF0000"/>
          <w:kern w:val="2"/>
        </w:rPr>
        <w:t>植被覆盖度分布特征</w:t>
      </w:r>
    </w:p>
    <w:p w:rsidR="00BD5820" w:rsidRDefault="00F64314">
      <w:pPr>
        <w:pStyle w:val="affa"/>
        <w:ind w:firstLine="480"/>
      </w:pPr>
      <w:r>
        <w:t>根据遥感解译结果，参照《生态环境状况评价技术规范》（</w:t>
      </w:r>
      <w:r>
        <w:t>HJ192-2015</w:t>
      </w:r>
      <w:r>
        <w:t>，</w:t>
      </w:r>
      <w:r>
        <w:t>2015-03-13</w:t>
      </w:r>
      <w:r>
        <w:t>）、《土壤侵蚀分类分级标准》（</w:t>
      </w:r>
      <w:r>
        <w:t>SL190-2007</w:t>
      </w:r>
      <w:r>
        <w:t>，</w:t>
      </w:r>
      <w:r>
        <w:t>2008-01-04</w:t>
      </w:r>
      <w:r>
        <w:t>），评价区植被覆盖度划分为高覆盖度（</w:t>
      </w:r>
      <w:r>
        <w:t>&gt;70%</w:t>
      </w:r>
      <w:r>
        <w:t>）、中高覆盖度（</w:t>
      </w:r>
      <w:r>
        <w:t>50%</w:t>
      </w:r>
      <w:r>
        <w:t>～</w:t>
      </w:r>
      <w:r>
        <w:t>70%</w:t>
      </w:r>
      <w:r>
        <w:t>）、中覆盖度（</w:t>
      </w:r>
      <w:r>
        <w:t>30%</w:t>
      </w:r>
      <w:r>
        <w:t>～</w:t>
      </w:r>
      <w:r>
        <w:t>50%</w:t>
      </w:r>
      <w:r>
        <w:t>）</w:t>
      </w:r>
      <w:r>
        <w:rPr>
          <w:rFonts w:hint="eastAsia"/>
        </w:rPr>
        <w:t>三</w:t>
      </w:r>
      <w:r>
        <w:t>个级别，栽培植被不分等级</w:t>
      </w:r>
      <w:bookmarkStart w:id="335" w:name="_Toc25682918"/>
      <w:r>
        <w:t>，植被覆盖度分布特征及解译结果</w:t>
      </w:r>
      <w:bookmarkEnd w:id="335"/>
      <w:r>
        <w:t>见下表。</w:t>
      </w:r>
    </w:p>
    <w:p w:rsidR="00BD5820" w:rsidRDefault="00F64314" w:rsidP="00511129">
      <w:pPr>
        <w:topLinePunct w:val="0"/>
        <w:autoSpaceDE w:val="0"/>
        <w:autoSpaceDN w:val="0"/>
        <w:spacing w:beforeLines="50" w:line="240" w:lineRule="auto"/>
        <w:ind w:firstLineChars="0" w:firstLine="0"/>
        <w:jc w:val="center"/>
        <w:rPr>
          <w:rFonts w:ascii="Times New Roman" w:cs="Times New Roman"/>
          <w:b/>
          <w:sz w:val="21"/>
        </w:rPr>
      </w:pPr>
      <w:r>
        <w:rPr>
          <w:rFonts w:ascii="Times New Roman" w:cs="Times New Roman"/>
          <w:b/>
          <w:sz w:val="21"/>
        </w:rPr>
        <w:t>表</w:t>
      </w:r>
      <w:r>
        <w:rPr>
          <w:rFonts w:ascii="Times New Roman" w:cs="Times New Roman" w:hint="eastAsia"/>
          <w:b/>
          <w:sz w:val="21"/>
        </w:rPr>
        <w:t>5</w:t>
      </w:r>
      <w:r>
        <w:rPr>
          <w:rFonts w:ascii="Times New Roman" w:cs="Times New Roman"/>
          <w:b/>
          <w:sz w:val="21"/>
        </w:rPr>
        <w:t>.</w:t>
      </w:r>
      <w:r>
        <w:rPr>
          <w:rFonts w:ascii="Times New Roman" w:cs="Times New Roman" w:hint="eastAsia"/>
          <w:b/>
          <w:sz w:val="21"/>
        </w:rPr>
        <w:t>2</w:t>
      </w:r>
      <w:r>
        <w:rPr>
          <w:rFonts w:ascii="Times New Roman" w:cs="Times New Roman"/>
          <w:b/>
          <w:sz w:val="21"/>
        </w:rPr>
        <w:t xml:space="preserve">-7 </w:t>
      </w:r>
      <w:r>
        <w:rPr>
          <w:rFonts w:ascii="Times New Roman" w:cs="Times New Roman"/>
          <w:b/>
          <w:sz w:val="21"/>
        </w:rPr>
        <w:t>植被覆盖度分布面积统计表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4012"/>
        <w:gridCol w:w="2934"/>
        <w:gridCol w:w="1576"/>
      </w:tblGrid>
      <w:tr w:rsidR="00BD5820">
        <w:trPr>
          <w:trHeight w:hRule="exact" w:val="397"/>
          <w:jc w:val="center"/>
        </w:trPr>
        <w:tc>
          <w:tcPr>
            <w:tcW w:w="4012" w:type="dxa"/>
            <w:vMerge w:val="restart"/>
            <w:shd w:val="clear" w:color="auto" w:fill="auto"/>
            <w:noWrap/>
            <w:vAlign w:val="center"/>
          </w:tcPr>
          <w:p w:rsidR="00BD5820" w:rsidRDefault="00F64314">
            <w:pPr>
              <w:topLinePunct w:val="0"/>
              <w:snapToGrid w:val="0"/>
              <w:spacing w:line="260" w:lineRule="exact"/>
              <w:ind w:firstLineChars="0" w:firstLine="0"/>
              <w:jc w:val="center"/>
              <w:rPr>
                <w:rFonts w:ascii="Times New Roman" w:cs="Times New Roman"/>
                <w:kern w:val="2"/>
                <w:sz w:val="21"/>
                <w:szCs w:val="21"/>
              </w:rPr>
            </w:pPr>
            <w:r>
              <w:rPr>
                <w:rFonts w:ascii="Times New Roman" w:cs="Times New Roman"/>
                <w:kern w:val="2"/>
                <w:sz w:val="21"/>
                <w:szCs w:val="21"/>
              </w:rPr>
              <w:t>植被覆盖度类型</w:t>
            </w:r>
          </w:p>
        </w:tc>
        <w:tc>
          <w:tcPr>
            <w:tcW w:w="4510" w:type="dxa"/>
            <w:gridSpan w:val="2"/>
            <w:shd w:val="clear" w:color="000000" w:fill="FFFFFF"/>
            <w:noWrap/>
            <w:vAlign w:val="center"/>
          </w:tcPr>
          <w:p w:rsidR="00BD5820" w:rsidRDefault="00F64314">
            <w:pPr>
              <w:topLinePunct w:val="0"/>
              <w:snapToGrid w:val="0"/>
              <w:spacing w:line="260" w:lineRule="exact"/>
              <w:ind w:firstLineChars="0" w:firstLine="0"/>
              <w:jc w:val="center"/>
              <w:rPr>
                <w:rFonts w:ascii="Times New Roman" w:cs="Times New Roman"/>
                <w:kern w:val="2"/>
                <w:sz w:val="21"/>
                <w:szCs w:val="21"/>
              </w:rPr>
            </w:pPr>
            <w:r>
              <w:rPr>
                <w:rFonts w:ascii="Times New Roman" w:cs="Times New Roman"/>
                <w:kern w:val="2"/>
                <w:sz w:val="21"/>
                <w:szCs w:val="21"/>
              </w:rPr>
              <w:t>评价区范围</w:t>
            </w:r>
          </w:p>
        </w:tc>
      </w:tr>
      <w:tr w:rsidR="00BD5820">
        <w:trPr>
          <w:trHeight w:hRule="exact" w:val="397"/>
          <w:jc w:val="center"/>
        </w:trPr>
        <w:tc>
          <w:tcPr>
            <w:tcW w:w="4012" w:type="dxa"/>
            <w:vMerge/>
            <w:shd w:val="clear" w:color="auto" w:fill="auto"/>
            <w:vAlign w:val="center"/>
          </w:tcPr>
          <w:p w:rsidR="00BD5820" w:rsidRDefault="00BD5820">
            <w:pPr>
              <w:topLinePunct w:val="0"/>
              <w:snapToGrid w:val="0"/>
              <w:spacing w:line="260" w:lineRule="exact"/>
              <w:ind w:firstLineChars="0" w:firstLine="0"/>
              <w:jc w:val="center"/>
              <w:rPr>
                <w:rFonts w:ascii="Times New Roman" w:cs="Times New Roman"/>
                <w:kern w:val="2"/>
                <w:sz w:val="21"/>
                <w:szCs w:val="21"/>
              </w:rPr>
            </w:pPr>
          </w:p>
        </w:tc>
        <w:tc>
          <w:tcPr>
            <w:tcW w:w="2934" w:type="dxa"/>
            <w:shd w:val="clear" w:color="000000" w:fill="FFFFFF"/>
            <w:noWrap/>
            <w:vAlign w:val="center"/>
          </w:tcPr>
          <w:p w:rsidR="00BD5820" w:rsidRDefault="00F64314">
            <w:pPr>
              <w:topLinePunct w:val="0"/>
              <w:snapToGrid w:val="0"/>
              <w:spacing w:line="260" w:lineRule="exact"/>
              <w:ind w:firstLineChars="0" w:firstLine="0"/>
              <w:jc w:val="center"/>
              <w:rPr>
                <w:rFonts w:ascii="Times New Roman" w:cs="Times New Roman"/>
                <w:kern w:val="2"/>
                <w:sz w:val="21"/>
                <w:szCs w:val="21"/>
              </w:rPr>
            </w:pPr>
            <w:r>
              <w:rPr>
                <w:rFonts w:ascii="Times New Roman" w:cs="Times New Roman"/>
                <w:kern w:val="2"/>
                <w:sz w:val="21"/>
                <w:szCs w:val="21"/>
              </w:rPr>
              <w:t>面积（</w:t>
            </w:r>
            <w:r>
              <w:rPr>
                <w:rFonts w:ascii="Times New Roman" w:cs="Times New Roman" w:hint="eastAsia"/>
                <w:kern w:val="2"/>
                <w:sz w:val="21"/>
                <w:szCs w:val="21"/>
              </w:rPr>
              <w:t>hm</w:t>
            </w:r>
            <w:r>
              <w:rPr>
                <w:rFonts w:ascii="Times New Roman" w:cs="Times New Roman"/>
                <w:kern w:val="2"/>
                <w:sz w:val="21"/>
                <w:szCs w:val="21"/>
                <w:vertAlign w:val="superscript"/>
              </w:rPr>
              <w:t>2</w:t>
            </w:r>
            <w:r>
              <w:rPr>
                <w:rFonts w:ascii="Times New Roman" w:cs="Times New Roman"/>
                <w:kern w:val="2"/>
                <w:sz w:val="21"/>
                <w:szCs w:val="21"/>
              </w:rPr>
              <w:t>）</w:t>
            </w:r>
          </w:p>
        </w:tc>
        <w:tc>
          <w:tcPr>
            <w:tcW w:w="1576" w:type="dxa"/>
            <w:shd w:val="clear" w:color="000000" w:fill="FFFFFF"/>
            <w:noWrap/>
            <w:vAlign w:val="center"/>
          </w:tcPr>
          <w:p w:rsidR="00BD5820" w:rsidRDefault="00F64314">
            <w:pPr>
              <w:topLinePunct w:val="0"/>
              <w:snapToGrid w:val="0"/>
              <w:spacing w:line="260" w:lineRule="exact"/>
              <w:ind w:firstLineChars="0" w:firstLine="0"/>
              <w:jc w:val="center"/>
              <w:rPr>
                <w:rFonts w:ascii="Times New Roman" w:cs="Times New Roman"/>
                <w:kern w:val="2"/>
                <w:sz w:val="21"/>
                <w:szCs w:val="21"/>
              </w:rPr>
            </w:pPr>
            <w:r>
              <w:rPr>
                <w:rFonts w:ascii="Times New Roman" w:cs="Times New Roman"/>
                <w:kern w:val="2"/>
                <w:sz w:val="21"/>
                <w:szCs w:val="21"/>
              </w:rPr>
              <w:t>占比（</w:t>
            </w:r>
            <w:r>
              <w:rPr>
                <w:rFonts w:ascii="Times New Roman" w:cs="Times New Roman"/>
                <w:kern w:val="2"/>
                <w:sz w:val="21"/>
                <w:szCs w:val="21"/>
              </w:rPr>
              <w:t>%</w:t>
            </w:r>
            <w:r>
              <w:rPr>
                <w:rFonts w:ascii="Times New Roman" w:cs="Times New Roman"/>
                <w:kern w:val="2"/>
                <w:sz w:val="21"/>
                <w:szCs w:val="21"/>
              </w:rPr>
              <w:t>）</w:t>
            </w:r>
          </w:p>
        </w:tc>
      </w:tr>
      <w:tr w:rsidR="00BD5820">
        <w:trPr>
          <w:trHeight w:hRule="exact" w:val="397"/>
          <w:jc w:val="center"/>
        </w:trPr>
        <w:tc>
          <w:tcPr>
            <w:tcW w:w="4012" w:type="dxa"/>
            <w:shd w:val="clear" w:color="auto" w:fill="FFFFFF"/>
            <w:noWrap/>
            <w:vAlign w:val="center"/>
          </w:tcPr>
          <w:p w:rsidR="00BD5820" w:rsidRDefault="00F64314">
            <w:pPr>
              <w:topLinePunct w:val="0"/>
              <w:snapToGrid w:val="0"/>
              <w:spacing w:line="260" w:lineRule="exact"/>
              <w:ind w:firstLineChars="0" w:firstLine="0"/>
              <w:jc w:val="center"/>
              <w:rPr>
                <w:rFonts w:ascii="Times New Roman" w:cs="Times New Roman"/>
                <w:kern w:val="2"/>
                <w:sz w:val="21"/>
                <w:szCs w:val="21"/>
              </w:rPr>
            </w:pPr>
            <w:r>
              <w:rPr>
                <w:rFonts w:ascii="Times New Roman" w:cs="Times New Roman"/>
                <w:kern w:val="2"/>
                <w:sz w:val="21"/>
                <w:szCs w:val="21"/>
              </w:rPr>
              <w:t>高覆盖度植被</w:t>
            </w:r>
          </w:p>
        </w:tc>
        <w:tc>
          <w:tcPr>
            <w:tcW w:w="2934" w:type="dxa"/>
            <w:shd w:val="clear" w:color="auto" w:fill="FFFFFF"/>
            <w:noWrap/>
            <w:vAlign w:val="center"/>
          </w:tcPr>
          <w:p w:rsidR="00BD5820" w:rsidRDefault="00F64314">
            <w:pPr>
              <w:topLinePunct w:val="0"/>
              <w:snapToGrid w:val="0"/>
              <w:spacing w:line="260" w:lineRule="exact"/>
              <w:ind w:firstLineChars="0" w:firstLine="0"/>
              <w:jc w:val="center"/>
              <w:rPr>
                <w:rFonts w:ascii="Times New Roman" w:cs="Times New Roman"/>
                <w:kern w:val="2"/>
                <w:sz w:val="21"/>
                <w:szCs w:val="21"/>
              </w:rPr>
            </w:pPr>
            <w:r>
              <w:rPr>
                <w:rFonts w:ascii="Times New Roman" w:cs="Times New Roman" w:hint="eastAsia"/>
                <w:kern w:val="2"/>
                <w:sz w:val="21"/>
                <w:szCs w:val="21"/>
              </w:rPr>
              <w:t>634.26</w:t>
            </w:r>
          </w:p>
        </w:tc>
        <w:tc>
          <w:tcPr>
            <w:tcW w:w="1576" w:type="dxa"/>
            <w:shd w:val="clear" w:color="auto" w:fill="FFFFFF"/>
            <w:noWrap/>
            <w:vAlign w:val="center"/>
          </w:tcPr>
          <w:p w:rsidR="00BD5820" w:rsidRDefault="00F64314">
            <w:pPr>
              <w:topLinePunct w:val="0"/>
              <w:snapToGrid w:val="0"/>
              <w:spacing w:line="260" w:lineRule="exact"/>
              <w:ind w:firstLineChars="0" w:firstLine="0"/>
              <w:jc w:val="center"/>
              <w:rPr>
                <w:rFonts w:ascii="Times New Roman" w:cs="Times New Roman"/>
                <w:kern w:val="2"/>
                <w:sz w:val="21"/>
                <w:szCs w:val="21"/>
              </w:rPr>
            </w:pPr>
            <w:r>
              <w:rPr>
                <w:rFonts w:ascii="Times New Roman" w:cs="Times New Roman" w:hint="eastAsia"/>
                <w:kern w:val="2"/>
                <w:sz w:val="21"/>
                <w:szCs w:val="21"/>
              </w:rPr>
              <w:t>50.47</w:t>
            </w:r>
          </w:p>
        </w:tc>
      </w:tr>
      <w:tr w:rsidR="00BD5820">
        <w:trPr>
          <w:trHeight w:hRule="exact" w:val="397"/>
          <w:jc w:val="center"/>
        </w:trPr>
        <w:tc>
          <w:tcPr>
            <w:tcW w:w="4012" w:type="dxa"/>
            <w:shd w:val="clear" w:color="auto" w:fill="FFFFFF"/>
            <w:noWrap/>
            <w:vAlign w:val="center"/>
          </w:tcPr>
          <w:p w:rsidR="00BD5820" w:rsidRDefault="00F64314">
            <w:pPr>
              <w:topLinePunct w:val="0"/>
              <w:snapToGrid w:val="0"/>
              <w:spacing w:line="260" w:lineRule="exact"/>
              <w:ind w:firstLineChars="0" w:firstLine="0"/>
              <w:jc w:val="center"/>
              <w:rPr>
                <w:rFonts w:ascii="Times New Roman" w:cs="Times New Roman"/>
                <w:kern w:val="2"/>
                <w:sz w:val="21"/>
                <w:szCs w:val="21"/>
              </w:rPr>
            </w:pPr>
            <w:r>
              <w:rPr>
                <w:rFonts w:ascii="Times New Roman" w:cs="Times New Roman"/>
                <w:kern w:val="2"/>
                <w:sz w:val="21"/>
                <w:szCs w:val="21"/>
              </w:rPr>
              <w:lastRenderedPageBreak/>
              <w:t>中高覆盖度植被</w:t>
            </w:r>
          </w:p>
        </w:tc>
        <w:tc>
          <w:tcPr>
            <w:tcW w:w="2934" w:type="dxa"/>
            <w:shd w:val="clear" w:color="auto" w:fill="FFFFFF"/>
            <w:noWrap/>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383.77</w:t>
            </w:r>
          </w:p>
        </w:tc>
        <w:tc>
          <w:tcPr>
            <w:tcW w:w="1576" w:type="dxa"/>
            <w:shd w:val="clear" w:color="auto" w:fill="FFFFFF"/>
            <w:noWrap/>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30.54</w:t>
            </w:r>
          </w:p>
        </w:tc>
      </w:tr>
      <w:tr w:rsidR="00BD5820">
        <w:trPr>
          <w:trHeight w:hRule="exact" w:val="397"/>
          <w:jc w:val="center"/>
        </w:trPr>
        <w:tc>
          <w:tcPr>
            <w:tcW w:w="4012" w:type="dxa"/>
            <w:shd w:val="clear" w:color="auto" w:fill="FFFFFF"/>
            <w:noWrap/>
            <w:vAlign w:val="center"/>
          </w:tcPr>
          <w:p w:rsidR="00BD5820" w:rsidRDefault="00F64314">
            <w:pPr>
              <w:topLinePunct w:val="0"/>
              <w:snapToGrid w:val="0"/>
              <w:spacing w:line="260" w:lineRule="exact"/>
              <w:ind w:firstLineChars="0" w:firstLine="0"/>
              <w:jc w:val="center"/>
              <w:rPr>
                <w:rFonts w:ascii="Times New Roman" w:cs="Times New Roman"/>
                <w:kern w:val="2"/>
                <w:sz w:val="21"/>
                <w:szCs w:val="21"/>
              </w:rPr>
            </w:pPr>
            <w:r>
              <w:rPr>
                <w:rFonts w:ascii="Times New Roman" w:cs="Times New Roman"/>
                <w:kern w:val="2"/>
                <w:sz w:val="21"/>
                <w:szCs w:val="21"/>
              </w:rPr>
              <w:t>中覆盖度植被</w:t>
            </w:r>
          </w:p>
        </w:tc>
        <w:tc>
          <w:tcPr>
            <w:tcW w:w="2934" w:type="dxa"/>
            <w:shd w:val="clear" w:color="auto" w:fill="FFFFFF"/>
            <w:noWrap/>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137.00</w:t>
            </w:r>
          </w:p>
        </w:tc>
        <w:tc>
          <w:tcPr>
            <w:tcW w:w="1576" w:type="dxa"/>
            <w:shd w:val="clear" w:color="auto" w:fill="FFFFFF"/>
            <w:noWrap/>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10.89</w:t>
            </w:r>
          </w:p>
        </w:tc>
      </w:tr>
      <w:tr w:rsidR="00BD5820">
        <w:trPr>
          <w:trHeight w:hRule="exact" w:val="397"/>
          <w:jc w:val="center"/>
        </w:trPr>
        <w:tc>
          <w:tcPr>
            <w:tcW w:w="4012" w:type="dxa"/>
            <w:shd w:val="clear" w:color="auto" w:fill="FFFFFF"/>
            <w:noWrap/>
            <w:vAlign w:val="center"/>
          </w:tcPr>
          <w:p w:rsidR="00BD5820" w:rsidRDefault="00F64314">
            <w:pPr>
              <w:topLinePunct w:val="0"/>
              <w:snapToGrid w:val="0"/>
              <w:spacing w:line="260" w:lineRule="exact"/>
              <w:ind w:firstLineChars="0" w:firstLine="0"/>
              <w:jc w:val="center"/>
              <w:rPr>
                <w:rFonts w:ascii="Times New Roman" w:cs="Times New Roman"/>
                <w:kern w:val="2"/>
                <w:sz w:val="21"/>
                <w:szCs w:val="21"/>
              </w:rPr>
            </w:pPr>
            <w:r>
              <w:rPr>
                <w:rFonts w:ascii="Times New Roman" w:cs="Times New Roman"/>
                <w:kern w:val="2"/>
                <w:sz w:val="21"/>
                <w:szCs w:val="21"/>
              </w:rPr>
              <w:t>栽培植被</w:t>
            </w:r>
          </w:p>
        </w:tc>
        <w:tc>
          <w:tcPr>
            <w:tcW w:w="2934" w:type="dxa"/>
            <w:shd w:val="clear" w:color="auto" w:fill="FFFFFF"/>
            <w:noWrap/>
            <w:vAlign w:val="center"/>
          </w:tcPr>
          <w:p w:rsidR="00BD5820" w:rsidRDefault="00F64314">
            <w:pPr>
              <w:topLinePunct w:val="0"/>
              <w:snapToGrid w:val="0"/>
              <w:spacing w:line="260" w:lineRule="exact"/>
              <w:ind w:firstLineChars="0" w:firstLine="0"/>
              <w:jc w:val="center"/>
              <w:rPr>
                <w:rFonts w:ascii="Times New Roman" w:cs="Times New Roman"/>
                <w:kern w:val="2"/>
                <w:sz w:val="21"/>
                <w:szCs w:val="21"/>
              </w:rPr>
            </w:pPr>
            <w:r>
              <w:rPr>
                <w:rFonts w:ascii="Times New Roman" w:cs="Times New Roman" w:hint="eastAsia"/>
                <w:kern w:val="2"/>
                <w:sz w:val="21"/>
                <w:szCs w:val="21"/>
              </w:rPr>
              <w:t>41.44</w:t>
            </w:r>
          </w:p>
        </w:tc>
        <w:tc>
          <w:tcPr>
            <w:tcW w:w="1576" w:type="dxa"/>
            <w:shd w:val="clear" w:color="auto" w:fill="FFFFFF"/>
            <w:noWrap/>
            <w:vAlign w:val="center"/>
          </w:tcPr>
          <w:p w:rsidR="00BD5820" w:rsidRDefault="00F64314">
            <w:pPr>
              <w:topLinePunct w:val="0"/>
              <w:snapToGrid w:val="0"/>
              <w:spacing w:line="260" w:lineRule="exact"/>
              <w:ind w:firstLineChars="0" w:firstLine="0"/>
              <w:jc w:val="center"/>
              <w:rPr>
                <w:rFonts w:ascii="Times New Roman" w:cs="Times New Roman"/>
                <w:kern w:val="2"/>
                <w:sz w:val="21"/>
                <w:szCs w:val="21"/>
              </w:rPr>
            </w:pPr>
            <w:r>
              <w:rPr>
                <w:rFonts w:ascii="Times New Roman" w:cs="Times New Roman" w:hint="eastAsia"/>
                <w:kern w:val="2"/>
                <w:sz w:val="21"/>
                <w:szCs w:val="21"/>
              </w:rPr>
              <w:t>3.30</w:t>
            </w:r>
          </w:p>
        </w:tc>
      </w:tr>
      <w:tr w:rsidR="00BD5820">
        <w:trPr>
          <w:trHeight w:hRule="exact" w:val="397"/>
          <w:jc w:val="center"/>
        </w:trPr>
        <w:tc>
          <w:tcPr>
            <w:tcW w:w="4012" w:type="dxa"/>
            <w:shd w:val="clear" w:color="auto" w:fill="FFFFFF"/>
            <w:noWrap/>
            <w:vAlign w:val="center"/>
          </w:tcPr>
          <w:p w:rsidR="00BD5820" w:rsidRDefault="00F64314">
            <w:pPr>
              <w:topLinePunct w:val="0"/>
              <w:snapToGrid w:val="0"/>
              <w:spacing w:line="260" w:lineRule="exact"/>
              <w:ind w:firstLineChars="0" w:firstLine="0"/>
              <w:jc w:val="center"/>
              <w:rPr>
                <w:rFonts w:ascii="Times New Roman" w:cs="Times New Roman"/>
                <w:kern w:val="2"/>
                <w:sz w:val="21"/>
                <w:szCs w:val="21"/>
              </w:rPr>
            </w:pPr>
            <w:r>
              <w:rPr>
                <w:rFonts w:ascii="Times New Roman" w:cs="Times New Roman"/>
                <w:kern w:val="2"/>
                <w:sz w:val="21"/>
                <w:szCs w:val="21"/>
              </w:rPr>
              <w:t>无植被</w:t>
            </w:r>
          </w:p>
        </w:tc>
        <w:tc>
          <w:tcPr>
            <w:tcW w:w="2934" w:type="dxa"/>
            <w:shd w:val="clear" w:color="auto" w:fill="FFFFFF"/>
            <w:noWrap/>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60.29</w:t>
            </w:r>
          </w:p>
        </w:tc>
        <w:tc>
          <w:tcPr>
            <w:tcW w:w="1576" w:type="dxa"/>
            <w:shd w:val="clear" w:color="auto" w:fill="FFFFFF"/>
            <w:noWrap/>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4.80</w:t>
            </w:r>
          </w:p>
        </w:tc>
      </w:tr>
      <w:tr w:rsidR="00BD5820">
        <w:trPr>
          <w:trHeight w:hRule="exact" w:val="397"/>
          <w:jc w:val="center"/>
        </w:trPr>
        <w:tc>
          <w:tcPr>
            <w:tcW w:w="4012" w:type="dxa"/>
            <w:shd w:val="clear" w:color="auto" w:fill="FFFFFF"/>
            <w:noWrap/>
            <w:vAlign w:val="center"/>
          </w:tcPr>
          <w:p w:rsidR="00BD5820" w:rsidRDefault="00F64314">
            <w:pPr>
              <w:topLinePunct w:val="0"/>
              <w:snapToGrid w:val="0"/>
              <w:spacing w:line="260" w:lineRule="exact"/>
              <w:ind w:firstLineChars="0" w:firstLine="0"/>
              <w:jc w:val="center"/>
              <w:rPr>
                <w:rFonts w:ascii="Times New Roman" w:cs="Times New Roman"/>
                <w:kern w:val="2"/>
                <w:sz w:val="21"/>
                <w:szCs w:val="21"/>
              </w:rPr>
            </w:pPr>
            <w:r>
              <w:rPr>
                <w:rFonts w:ascii="Times New Roman" w:cs="Times New Roman"/>
                <w:kern w:val="2"/>
                <w:sz w:val="21"/>
                <w:szCs w:val="21"/>
              </w:rPr>
              <w:t>总计</w:t>
            </w:r>
          </w:p>
        </w:tc>
        <w:tc>
          <w:tcPr>
            <w:tcW w:w="2934" w:type="dxa"/>
            <w:shd w:val="clear" w:color="auto" w:fill="FFFFFF"/>
            <w:noWrap/>
            <w:vAlign w:val="center"/>
          </w:tcPr>
          <w:p w:rsidR="00BD5820" w:rsidRDefault="00F64314">
            <w:pPr>
              <w:topLinePunct w:val="0"/>
              <w:snapToGrid w:val="0"/>
              <w:spacing w:line="260" w:lineRule="exact"/>
              <w:ind w:firstLineChars="0" w:firstLine="0"/>
              <w:jc w:val="center"/>
              <w:rPr>
                <w:rFonts w:ascii="Times New Roman" w:cs="Times New Roman"/>
                <w:kern w:val="2"/>
                <w:sz w:val="21"/>
                <w:szCs w:val="21"/>
              </w:rPr>
            </w:pPr>
            <w:r>
              <w:rPr>
                <w:rFonts w:ascii="Times New Roman" w:cs="Times New Roman" w:hint="eastAsia"/>
                <w:kern w:val="2"/>
                <w:sz w:val="21"/>
                <w:szCs w:val="21"/>
              </w:rPr>
              <w:t>1256.76</w:t>
            </w:r>
          </w:p>
        </w:tc>
        <w:tc>
          <w:tcPr>
            <w:tcW w:w="1576" w:type="dxa"/>
            <w:shd w:val="clear" w:color="auto" w:fill="FFFFFF"/>
            <w:noWrap/>
            <w:vAlign w:val="center"/>
          </w:tcPr>
          <w:p w:rsidR="00BD5820" w:rsidRDefault="00F64314">
            <w:pPr>
              <w:topLinePunct w:val="0"/>
              <w:snapToGrid w:val="0"/>
              <w:spacing w:line="260" w:lineRule="exact"/>
              <w:ind w:firstLineChars="0" w:firstLine="0"/>
              <w:jc w:val="center"/>
              <w:rPr>
                <w:rFonts w:ascii="Times New Roman" w:cs="Times New Roman"/>
                <w:kern w:val="2"/>
                <w:sz w:val="21"/>
                <w:szCs w:val="21"/>
              </w:rPr>
            </w:pPr>
            <w:r>
              <w:rPr>
                <w:rFonts w:ascii="Times New Roman" w:cs="Times New Roman" w:hint="eastAsia"/>
                <w:kern w:val="2"/>
                <w:sz w:val="21"/>
                <w:szCs w:val="21"/>
              </w:rPr>
              <w:t xml:space="preserve">100.00 </w:t>
            </w:r>
          </w:p>
        </w:tc>
      </w:tr>
    </w:tbl>
    <w:p w:rsidR="00BD5820" w:rsidRDefault="00F64314">
      <w:pPr>
        <w:pStyle w:val="affa"/>
        <w:ind w:firstLine="480"/>
      </w:pPr>
      <w:r>
        <w:rPr>
          <w:rFonts w:hint="eastAsia"/>
        </w:rPr>
        <w:t>项目区属中亚热带湿润季风气候区，植被区划处于</w:t>
      </w:r>
      <w:r>
        <w:t>亚热带常绿阔叶林区域</w:t>
      </w:r>
      <w:r>
        <w:rPr>
          <w:rFonts w:hint="eastAsia"/>
        </w:rPr>
        <w:t>，水热条件较好，植被总体覆盖度较高。</w:t>
      </w:r>
      <w:r>
        <w:t>从解译结果看，评价区范围内，高覆盖度植被主要分布</w:t>
      </w:r>
      <w:r>
        <w:rPr>
          <w:rFonts w:hint="eastAsia"/>
        </w:rPr>
        <w:t>在针叶林及阔叶林区</w:t>
      </w:r>
      <w:r>
        <w:t>，</w:t>
      </w:r>
      <w:r>
        <w:rPr>
          <w:rFonts w:hint="eastAsia"/>
        </w:rPr>
        <w:t>群落多为乔灌草三层，综合覆盖度较高；</w:t>
      </w:r>
      <w:r>
        <w:t>中高覆盖度植被</w:t>
      </w:r>
      <w:r>
        <w:rPr>
          <w:rFonts w:hint="eastAsia"/>
        </w:rPr>
        <w:t>主要为稀疏乔木林及灌丛植被分布区，群落结构多为灌草两层；中覆盖度多为草丛植被分布区。</w:t>
      </w:r>
    </w:p>
    <w:p w:rsidR="00BD5820" w:rsidRDefault="00F64314">
      <w:pPr>
        <w:pStyle w:val="3"/>
        <w:rPr>
          <w:rFonts w:eastAsia="宋体"/>
        </w:rPr>
      </w:pPr>
      <w:r>
        <w:rPr>
          <w:rFonts w:eastAsia="宋体"/>
        </w:rPr>
        <w:t>5.2.3</w:t>
      </w:r>
      <w:r w:rsidR="006453D0" w:rsidRPr="006453D0">
        <w:rPr>
          <w:rFonts w:eastAsia="宋体"/>
          <w:bCs/>
          <w:color w:val="FF0000"/>
        </w:rPr>
        <w:t>项目区域</w:t>
      </w:r>
      <w:r w:rsidRPr="006453D0">
        <w:rPr>
          <w:rFonts w:eastAsia="宋体"/>
          <w:color w:val="FF0000"/>
        </w:rPr>
        <w:t>植被概况</w:t>
      </w:r>
      <w:bookmarkEnd w:id="333"/>
    </w:p>
    <w:p w:rsidR="00BD5820" w:rsidRDefault="00F64314">
      <w:pPr>
        <w:topLinePunct w:val="0"/>
        <w:snapToGrid w:val="0"/>
        <w:ind w:firstLine="480"/>
        <w:rPr>
          <w:rFonts w:ascii="Times New Roman" w:cs="Times New Roman"/>
          <w:kern w:val="2"/>
        </w:rPr>
      </w:pPr>
      <w:r>
        <w:rPr>
          <w:rFonts w:ascii="Times New Roman" w:cs="Times New Roman"/>
          <w:kern w:val="2"/>
        </w:rPr>
        <w:t>项目区域位于四川省达州市宣汉县。根据《四川植被》中关于四川省内植被区划的描述，项目所在区域属</w:t>
      </w:r>
      <w:r>
        <w:rPr>
          <w:rFonts w:ascii="Times New Roman" w:cs="Times New Roman"/>
          <w:kern w:val="2"/>
        </w:rPr>
        <w:t>IA3(6)</w:t>
      </w:r>
      <w:r>
        <w:rPr>
          <w:rFonts w:ascii="Times New Roman" w:cs="Times New Roman"/>
          <w:kern w:val="2"/>
        </w:rPr>
        <w:t>川北深丘植被小区。</w:t>
      </w:r>
    </w:p>
    <w:p w:rsidR="00BD5820" w:rsidRDefault="00F64314">
      <w:pPr>
        <w:topLinePunct w:val="0"/>
        <w:snapToGrid w:val="0"/>
        <w:ind w:firstLine="480"/>
        <w:rPr>
          <w:rFonts w:ascii="Times New Roman" w:cs="Times New Roman"/>
          <w:kern w:val="2"/>
        </w:rPr>
      </w:pPr>
      <w:r>
        <w:rPr>
          <w:rFonts w:ascii="Times New Roman" w:cs="Times New Roman"/>
          <w:kern w:val="2"/>
        </w:rPr>
        <w:t>该小区位于盆地中部北侧，是大巴山地区向盆地内部方山丘陵过渡的地带，境内主要属单斜丘陵，海拔高度一般为</w:t>
      </w:r>
      <w:r>
        <w:rPr>
          <w:rFonts w:ascii="Times New Roman" w:cs="Times New Roman"/>
          <w:kern w:val="2"/>
        </w:rPr>
        <w:t>800m</w:t>
      </w:r>
      <w:r>
        <w:rPr>
          <w:rFonts w:ascii="Times New Roman" w:cs="Times New Roman"/>
          <w:kern w:val="2"/>
        </w:rPr>
        <w:t>，相对高度</w:t>
      </w:r>
      <w:r>
        <w:rPr>
          <w:rFonts w:ascii="Times New Roman" w:cs="Times New Roman"/>
          <w:kern w:val="2"/>
        </w:rPr>
        <w:t>100~200m</w:t>
      </w:r>
      <w:r>
        <w:rPr>
          <w:rFonts w:ascii="Times New Roman" w:cs="Times New Roman"/>
          <w:kern w:val="2"/>
        </w:rPr>
        <w:t>，地层多属白垩纪紫色砂岩与页岩互层，在此母质上发育的为紫色土，海拔</w:t>
      </w:r>
      <w:r>
        <w:rPr>
          <w:rFonts w:ascii="Times New Roman" w:cs="Times New Roman"/>
          <w:kern w:val="2"/>
        </w:rPr>
        <w:t>1000m</w:t>
      </w:r>
      <w:r>
        <w:rPr>
          <w:rFonts w:ascii="Times New Roman" w:cs="Times New Roman"/>
          <w:kern w:val="2"/>
        </w:rPr>
        <w:t>以上地区以黄壤为主。年平均温</w:t>
      </w:r>
      <w:r>
        <w:rPr>
          <w:rFonts w:ascii="Times New Roman" w:cs="Times New Roman"/>
          <w:kern w:val="2"/>
        </w:rPr>
        <w:t>16~17℃</w:t>
      </w:r>
      <w:r>
        <w:rPr>
          <w:rFonts w:ascii="Times New Roman" w:cs="Times New Roman"/>
          <w:kern w:val="2"/>
        </w:rPr>
        <w:t>，</w:t>
      </w:r>
      <w:r>
        <w:rPr>
          <w:rFonts w:ascii="Times New Roman" w:cs="Times New Roman"/>
          <w:kern w:val="2"/>
        </w:rPr>
        <w:t>1</w:t>
      </w:r>
      <w:r>
        <w:rPr>
          <w:rFonts w:ascii="Times New Roman" w:cs="Times New Roman"/>
          <w:kern w:val="2"/>
        </w:rPr>
        <w:t>月平均温</w:t>
      </w:r>
      <w:r>
        <w:rPr>
          <w:rFonts w:ascii="Times New Roman" w:cs="Times New Roman"/>
          <w:kern w:val="2"/>
        </w:rPr>
        <w:t>5~6℃</w:t>
      </w:r>
      <w:r>
        <w:rPr>
          <w:rFonts w:ascii="Times New Roman" w:cs="Times New Roman"/>
          <w:kern w:val="2"/>
        </w:rPr>
        <w:t>，比川中方山丘陵区气温低，而年温差较大。年降水量在</w:t>
      </w:r>
      <w:r>
        <w:rPr>
          <w:rFonts w:ascii="Times New Roman" w:cs="Times New Roman"/>
          <w:kern w:val="2"/>
        </w:rPr>
        <w:t>1000</w:t>
      </w:r>
      <w:r>
        <w:rPr>
          <w:rFonts w:ascii="Times New Roman" w:cs="Times New Roman"/>
          <w:kern w:val="2"/>
        </w:rPr>
        <w:t>毫米以上，比川中方山丘陵区多，但季节分配不均匀，雾日较少，无霜期约为</w:t>
      </w:r>
      <w:r>
        <w:rPr>
          <w:rFonts w:ascii="Times New Roman" w:cs="Times New Roman"/>
          <w:kern w:val="2"/>
        </w:rPr>
        <w:t>290</w:t>
      </w:r>
      <w:r>
        <w:rPr>
          <w:rFonts w:ascii="Times New Roman" w:cs="Times New Roman"/>
          <w:kern w:val="2"/>
        </w:rPr>
        <w:t>天，有春早秋千、日照时数较多的特点。</w:t>
      </w:r>
    </w:p>
    <w:p w:rsidR="00BD5820" w:rsidRDefault="00F64314">
      <w:pPr>
        <w:topLinePunct w:val="0"/>
        <w:snapToGrid w:val="0"/>
        <w:ind w:firstLine="480"/>
        <w:rPr>
          <w:rFonts w:ascii="Times New Roman" w:cs="Times New Roman"/>
          <w:kern w:val="2"/>
        </w:rPr>
      </w:pPr>
      <w:r>
        <w:rPr>
          <w:rFonts w:ascii="Times New Roman" w:cs="Times New Roman"/>
          <w:kern w:val="2"/>
        </w:rPr>
        <w:t>自然植被主要为马尾松林、柏木林、栎类灌丛、亚热带草丛及其各种过渡类型。在个别海拔</w:t>
      </w:r>
      <w:r>
        <w:rPr>
          <w:rFonts w:ascii="Times New Roman" w:cs="Times New Roman"/>
          <w:kern w:val="2"/>
        </w:rPr>
        <w:t>1200m</w:t>
      </w:r>
      <w:r>
        <w:rPr>
          <w:rFonts w:ascii="Times New Roman" w:cs="Times New Roman"/>
          <w:kern w:val="2"/>
        </w:rPr>
        <w:t>左右的地方有石栎林、刺叶栎林、青㭎林。马尾松林多分布在深丘顶部砂页岩发育的黄壤地段上，灌木有米饭花、映山红、米碎花、铁仔，而在干燥生境下，则以映山红、火棘、栎类为主。柏木林多分布在深丘下部的紫色页岩地段上，形成疏林，混有化香、黄连木、油桐。栎类灌丛多分布在山项，由麻栎、栓皮栎、烟管荚蓬、火棘、蔷薇、盐肤木、映山红、铁仔、毛黄栌组成，为马尾松林和落叶栎林砍伐后形成的灌丛类型。柏木林再度砍伐后形成以黄茅、白茅、香茅为主的亚热带草丛，并散生着黄荆、牡荆、马桑、铁仔、短柄枹栎等植物。另外，本小区各地还有黑壳楠、红果钓樟、云南樟、宜昌润楠、山合欢、灯台树等植物。</w:t>
      </w:r>
    </w:p>
    <w:p w:rsidR="00BD5820" w:rsidRDefault="00F64314">
      <w:pPr>
        <w:topLinePunct w:val="0"/>
        <w:snapToGrid w:val="0"/>
        <w:ind w:firstLine="480"/>
        <w:rPr>
          <w:rFonts w:ascii="Times New Roman" w:cs="Times New Roman"/>
          <w:kern w:val="2"/>
        </w:rPr>
      </w:pPr>
      <w:r>
        <w:rPr>
          <w:rFonts w:ascii="Times New Roman" w:cs="Times New Roman"/>
          <w:kern w:val="2"/>
        </w:rPr>
        <w:t>栽培植被中大春作物本田以中稻为主，早地以</w:t>
      </w:r>
      <w:r>
        <w:rPr>
          <w:rFonts w:ascii="Times New Roman" w:cs="Times New Roman" w:hint="eastAsia"/>
          <w:kern w:val="2"/>
        </w:rPr>
        <w:t>玉米、红苕、棉花、花生、小</w:t>
      </w:r>
      <w:r>
        <w:rPr>
          <w:rFonts w:ascii="Times New Roman" w:cs="Times New Roman" w:hint="eastAsia"/>
          <w:kern w:val="2"/>
        </w:rPr>
        <w:lastRenderedPageBreak/>
        <w:t>麦、马铃薯、豌豆</w:t>
      </w:r>
      <w:r>
        <w:rPr>
          <w:rFonts w:ascii="Times New Roman" w:cs="Times New Roman"/>
          <w:kern w:val="2"/>
        </w:rPr>
        <w:t>为主，小春作物以小麦、豌豆为主，深丘上部种有马铃薯，多为一年二熟类型。由于地势较高，雨量分配不均匀，伏旱严重，农业布局必须因地制宜。有水利保证的田应栽水稻，主攻中稻，没有水利保证的田，种植旱粮，实行小麦、玉米、红苕连续套种。这样可以提高复种指数，做到高产稳产。在</w:t>
      </w:r>
      <w:r>
        <w:rPr>
          <w:rFonts w:ascii="Times New Roman" w:cs="Times New Roman"/>
          <w:kern w:val="2"/>
        </w:rPr>
        <w:t>“</w:t>
      </w:r>
      <w:r>
        <w:rPr>
          <w:rFonts w:ascii="Times New Roman" w:cs="Times New Roman"/>
          <w:kern w:val="2"/>
        </w:rPr>
        <w:t>以粮为纲，全面发展</w:t>
      </w:r>
      <w:r>
        <w:rPr>
          <w:rFonts w:ascii="Times New Roman" w:cs="Times New Roman"/>
          <w:kern w:val="2"/>
        </w:rPr>
        <w:t>”</w:t>
      </w:r>
      <w:r>
        <w:rPr>
          <w:rFonts w:ascii="Times New Roman" w:cs="Times New Roman"/>
          <w:kern w:val="2"/>
        </w:rPr>
        <w:t>方针指导下，要因地制宜地发展棉花、花生等经济作物。经济林水中梨、核桃产量大、质量好、栽培历史长，如苍溪雪梨和薄壳核桃都很著名，宜于大量发展。另外桑、油桐也是本小区重要经济林木，发展潜力很大。丘陵荒山要开展植树造林，种植黄荆、马桑、紫穗槐、马尾松、柏木等，增加植被覆盖率。</w:t>
      </w:r>
    </w:p>
    <w:p w:rsidR="00BD5820" w:rsidRDefault="00F64314">
      <w:pPr>
        <w:topLinePunct w:val="0"/>
        <w:snapToGrid w:val="0"/>
        <w:ind w:firstLine="482"/>
        <w:rPr>
          <w:rFonts w:ascii="Times New Roman" w:cs="Times New Roman"/>
          <w:b/>
          <w:bCs/>
          <w:kern w:val="2"/>
        </w:rPr>
      </w:pPr>
      <w:r>
        <w:rPr>
          <w:rFonts w:ascii="Times New Roman" w:cs="Times New Roman"/>
          <w:b/>
          <w:bCs/>
          <w:kern w:val="2"/>
        </w:rPr>
        <w:t>（</w:t>
      </w:r>
      <w:r>
        <w:rPr>
          <w:rFonts w:ascii="Times New Roman" w:cs="Times New Roman"/>
          <w:b/>
          <w:bCs/>
          <w:kern w:val="2"/>
        </w:rPr>
        <w:t>2</w:t>
      </w:r>
      <w:r>
        <w:rPr>
          <w:rFonts w:ascii="Times New Roman" w:cs="Times New Roman"/>
          <w:b/>
          <w:bCs/>
          <w:kern w:val="2"/>
        </w:rPr>
        <w:t>）维管束植物组成情况</w:t>
      </w:r>
    </w:p>
    <w:p w:rsidR="00BD5820" w:rsidRDefault="00F64314">
      <w:pPr>
        <w:pStyle w:val="affa"/>
        <w:ind w:firstLine="480"/>
      </w:pPr>
      <w:r>
        <w:rPr>
          <w:kern w:val="2"/>
          <w:szCs w:val="24"/>
        </w:rPr>
        <w:t>经过野外调查，结合标本鉴定和历史资料的查阅，项目区域内维管植物有</w:t>
      </w:r>
      <w:r>
        <w:rPr>
          <w:kern w:val="2"/>
          <w:szCs w:val="24"/>
        </w:rPr>
        <w:t>139</w:t>
      </w:r>
      <w:r>
        <w:rPr>
          <w:kern w:val="2"/>
          <w:szCs w:val="24"/>
        </w:rPr>
        <w:t>科</w:t>
      </w:r>
      <w:r>
        <w:rPr>
          <w:kern w:val="2"/>
          <w:szCs w:val="24"/>
        </w:rPr>
        <w:t>524</w:t>
      </w:r>
      <w:r>
        <w:rPr>
          <w:kern w:val="2"/>
          <w:szCs w:val="24"/>
        </w:rPr>
        <w:t>属</w:t>
      </w:r>
      <w:r>
        <w:rPr>
          <w:kern w:val="2"/>
          <w:szCs w:val="24"/>
        </w:rPr>
        <w:t>925</w:t>
      </w:r>
      <w:r>
        <w:rPr>
          <w:kern w:val="2"/>
          <w:szCs w:val="24"/>
        </w:rPr>
        <w:t>种：其中蕨类植物</w:t>
      </w:r>
      <w:r>
        <w:rPr>
          <w:kern w:val="2"/>
          <w:szCs w:val="24"/>
        </w:rPr>
        <w:t>9</w:t>
      </w:r>
      <w:r>
        <w:rPr>
          <w:kern w:val="2"/>
          <w:szCs w:val="24"/>
        </w:rPr>
        <w:t>科</w:t>
      </w:r>
      <w:r>
        <w:rPr>
          <w:kern w:val="2"/>
          <w:szCs w:val="24"/>
        </w:rPr>
        <w:t>18</w:t>
      </w:r>
      <w:r>
        <w:rPr>
          <w:kern w:val="2"/>
          <w:szCs w:val="24"/>
        </w:rPr>
        <w:t>属</w:t>
      </w:r>
      <w:r>
        <w:rPr>
          <w:kern w:val="2"/>
          <w:szCs w:val="24"/>
        </w:rPr>
        <w:t>31</w:t>
      </w:r>
      <w:r>
        <w:rPr>
          <w:kern w:val="2"/>
          <w:szCs w:val="24"/>
        </w:rPr>
        <w:t>种，裸子植物</w:t>
      </w:r>
      <w:r>
        <w:rPr>
          <w:kern w:val="2"/>
          <w:szCs w:val="24"/>
        </w:rPr>
        <w:t>5</w:t>
      </w:r>
      <w:r>
        <w:rPr>
          <w:kern w:val="2"/>
          <w:szCs w:val="24"/>
        </w:rPr>
        <w:t>科</w:t>
      </w:r>
      <w:r>
        <w:rPr>
          <w:kern w:val="2"/>
          <w:szCs w:val="24"/>
        </w:rPr>
        <w:t>7</w:t>
      </w:r>
      <w:r>
        <w:rPr>
          <w:kern w:val="2"/>
          <w:szCs w:val="24"/>
        </w:rPr>
        <w:t>属</w:t>
      </w:r>
      <w:r>
        <w:rPr>
          <w:kern w:val="2"/>
          <w:szCs w:val="24"/>
        </w:rPr>
        <w:t>9</w:t>
      </w:r>
      <w:r>
        <w:rPr>
          <w:kern w:val="2"/>
          <w:szCs w:val="24"/>
        </w:rPr>
        <w:t>种，被子植物</w:t>
      </w:r>
      <w:r>
        <w:rPr>
          <w:kern w:val="2"/>
          <w:szCs w:val="24"/>
        </w:rPr>
        <w:t>125</w:t>
      </w:r>
      <w:r>
        <w:rPr>
          <w:kern w:val="2"/>
          <w:szCs w:val="24"/>
        </w:rPr>
        <w:t>科</w:t>
      </w:r>
      <w:r>
        <w:rPr>
          <w:kern w:val="2"/>
          <w:szCs w:val="24"/>
        </w:rPr>
        <w:t>499</w:t>
      </w:r>
      <w:r>
        <w:rPr>
          <w:kern w:val="2"/>
          <w:szCs w:val="24"/>
        </w:rPr>
        <w:t>属</w:t>
      </w:r>
      <w:r>
        <w:rPr>
          <w:kern w:val="2"/>
          <w:szCs w:val="24"/>
        </w:rPr>
        <w:t>885</w:t>
      </w:r>
      <w:r>
        <w:rPr>
          <w:kern w:val="2"/>
          <w:szCs w:val="24"/>
        </w:rPr>
        <w:t>种</w:t>
      </w:r>
      <w:r>
        <w:rPr>
          <w:rFonts w:hint="eastAsia"/>
          <w:kern w:val="2"/>
          <w:szCs w:val="24"/>
        </w:rPr>
        <w:t>（</w:t>
      </w:r>
      <w:r>
        <w:rPr>
          <w:kern w:val="2"/>
          <w:szCs w:val="24"/>
        </w:rPr>
        <w:t>蕨类植物采用秦仁昌</w:t>
      </w:r>
      <w:r>
        <w:rPr>
          <w:kern w:val="2"/>
          <w:szCs w:val="24"/>
        </w:rPr>
        <w:t>1978</w:t>
      </w:r>
      <w:r>
        <w:rPr>
          <w:kern w:val="2"/>
          <w:szCs w:val="24"/>
        </w:rPr>
        <w:t>系统，裸子植物采用郑万均</w:t>
      </w:r>
      <w:r>
        <w:rPr>
          <w:kern w:val="2"/>
          <w:szCs w:val="24"/>
        </w:rPr>
        <w:t>1961</w:t>
      </w:r>
      <w:r>
        <w:rPr>
          <w:kern w:val="2"/>
          <w:szCs w:val="24"/>
        </w:rPr>
        <w:t>系统，被子植物采用克朗奎斯特</w:t>
      </w:r>
      <w:r>
        <w:rPr>
          <w:kern w:val="2"/>
          <w:szCs w:val="24"/>
        </w:rPr>
        <w:t>1981</w:t>
      </w:r>
      <w:r>
        <w:rPr>
          <w:kern w:val="2"/>
          <w:szCs w:val="24"/>
        </w:rPr>
        <w:t>系统</w:t>
      </w:r>
      <w:r>
        <w:rPr>
          <w:rFonts w:hint="eastAsia"/>
          <w:kern w:val="2"/>
          <w:szCs w:val="24"/>
        </w:rPr>
        <w:t>）</w:t>
      </w:r>
      <w:r>
        <w:rPr>
          <w:kern w:val="2"/>
          <w:szCs w:val="24"/>
        </w:rPr>
        <w:t>。</w:t>
      </w:r>
    </w:p>
    <w:p w:rsidR="00BD5820" w:rsidRDefault="00F64314">
      <w:pPr>
        <w:topLinePunct w:val="0"/>
        <w:autoSpaceDE w:val="0"/>
        <w:autoSpaceDN w:val="0"/>
        <w:spacing w:line="240" w:lineRule="auto"/>
        <w:ind w:firstLineChars="0" w:firstLine="0"/>
        <w:jc w:val="center"/>
        <w:rPr>
          <w:rFonts w:ascii="Times New Roman" w:cs="Times New Roman"/>
          <w:b/>
          <w:sz w:val="21"/>
        </w:rPr>
      </w:pPr>
      <w:r>
        <w:rPr>
          <w:rFonts w:ascii="Times New Roman" w:cs="Times New Roman"/>
          <w:b/>
          <w:sz w:val="21"/>
        </w:rPr>
        <w:t>表</w:t>
      </w:r>
      <w:r>
        <w:rPr>
          <w:rFonts w:ascii="Times New Roman" w:cs="Times New Roman" w:hint="eastAsia"/>
          <w:b/>
          <w:sz w:val="21"/>
        </w:rPr>
        <w:t>5</w:t>
      </w:r>
      <w:r>
        <w:rPr>
          <w:rFonts w:ascii="Times New Roman" w:cs="Times New Roman"/>
          <w:b/>
          <w:sz w:val="21"/>
        </w:rPr>
        <w:t>.</w:t>
      </w:r>
      <w:r>
        <w:rPr>
          <w:rFonts w:ascii="Times New Roman" w:cs="Times New Roman" w:hint="eastAsia"/>
          <w:b/>
          <w:sz w:val="21"/>
        </w:rPr>
        <w:t>2</w:t>
      </w:r>
      <w:r>
        <w:rPr>
          <w:rFonts w:ascii="Times New Roman" w:cs="Times New Roman"/>
          <w:b/>
          <w:sz w:val="21"/>
        </w:rPr>
        <w:t xml:space="preserve">-8 </w:t>
      </w:r>
      <w:r>
        <w:rPr>
          <w:rFonts w:ascii="Times New Roman" w:cs="Times New Roman"/>
          <w:b/>
          <w:sz w:val="21"/>
        </w:rPr>
        <w:t>评价区维管植物科属种统计表</w:t>
      </w:r>
    </w:p>
    <w:p w:rsidR="00BD5820" w:rsidRDefault="00BD5820">
      <w:pPr>
        <w:topLinePunct w:val="0"/>
        <w:adjustRightInd/>
        <w:spacing w:line="129" w:lineRule="exact"/>
        <w:ind w:firstLineChars="0" w:firstLine="0"/>
        <w:rPr>
          <w:rFonts w:ascii="Times New Roman" w:cs="Times New Roman"/>
          <w:kern w:val="2"/>
          <w:sz w:val="21"/>
        </w:rPr>
      </w:pPr>
    </w:p>
    <w:tbl>
      <w:tblPr>
        <w:tblW w:w="5000" w:type="pct"/>
        <w:jc w:val="center"/>
        <w:tblBorders>
          <w:top w:val="single" w:sz="12" w:space="0" w:color="000000"/>
          <w:bottom w:val="single" w:sz="12" w:space="0" w:color="000000"/>
          <w:insideH w:val="single" w:sz="2" w:space="0" w:color="000000"/>
          <w:insideV w:val="single" w:sz="2" w:space="0" w:color="000000"/>
        </w:tblBorders>
        <w:tblLayout w:type="fixed"/>
        <w:tblCellMar>
          <w:left w:w="0" w:type="dxa"/>
          <w:right w:w="0" w:type="dxa"/>
        </w:tblCellMar>
        <w:tblLook w:val="04A0"/>
      </w:tblPr>
      <w:tblGrid>
        <w:gridCol w:w="726"/>
        <w:gridCol w:w="1125"/>
        <w:gridCol w:w="898"/>
        <w:gridCol w:w="1255"/>
        <w:gridCol w:w="889"/>
        <w:gridCol w:w="1288"/>
        <w:gridCol w:w="889"/>
        <w:gridCol w:w="1236"/>
      </w:tblGrid>
      <w:tr w:rsidR="00BD5820">
        <w:trPr>
          <w:trHeight w:val="280"/>
          <w:jc w:val="center"/>
        </w:trPr>
        <w:tc>
          <w:tcPr>
            <w:tcW w:w="1808" w:type="dxa"/>
            <w:gridSpan w:val="2"/>
          </w:tcPr>
          <w:p w:rsidR="00BD5820" w:rsidRDefault="00F64314">
            <w:pPr>
              <w:topLinePunct w:val="0"/>
              <w:adjustRightInd/>
              <w:spacing w:before="34" w:line="216" w:lineRule="auto"/>
              <w:ind w:left="870" w:firstLineChars="0" w:firstLine="0"/>
              <w:rPr>
                <w:rFonts w:ascii="Times New Roman" w:cs="Times New Roman"/>
                <w:kern w:val="2"/>
                <w:sz w:val="21"/>
                <w:szCs w:val="21"/>
              </w:rPr>
            </w:pPr>
            <w:r>
              <w:rPr>
                <w:rFonts w:ascii="Times New Roman" w:cs="Times New Roman"/>
                <w:spacing w:val="-8"/>
                <w:kern w:val="2"/>
                <w:sz w:val="21"/>
                <w:szCs w:val="21"/>
              </w:rPr>
              <w:t>门类</w:t>
            </w:r>
          </w:p>
        </w:tc>
        <w:tc>
          <w:tcPr>
            <w:tcW w:w="877" w:type="dxa"/>
          </w:tcPr>
          <w:p w:rsidR="00BD5820" w:rsidRDefault="00F64314">
            <w:pPr>
              <w:topLinePunct w:val="0"/>
              <w:adjustRightInd/>
              <w:spacing w:before="34" w:line="216" w:lineRule="auto"/>
              <w:ind w:left="202" w:firstLineChars="0" w:firstLine="0"/>
              <w:rPr>
                <w:rFonts w:ascii="Times New Roman" w:cs="Times New Roman"/>
                <w:kern w:val="2"/>
                <w:sz w:val="21"/>
                <w:szCs w:val="21"/>
              </w:rPr>
            </w:pPr>
            <w:r>
              <w:rPr>
                <w:rFonts w:ascii="Times New Roman" w:cs="Times New Roman"/>
                <w:spacing w:val="-3"/>
                <w:kern w:val="2"/>
                <w:sz w:val="21"/>
                <w:szCs w:val="21"/>
              </w:rPr>
              <w:t>科</w:t>
            </w:r>
            <w:r>
              <w:rPr>
                <w:rFonts w:ascii="Times New Roman" w:cs="Times New Roman"/>
                <w:spacing w:val="-2"/>
                <w:kern w:val="2"/>
                <w:sz w:val="21"/>
                <w:szCs w:val="21"/>
              </w:rPr>
              <w:t>数</w:t>
            </w:r>
          </w:p>
        </w:tc>
        <w:tc>
          <w:tcPr>
            <w:tcW w:w="1226" w:type="dxa"/>
          </w:tcPr>
          <w:p w:rsidR="00BD5820" w:rsidRDefault="00F64314">
            <w:pPr>
              <w:topLinePunct w:val="0"/>
              <w:adjustRightInd/>
              <w:spacing w:before="34" w:line="216" w:lineRule="auto"/>
              <w:ind w:left="146" w:firstLineChars="0" w:firstLine="0"/>
              <w:rPr>
                <w:rFonts w:ascii="Times New Roman" w:cs="Times New Roman"/>
                <w:kern w:val="2"/>
                <w:sz w:val="21"/>
                <w:szCs w:val="21"/>
              </w:rPr>
            </w:pPr>
            <w:r>
              <w:rPr>
                <w:rFonts w:ascii="Times New Roman" w:cs="Times New Roman"/>
                <w:spacing w:val="14"/>
                <w:kern w:val="2"/>
                <w:sz w:val="21"/>
                <w:szCs w:val="21"/>
              </w:rPr>
              <w:t>占</w:t>
            </w:r>
            <w:r>
              <w:rPr>
                <w:rFonts w:ascii="Times New Roman" w:cs="Times New Roman"/>
                <w:spacing w:val="12"/>
                <w:kern w:val="2"/>
                <w:sz w:val="21"/>
                <w:szCs w:val="21"/>
              </w:rPr>
              <w:t>比</w:t>
            </w:r>
            <w:r>
              <w:rPr>
                <w:rFonts w:ascii="Times New Roman" w:cs="Times New Roman"/>
                <w:spacing w:val="12"/>
                <w:kern w:val="2"/>
                <w:sz w:val="21"/>
                <w:szCs w:val="21"/>
              </w:rPr>
              <w:t>(</w:t>
            </w:r>
            <w:r>
              <w:rPr>
                <w:rFonts w:ascii="Times New Roman" w:eastAsia="Times New Roman" w:cs="Times New Roman"/>
                <w:spacing w:val="12"/>
                <w:kern w:val="2"/>
                <w:sz w:val="21"/>
                <w:szCs w:val="21"/>
              </w:rPr>
              <w:t>%</w:t>
            </w:r>
            <w:r>
              <w:rPr>
                <w:rFonts w:ascii="Times New Roman" w:cs="Times New Roman"/>
                <w:spacing w:val="12"/>
                <w:kern w:val="2"/>
                <w:sz w:val="21"/>
                <w:szCs w:val="21"/>
              </w:rPr>
              <w:t>)</w:t>
            </w:r>
          </w:p>
        </w:tc>
        <w:tc>
          <w:tcPr>
            <w:tcW w:w="868" w:type="dxa"/>
          </w:tcPr>
          <w:p w:rsidR="00BD5820" w:rsidRDefault="00F64314">
            <w:pPr>
              <w:topLinePunct w:val="0"/>
              <w:adjustRightInd/>
              <w:spacing w:before="34" w:line="216" w:lineRule="auto"/>
              <w:ind w:left="202" w:firstLineChars="0" w:firstLine="0"/>
              <w:rPr>
                <w:rFonts w:ascii="Times New Roman" w:cs="Times New Roman"/>
                <w:kern w:val="2"/>
                <w:sz w:val="21"/>
                <w:szCs w:val="21"/>
              </w:rPr>
            </w:pPr>
            <w:r>
              <w:rPr>
                <w:rFonts w:ascii="Times New Roman" w:cs="Times New Roman"/>
                <w:spacing w:val="-3"/>
                <w:kern w:val="2"/>
                <w:sz w:val="21"/>
                <w:szCs w:val="21"/>
              </w:rPr>
              <w:t>属</w:t>
            </w:r>
            <w:r>
              <w:rPr>
                <w:rFonts w:ascii="Times New Roman" w:cs="Times New Roman"/>
                <w:spacing w:val="-2"/>
                <w:kern w:val="2"/>
                <w:sz w:val="21"/>
                <w:szCs w:val="21"/>
              </w:rPr>
              <w:t>数</w:t>
            </w:r>
          </w:p>
        </w:tc>
        <w:tc>
          <w:tcPr>
            <w:tcW w:w="1258" w:type="dxa"/>
          </w:tcPr>
          <w:p w:rsidR="00BD5820" w:rsidRDefault="00F64314">
            <w:pPr>
              <w:topLinePunct w:val="0"/>
              <w:adjustRightInd/>
              <w:spacing w:before="34" w:line="216" w:lineRule="auto"/>
              <w:ind w:left="148" w:firstLineChars="0" w:firstLine="0"/>
              <w:rPr>
                <w:rFonts w:ascii="Times New Roman" w:cs="Times New Roman"/>
                <w:kern w:val="2"/>
                <w:sz w:val="21"/>
                <w:szCs w:val="21"/>
              </w:rPr>
            </w:pPr>
            <w:r>
              <w:rPr>
                <w:rFonts w:ascii="Times New Roman" w:cs="Times New Roman"/>
                <w:spacing w:val="14"/>
                <w:kern w:val="2"/>
                <w:sz w:val="21"/>
                <w:szCs w:val="21"/>
              </w:rPr>
              <w:t>占</w:t>
            </w:r>
            <w:r>
              <w:rPr>
                <w:rFonts w:ascii="Times New Roman" w:cs="Times New Roman"/>
                <w:spacing w:val="12"/>
                <w:kern w:val="2"/>
                <w:sz w:val="21"/>
                <w:szCs w:val="21"/>
              </w:rPr>
              <w:t>比</w:t>
            </w:r>
            <w:r>
              <w:rPr>
                <w:rFonts w:ascii="Times New Roman" w:cs="Times New Roman"/>
                <w:spacing w:val="12"/>
                <w:kern w:val="2"/>
                <w:sz w:val="21"/>
                <w:szCs w:val="21"/>
              </w:rPr>
              <w:t>(</w:t>
            </w:r>
            <w:r>
              <w:rPr>
                <w:rFonts w:ascii="Times New Roman" w:eastAsia="Times New Roman" w:cs="Times New Roman"/>
                <w:spacing w:val="12"/>
                <w:kern w:val="2"/>
                <w:sz w:val="21"/>
                <w:szCs w:val="21"/>
              </w:rPr>
              <w:t>%</w:t>
            </w:r>
            <w:r>
              <w:rPr>
                <w:rFonts w:ascii="Times New Roman" w:cs="Times New Roman"/>
                <w:spacing w:val="12"/>
                <w:kern w:val="2"/>
                <w:sz w:val="21"/>
                <w:szCs w:val="21"/>
              </w:rPr>
              <w:t>)</w:t>
            </w:r>
          </w:p>
        </w:tc>
        <w:tc>
          <w:tcPr>
            <w:tcW w:w="868" w:type="dxa"/>
          </w:tcPr>
          <w:p w:rsidR="00BD5820" w:rsidRDefault="00F64314">
            <w:pPr>
              <w:topLinePunct w:val="0"/>
              <w:adjustRightInd/>
              <w:spacing w:before="34" w:line="216" w:lineRule="auto"/>
              <w:ind w:left="201" w:firstLineChars="0" w:firstLine="0"/>
              <w:rPr>
                <w:rFonts w:ascii="Times New Roman" w:cs="Times New Roman"/>
                <w:kern w:val="2"/>
                <w:sz w:val="21"/>
                <w:szCs w:val="21"/>
              </w:rPr>
            </w:pPr>
            <w:r>
              <w:rPr>
                <w:rFonts w:ascii="Times New Roman" w:cs="Times New Roman"/>
                <w:spacing w:val="-3"/>
                <w:kern w:val="2"/>
                <w:sz w:val="21"/>
                <w:szCs w:val="21"/>
              </w:rPr>
              <w:t>种</w:t>
            </w:r>
            <w:r>
              <w:rPr>
                <w:rFonts w:ascii="Times New Roman" w:cs="Times New Roman"/>
                <w:spacing w:val="-2"/>
                <w:kern w:val="2"/>
                <w:sz w:val="21"/>
                <w:szCs w:val="21"/>
              </w:rPr>
              <w:t>数</w:t>
            </w:r>
          </w:p>
        </w:tc>
        <w:tc>
          <w:tcPr>
            <w:tcW w:w="1207" w:type="dxa"/>
          </w:tcPr>
          <w:p w:rsidR="00BD5820" w:rsidRDefault="00F64314">
            <w:pPr>
              <w:topLinePunct w:val="0"/>
              <w:adjustRightInd/>
              <w:spacing w:before="34" w:line="216" w:lineRule="auto"/>
              <w:ind w:left="149" w:firstLineChars="0" w:firstLine="0"/>
              <w:rPr>
                <w:rFonts w:ascii="Times New Roman" w:cs="Times New Roman"/>
                <w:kern w:val="2"/>
                <w:sz w:val="21"/>
                <w:szCs w:val="21"/>
              </w:rPr>
            </w:pPr>
            <w:r>
              <w:rPr>
                <w:rFonts w:ascii="Times New Roman" w:cs="Times New Roman"/>
                <w:spacing w:val="14"/>
                <w:kern w:val="2"/>
                <w:sz w:val="21"/>
                <w:szCs w:val="21"/>
              </w:rPr>
              <w:t>占</w:t>
            </w:r>
            <w:r>
              <w:rPr>
                <w:rFonts w:ascii="Times New Roman" w:cs="Times New Roman"/>
                <w:spacing w:val="12"/>
                <w:kern w:val="2"/>
                <w:sz w:val="21"/>
                <w:szCs w:val="21"/>
              </w:rPr>
              <w:t>比</w:t>
            </w:r>
            <w:r>
              <w:rPr>
                <w:rFonts w:ascii="Times New Roman" w:cs="Times New Roman"/>
                <w:spacing w:val="12"/>
                <w:kern w:val="2"/>
                <w:sz w:val="21"/>
                <w:szCs w:val="21"/>
              </w:rPr>
              <w:t>(</w:t>
            </w:r>
            <w:r>
              <w:rPr>
                <w:rFonts w:ascii="Times New Roman" w:eastAsia="Times New Roman" w:cs="Times New Roman"/>
                <w:spacing w:val="12"/>
                <w:kern w:val="2"/>
                <w:sz w:val="21"/>
                <w:szCs w:val="21"/>
              </w:rPr>
              <w:t>%</w:t>
            </w:r>
            <w:r>
              <w:rPr>
                <w:rFonts w:ascii="Times New Roman" w:cs="Times New Roman"/>
                <w:spacing w:val="12"/>
                <w:kern w:val="2"/>
                <w:sz w:val="21"/>
                <w:szCs w:val="21"/>
              </w:rPr>
              <w:t>)</w:t>
            </w:r>
          </w:p>
        </w:tc>
      </w:tr>
      <w:tr w:rsidR="00BD5820">
        <w:trPr>
          <w:trHeight w:val="277"/>
          <w:jc w:val="center"/>
        </w:trPr>
        <w:tc>
          <w:tcPr>
            <w:tcW w:w="1808" w:type="dxa"/>
            <w:gridSpan w:val="2"/>
          </w:tcPr>
          <w:p w:rsidR="00BD5820" w:rsidRDefault="00F64314">
            <w:pPr>
              <w:topLinePunct w:val="0"/>
              <w:adjustRightInd/>
              <w:spacing w:before="32" w:line="215" w:lineRule="auto"/>
              <w:ind w:left="637" w:firstLineChars="0" w:firstLine="0"/>
              <w:rPr>
                <w:rFonts w:ascii="Times New Roman" w:cs="Times New Roman"/>
                <w:kern w:val="2"/>
                <w:sz w:val="21"/>
                <w:szCs w:val="21"/>
              </w:rPr>
            </w:pPr>
            <w:r>
              <w:rPr>
                <w:rFonts w:ascii="Times New Roman" w:cs="Times New Roman"/>
                <w:spacing w:val="-2"/>
                <w:kern w:val="2"/>
                <w:sz w:val="21"/>
                <w:szCs w:val="21"/>
              </w:rPr>
              <w:t>蕨类植</w:t>
            </w:r>
            <w:r>
              <w:rPr>
                <w:rFonts w:ascii="Times New Roman" w:cs="Times New Roman"/>
                <w:spacing w:val="-1"/>
                <w:kern w:val="2"/>
                <w:sz w:val="21"/>
                <w:szCs w:val="21"/>
              </w:rPr>
              <w:t>物</w:t>
            </w:r>
          </w:p>
        </w:tc>
        <w:tc>
          <w:tcPr>
            <w:tcW w:w="877" w:type="dxa"/>
          </w:tcPr>
          <w:p w:rsidR="00BD5820" w:rsidRDefault="00F64314">
            <w:pPr>
              <w:topLinePunct w:val="0"/>
              <w:adjustRightInd/>
              <w:spacing w:before="69" w:line="186" w:lineRule="auto"/>
              <w:ind w:left="361" w:firstLineChars="0" w:firstLine="0"/>
              <w:rPr>
                <w:rFonts w:ascii="Times New Roman" w:eastAsia="Times New Roman" w:cs="Times New Roman"/>
                <w:kern w:val="2"/>
                <w:sz w:val="21"/>
                <w:szCs w:val="21"/>
              </w:rPr>
            </w:pPr>
            <w:r>
              <w:rPr>
                <w:rFonts w:ascii="Times New Roman" w:eastAsia="Times New Roman" w:cs="Times New Roman"/>
                <w:kern w:val="2"/>
                <w:sz w:val="21"/>
                <w:szCs w:val="21"/>
              </w:rPr>
              <w:t>9</w:t>
            </w:r>
          </w:p>
        </w:tc>
        <w:tc>
          <w:tcPr>
            <w:tcW w:w="1226" w:type="dxa"/>
          </w:tcPr>
          <w:p w:rsidR="00BD5820" w:rsidRDefault="00F64314">
            <w:pPr>
              <w:topLinePunct w:val="0"/>
              <w:adjustRightInd/>
              <w:spacing w:before="69" w:line="186" w:lineRule="auto"/>
              <w:ind w:left="405" w:firstLineChars="0" w:firstLine="0"/>
              <w:rPr>
                <w:rFonts w:ascii="Times New Roman" w:eastAsia="Times New Roman" w:cs="Times New Roman"/>
                <w:kern w:val="2"/>
                <w:sz w:val="21"/>
                <w:szCs w:val="21"/>
              </w:rPr>
            </w:pPr>
            <w:r>
              <w:rPr>
                <w:rFonts w:ascii="Times New Roman" w:eastAsia="Times New Roman" w:cs="Times New Roman"/>
                <w:spacing w:val="-3"/>
                <w:kern w:val="2"/>
                <w:sz w:val="21"/>
                <w:szCs w:val="21"/>
              </w:rPr>
              <w:t>6</w:t>
            </w:r>
            <w:r>
              <w:rPr>
                <w:rFonts w:ascii="Times New Roman" w:eastAsia="Times New Roman" w:cs="Times New Roman"/>
                <w:spacing w:val="-2"/>
                <w:kern w:val="2"/>
                <w:sz w:val="21"/>
                <w:szCs w:val="21"/>
              </w:rPr>
              <w:t>.47</w:t>
            </w:r>
          </w:p>
        </w:tc>
        <w:tc>
          <w:tcPr>
            <w:tcW w:w="868" w:type="dxa"/>
          </w:tcPr>
          <w:p w:rsidR="00BD5820" w:rsidRDefault="00F64314">
            <w:pPr>
              <w:topLinePunct w:val="0"/>
              <w:adjustRightInd/>
              <w:spacing w:before="69" w:line="186" w:lineRule="auto"/>
              <w:ind w:left="321" w:firstLineChars="0" w:firstLine="0"/>
              <w:rPr>
                <w:rFonts w:ascii="Times New Roman" w:eastAsia="Times New Roman" w:cs="Times New Roman"/>
                <w:kern w:val="2"/>
                <w:sz w:val="21"/>
                <w:szCs w:val="21"/>
              </w:rPr>
            </w:pPr>
            <w:r>
              <w:rPr>
                <w:rFonts w:ascii="Times New Roman" w:eastAsia="Times New Roman" w:cs="Times New Roman"/>
                <w:spacing w:val="-6"/>
                <w:kern w:val="2"/>
                <w:sz w:val="21"/>
                <w:szCs w:val="21"/>
              </w:rPr>
              <w:t>18</w:t>
            </w:r>
          </w:p>
        </w:tc>
        <w:tc>
          <w:tcPr>
            <w:tcW w:w="1258" w:type="dxa"/>
          </w:tcPr>
          <w:p w:rsidR="00BD5820" w:rsidRDefault="00F64314">
            <w:pPr>
              <w:topLinePunct w:val="0"/>
              <w:adjustRightInd/>
              <w:spacing w:before="69" w:line="186" w:lineRule="auto"/>
              <w:ind w:left="423" w:firstLineChars="0" w:firstLine="0"/>
              <w:rPr>
                <w:rFonts w:ascii="Times New Roman" w:eastAsia="Times New Roman" w:cs="Times New Roman"/>
                <w:kern w:val="2"/>
                <w:sz w:val="21"/>
                <w:szCs w:val="21"/>
              </w:rPr>
            </w:pPr>
            <w:r>
              <w:rPr>
                <w:rFonts w:ascii="Times New Roman" w:eastAsia="Times New Roman" w:cs="Times New Roman"/>
                <w:spacing w:val="-2"/>
                <w:kern w:val="2"/>
                <w:sz w:val="21"/>
                <w:szCs w:val="21"/>
              </w:rPr>
              <w:t>3.44</w:t>
            </w:r>
          </w:p>
        </w:tc>
        <w:tc>
          <w:tcPr>
            <w:tcW w:w="868" w:type="dxa"/>
          </w:tcPr>
          <w:p w:rsidR="00BD5820" w:rsidRDefault="00F64314">
            <w:pPr>
              <w:topLinePunct w:val="0"/>
              <w:adjustRightInd/>
              <w:spacing w:before="69" w:line="186" w:lineRule="auto"/>
              <w:ind w:left="306" w:firstLineChars="0" w:firstLine="0"/>
              <w:rPr>
                <w:rFonts w:ascii="Times New Roman" w:eastAsia="Times New Roman" w:cs="Times New Roman"/>
                <w:kern w:val="2"/>
                <w:sz w:val="21"/>
                <w:szCs w:val="21"/>
              </w:rPr>
            </w:pPr>
            <w:r>
              <w:rPr>
                <w:rFonts w:ascii="Times New Roman" w:eastAsia="Times New Roman" w:cs="Times New Roman"/>
                <w:spacing w:val="-3"/>
                <w:kern w:val="2"/>
                <w:sz w:val="21"/>
                <w:szCs w:val="21"/>
              </w:rPr>
              <w:t>3</w:t>
            </w:r>
            <w:r>
              <w:rPr>
                <w:rFonts w:ascii="Times New Roman" w:eastAsia="Times New Roman" w:cs="Times New Roman"/>
                <w:spacing w:val="-2"/>
                <w:kern w:val="2"/>
                <w:sz w:val="21"/>
                <w:szCs w:val="21"/>
              </w:rPr>
              <w:t>1</w:t>
            </w:r>
          </w:p>
        </w:tc>
        <w:tc>
          <w:tcPr>
            <w:tcW w:w="1207" w:type="dxa"/>
          </w:tcPr>
          <w:p w:rsidR="00BD5820" w:rsidRDefault="00F64314">
            <w:pPr>
              <w:topLinePunct w:val="0"/>
              <w:adjustRightInd/>
              <w:spacing w:before="69" w:line="186" w:lineRule="auto"/>
              <w:ind w:left="396" w:firstLineChars="0" w:firstLine="0"/>
              <w:rPr>
                <w:rFonts w:ascii="Times New Roman" w:eastAsia="Times New Roman" w:cs="Times New Roman"/>
                <w:kern w:val="2"/>
                <w:sz w:val="21"/>
                <w:szCs w:val="21"/>
              </w:rPr>
            </w:pPr>
            <w:r>
              <w:rPr>
                <w:rFonts w:ascii="Times New Roman" w:eastAsia="Times New Roman" w:cs="Times New Roman"/>
                <w:spacing w:val="-2"/>
                <w:kern w:val="2"/>
                <w:sz w:val="21"/>
                <w:szCs w:val="21"/>
              </w:rPr>
              <w:t>3.35</w:t>
            </w:r>
          </w:p>
        </w:tc>
      </w:tr>
      <w:tr w:rsidR="00BD5820">
        <w:trPr>
          <w:trHeight w:val="276"/>
          <w:jc w:val="center"/>
        </w:trPr>
        <w:tc>
          <w:tcPr>
            <w:tcW w:w="709" w:type="dxa"/>
            <w:vMerge w:val="restart"/>
          </w:tcPr>
          <w:p w:rsidR="00BD5820" w:rsidRDefault="00F64314">
            <w:pPr>
              <w:topLinePunct w:val="0"/>
              <w:adjustRightInd/>
              <w:spacing w:before="37" w:line="239" w:lineRule="auto"/>
              <w:ind w:left="216" w:firstLineChars="0" w:firstLine="0"/>
              <w:rPr>
                <w:rFonts w:ascii="Times New Roman" w:cs="Times New Roman"/>
                <w:kern w:val="2"/>
                <w:sz w:val="21"/>
                <w:szCs w:val="21"/>
              </w:rPr>
            </w:pPr>
            <w:r>
              <w:rPr>
                <w:rFonts w:ascii="Times New Roman" w:cs="Times New Roman"/>
                <w:spacing w:val="-3"/>
                <w:kern w:val="2"/>
                <w:sz w:val="21"/>
                <w:szCs w:val="21"/>
              </w:rPr>
              <w:t>种</w:t>
            </w:r>
            <w:r>
              <w:rPr>
                <w:rFonts w:ascii="Times New Roman" w:cs="Times New Roman"/>
                <w:spacing w:val="-2"/>
                <w:kern w:val="2"/>
                <w:sz w:val="21"/>
                <w:szCs w:val="21"/>
              </w:rPr>
              <w:t>子</w:t>
            </w:r>
          </w:p>
          <w:p w:rsidR="00BD5820" w:rsidRDefault="00F64314">
            <w:pPr>
              <w:topLinePunct w:val="0"/>
              <w:adjustRightInd/>
              <w:spacing w:line="217" w:lineRule="auto"/>
              <w:ind w:left="217" w:firstLineChars="0" w:firstLine="0"/>
              <w:rPr>
                <w:rFonts w:ascii="Times New Roman" w:cs="Times New Roman"/>
                <w:kern w:val="2"/>
                <w:sz w:val="21"/>
                <w:szCs w:val="21"/>
              </w:rPr>
            </w:pPr>
            <w:r>
              <w:rPr>
                <w:rFonts w:ascii="Times New Roman" w:cs="Times New Roman"/>
                <w:spacing w:val="-3"/>
                <w:kern w:val="2"/>
                <w:sz w:val="21"/>
                <w:szCs w:val="21"/>
              </w:rPr>
              <w:t>植</w:t>
            </w:r>
            <w:r>
              <w:rPr>
                <w:rFonts w:ascii="Times New Roman" w:cs="Times New Roman"/>
                <w:spacing w:val="-2"/>
                <w:kern w:val="2"/>
                <w:sz w:val="21"/>
                <w:szCs w:val="21"/>
              </w:rPr>
              <w:t>物</w:t>
            </w:r>
          </w:p>
        </w:tc>
        <w:tc>
          <w:tcPr>
            <w:tcW w:w="1099" w:type="dxa"/>
          </w:tcPr>
          <w:p w:rsidR="00BD5820" w:rsidRDefault="00F64314">
            <w:pPr>
              <w:topLinePunct w:val="0"/>
              <w:adjustRightInd/>
              <w:spacing w:before="32" w:line="214" w:lineRule="auto"/>
              <w:ind w:left="183" w:firstLineChars="0" w:firstLine="0"/>
              <w:rPr>
                <w:rFonts w:ascii="Times New Roman" w:cs="Times New Roman"/>
                <w:kern w:val="2"/>
                <w:sz w:val="21"/>
                <w:szCs w:val="21"/>
              </w:rPr>
            </w:pPr>
            <w:r>
              <w:rPr>
                <w:rFonts w:ascii="Times New Roman" w:cs="Times New Roman"/>
                <w:spacing w:val="-2"/>
                <w:kern w:val="2"/>
                <w:sz w:val="21"/>
                <w:szCs w:val="21"/>
              </w:rPr>
              <w:t>裸子植</w:t>
            </w:r>
            <w:r>
              <w:rPr>
                <w:rFonts w:ascii="Times New Roman" w:cs="Times New Roman"/>
                <w:spacing w:val="-1"/>
                <w:kern w:val="2"/>
                <w:sz w:val="21"/>
                <w:szCs w:val="21"/>
              </w:rPr>
              <w:t>物</w:t>
            </w:r>
          </w:p>
        </w:tc>
        <w:tc>
          <w:tcPr>
            <w:tcW w:w="877" w:type="dxa"/>
          </w:tcPr>
          <w:p w:rsidR="00BD5820" w:rsidRDefault="00F64314">
            <w:pPr>
              <w:topLinePunct w:val="0"/>
              <w:adjustRightInd/>
              <w:spacing w:before="73" w:line="183" w:lineRule="auto"/>
              <w:ind w:left="363" w:firstLineChars="0" w:firstLine="0"/>
              <w:rPr>
                <w:rFonts w:ascii="Times New Roman" w:eastAsia="Times New Roman" w:cs="Times New Roman"/>
                <w:kern w:val="2"/>
                <w:sz w:val="21"/>
                <w:szCs w:val="21"/>
              </w:rPr>
            </w:pPr>
            <w:r>
              <w:rPr>
                <w:rFonts w:ascii="Times New Roman" w:eastAsia="Times New Roman" w:cs="Times New Roman"/>
                <w:kern w:val="2"/>
                <w:sz w:val="21"/>
                <w:szCs w:val="21"/>
              </w:rPr>
              <w:t>5</w:t>
            </w:r>
          </w:p>
        </w:tc>
        <w:tc>
          <w:tcPr>
            <w:tcW w:w="1226" w:type="dxa"/>
          </w:tcPr>
          <w:p w:rsidR="00BD5820" w:rsidRDefault="00F64314">
            <w:pPr>
              <w:topLinePunct w:val="0"/>
              <w:adjustRightInd/>
              <w:spacing w:before="70" w:line="186" w:lineRule="auto"/>
              <w:ind w:left="405" w:firstLineChars="0" w:firstLine="0"/>
              <w:rPr>
                <w:rFonts w:ascii="Times New Roman" w:eastAsia="Times New Roman" w:cs="Times New Roman"/>
                <w:kern w:val="2"/>
                <w:sz w:val="21"/>
                <w:szCs w:val="21"/>
              </w:rPr>
            </w:pPr>
            <w:r>
              <w:rPr>
                <w:rFonts w:ascii="Times New Roman" w:eastAsia="Times New Roman" w:cs="Times New Roman"/>
                <w:spacing w:val="-2"/>
                <w:kern w:val="2"/>
                <w:sz w:val="21"/>
                <w:szCs w:val="21"/>
              </w:rPr>
              <w:t>3.60</w:t>
            </w:r>
          </w:p>
        </w:tc>
        <w:tc>
          <w:tcPr>
            <w:tcW w:w="868" w:type="dxa"/>
          </w:tcPr>
          <w:p w:rsidR="00BD5820" w:rsidRDefault="00F64314">
            <w:pPr>
              <w:topLinePunct w:val="0"/>
              <w:adjustRightInd/>
              <w:spacing w:before="73" w:line="183" w:lineRule="auto"/>
              <w:ind w:left="357" w:firstLineChars="0" w:firstLine="0"/>
              <w:rPr>
                <w:rFonts w:ascii="Times New Roman" w:eastAsia="Times New Roman" w:cs="Times New Roman"/>
                <w:kern w:val="2"/>
                <w:sz w:val="21"/>
                <w:szCs w:val="21"/>
              </w:rPr>
            </w:pPr>
            <w:r>
              <w:rPr>
                <w:rFonts w:ascii="Times New Roman" w:eastAsia="Times New Roman" w:cs="Times New Roman"/>
                <w:kern w:val="2"/>
                <w:sz w:val="21"/>
                <w:szCs w:val="21"/>
              </w:rPr>
              <w:t>7</w:t>
            </w:r>
          </w:p>
        </w:tc>
        <w:tc>
          <w:tcPr>
            <w:tcW w:w="1258" w:type="dxa"/>
          </w:tcPr>
          <w:p w:rsidR="00BD5820" w:rsidRDefault="00F64314">
            <w:pPr>
              <w:topLinePunct w:val="0"/>
              <w:adjustRightInd/>
              <w:spacing w:before="70" w:line="186" w:lineRule="auto"/>
              <w:ind w:left="439" w:firstLineChars="0" w:firstLine="0"/>
              <w:rPr>
                <w:rFonts w:ascii="Times New Roman" w:eastAsia="Times New Roman" w:cs="Times New Roman"/>
                <w:kern w:val="2"/>
                <w:sz w:val="21"/>
                <w:szCs w:val="21"/>
              </w:rPr>
            </w:pPr>
            <w:r>
              <w:rPr>
                <w:rFonts w:ascii="Times New Roman" w:eastAsia="Times New Roman" w:cs="Times New Roman"/>
                <w:spacing w:val="-6"/>
                <w:kern w:val="2"/>
                <w:sz w:val="21"/>
                <w:szCs w:val="21"/>
              </w:rPr>
              <w:t>1.34</w:t>
            </w:r>
          </w:p>
        </w:tc>
        <w:tc>
          <w:tcPr>
            <w:tcW w:w="868" w:type="dxa"/>
          </w:tcPr>
          <w:p w:rsidR="00BD5820" w:rsidRDefault="00F64314">
            <w:pPr>
              <w:topLinePunct w:val="0"/>
              <w:adjustRightInd/>
              <w:spacing w:before="70" w:line="186" w:lineRule="auto"/>
              <w:ind w:left="359" w:firstLineChars="0" w:firstLine="0"/>
              <w:rPr>
                <w:rFonts w:ascii="Times New Roman" w:eastAsia="Times New Roman" w:cs="Times New Roman"/>
                <w:kern w:val="2"/>
                <w:sz w:val="21"/>
                <w:szCs w:val="21"/>
              </w:rPr>
            </w:pPr>
            <w:r>
              <w:rPr>
                <w:rFonts w:ascii="Times New Roman" w:eastAsia="Times New Roman" w:cs="Times New Roman"/>
                <w:kern w:val="2"/>
                <w:sz w:val="21"/>
                <w:szCs w:val="21"/>
              </w:rPr>
              <w:t>9</w:t>
            </w:r>
          </w:p>
        </w:tc>
        <w:tc>
          <w:tcPr>
            <w:tcW w:w="1207" w:type="dxa"/>
          </w:tcPr>
          <w:p w:rsidR="00BD5820" w:rsidRDefault="00F64314">
            <w:pPr>
              <w:topLinePunct w:val="0"/>
              <w:adjustRightInd/>
              <w:spacing w:before="70" w:line="186" w:lineRule="auto"/>
              <w:ind w:left="395" w:firstLineChars="0" w:firstLine="0"/>
              <w:rPr>
                <w:rFonts w:ascii="Times New Roman" w:eastAsia="Times New Roman" w:cs="Times New Roman"/>
                <w:kern w:val="2"/>
                <w:sz w:val="21"/>
                <w:szCs w:val="21"/>
              </w:rPr>
            </w:pPr>
            <w:r>
              <w:rPr>
                <w:rFonts w:ascii="Times New Roman" w:eastAsia="Times New Roman" w:cs="Times New Roman"/>
                <w:spacing w:val="-2"/>
                <w:kern w:val="2"/>
                <w:sz w:val="21"/>
                <w:szCs w:val="21"/>
              </w:rPr>
              <w:t>0.9</w:t>
            </w:r>
            <w:r>
              <w:rPr>
                <w:rFonts w:ascii="Times New Roman" w:eastAsia="Times New Roman" w:cs="Times New Roman"/>
                <w:spacing w:val="-1"/>
                <w:kern w:val="2"/>
                <w:sz w:val="21"/>
                <w:szCs w:val="21"/>
              </w:rPr>
              <w:t>7</w:t>
            </w:r>
          </w:p>
        </w:tc>
      </w:tr>
      <w:tr w:rsidR="00BD5820">
        <w:trPr>
          <w:trHeight w:val="276"/>
          <w:jc w:val="center"/>
        </w:trPr>
        <w:tc>
          <w:tcPr>
            <w:tcW w:w="709" w:type="dxa"/>
            <w:vMerge/>
          </w:tcPr>
          <w:p w:rsidR="00BD5820" w:rsidRDefault="00BD5820">
            <w:pPr>
              <w:topLinePunct w:val="0"/>
              <w:adjustRightInd/>
              <w:spacing w:line="240" w:lineRule="auto"/>
              <w:ind w:firstLineChars="0" w:firstLine="0"/>
              <w:rPr>
                <w:rFonts w:ascii="Times New Roman" w:cs="Times New Roman"/>
                <w:kern w:val="2"/>
                <w:sz w:val="21"/>
              </w:rPr>
            </w:pPr>
          </w:p>
        </w:tc>
        <w:tc>
          <w:tcPr>
            <w:tcW w:w="1099" w:type="dxa"/>
          </w:tcPr>
          <w:p w:rsidR="00BD5820" w:rsidRDefault="00F64314">
            <w:pPr>
              <w:topLinePunct w:val="0"/>
              <w:adjustRightInd/>
              <w:spacing w:before="33" w:line="213" w:lineRule="auto"/>
              <w:ind w:left="183" w:firstLineChars="0" w:firstLine="0"/>
              <w:rPr>
                <w:rFonts w:ascii="Times New Roman" w:cs="Times New Roman"/>
                <w:kern w:val="2"/>
                <w:sz w:val="21"/>
                <w:szCs w:val="21"/>
              </w:rPr>
            </w:pPr>
            <w:r>
              <w:rPr>
                <w:rFonts w:ascii="Times New Roman" w:cs="Times New Roman"/>
                <w:spacing w:val="-2"/>
                <w:kern w:val="2"/>
                <w:sz w:val="21"/>
                <w:szCs w:val="21"/>
              </w:rPr>
              <w:t>被子植</w:t>
            </w:r>
            <w:r>
              <w:rPr>
                <w:rFonts w:ascii="Times New Roman" w:cs="Times New Roman"/>
                <w:spacing w:val="-1"/>
                <w:kern w:val="2"/>
                <w:sz w:val="21"/>
                <w:szCs w:val="21"/>
              </w:rPr>
              <w:t>物</w:t>
            </w:r>
          </w:p>
        </w:tc>
        <w:tc>
          <w:tcPr>
            <w:tcW w:w="877" w:type="dxa"/>
          </w:tcPr>
          <w:p w:rsidR="00BD5820" w:rsidRDefault="00F64314">
            <w:pPr>
              <w:topLinePunct w:val="0"/>
              <w:adjustRightInd/>
              <w:spacing w:before="71" w:line="186" w:lineRule="auto"/>
              <w:ind w:left="271" w:firstLineChars="0" w:firstLine="0"/>
              <w:rPr>
                <w:rFonts w:ascii="Times New Roman" w:eastAsia="Times New Roman" w:cs="Times New Roman"/>
                <w:kern w:val="2"/>
                <w:sz w:val="21"/>
                <w:szCs w:val="21"/>
              </w:rPr>
            </w:pPr>
            <w:r>
              <w:rPr>
                <w:rFonts w:ascii="Times New Roman" w:eastAsia="Times New Roman" w:cs="Times New Roman"/>
                <w:spacing w:val="-7"/>
                <w:kern w:val="2"/>
                <w:sz w:val="21"/>
                <w:szCs w:val="21"/>
              </w:rPr>
              <w:t>1</w:t>
            </w:r>
            <w:r>
              <w:rPr>
                <w:rFonts w:ascii="Times New Roman" w:eastAsia="Times New Roman" w:cs="Times New Roman"/>
                <w:spacing w:val="-5"/>
                <w:kern w:val="2"/>
                <w:sz w:val="21"/>
                <w:szCs w:val="21"/>
              </w:rPr>
              <w:t>25</w:t>
            </w:r>
          </w:p>
        </w:tc>
        <w:tc>
          <w:tcPr>
            <w:tcW w:w="1226" w:type="dxa"/>
          </w:tcPr>
          <w:p w:rsidR="00BD5820" w:rsidRDefault="00F64314">
            <w:pPr>
              <w:topLinePunct w:val="0"/>
              <w:adjustRightInd/>
              <w:spacing w:before="71" w:line="186" w:lineRule="auto"/>
              <w:ind w:left="356" w:firstLineChars="0" w:firstLine="0"/>
              <w:rPr>
                <w:rFonts w:ascii="Times New Roman" w:eastAsia="Times New Roman" w:cs="Times New Roman"/>
                <w:kern w:val="2"/>
                <w:sz w:val="21"/>
                <w:szCs w:val="21"/>
              </w:rPr>
            </w:pPr>
            <w:r>
              <w:rPr>
                <w:rFonts w:ascii="Times New Roman" w:eastAsia="Times New Roman" w:cs="Times New Roman"/>
                <w:spacing w:val="-4"/>
                <w:kern w:val="2"/>
                <w:sz w:val="21"/>
                <w:szCs w:val="21"/>
              </w:rPr>
              <w:t>8</w:t>
            </w:r>
            <w:r>
              <w:rPr>
                <w:rFonts w:ascii="Times New Roman" w:eastAsia="Times New Roman" w:cs="Times New Roman"/>
                <w:spacing w:val="-3"/>
                <w:kern w:val="2"/>
                <w:sz w:val="21"/>
                <w:szCs w:val="21"/>
              </w:rPr>
              <w:t>9</w:t>
            </w:r>
            <w:r>
              <w:rPr>
                <w:rFonts w:ascii="Times New Roman" w:eastAsia="Times New Roman" w:cs="Times New Roman"/>
                <w:spacing w:val="-2"/>
                <w:kern w:val="2"/>
                <w:sz w:val="21"/>
                <w:szCs w:val="21"/>
              </w:rPr>
              <w:t>.93</w:t>
            </w:r>
          </w:p>
        </w:tc>
        <w:tc>
          <w:tcPr>
            <w:tcW w:w="868" w:type="dxa"/>
          </w:tcPr>
          <w:p w:rsidR="00BD5820" w:rsidRDefault="00F64314">
            <w:pPr>
              <w:topLinePunct w:val="0"/>
              <w:adjustRightInd/>
              <w:spacing w:before="71" w:line="186" w:lineRule="auto"/>
              <w:ind w:left="248" w:firstLineChars="0" w:firstLine="0"/>
              <w:rPr>
                <w:rFonts w:ascii="Times New Roman" w:eastAsia="Times New Roman" w:cs="Times New Roman"/>
                <w:kern w:val="2"/>
                <w:sz w:val="21"/>
                <w:szCs w:val="21"/>
              </w:rPr>
            </w:pPr>
            <w:r>
              <w:rPr>
                <w:rFonts w:ascii="Times New Roman" w:eastAsia="Times New Roman" w:cs="Times New Roman"/>
                <w:spacing w:val="-1"/>
                <w:kern w:val="2"/>
                <w:sz w:val="21"/>
                <w:szCs w:val="21"/>
              </w:rPr>
              <w:t>499</w:t>
            </w:r>
          </w:p>
        </w:tc>
        <w:tc>
          <w:tcPr>
            <w:tcW w:w="1258" w:type="dxa"/>
          </w:tcPr>
          <w:p w:rsidR="00BD5820" w:rsidRDefault="00F64314">
            <w:pPr>
              <w:topLinePunct w:val="0"/>
              <w:adjustRightInd/>
              <w:spacing w:before="71" w:line="186" w:lineRule="auto"/>
              <w:ind w:left="370" w:firstLineChars="0" w:firstLine="0"/>
              <w:rPr>
                <w:rFonts w:ascii="Times New Roman" w:eastAsia="Times New Roman" w:cs="Times New Roman"/>
                <w:kern w:val="2"/>
                <w:sz w:val="21"/>
                <w:szCs w:val="21"/>
              </w:rPr>
            </w:pPr>
            <w:r>
              <w:rPr>
                <w:rFonts w:ascii="Times New Roman" w:eastAsia="Times New Roman" w:cs="Times New Roman"/>
                <w:spacing w:val="-2"/>
                <w:kern w:val="2"/>
                <w:sz w:val="21"/>
                <w:szCs w:val="21"/>
              </w:rPr>
              <w:t>95.</w:t>
            </w:r>
            <w:r>
              <w:rPr>
                <w:rFonts w:ascii="Times New Roman" w:eastAsia="Times New Roman" w:cs="Times New Roman"/>
                <w:spacing w:val="-1"/>
                <w:kern w:val="2"/>
                <w:sz w:val="21"/>
                <w:szCs w:val="21"/>
              </w:rPr>
              <w:t>22</w:t>
            </w:r>
          </w:p>
        </w:tc>
        <w:tc>
          <w:tcPr>
            <w:tcW w:w="868" w:type="dxa"/>
          </w:tcPr>
          <w:p w:rsidR="00BD5820" w:rsidRDefault="00F64314">
            <w:pPr>
              <w:topLinePunct w:val="0"/>
              <w:adjustRightInd/>
              <w:spacing w:before="71" w:line="186" w:lineRule="auto"/>
              <w:ind w:left="259" w:firstLineChars="0" w:firstLine="0"/>
              <w:rPr>
                <w:rFonts w:ascii="Times New Roman" w:eastAsia="Times New Roman" w:cs="Times New Roman"/>
                <w:kern w:val="2"/>
                <w:sz w:val="21"/>
                <w:szCs w:val="21"/>
              </w:rPr>
            </w:pPr>
            <w:r>
              <w:rPr>
                <w:rFonts w:ascii="Times New Roman" w:eastAsia="Times New Roman" w:cs="Times New Roman"/>
                <w:spacing w:val="-3"/>
                <w:kern w:val="2"/>
                <w:sz w:val="21"/>
                <w:szCs w:val="21"/>
              </w:rPr>
              <w:t>885</w:t>
            </w:r>
          </w:p>
        </w:tc>
        <w:tc>
          <w:tcPr>
            <w:tcW w:w="1207" w:type="dxa"/>
          </w:tcPr>
          <w:p w:rsidR="00BD5820" w:rsidRDefault="00F64314">
            <w:pPr>
              <w:topLinePunct w:val="0"/>
              <w:adjustRightInd/>
              <w:spacing w:before="71" w:line="186" w:lineRule="auto"/>
              <w:ind w:left="343" w:firstLineChars="0" w:firstLine="0"/>
              <w:rPr>
                <w:rFonts w:ascii="Times New Roman" w:eastAsia="Times New Roman" w:cs="Times New Roman"/>
                <w:kern w:val="2"/>
                <w:sz w:val="21"/>
                <w:szCs w:val="21"/>
              </w:rPr>
            </w:pPr>
            <w:r>
              <w:rPr>
                <w:rFonts w:ascii="Times New Roman" w:eastAsia="Times New Roman" w:cs="Times New Roman"/>
                <w:spacing w:val="-2"/>
                <w:kern w:val="2"/>
                <w:sz w:val="21"/>
                <w:szCs w:val="21"/>
              </w:rPr>
              <w:t>95.</w:t>
            </w:r>
            <w:r>
              <w:rPr>
                <w:rFonts w:ascii="Times New Roman" w:eastAsia="Times New Roman" w:cs="Times New Roman"/>
                <w:spacing w:val="-1"/>
                <w:kern w:val="2"/>
                <w:sz w:val="21"/>
                <w:szCs w:val="21"/>
              </w:rPr>
              <w:t>68</w:t>
            </w:r>
          </w:p>
        </w:tc>
      </w:tr>
      <w:tr w:rsidR="00BD5820">
        <w:trPr>
          <w:trHeight w:val="282"/>
          <w:jc w:val="center"/>
        </w:trPr>
        <w:tc>
          <w:tcPr>
            <w:tcW w:w="1808" w:type="dxa"/>
            <w:gridSpan w:val="2"/>
          </w:tcPr>
          <w:p w:rsidR="00BD5820" w:rsidRDefault="00F64314">
            <w:pPr>
              <w:topLinePunct w:val="0"/>
              <w:adjustRightInd/>
              <w:spacing w:before="34" w:line="218" w:lineRule="auto"/>
              <w:ind w:left="848" w:firstLineChars="0" w:firstLine="0"/>
              <w:rPr>
                <w:rFonts w:ascii="Times New Roman" w:cs="Times New Roman"/>
                <w:kern w:val="2"/>
                <w:sz w:val="21"/>
                <w:szCs w:val="21"/>
              </w:rPr>
            </w:pPr>
            <w:r>
              <w:rPr>
                <w:rFonts w:ascii="Times New Roman" w:cs="Times New Roman"/>
                <w:spacing w:val="-3"/>
                <w:kern w:val="2"/>
                <w:sz w:val="21"/>
                <w:szCs w:val="21"/>
              </w:rPr>
              <w:t>合</w:t>
            </w:r>
            <w:r>
              <w:rPr>
                <w:rFonts w:ascii="Times New Roman" w:cs="Times New Roman"/>
                <w:spacing w:val="-2"/>
                <w:kern w:val="2"/>
                <w:sz w:val="21"/>
                <w:szCs w:val="21"/>
              </w:rPr>
              <w:t>计</w:t>
            </w:r>
          </w:p>
        </w:tc>
        <w:tc>
          <w:tcPr>
            <w:tcW w:w="877" w:type="dxa"/>
          </w:tcPr>
          <w:p w:rsidR="00BD5820" w:rsidRDefault="00F64314">
            <w:pPr>
              <w:topLinePunct w:val="0"/>
              <w:adjustRightInd/>
              <w:spacing w:before="72" w:line="186" w:lineRule="auto"/>
              <w:ind w:left="271" w:firstLineChars="0" w:firstLine="0"/>
              <w:rPr>
                <w:rFonts w:ascii="Times New Roman" w:eastAsia="Times New Roman" w:cs="Times New Roman"/>
                <w:kern w:val="2"/>
                <w:sz w:val="21"/>
                <w:szCs w:val="21"/>
              </w:rPr>
            </w:pPr>
            <w:r>
              <w:rPr>
                <w:rFonts w:ascii="Times New Roman" w:eastAsia="Times New Roman" w:cs="Times New Roman"/>
                <w:spacing w:val="-7"/>
                <w:kern w:val="2"/>
                <w:sz w:val="21"/>
                <w:szCs w:val="21"/>
              </w:rPr>
              <w:t>1</w:t>
            </w:r>
            <w:r>
              <w:rPr>
                <w:rFonts w:ascii="Times New Roman" w:eastAsia="Times New Roman" w:cs="Times New Roman"/>
                <w:spacing w:val="-5"/>
                <w:kern w:val="2"/>
                <w:sz w:val="21"/>
                <w:szCs w:val="21"/>
              </w:rPr>
              <w:t>39</w:t>
            </w:r>
          </w:p>
        </w:tc>
        <w:tc>
          <w:tcPr>
            <w:tcW w:w="1226" w:type="dxa"/>
          </w:tcPr>
          <w:p w:rsidR="00BD5820" w:rsidRDefault="00F64314">
            <w:pPr>
              <w:topLinePunct w:val="0"/>
              <w:adjustRightInd/>
              <w:spacing w:before="72" w:line="186" w:lineRule="auto"/>
              <w:ind w:left="368" w:firstLineChars="0" w:firstLine="0"/>
              <w:rPr>
                <w:rFonts w:ascii="Times New Roman" w:eastAsia="Times New Roman" w:cs="Times New Roman"/>
                <w:kern w:val="2"/>
                <w:sz w:val="21"/>
                <w:szCs w:val="21"/>
              </w:rPr>
            </w:pPr>
            <w:r>
              <w:rPr>
                <w:rFonts w:ascii="Times New Roman" w:eastAsia="Times New Roman" w:cs="Times New Roman"/>
                <w:spacing w:val="-8"/>
                <w:kern w:val="2"/>
                <w:sz w:val="21"/>
                <w:szCs w:val="21"/>
              </w:rPr>
              <w:t>1</w:t>
            </w:r>
            <w:r>
              <w:rPr>
                <w:rFonts w:ascii="Times New Roman" w:eastAsia="Times New Roman" w:cs="Times New Roman"/>
                <w:spacing w:val="-4"/>
                <w:kern w:val="2"/>
                <w:sz w:val="21"/>
                <w:szCs w:val="21"/>
              </w:rPr>
              <w:t>00.0</w:t>
            </w:r>
          </w:p>
        </w:tc>
        <w:tc>
          <w:tcPr>
            <w:tcW w:w="868" w:type="dxa"/>
          </w:tcPr>
          <w:p w:rsidR="00BD5820" w:rsidRDefault="00F64314">
            <w:pPr>
              <w:topLinePunct w:val="0"/>
              <w:adjustRightInd/>
              <w:spacing w:before="72" w:line="186" w:lineRule="auto"/>
              <w:ind w:left="255" w:firstLineChars="0" w:firstLine="0"/>
              <w:rPr>
                <w:rFonts w:ascii="Times New Roman" w:eastAsia="Times New Roman" w:cs="Times New Roman"/>
                <w:kern w:val="2"/>
                <w:sz w:val="21"/>
                <w:szCs w:val="21"/>
              </w:rPr>
            </w:pPr>
            <w:r>
              <w:rPr>
                <w:rFonts w:ascii="Times New Roman" w:eastAsia="Times New Roman" w:cs="Times New Roman"/>
                <w:spacing w:val="-3"/>
                <w:kern w:val="2"/>
                <w:sz w:val="21"/>
                <w:szCs w:val="21"/>
              </w:rPr>
              <w:t>5</w:t>
            </w:r>
            <w:r>
              <w:rPr>
                <w:rFonts w:ascii="Times New Roman" w:eastAsia="Times New Roman" w:cs="Times New Roman"/>
                <w:spacing w:val="-2"/>
                <w:kern w:val="2"/>
                <w:sz w:val="21"/>
                <w:szCs w:val="21"/>
              </w:rPr>
              <w:t>24</w:t>
            </w:r>
          </w:p>
        </w:tc>
        <w:tc>
          <w:tcPr>
            <w:tcW w:w="1258" w:type="dxa"/>
          </w:tcPr>
          <w:p w:rsidR="00BD5820" w:rsidRDefault="00F64314">
            <w:pPr>
              <w:topLinePunct w:val="0"/>
              <w:adjustRightInd/>
              <w:spacing w:before="72" w:line="186" w:lineRule="auto"/>
              <w:ind w:left="386" w:firstLineChars="0" w:firstLine="0"/>
              <w:rPr>
                <w:rFonts w:ascii="Times New Roman" w:eastAsia="Times New Roman" w:cs="Times New Roman"/>
                <w:kern w:val="2"/>
                <w:sz w:val="21"/>
                <w:szCs w:val="21"/>
              </w:rPr>
            </w:pPr>
            <w:r>
              <w:rPr>
                <w:rFonts w:ascii="Times New Roman" w:eastAsia="Times New Roman" w:cs="Times New Roman"/>
                <w:spacing w:val="-8"/>
                <w:kern w:val="2"/>
                <w:sz w:val="21"/>
                <w:szCs w:val="21"/>
              </w:rPr>
              <w:t>1</w:t>
            </w:r>
            <w:r>
              <w:rPr>
                <w:rFonts w:ascii="Times New Roman" w:eastAsia="Times New Roman" w:cs="Times New Roman"/>
                <w:spacing w:val="-4"/>
                <w:kern w:val="2"/>
                <w:sz w:val="21"/>
                <w:szCs w:val="21"/>
              </w:rPr>
              <w:t>00.0</w:t>
            </w:r>
          </w:p>
        </w:tc>
        <w:tc>
          <w:tcPr>
            <w:tcW w:w="868" w:type="dxa"/>
          </w:tcPr>
          <w:p w:rsidR="00BD5820" w:rsidRDefault="00F64314">
            <w:pPr>
              <w:topLinePunct w:val="0"/>
              <w:adjustRightInd/>
              <w:spacing w:before="72" w:line="186" w:lineRule="auto"/>
              <w:ind w:left="254" w:firstLineChars="0" w:firstLine="0"/>
              <w:rPr>
                <w:rFonts w:ascii="Times New Roman" w:eastAsia="Times New Roman" w:cs="Times New Roman"/>
                <w:kern w:val="2"/>
                <w:sz w:val="21"/>
                <w:szCs w:val="21"/>
              </w:rPr>
            </w:pPr>
            <w:r>
              <w:rPr>
                <w:rFonts w:ascii="Times New Roman" w:eastAsia="Times New Roman" w:cs="Times New Roman"/>
                <w:spacing w:val="-2"/>
                <w:kern w:val="2"/>
                <w:sz w:val="21"/>
                <w:szCs w:val="21"/>
              </w:rPr>
              <w:t>925</w:t>
            </w:r>
          </w:p>
        </w:tc>
        <w:tc>
          <w:tcPr>
            <w:tcW w:w="1207" w:type="dxa"/>
          </w:tcPr>
          <w:p w:rsidR="00BD5820" w:rsidRDefault="00F64314">
            <w:pPr>
              <w:topLinePunct w:val="0"/>
              <w:adjustRightInd/>
              <w:spacing w:before="72" w:line="186" w:lineRule="auto"/>
              <w:ind w:left="359" w:firstLineChars="0" w:firstLine="0"/>
              <w:rPr>
                <w:rFonts w:ascii="Times New Roman" w:eastAsia="Times New Roman" w:cs="Times New Roman"/>
                <w:kern w:val="2"/>
                <w:sz w:val="21"/>
                <w:szCs w:val="21"/>
              </w:rPr>
            </w:pPr>
            <w:r>
              <w:rPr>
                <w:rFonts w:ascii="Times New Roman" w:eastAsia="Times New Roman" w:cs="Times New Roman"/>
                <w:spacing w:val="-8"/>
                <w:kern w:val="2"/>
                <w:sz w:val="21"/>
                <w:szCs w:val="21"/>
              </w:rPr>
              <w:t>1</w:t>
            </w:r>
            <w:r>
              <w:rPr>
                <w:rFonts w:ascii="Times New Roman" w:eastAsia="Times New Roman" w:cs="Times New Roman"/>
                <w:spacing w:val="-4"/>
                <w:kern w:val="2"/>
                <w:sz w:val="21"/>
                <w:szCs w:val="21"/>
              </w:rPr>
              <w:t>00.0</w:t>
            </w:r>
          </w:p>
        </w:tc>
      </w:tr>
    </w:tbl>
    <w:p w:rsidR="00BD5820" w:rsidRDefault="00F64314">
      <w:pPr>
        <w:pStyle w:val="affa"/>
        <w:ind w:firstLineChars="0" w:firstLine="0"/>
      </w:pPr>
      <w:r>
        <w:rPr>
          <w:rFonts w:hint="eastAsia"/>
        </w:rPr>
        <w:t xml:space="preserve">    </w:t>
      </w:r>
      <w:r>
        <w:t>项目区域维管植物组成以被子植物为优势，分别占评价区维管植物科属种总数的</w:t>
      </w:r>
      <w:r>
        <w:t>89.93%</w:t>
      </w:r>
      <w:r>
        <w:t>、</w:t>
      </w:r>
      <w:r>
        <w:t>95.22%</w:t>
      </w:r>
      <w:r>
        <w:t>和</w:t>
      </w:r>
      <w:r>
        <w:t>95.68%</w:t>
      </w:r>
      <w:r>
        <w:t>。常见的优势物种有马尾松</w:t>
      </w:r>
      <w:r>
        <w:rPr>
          <w:i/>
          <w:iCs/>
        </w:rPr>
        <w:t>P.massoniana</w:t>
      </w:r>
      <w:r>
        <w:t>、杉木</w:t>
      </w:r>
      <w:r>
        <w:t>Cunninghamia</w:t>
      </w:r>
      <w:r>
        <w:rPr>
          <w:rFonts w:hint="eastAsia"/>
        </w:rPr>
        <w:t xml:space="preserve"> </w:t>
      </w:r>
      <w:r>
        <w:rPr>
          <w:i/>
          <w:iCs/>
        </w:rPr>
        <w:t>lanceolata</w:t>
      </w:r>
      <w:r>
        <w:t xml:space="preserve"> </w:t>
      </w:r>
      <w:r>
        <w:rPr>
          <w:i/>
          <w:iCs/>
        </w:rPr>
        <w:t>(Lamb.)Hook.</w:t>
      </w:r>
      <w:r>
        <w:t>、柏木</w:t>
      </w:r>
      <w:r>
        <w:rPr>
          <w:i/>
          <w:iCs/>
        </w:rPr>
        <w:t>Cupressus</w:t>
      </w:r>
      <w:r>
        <w:t xml:space="preserve"> </w:t>
      </w:r>
      <w:r>
        <w:rPr>
          <w:i/>
          <w:iCs/>
        </w:rPr>
        <w:t>funebris</w:t>
      </w:r>
      <w:r>
        <w:t xml:space="preserve"> </w:t>
      </w:r>
      <w:r>
        <w:rPr>
          <w:i/>
          <w:iCs/>
        </w:rPr>
        <w:t>Endl.</w:t>
      </w:r>
      <w:r>
        <w:rPr>
          <w:i/>
          <w:iCs/>
        </w:rPr>
        <w:t>、</w:t>
      </w:r>
      <w:r>
        <w:t>蔷薇</w:t>
      </w:r>
      <w:r>
        <w:rPr>
          <w:i/>
          <w:iCs/>
        </w:rPr>
        <w:t>Rosa</w:t>
      </w:r>
      <w:r>
        <w:t xml:space="preserve"> </w:t>
      </w:r>
      <w:r>
        <w:rPr>
          <w:i/>
          <w:iCs/>
        </w:rPr>
        <w:t>sp.</w:t>
      </w:r>
      <w:r>
        <w:t>、白茅</w:t>
      </w:r>
      <w:r>
        <w:rPr>
          <w:i/>
          <w:iCs/>
        </w:rPr>
        <w:t>mperata</w:t>
      </w:r>
      <w:r>
        <w:t xml:space="preserve"> </w:t>
      </w:r>
      <w:r>
        <w:rPr>
          <w:i/>
          <w:iCs/>
        </w:rPr>
        <w:t>cylindric</w:t>
      </w:r>
      <w:r>
        <w:t>等。</w:t>
      </w:r>
    </w:p>
    <w:p w:rsidR="00BD5820" w:rsidRDefault="00F64314">
      <w:pPr>
        <w:topLinePunct w:val="0"/>
        <w:snapToGrid w:val="0"/>
        <w:ind w:firstLineChars="0" w:firstLine="0"/>
        <w:rPr>
          <w:rFonts w:ascii="Times New Roman" w:cs="Times New Roman"/>
          <w:b/>
          <w:bCs/>
          <w:kern w:val="2"/>
        </w:rPr>
      </w:pPr>
      <w:r>
        <w:rPr>
          <w:rFonts w:ascii="Times New Roman" w:cs="Times New Roman"/>
          <w:b/>
          <w:bCs/>
          <w:kern w:val="2"/>
        </w:rPr>
        <w:t>（</w:t>
      </w:r>
      <w:r>
        <w:rPr>
          <w:rFonts w:ascii="Times New Roman" w:cs="Times New Roman" w:hint="eastAsia"/>
          <w:b/>
          <w:bCs/>
          <w:kern w:val="2"/>
        </w:rPr>
        <w:t>3</w:t>
      </w:r>
      <w:r>
        <w:rPr>
          <w:rFonts w:ascii="Times New Roman" w:cs="Times New Roman"/>
          <w:b/>
          <w:bCs/>
          <w:kern w:val="2"/>
        </w:rPr>
        <w:t>）种子植物按属分类</w:t>
      </w:r>
    </w:p>
    <w:p w:rsidR="00BD5820" w:rsidRDefault="00F64314">
      <w:pPr>
        <w:pStyle w:val="affa"/>
        <w:ind w:firstLine="540"/>
        <w:rPr>
          <w:spacing w:val="15"/>
          <w:kern w:val="2"/>
          <w:szCs w:val="24"/>
        </w:rPr>
      </w:pPr>
      <w:r>
        <w:rPr>
          <w:spacing w:val="15"/>
          <w:kern w:val="2"/>
          <w:szCs w:val="24"/>
        </w:rPr>
        <w:t>根据吴征镒对中国种子植物属的分布区类型划分方案，对</w:t>
      </w:r>
      <w:r>
        <w:rPr>
          <w:rFonts w:hint="eastAsia"/>
          <w:spacing w:val="15"/>
          <w:kern w:val="2"/>
          <w:szCs w:val="24"/>
        </w:rPr>
        <w:t>项目区域</w:t>
      </w:r>
      <w:r>
        <w:rPr>
          <w:spacing w:val="15"/>
          <w:kern w:val="2"/>
          <w:szCs w:val="24"/>
        </w:rPr>
        <w:t>种子植物属进行归类统计，见表</w:t>
      </w:r>
      <w:r>
        <w:rPr>
          <w:rFonts w:hint="eastAsia"/>
          <w:spacing w:val="15"/>
          <w:kern w:val="2"/>
          <w:szCs w:val="24"/>
        </w:rPr>
        <w:t>5</w:t>
      </w:r>
      <w:r>
        <w:rPr>
          <w:spacing w:val="15"/>
          <w:kern w:val="2"/>
          <w:szCs w:val="24"/>
        </w:rPr>
        <w:t>.</w:t>
      </w:r>
      <w:r>
        <w:rPr>
          <w:rFonts w:hint="eastAsia"/>
          <w:spacing w:val="15"/>
          <w:kern w:val="2"/>
          <w:szCs w:val="24"/>
        </w:rPr>
        <w:t>2</w:t>
      </w:r>
      <w:r>
        <w:rPr>
          <w:spacing w:val="15"/>
          <w:kern w:val="2"/>
          <w:szCs w:val="24"/>
        </w:rPr>
        <w:t>-9</w:t>
      </w:r>
      <w:r>
        <w:rPr>
          <w:spacing w:val="15"/>
          <w:kern w:val="2"/>
          <w:szCs w:val="24"/>
        </w:rPr>
        <w:t>。</w:t>
      </w:r>
    </w:p>
    <w:tbl>
      <w:tblPr>
        <w:tblW w:w="5000" w:type="pct"/>
        <w:jc w:val="center"/>
        <w:tblBorders>
          <w:top w:val="single" w:sz="12" w:space="0" w:color="000000"/>
          <w:bottom w:val="single" w:sz="12" w:space="0" w:color="000000"/>
          <w:insideH w:val="single" w:sz="2" w:space="0" w:color="000000"/>
          <w:insideV w:val="single" w:sz="2" w:space="0" w:color="000000"/>
        </w:tblBorders>
        <w:tblLayout w:type="fixed"/>
        <w:tblCellMar>
          <w:left w:w="0" w:type="dxa"/>
          <w:right w:w="0" w:type="dxa"/>
        </w:tblCellMar>
        <w:tblLook w:val="04A0"/>
      </w:tblPr>
      <w:tblGrid>
        <w:gridCol w:w="4174"/>
        <w:gridCol w:w="1590"/>
        <w:gridCol w:w="2542"/>
      </w:tblGrid>
      <w:tr w:rsidR="00BD5820">
        <w:trPr>
          <w:trHeight w:val="309"/>
          <w:jc w:val="center"/>
        </w:trPr>
        <w:tc>
          <w:tcPr>
            <w:tcW w:w="4174" w:type="dxa"/>
          </w:tcPr>
          <w:p w:rsidR="00BD5820" w:rsidRDefault="00F64314">
            <w:pPr>
              <w:topLinePunct w:val="0"/>
              <w:adjustRightInd/>
              <w:spacing w:before="56" w:line="217" w:lineRule="auto"/>
              <w:ind w:left="1116" w:firstLineChars="0" w:firstLine="0"/>
              <w:rPr>
                <w:rFonts w:ascii="Times New Roman" w:cs="Times New Roman"/>
                <w:kern w:val="2"/>
                <w:sz w:val="21"/>
                <w:szCs w:val="21"/>
              </w:rPr>
            </w:pPr>
            <w:r>
              <w:rPr>
                <w:rFonts w:ascii="Times New Roman" w:cs="Times New Roman"/>
                <w:spacing w:val="-2"/>
                <w:kern w:val="2"/>
                <w:sz w:val="21"/>
                <w:szCs w:val="21"/>
              </w:rPr>
              <w:t>分</w:t>
            </w:r>
            <w:r>
              <w:rPr>
                <w:rFonts w:ascii="Times New Roman" w:cs="Times New Roman"/>
                <w:spacing w:val="-1"/>
                <w:kern w:val="2"/>
                <w:sz w:val="21"/>
                <w:szCs w:val="21"/>
              </w:rPr>
              <w:t>布区类型及其变型</w:t>
            </w:r>
          </w:p>
        </w:tc>
        <w:tc>
          <w:tcPr>
            <w:tcW w:w="1590" w:type="dxa"/>
          </w:tcPr>
          <w:p w:rsidR="00BD5820" w:rsidRDefault="00F64314">
            <w:pPr>
              <w:topLinePunct w:val="0"/>
              <w:adjustRightInd/>
              <w:spacing w:before="55" w:line="220" w:lineRule="auto"/>
              <w:ind w:left="559" w:firstLineChars="0" w:firstLine="0"/>
              <w:rPr>
                <w:rFonts w:ascii="Times New Roman" w:cs="Times New Roman"/>
                <w:kern w:val="2"/>
                <w:sz w:val="21"/>
                <w:szCs w:val="21"/>
              </w:rPr>
            </w:pPr>
            <w:r>
              <w:rPr>
                <w:rFonts w:ascii="Times New Roman" w:cs="Times New Roman"/>
                <w:spacing w:val="-3"/>
                <w:kern w:val="2"/>
                <w:sz w:val="21"/>
                <w:szCs w:val="21"/>
              </w:rPr>
              <w:t>属</w:t>
            </w:r>
            <w:r>
              <w:rPr>
                <w:rFonts w:ascii="Times New Roman" w:cs="Times New Roman"/>
                <w:spacing w:val="-2"/>
                <w:kern w:val="2"/>
                <w:sz w:val="21"/>
                <w:szCs w:val="21"/>
              </w:rPr>
              <w:t>数</w:t>
            </w:r>
          </w:p>
        </w:tc>
        <w:tc>
          <w:tcPr>
            <w:tcW w:w="2542" w:type="dxa"/>
          </w:tcPr>
          <w:p w:rsidR="00BD5820" w:rsidRDefault="00F64314">
            <w:pPr>
              <w:topLinePunct w:val="0"/>
              <w:adjustRightInd/>
              <w:spacing w:before="55" w:line="223" w:lineRule="auto"/>
              <w:ind w:left="473" w:firstLineChars="0" w:firstLine="0"/>
              <w:rPr>
                <w:rFonts w:ascii="Times New Roman" w:cs="Times New Roman"/>
                <w:kern w:val="2"/>
                <w:sz w:val="21"/>
                <w:szCs w:val="21"/>
              </w:rPr>
            </w:pPr>
            <w:r>
              <w:rPr>
                <w:rFonts w:ascii="Times New Roman" w:cs="Times New Roman"/>
                <w:spacing w:val="-1"/>
                <w:kern w:val="2"/>
                <w:sz w:val="21"/>
                <w:szCs w:val="21"/>
              </w:rPr>
              <w:t>所占比例</w:t>
            </w:r>
            <w:r>
              <w:rPr>
                <w:rFonts w:ascii="Times New Roman" w:eastAsia="Times New Roman" w:cs="Times New Roman"/>
                <w:spacing w:val="-1"/>
                <w:kern w:val="2"/>
                <w:sz w:val="21"/>
                <w:szCs w:val="21"/>
              </w:rPr>
              <w:t>%</w:t>
            </w:r>
            <w:r>
              <w:rPr>
                <w:rFonts w:asciiTheme="minorEastAsia" w:eastAsiaTheme="minorEastAsia" w:hAnsiTheme="minorEastAsia" w:cs="Times New Roman" w:hint="eastAsia"/>
                <w:spacing w:val="-1"/>
                <w:kern w:val="2"/>
                <w:sz w:val="21"/>
                <w:szCs w:val="21"/>
              </w:rPr>
              <w:t>（</w:t>
            </w:r>
            <w:r>
              <w:rPr>
                <w:rFonts w:ascii="Times New Roman" w:eastAsia="Times New Roman" w:cs="Times New Roman"/>
                <w:kern w:val="2"/>
                <w:sz w:val="21"/>
                <w:szCs w:val="21"/>
              </w:rPr>
              <w:t>*</w:t>
            </w:r>
            <w:r>
              <w:rPr>
                <w:rFonts w:asciiTheme="minorEastAsia" w:eastAsiaTheme="minorEastAsia" w:hAnsiTheme="minorEastAsia" w:cs="Times New Roman" w:hint="eastAsia"/>
                <w:spacing w:val="-1"/>
                <w:kern w:val="2"/>
                <w:sz w:val="21"/>
                <w:szCs w:val="21"/>
              </w:rPr>
              <w:t>）</w:t>
            </w:r>
          </w:p>
        </w:tc>
      </w:tr>
      <w:tr w:rsidR="00BD5820">
        <w:trPr>
          <w:trHeight w:val="292"/>
          <w:jc w:val="center"/>
        </w:trPr>
        <w:tc>
          <w:tcPr>
            <w:tcW w:w="4174" w:type="dxa"/>
          </w:tcPr>
          <w:p w:rsidR="00BD5820" w:rsidRDefault="00F64314">
            <w:pPr>
              <w:topLinePunct w:val="0"/>
              <w:adjustRightInd/>
              <w:spacing w:before="45" w:line="217" w:lineRule="auto"/>
              <w:ind w:left="1523" w:firstLineChars="0" w:firstLine="0"/>
              <w:rPr>
                <w:rFonts w:ascii="Times New Roman" w:cs="Times New Roman"/>
                <w:kern w:val="2"/>
                <w:sz w:val="21"/>
                <w:szCs w:val="21"/>
              </w:rPr>
            </w:pPr>
            <w:r>
              <w:rPr>
                <w:rFonts w:ascii="Times New Roman" w:eastAsia="Times New Roman" w:cs="Times New Roman"/>
                <w:spacing w:val="-4"/>
                <w:kern w:val="2"/>
                <w:sz w:val="21"/>
                <w:szCs w:val="21"/>
              </w:rPr>
              <w:t>1.</w:t>
            </w:r>
            <w:r>
              <w:rPr>
                <w:rFonts w:ascii="Times New Roman" w:cs="Times New Roman"/>
                <w:spacing w:val="-2"/>
                <w:kern w:val="2"/>
                <w:sz w:val="21"/>
                <w:szCs w:val="21"/>
              </w:rPr>
              <w:t>世界分布</w:t>
            </w:r>
          </w:p>
        </w:tc>
        <w:tc>
          <w:tcPr>
            <w:tcW w:w="1590" w:type="dxa"/>
          </w:tcPr>
          <w:p w:rsidR="00BD5820" w:rsidRDefault="00F64314">
            <w:pPr>
              <w:topLinePunct w:val="0"/>
              <w:adjustRightInd/>
              <w:spacing w:before="68" w:line="186" w:lineRule="auto"/>
              <w:ind w:left="658" w:firstLineChars="0" w:firstLine="0"/>
              <w:rPr>
                <w:rFonts w:ascii="Times New Roman" w:eastAsia="Times New Roman" w:cs="Times New Roman"/>
                <w:kern w:val="2"/>
                <w:sz w:val="21"/>
                <w:szCs w:val="21"/>
              </w:rPr>
            </w:pPr>
            <w:r>
              <w:rPr>
                <w:rFonts w:ascii="Times New Roman" w:eastAsia="Times New Roman" w:cs="Times New Roman"/>
                <w:spacing w:val="-1"/>
                <w:kern w:val="2"/>
                <w:sz w:val="21"/>
                <w:szCs w:val="21"/>
              </w:rPr>
              <w:t>43</w:t>
            </w:r>
          </w:p>
        </w:tc>
        <w:tc>
          <w:tcPr>
            <w:tcW w:w="2542" w:type="dxa"/>
          </w:tcPr>
          <w:p w:rsidR="00BD5820" w:rsidRDefault="00F64314">
            <w:pPr>
              <w:topLinePunct w:val="0"/>
              <w:adjustRightInd/>
              <w:spacing w:before="68" w:line="186" w:lineRule="auto"/>
              <w:ind w:left="1064" w:firstLineChars="0" w:firstLine="0"/>
              <w:rPr>
                <w:rFonts w:ascii="Times New Roman" w:eastAsia="Times New Roman" w:cs="Times New Roman"/>
                <w:kern w:val="2"/>
                <w:sz w:val="21"/>
                <w:szCs w:val="21"/>
              </w:rPr>
            </w:pPr>
            <w:r>
              <w:rPr>
                <w:rFonts w:ascii="Times New Roman" w:eastAsia="Times New Roman" w:cs="Times New Roman"/>
                <w:spacing w:val="-4"/>
                <w:kern w:val="2"/>
                <w:sz w:val="21"/>
                <w:szCs w:val="21"/>
              </w:rPr>
              <w:t>8</w:t>
            </w:r>
            <w:r>
              <w:rPr>
                <w:rFonts w:ascii="Times New Roman" w:eastAsia="Times New Roman" w:cs="Times New Roman"/>
                <w:spacing w:val="-3"/>
                <w:kern w:val="2"/>
                <w:sz w:val="21"/>
                <w:szCs w:val="21"/>
              </w:rPr>
              <w:t>.55</w:t>
            </w:r>
          </w:p>
        </w:tc>
      </w:tr>
      <w:tr w:rsidR="00BD5820">
        <w:trPr>
          <w:trHeight w:val="304"/>
          <w:jc w:val="center"/>
        </w:trPr>
        <w:tc>
          <w:tcPr>
            <w:tcW w:w="4174" w:type="dxa"/>
          </w:tcPr>
          <w:p w:rsidR="00BD5820" w:rsidRDefault="00F64314">
            <w:pPr>
              <w:topLinePunct w:val="0"/>
              <w:adjustRightInd/>
              <w:spacing w:before="51" w:line="220" w:lineRule="auto"/>
              <w:ind w:left="1607" w:firstLineChars="0" w:firstLine="0"/>
              <w:rPr>
                <w:rFonts w:ascii="Times New Roman" w:cs="Times New Roman"/>
                <w:kern w:val="2"/>
                <w:sz w:val="21"/>
                <w:szCs w:val="21"/>
              </w:rPr>
            </w:pPr>
            <w:r>
              <w:rPr>
                <w:rFonts w:ascii="Times New Roman" w:eastAsia="Times New Roman" w:cs="Times New Roman"/>
                <w:spacing w:val="-1"/>
                <w:kern w:val="2"/>
                <w:sz w:val="21"/>
                <w:szCs w:val="21"/>
              </w:rPr>
              <w:t>2</w:t>
            </w:r>
            <w:r>
              <w:rPr>
                <w:rFonts w:ascii="Times New Roman" w:eastAsia="Times New Roman" w:cs="Times New Roman"/>
                <w:kern w:val="2"/>
                <w:sz w:val="21"/>
                <w:szCs w:val="21"/>
              </w:rPr>
              <w:t>.</w:t>
            </w:r>
            <w:r>
              <w:rPr>
                <w:rFonts w:ascii="Times New Roman" w:cs="Times New Roman"/>
                <w:kern w:val="2"/>
                <w:sz w:val="21"/>
                <w:szCs w:val="21"/>
              </w:rPr>
              <w:t>泛热带</w:t>
            </w:r>
          </w:p>
        </w:tc>
        <w:tc>
          <w:tcPr>
            <w:tcW w:w="1590" w:type="dxa"/>
          </w:tcPr>
          <w:p w:rsidR="00BD5820" w:rsidRDefault="00F64314">
            <w:pPr>
              <w:topLinePunct w:val="0"/>
              <w:adjustRightInd/>
              <w:spacing w:before="68" w:line="186" w:lineRule="auto"/>
              <w:ind w:left="668" w:firstLineChars="0" w:firstLine="0"/>
              <w:rPr>
                <w:rFonts w:ascii="Times New Roman" w:eastAsia="Times New Roman" w:cs="Times New Roman"/>
                <w:kern w:val="2"/>
                <w:sz w:val="21"/>
                <w:szCs w:val="21"/>
              </w:rPr>
            </w:pPr>
            <w:r>
              <w:rPr>
                <w:rFonts w:ascii="Times New Roman" w:eastAsia="Times New Roman" w:cs="Times New Roman"/>
                <w:spacing w:val="-4"/>
                <w:kern w:val="2"/>
                <w:sz w:val="21"/>
                <w:szCs w:val="21"/>
              </w:rPr>
              <w:t>8</w:t>
            </w:r>
            <w:r>
              <w:rPr>
                <w:rFonts w:ascii="Times New Roman" w:eastAsia="Times New Roman" w:cs="Times New Roman"/>
                <w:spacing w:val="-3"/>
                <w:kern w:val="2"/>
                <w:sz w:val="21"/>
                <w:szCs w:val="21"/>
              </w:rPr>
              <w:t>0</w:t>
            </w:r>
          </w:p>
        </w:tc>
        <w:tc>
          <w:tcPr>
            <w:tcW w:w="2542" w:type="dxa"/>
          </w:tcPr>
          <w:p w:rsidR="00BD5820" w:rsidRDefault="00F64314">
            <w:pPr>
              <w:topLinePunct w:val="0"/>
              <w:adjustRightInd/>
              <w:spacing w:before="68" w:line="186" w:lineRule="auto"/>
              <w:ind w:left="1023" w:firstLineChars="0" w:firstLine="0"/>
              <w:rPr>
                <w:rFonts w:ascii="Times New Roman" w:eastAsia="Times New Roman" w:cs="Times New Roman"/>
                <w:kern w:val="2"/>
                <w:sz w:val="21"/>
                <w:szCs w:val="21"/>
              </w:rPr>
            </w:pPr>
            <w:r>
              <w:rPr>
                <w:rFonts w:ascii="Times New Roman" w:eastAsia="Times New Roman" w:cs="Times New Roman"/>
                <w:spacing w:val="-8"/>
                <w:kern w:val="2"/>
                <w:sz w:val="21"/>
                <w:szCs w:val="21"/>
              </w:rPr>
              <w:t>1</w:t>
            </w:r>
            <w:r>
              <w:rPr>
                <w:rFonts w:ascii="Times New Roman" w:eastAsia="Times New Roman" w:cs="Times New Roman"/>
                <w:spacing w:val="-4"/>
                <w:kern w:val="2"/>
                <w:sz w:val="21"/>
                <w:szCs w:val="21"/>
              </w:rPr>
              <w:t>5.81</w:t>
            </w:r>
          </w:p>
        </w:tc>
      </w:tr>
      <w:tr w:rsidR="00BD5820">
        <w:trPr>
          <w:trHeight w:val="306"/>
          <w:jc w:val="center"/>
        </w:trPr>
        <w:tc>
          <w:tcPr>
            <w:tcW w:w="4174" w:type="dxa"/>
          </w:tcPr>
          <w:p w:rsidR="00BD5820" w:rsidRDefault="00F64314">
            <w:pPr>
              <w:topLinePunct w:val="0"/>
              <w:adjustRightInd/>
              <w:spacing w:before="53" w:line="219" w:lineRule="auto"/>
              <w:ind w:left="614" w:firstLineChars="0" w:firstLine="0"/>
              <w:rPr>
                <w:rFonts w:ascii="Times New Roman" w:cs="Times New Roman"/>
                <w:kern w:val="2"/>
                <w:sz w:val="21"/>
                <w:szCs w:val="21"/>
              </w:rPr>
            </w:pPr>
            <w:r>
              <w:rPr>
                <w:rFonts w:ascii="Times New Roman" w:eastAsia="Times New Roman" w:cs="Times New Roman"/>
                <w:spacing w:val="-1"/>
                <w:kern w:val="2"/>
                <w:sz w:val="21"/>
                <w:szCs w:val="21"/>
              </w:rPr>
              <w:t>3.</w:t>
            </w:r>
            <w:r>
              <w:rPr>
                <w:rFonts w:ascii="Times New Roman" w:cs="Times New Roman"/>
                <w:spacing w:val="-1"/>
                <w:kern w:val="2"/>
                <w:sz w:val="21"/>
                <w:szCs w:val="21"/>
              </w:rPr>
              <w:t>热带亚洲和热带</w:t>
            </w:r>
            <w:r>
              <w:rPr>
                <w:rFonts w:ascii="Times New Roman" w:cs="Times New Roman"/>
                <w:kern w:val="2"/>
                <w:sz w:val="21"/>
                <w:szCs w:val="21"/>
              </w:rPr>
              <w:t>美洲间断分布</w:t>
            </w:r>
          </w:p>
        </w:tc>
        <w:tc>
          <w:tcPr>
            <w:tcW w:w="1590" w:type="dxa"/>
          </w:tcPr>
          <w:p w:rsidR="00BD5820" w:rsidRDefault="00F64314">
            <w:pPr>
              <w:topLinePunct w:val="0"/>
              <w:adjustRightInd/>
              <w:spacing w:before="69" w:line="186" w:lineRule="auto"/>
              <w:ind w:left="679" w:firstLineChars="0" w:firstLine="0"/>
              <w:rPr>
                <w:rFonts w:ascii="Times New Roman" w:eastAsia="Times New Roman" w:cs="Times New Roman"/>
                <w:kern w:val="2"/>
                <w:sz w:val="21"/>
                <w:szCs w:val="21"/>
              </w:rPr>
            </w:pPr>
            <w:r>
              <w:rPr>
                <w:rFonts w:ascii="Times New Roman" w:eastAsia="Times New Roman" w:cs="Times New Roman"/>
                <w:spacing w:val="-6"/>
                <w:kern w:val="2"/>
                <w:sz w:val="21"/>
                <w:szCs w:val="21"/>
              </w:rPr>
              <w:t>18</w:t>
            </w:r>
          </w:p>
        </w:tc>
        <w:tc>
          <w:tcPr>
            <w:tcW w:w="2542" w:type="dxa"/>
          </w:tcPr>
          <w:p w:rsidR="00BD5820" w:rsidRDefault="00F64314">
            <w:pPr>
              <w:topLinePunct w:val="0"/>
              <w:adjustRightInd/>
              <w:spacing w:before="69" w:line="186" w:lineRule="auto"/>
              <w:ind w:left="1060" w:firstLineChars="0" w:firstLine="0"/>
              <w:rPr>
                <w:rFonts w:ascii="Times New Roman" w:eastAsia="Times New Roman" w:cs="Times New Roman"/>
                <w:kern w:val="2"/>
                <w:sz w:val="21"/>
                <w:szCs w:val="21"/>
              </w:rPr>
            </w:pPr>
            <w:r>
              <w:rPr>
                <w:rFonts w:ascii="Times New Roman" w:eastAsia="Times New Roman" w:cs="Times New Roman"/>
                <w:spacing w:val="-2"/>
                <w:kern w:val="2"/>
                <w:sz w:val="21"/>
                <w:szCs w:val="21"/>
              </w:rPr>
              <w:t>3.58</w:t>
            </w:r>
          </w:p>
        </w:tc>
      </w:tr>
      <w:tr w:rsidR="00BD5820">
        <w:trPr>
          <w:trHeight w:val="304"/>
          <w:jc w:val="center"/>
        </w:trPr>
        <w:tc>
          <w:tcPr>
            <w:tcW w:w="4174" w:type="dxa"/>
          </w:tcPr>
          <w:p w:rsidR="00BD5820" w:rsidRDefault="00F64314">
            <w:pPr>
              <w:topLinePunct w:val="0"/>
              <w:adjustRightInd/>
              <w:spacing w:before="52" w:line="219" w:lineRule="auto"/>
              <w:ind w:left="1239" w:firstLineChars="0" w:firstLine="0"/>
              <w:rPr>
                <w:rFonts w:ascii="Times New Roman" w:cs="Times New Roman"/>
                <w:kern w:val="2"/>
                <w:sz w:val="21"/>
                <w:szCs w:val="21"/>
              </w:rPr>
            </w:pPr>
            <w:r>
              <w:rPr>
                <w:rFonts w:ascii="Times New Roman" w:eastAsia="Times New Roman" w:cs="Times New Roman"/>
                <w:spacing w:val="-1"/>
                <w:kern w:val="2"/>
                <w:sz w:val="21"/>
                <w:szCs w:val="21"/>
              </w:rPr>
              <w:lastRenderedPageBreak/>
              <w:t>4.</w:t>
            </w:r>
            <w:r>
              <w:rPr>
                <w:rFonts w:ascii="Times New Roman" w:cs="Times New Roman"/>
                <w:spacing w:val="-1"/>
                <w:kern w:val="2"/>
                <w:sz w:val="21"/>
                <w:szCs w:val="21"/>
              </w:rPr>
              <w:t>旧世</w:t>
            </w:r>
            <w:r>
              <w:rPr>
                <w:rFonts w:ascii="Times New Roman" w:cs="Times New Roman"/>
                <w:kern w:val="2"/>
                <w:sz w:val="21"/>
                <w:szCs w:val="21"/>
              </w:rPr>
              <w:t>界热带分布</w:t>
            </w:r>
          </w:p>
        </w:tc>
        <w:tc>
          <w:tcPr>
            <w:tcW w:w="1590" w:type="dxa"/>
          </w:tcPr>
          <w:p w:rsidR="00BD5820" w:rsidRDefault="00F64314">
            <w:pPr>
              <w:topLinePunct w:val="0"/>
              <w:adjustRightInd/>
              <w:spacing w:before="69" w:line="186" w:lineRule="auto"/>
              <w:ind w:left="679" w:firstLineChars="0" w:firstLine="0"/>
              <w:rPr>
                <w:rFonts w:ascii="Times New Roman" w:eastAsia="Times New Roman" w:cs="Times New Roman"/>
                <w:kern w:val="2"/>
                <w:sz w:val="21"/>
                <w:szCs w:val="21"/>
              </w:rPr>
            </w:pPr>
            <w:r>
              <w:rPr>
                <w:rFonts w:ascii="Times New Roman" w:eastAsia="Times New Roman" w:cs="Times New Roman"/>
                <w:spacing w:val="-6"/>
                <w:kern w:val="2"/>
                <w:sz w:val="21"/>
                <w:szCs w:val="21"/>
              </w:rPr>
              <w:t>18</w:t>
            </w:r>
          </w:p>
        </w:tc>
        <w:tc>
          <w:tcPr>
            <w:tcW w:w="2542" w:type="dxa"/>
          </w:tcPr>
          <w:p w:rsidR="00BD5820" w:rsidRDefault="00F64314">
            <w:pPr>
              <w:topLinePunct w:val="0"/>
              <w:adjustRightInd/>
              <w:spacing w:before="69" w:line="186" w:lineRule="auto"/>
              <w:ind w:left="1060" w:firstLineChars="0" w:firstLine="0"/>
              <w:rPr>
                <w:rFonts w:ascii="Times New Roman" w:eastAsia="Times New Roman" w:cs="Times New Roman"/>
                <w:kern w:val="2"/>
                <w:sz w:val="21"/>
                <w:szCs w:val="21"/>
              </w:rPr>
            </w:pPr>
            <w:r>
              <w:rPr>
                <w:rFonts w:ascii="Times New Roman" w:eastAsia="Times New Roman" w:cs="Times New Roman"/>
                <w:spacing w:val="-2"/>
                <w:kern w:val="2"/>
                <w:sz w:val="21"/>
                <w:szCs w:val="21"/>
              </w:rPr>
              <w:t>3.56</w:t>
            </w:r>
          </w:p>
        </w:tc>
      </w:tr>
      <w:tr w:rsidR="00BD5820">
        <w:trPr>
          <w:trHeight w:val="304"/>
          <w:jc w:val="center"/>
        </w:trPr>
        <w:tc>
          <w:tcPr>
            <w:tcW w:w="4174" w:type="dxa"/>
          </w:tcPr>
          <w:p w:rsidR="00BD5820" w:rsidRDefault="00F64314">
            <w:pPr>
              <w:topLinePunct w:val="0"/>
              <w:adjustRightInd/>
              <w:spacing w:before="52" w:line="219" w:lineRule="auto"/>
              <w:ind w:left="721" w:firstLineChars="0" w:firstLine="0"/>
              <w:rPr>
                <w:rFonts w:ascii="Times New Roman" w:cs="Times New Roman"/>
                <w:kern w:val="2"/>
                <w:sz w:val="21"/>
                <w:szCs w:val="21"/>
              </w:rPr>
            </w:pPr>
            <w:r>
              <w:rPr>
                <w:rFonts w:ascii="Times New Roman" w:eastAsia="Times New Roman" w:cs="Times New Roman"/>
                <w:spacing w:val="-1"/>
                <w:kern w:val="2"/>
                <w:sz w:val="21"/>
                <w:szCs w:val="21"/>
              </w:rPr>
              <w:t>5.</w:t>
            </w:r>
            <w:r>
              <w:rPr>
                <w:rFonts w:ascii="Times New Roman" w:cs="Times New Roman"/>
                <w:spacing w:val="-1"/>
                <w:kern w:val="2"/>
                <w:sz w:val="21"/>
                <w:szCs w:val="21"/>
              </w:rPr>
              <w:t>热带亚洲至热带大洋</w:t>
            </w:r>
            <w:r>
              <w:rPr>
                <w:rFonts w:ascii="Times New Roman" w:cs="Times New Roman"/>
                <w:kern w:val="2"/>
                <w:sz w:val="21"/>
                <w:szCs w:val="21"/>
              </w:rPr>
              <w:t>洲分布</w:t>
            </w:r>
          </w:p>
        </w:tc>
        <w:tc>
          <w:tcPr>
            <w:tcW w:w="1590" w:type="dxa"/>
          </w:tcPr>
          <w:p w:rsidR="00BD5820" w:rsidRDefault="00F64314">
            <w:pPr>
              <w:topLinePunct w:val="0"/>
              <w:adjustRightInd/>
              <w:spacing w:before="70" w:line="186" w:lineRule="auto"/>
              <w:ind w:left="679" w:firstLineChars="0" w:firstLine="0"/>
              <w:rPr>
                <w:rFonts w:ascii="Times New Roman" w:eastAsia="Times New Roman" w:cs="Times New Roman"/>
                <w:kern w:val="2"/>
                <w:sz w:val="21"/>
                <w:szCs w:val="21"/>
              </w:rPr>
            </w:pPr>
            <w:r>
              <w:rPr>
                <w:rFonts w:ascii="Times New Roman" w:eastAsia="Times New Roman" w:cs="Times New Roman"/>
                <w:spacing w:val="-6"/>
                <w:kern w:val="2"/>
                <w:sz w:val="21"/>
                <w:szCs w:val="21"/>
              </w:rPr>
              <w:t>14</w:t>
            </w:r>
          </w:p>
        </w:tc>
        <w:tc>
          <w:tcPr>
            <w:tcW w:w="2542" w:type="dxa"/>
          </w:tcPr>
          <w:p w:rsidR="00BD5820" w:rsidRDefault="00F64314">
            <w:pPr>
              <w:topLinePunct w:val="0"/>
              <w:adjustRightInd/>
              <w:spacing w:before="69" w:line="186" w:lineRule="auto"/>
              <w:ind w:left="1056" w:firstLineChars="0" w:firstLine="0"/>
              <w:rPr>
                <w:rFonts w:ascii="Times New Roman" w:eastAsia="Times New Roman" w:cs="Times New Roman"/>
                <w:kern w:val="2"/>
                <w:sz w:val="21"/>
                <w:szCs w:val="21"/>
              </w:rPr>
            </w:pPr>
            <w:r>
              <w:rPr>
                <w:rFonts w:ascii="Times New Roman" w:eastAsia="Times New Roman" w:cs="Times New Roman"/>
                <w:spacing w:val="-1"/>
                <w:kern w:val="2"/>
                <w:sz w:val="21"/>
                <w:szCs w:val="21"/>
              </w:rPr>
              <w:t>2.77</w:t>
            </w:r>
          </w:p>
        </w:tc>
      </w:tr>
      <w:tr w:rsidR="00BD5820">
        <w:trPr>
          <w:trHeight w:val="306"/>
          <w:jc w:val="center"/>
        </w:trPr>
        <w:tc>
          <w:tcPr>
            <w:tcW w:w="4174" w:type="dxa"/>
          </w:tcPr>
          <w:p w:rsidR="00BD5820" w:rsidRDefault="00F64314">
            <w:pPr>
              <w:topLinePunct w:val="0"/>
              <w:adjustRightInd/>
              <w:spacing w:before="54" w:line="219" w:lineRule="auto"/>
              <w:ind w:left="825" w:firstLineChars="0" w:firstLine="0"/>
              <w:rPr>
                <w:rFonts w:ascii="Times New Roman" w:cs="Times New Roman"/>
                <w:kern w:val="2"/>
                <w:sz w:val="21"/>
                <w:szCs w:val="21"/>
              </w:rPr>
            </w:pPr>
            <w:r>
              <w:rPr>
                <w:rFonts w:ascii="Times New Roman" w:eastAsia="Times New Roman" w:cs="Times New Roman"/>
                <w:spacing w:val="-1"/>
                <w:kern w:val="2"/>
                <w:sz w:val="21"/>
                <w:szCs w:val="21"/>
              </w:rPr>
              <w:t>6.</w:t>
            </w:r>
            <w:r>
              <w:rPr>
                <w:rFonts w:ascii="Times New Roman" w:cs="Times New Roman"/>
                <w:spacing w:val="-1"/>
                <w:kern w:val="2"/>
                <w:sz w:val="21"/>
                <w:szCs w:val="21"/>
              </w:rPr>
              <w:t>热带亚洲至热带非</w:t>
            </w:r>
            <w:r>
              <w:rPr>
                <w:rFonts w:ascii="Times New Roman" w:cs="Times New Roman"/>
                <w:kern w:val="2"/>
                <w:sz w:val="21"/>
                <w:szCs w:val="21"/>
              </w:rPr>
              <w:t>洲分布</w:t>
            </w:r>
          </w:p>
        </w:tc>
        <w:tc>
          <w:tcPr>
            <w:tcW w:w="1590" w:type="dxa"/>
          </w:tcPr>
          <w:p w:rsidR="00BD5820" w:rsidRDefault="00F64314">
            <w:pPr>
              <w:topLinePunct w:val="0"/>
              <w:adjustRightInd/>
              <w:spacing w:before="70" w:line="186" w:lineRule="auto"/>
              <w:ind w:left="659" w:firstLineChars="0" w:firstLine="0"/>
              <w:rPr>
                <w:rFonts w:ascii="Times New Roman" w:eastAsia="Times New Roman" w:cs="Times New Roman"/>
                <w:kern w:val="2"/>
                <w:sz w:val="21"/>
                <w:szCs w:val="21"/>
              </w:rPr>
            </w:pPr>
            <w:r>
              <w:rPr>
                <w:rFonts w:ascii="Times New Roman" w:eastAsia="Times New Roman" w:cs="Times New Roman"/>
                <w:spacing w:val="-1"/>
                <w:kern w:val="2"/>
                <w:sz w:val="21"/>
                <w:szCs w:val="21"/>
              </w:rPr>
              <w:t>25</w:t>
            </w:r>
          </w:p>
        </w:tc>
        <w:tc>
          <w:tcPr>
            <w:tcW w:w="2542" w:type="dxa"/>
          </w:tcPr>
          <w:p w:rsidR="00BD5820" w:rsidRDefault="00F64314">
            <w:pPr>
              <w:topLinePunct w:val="0"/>
              <w:adjustRightInd/>
              <w:spacing w:before="70" w:line="186" w:lineRule="auto"/>
              <w:ind w:left="1060" w:firstLineChars="0" w:firstLine="0"/>
              <w:rPr>
                <w:rFonts w:ascii="Times New Roman" w:eastAsia="Times New Roman" w:cs="Times New Roman"/>
                <w:kern w:val="2"/>
                <w:sz w:val="21"/>
                <w:szCs w:val="21"/>
              </w:rPr>
            </w:pPr>
            <w:r>
              <w:rPr>
                <w:rFonts w:ascii="Times New Roman" w:eastAsia="Times New Roman" w:cs="Times New Roman"/>
                <w:spacing w:val="-2"/>
                <w:kern w:val="2"/>
                <w:sz w:val="21"/>
                <w:szCs w:val="21"/>
              </w:rPr>
              <w:t>3.89</w:t>
            </w:r>
          </w:p>
        </w:tc>
      </w:tr>
      <w:tr w:rsidR="00BD5820">
        <w:trPr>
          <w:trHeight w:val="304"/>
          <w:jc w:val="center"/>
        </w:trPr>
        <w:tc>
          <w:tcPr>
            <w:tcW w:w="4174" w:type="dxa"/>
          </w:tcPr>
          <w:p w:rsidR="00BD5820" w:rsidRDefault="00F64314">
            <w:pPr>
              <w:topLinePunct w:val="0"/>
              <w:adjustRightInd/>
              <w:spacing w:before="52" w:line="220" w:lineRule="auto"/>
              <w:ind w:left="684" w:firstLineChars="0" w:firstLine="0"/>
              <w:rPr>
                <w:rFonts w:ascii="Times New Roman" w:cs="Times New Roman"/>
                <w:kern w:val="2"/>
                <w:sz w:val="21"/>
                <w:szCs w:val="21"/>
              </w:rPr>
            </w:pPr>
            <w:r>
              <w:rPr>
                <w:rFonts w:ascii="Times New Roman" w:eastAsia="Times New Roman" w:cs="Times New Roman"/>
                <w:spacing w:val="10"/>
                <w:kern w:val="2"/>
                <w:sz w:val="21"/>
                <w:szCs w:val="21"/>
              </w:rPr>
              <w:t>7.</w:t>
            </w:r>
            <w:r>
              <w:rPr>
                <w:rFonts w:ascii="Times New Roman" w:cs="Times New Roman"/>
                <w:spacing w:val="5"/>
                <w:kern w:val="2"/>
                <w:sz w:val="21"/>
                <w:szCs w:val="21"/>
              </w:rPr>
              <w:t>热带亚洲</w:t>
            </w:r>
            <w:r>
              <w:rPr>
                <w:rFonts w:ascii="Times New Roman" w:cs="Times New Roman" w:hint="eastAsia"/>
                <w:spacing w:val="5"/>
                <w:kern w:val="2"/>
                <w:sz w:val="21"/>
                <w:szCs w:val="21"/>
              </w:rPr>
              <w:t>（</w:t>
            </w:r>
            <w:r>
              <w:rPr>
                <w:rFonts w:ascii="Times New Roman" w:cs="Times New Roman"/>
                <w:spacing w:val="5"/>
                <w:kern w:val="2"/>
                <w:sz w:val="21"/>
                <w:szCs w:val="21"/>
              </w:rPr>
              <w:t>印度</w:t>
            </w:r>
            <w:r>
              <w:rPr>
                <w:rFonts w:ascii="Times New Roman" w:eastAsia="Times New Roman" w:cs="Times New Roman"/>
                <w:spacing w:val="5"/>
                <w:kern w:val="2"/>
                <w:sz w:val="21"/>
                <w:szCs w:val="21"/>
              </w:rPr>
              <w:t>-</w:t>
            </w:r>
            <w:r>
              <w:rPr>
                <w:rFonts w:ascii="Times New Roman" w:cs="Times New Roman"/>
                <w:spacing w:val="5"/>
                <w:kern w:val="2"/>
                <w:sz w:val="21"/>
                <w:szCs w:val="21"/>
              </w:rPr>
              <w:t>马来西亚</w:t>
            </w:r>
            <w:r>
              <w:rPr>
                <w:rFonts w:ascii="Times New Roman" w:cs="Times New Roman" w:hint="eastAsia"/>
                <w:spacing w:val="5"/>
                <w:kern w:val="2"/>
                <w:sz w:val="21"/>
                <w:szCs w:val="21"/>
              </w:rPr>
              <w:t>）</w:t>
            </w:r>
          </w:p>
        </w:tc>
        <w:tc>
          <w:tcPr>
            <w:tcW w:w="1590" w:type="dxa"/>
          </w:tcPr>
          <w:p w:rsidR="00BD5820" w:rsidRDefault="00F64314">
            <w:pPr>
              <w:topLinePunct w:val="0"/>
              <w:adjustRightInd/>
              <w:spacing w:before="70" w:line="186" w:lineRule="auto"/>
              <w:ind w:left="658" w:firstLineChars="0" w:firstLine="0"/>
              <w:rPr>
                <w:rFonts w:ascii="Times New Roman" w:eastAsia="Times New Roman" w:cs="Times New Roman"/>
                <w:kern w:val="2"/>
                <w:sz w:val="21"/>
                <w:szCs w:val="21"/>
              </w:rPr>
            </w:pPr>
            <w:r>
              <w:rPr>
                <w:rFonts w:ascii="Times New Roman" w:eastAsia="Times New Roman" w:cs="Times New Roman"/>
                <w:spacing w:val="-1"/>
                <w:kern w:val="2"/>
                <w:sz w:val="21"/>
                <w:szCs w:val="21"/>
              </w:rPr>
              <w:t>44</w:t>
            </w:r>
          </w:p>
        </w:tc>
        <w:tc>
          <w:tcPr>
            <w:tcW w:w="2542" w:type="dxa"/>
          </w:tcPr>
          <w:p w:rsidR="00BD5820" w:rsidRDefault="00F64314">
            <w:pPr>
              <w:topLinePunct w:val="0"/>
              <w:adjustRightInd/>
              <w:spacing w:before="70" w:line="186" w:lineRule="auto"/>
              <w:ind w:left="1059" w:firstLineChars="0" w:firstLine="0"/>
              <w:rPr>
                <w:rFonts w:ascii="Times New Roman" w:eastAsia="Times New Roman" w:cs="Times New Roman"/>
                <w:kern w:val="2"/>
                <w:sz w:val="21"/>
                <w:szCs w:val="21"/>
              </w:rPr>
            </w:pPr>
            <w:r>
              <w:rPr>
                <w:rFonts w:ascii="Times New Roman" w:eastAsia="Times New Roman" w:cs="Times New Roman"/>
                <w:spacing w:val="-2"/>
                <w:kern w:val="2"/>
                <w:sz w:val="21"/>
                <w:szCs w:val="21"/>
              </w:rPr>
              <w:t>7.51</w:t>
            </w:r>
          </w:p>
        </w:tc>
      </w:tr>
      <w:tr w:rsidR="00BD5820">
        <w:trPr>
          <w:trHeight w:val="304"/>
          <w:jc w:val="center"/>
        </w:trPr>
        <w:tc>
          <w:tcPr>
            <w:tcW w:w="4174" w:type="dxa"/>
          </w:tcPr>
          <w:p w:rsidR="00BD5820" w:rsidRDefault="00F64314">
            <w:pPr>
              <w:topLinePunct w:val="0"/>
              <w:adjustRightInd/>
              <w:spacing w:before="53" w:line="220" w:lineRule="auto"/>
              <w:ind w:left="1616" w:firstLineChars="0" w:firstLine="0"/>
              <w:rPr>
                <w:rFonts w:ascii="Times New Roman" w:cs="Times New Roman"/>
                <w:kern w:val="2"/>
                <w:sz w:val="21"/>
                <w:szCs w:val="21"/>
              </w:rPr>
            </w:pPr>
            <w:r>
              <w:rPr>
                <w:rFonts w:ascii="Times New Roman" w:eastAsia="Times New Roman" w:cs="Times New Roman"/>
                <w:spacing w:val="-2"/>
                <w:kern w:val="2"/>
                <w:sz w:val="21"/>
                <w:szCs w:val="21"/>
              </w:rPr>
              <w:t>8</w:t>
            </w:r>
            <w:r>
              <w:rPr>
                <w:rFonts w:ascii="Times New Roman" w:eastAsia="Times New Roman" w:cs="Times New Roman"/>
                <w:spacing w:val="-1"/>
                <w:kern w:val="2"/>
                <w:sz w:val="21"/>
                <w:szCs w:val="21"/>
              </w:rPr>
              <w:t>.</w:t>
            </w:r>
            <w:r>
              <w:rPr>
                <w:rFonts w:ascii="Times New Roman" w:cs="Times New Roman"/>
                <w:spacing w:val="-1"/>
                <w:kern w:val="2"/>
                <w:sz w:val="21"/>
                <w:szCs w:val="21"/>
              </w:rPr>
              <w:t>北温带</w:t>
            </w:r>
          </w:p>
        </w:tc>
        <w:tc>
          <w:tcPr>
            <w:tcW w:w="1590" w:type="dxa"/>
          </w:tcPr>
          <w:p w:rsidR="00BD5820" w:rsidRDefault="00F64314">
            <w:pPr>
              <w:topLinePunct w:val="0"/>
              <w:adjustRightInd/>
              <w:spacing w:before="70" w:line="186" w:lineRule="auto"/>
              <w:ind w:left="663" w:firstLineChars="0" w:firstLine="0"/>
              <w:rPr>
                <w:rFonts w:ascii="Times New Roman" w:eastAsia="Times New Roman" w:cs="Times New Roman"/>
                <w:kern w:val="2"/>
                <w:sz w:val="21"/>
                <w:szCs w:val="21"/>
              </w:rPr>
            </w:pPr>
            <w:r>
              <w:rPr>
                <w:rFonts w:ascii="Times New Roman" w:eastAsia="Times New Roman" w:cs="Times New Roman"/>
                <w:spacing w:val="-2"/>
                <w:kern w:val="2"/>
                <w:sz w:val="21"/>
                <w:szCs w:val="21"/>
              </w:rPr>
              <w:t>98</w:t>
            </w:r>
          </w:p>
        </w:tc>
        <w:tc>
          <w:tcPr>
            <w:tcW w:w="2542" w:type="dxa"/>
          </w:tcPr>
          <w:p w:rsidR="00BD5820" w:rsidRDefault="00F64314">
            <w:pPr>
              <w:topLinePunct w:val="0"/>
              <w:adjustRightInd/>
              <w:spacing w:before="70" w:line="186" w:lineRule="auto"/>
              <w:ind w:left="1023" w:firstLineChars="0" w:firstLine="0"/>
              <w:rPr>
                <w:rFonts w:ascii="Times New Roman" w:eastAsia="Times New Roman" w:cs="Times New Roman"/>
                <w:kern w:val="2"/>
                <w:sz w:val="21"/>
                <w:szCs w:val="21"/>
              </w:rPr>
            </w:pPr>
            <w:r>
              <w:rPr>
                <w:rFonts w:ascii="Times New Roman" w:eastAsia="Times New Roman" w:cs="Times New Roman"/>
                <w:spacing w:val="-8"/>
                <w:kern w:val="2"/>
                <w:sz w:val="21"/>
                <w:szCs w:val="21"/>
              </w:rPr>
              <w:t>1</w:t>
            </w:r>
            <w:r>
              <w:rPr>
                <w:rFonts w:ascii="Times New Roman" w:eastAsia="Times New Roman" w:cs="Times New Roman"/>
                <w:spacing w:val="-4"/>
                <w:kern w:val="2"/>
                <w:sz w:val="21"/>
                <w:szCs w:val="21"/>
              </w:rPr>
              <w:t>9.37</w:t>
            </w:r>
          </w:p>
        </w:tc>
      </w:tr>
      <w:tr w:rsidR="00BD5820">
        <w:trPr>
          <w:trHeight w:val="306"/>
          <w:jc w:val="center"/>
        </w:trPr>
        <w:tc>
          <w:tcPr>
            <w:tcW w:w="4174" w:type="dxa"/>
          </w:tcPr>
          <w:p w:rsidR="00BD5820" w:rsidRDefault="00F64314">
            <w:pPr>
              <w:topLinePunct w:val="0"/>
              <w:adjustRightInd/>
              <w:spacing w:before="55" w:line="219" w:lineRule="auto"/>
              <w:ind w:left="930" w:firstLineChars="0" w:firstLine="0"/>
              <w:rPr>
                <w:rFonts w:ascii="Times New Roman" w:cs="Times New Roman"/>
                <w:kern w:val="2"/>
                <w:sz w:val="21"/>
                <w:szCs w:val="21"/>
              </w:rPr>
            </w:pPr>
            <w:r>
              <w:rPr>
                <w:rFonts w:ascii="Times New Roman" w:eastAsia="Times New Roman" w:cs="Times New Roman"/>
                <w:spacing w:val="-1"/>
                <w:kern w:val="2"/>
                <w:sz w:val="21"/>
                <w:szCs w:val="21"/>
              </w:rPr>
              <w:t>9.</w:t>
            </w:r>
            <w:r>
              <w:rPr>
                <w:rFonts w:ascii="Times New Roman" w:cs="Times New Roman"/>
                <w:spacing w:val="-1"/>
                <w:kern w:val="2"/>
                <w:sz w:val="21"/>
                <w:szCs w:val="21"/>
              </w:rPr>
              <w:t>东亚和北美洲间</w:t>
            </w:r>
            <w:r>
              <w:rPr>
                <w:rFonts w:ascii="Times New Roman" w:cs="Times New Roman"/>
                <w:kern w:val="2"/>
                <w:sz w:val="21"/>
                <w:szCs w:val="21"/>
              </w:rPr>
              <w:t>断分布</w:t>
            </w:r>
          </w:p>
        </w:tc>
        <w:tc>
          <w:tcPr>
            <w:tcW w:w="1590" w:type="dxa"/>
          </w:tcPr>
          <w:p w:rsidR="00BD5820" w:rsidRDefault="00F64314">
            <w:pPr>
              <w:topLinePunct w:val="0"/>
              <w:adjustRightInd/>
              <w:spacing w:before="71" w:line="186" w:lineRule="auto"/>
              <w:ind w:left="663" w:firstLineChars="0" w:firstLine="0"/>
              <w:rPr>
                <w:rFonts w:ascii="Times New Roman" w:eastAsia="Times New Roman" w:cs="Times New Roman"/>
                <w:kern w:val="2"/>
                <w:sz w:val="21"/>
                <w:szCs w:val="21"/>
              </w:rPr>
            </w:pPr>
            <w:r>
              <w:rPr>
                <w:rFonts w:ascii="Times New Roman" w:eastAsia="Times New Roman" w:cs="Times New Roman"/>
                <w:spacing w:val="-3"/>
                <w:kern w:val="2"/>
                <w:sz w:val="21"/>
                <w:szCs w:val="21"/>
              </w:rPr>
              <w:t>3</w:t>
            </w:r>
            <w:r>
              <w:rPr>
                <w:rFonts w:ascii="Times New Roman" w:eastAsia="Times New Roman" w:cs="Times New Roman"/>
                <w:spacing w:val="-2"/>
                <w:kern w:val="2"/>
                <w:sz w:val="21"/>
                <w:szCs w:val="21"/>
              </w:rPr>
              <w:t>3</w:t>
            </w:r>
          </w:p>
        </w:tc>
        <w:tc>
          <w:tcPr>
            <w:tcW w:w="2542" w:type="dxa"/>
          </w:tcPr>
          <w:p w:rsidR="00BD5820" w:rsidRDefault="00F64314">
            <w:pPr>
              <w:topLinePunct w:val="0"/>
              <w:adjustRightInd/>
              <w:spacing w:before="71" w:line="186" w:lineRule="auto"/>
              <w:ind w:left="1061" w:firstLineChars="0" w:firstLine="0"/>
              <w:rPr>
                <w:rFonts w:ascii="Times New Roman" w:eastAsia="Times New Roman" w:cs="Times New Roman"/>
                <w:kern w:val="2"/>
                <w:sz w:val="21"/>
                <w:szCs w:val="21"/>
              </w:rPr>
            </w:pPr>
            <w:r>
              <w:rPr>
                <w:rFonts w:ascii="Times New Roman" w:eastAsia="Times New Roman" w:cs="Times New Roman"/>
                <w:spacing w:val="-3"/>
                <w:kern w:val="2"/>
                <w:sz w:val="21"/>
                <w:szCs w:val="21"/>
              </w:rPr>
              <w:t>6</w:t>
            </w:r>
            <w:r>
              <w:rPr>
                <w:rFonts w:ascii="Times New Roman" w:eastAsia="Times New Roman" w:cs="Times New Roman"/>
                <w:spacing w:val="-2"/>
                <w:kern w:val="2"/>
                <w:sz w:val="21"/>
                <w:szCs w:val="21"/>
              </w:rPr>
              <w:t>.52</w:t>
            </w:r>
          </w:p>
        </w:tc>
      </w:tr>
      <w:tr w:rsidR="00BD5820">
        <w:trPr>
          <w:trHeight w:val="304"/>
          <w:jc w:val="center"/>
        </w:trPr>
        <w:tc>
          <w:tcPr>
            <w:tcW w:w="4174" w:type="dxa"/>
          </w:tcPr>
          <w:p w:rsidR="00BD5820" w:rsidRDefault="00F64314">
            <w:pPr>
              <w:topLinePunct w:val="0"/>
              <w:adjustRightInd/>
              <w:spacing w:before="54" w:line="219" w:lineRule="auto"/>
              <w:ind w:left="1366" w:firstLineChars="0" w:firstLine="0"/>
              <w:rPr>
                <w:rFonts w:ascii="Times New Roman" w:cs="Times New Roman"/>
                <w:kern w:val="2"/>
                <w:sz w:val="21"/>
                <w:szCs w:val="21"/>
              </w:rPr>
            </w:pPr>
            <w:r>
              <w:rPr>
                <w:rFonts w:ascii="Times New Roman" w:eastAsia="Times New Roman" w:cs="Times New Roman"/>
                <w:spacing w:val="-4"/>
                <w:kern w:val="2"/>
                <w:sz w:val="21"/>
                <w:szCs w:val="21"/>
              </w:rPr>
              <w:t>10</w:t>
            </w:r>
            <w:r>
              <w:rPr>
                <w:rFonts w:ascii="Times New Roman" w:eastAsia="Times New Roman" w:cs="Times New Roman"/>
                <w:spacing w:val="-2"/>
                <w:kern w:val="2"/>
                <w:sz w:val="21"/>
                <w:szCs w:val="21"/>
              </w:rPr>
              <w:t>.</w:t>
            </w:r>
            <w:r>
              <w:rPr>
                <w:rFonts w:ascii="Times New Roman" w:cs="Times New Roman"/>
                <w:spacing w:val="-2"/>
                <w:kern w:val="2"/>
                <w:sz w:val="21"/>
                <w:szCs w:val="21"/>
              </w:rPr>
              <w:t>旧世界温带</w:t>
            </w:r>
          </w:p>
        </w:tc>
        <w:tc>
          <w:tcPr>
            <w:tcW w:w="1590" w:type="dxa"/>
          </w:tcPr>
          <w:p w:rsidR="00BD5820" w:rsidRDefault="00F64314">
            <w:pPr>
              <w:topLinePunct w:val="0"/>
              <w:adjustRightInd/>
              <w:spacing w:before="71" w:line="186" w:lineRule="auto"/>
              <w:ind w:left="663" w:firstLineChars="0" w:firstLine="0"/>
              <w:rPr>
                <w:rFonts w:ascii="Times New Roman" w:eastAsia="Times New Roman" w:cs="Times New Roman"/>
                <w:kern w:val="2"/>
                <w:sz w:val="21"/>
                <w:szCs w:val="21"/>
              </w:rPr>
            </w:pPr>
            <w:r>
              <w:rPr>
                <w:rFonts w:ascii="Times New Roman" w:eastAsia="Times New Roman" w:cs="Times New Roman"/>
                <w:spacing w:val="-3"/>
                <w:kern w:val="2"/>
                <w:sz w:val="21"/>
                <w:szCs w:val="21"/>
              </w:rPr>
              <w:t>3</w:t>
            </w:r>
            <w:r>
              <w:rPr>
                <w:rFonts w:ascii="Times New Roman" w:eastAsia="Times New Roman" w:cs="Times New Roman"/>
                <w:spacing w:val="-2"/>
                <w:kern w:val="2"/>
                <w:sz w:val="21"/>
                <w:szCs w:val="21"/>
              </w:rPr>
              <w:t>7</w:t>
            </w:r>
          </w:p>
        </w:tc>
        <w:tc>
          <w:tcPr>
            <w:tcW w:w="2542" w:type="dxa"/>
          </w:tcPr>
          <w:p w:rsidR="00BD5820" w:rsidRDefault="00F64314">
            <w:pPr>
              <w:topLinePunct w:val="0"/>
              <w:adjustRightInd/>
              <w:spacing w:before="71" w:line="186" w:lineRule="auto"/>
              <w:ind w:left="1059" w:firstLineChars="0" w:firstLine="0"/>
              <w:rPr>
                <w:rFonts w:ascii="Times New Roman" w:eastAsia="Times New Roman" w:cs="Times New Roman"/>
                <w:kern w:val="2"/>
                <w:sz w:val="21"/>
                <w:szCs w:val="21"/>
              </w:rPr>
            </w:pPr>
            <w:r>
              <w:rPr>
                <w:rFonts w:ascii="Times New Roman" w:eastAsia="Times New Roman" w:cs="Times New Roman"/>
                <w:spacing w:val="-2"/>
                <w:kern w:val="2"/>
                <w:sz w:val="21"/>
                <w:szCs w:val="21"/>
              </w:rPr>
              <w:t>7.31</w:t>
            </w:r>
          </w:p>
        </w:tc>
      </w:tr>
      <w:tr w:rsidR="00BD5820">
        <w:trPr>
          <w:trHeight w:val="304"/>
          <w:jc w:val="center"/>
        </w:trPr>
        <w:tc>
          <w:tcPr>
            <w:tcW w:w="4174" w:type="dxa"/>
          </w:tcPr>
          <w:p w:rsidR="00BD5820" w:rsidRDefault="00F64314">
            <w:pPr>
              <w:topLinePunct w:val="0"/>
              <w:adjustRightInd/>
              <w:spacing w:before="54" w:line="219" w:lineRule="auto"/>
              <w:ind w:left="1264" w:firstLineChars="0" w:firstLine="0"/>
              <w:rPr>
                <w:rFonts w:ascii="Times New Roman" w:cs="Times New Roman"/>
                <w:kern w:val="2"/>
                <w:sz w:val="21"/>
                <w:szCs w:val="21"/>
              </w:rPr>
            </w:pPr>
            <w:r>
              <w:rPr>
                <w:rFonts w:ascii="Times New Roman" w:eastAsia="Times New Roman" w:cs="Times New Roman"/>
                <w:spacing w:val="-3"/>
                <w:kern w:val="2"/>
                <w:sz w:val="21"/>
                <w:szCs w:val="21"/>
              </w:rPr>
              <w:t>11.</w:t>
            </w:r>
            <w:r>
              <w:rPr>
                <w:rFonts w:ascii="Times New Roman" w:cs="Times New Roman"/>
                <w:spacing w:val="-3"/>
                <w:kern w:val="2"/>
                <w:sz w:val="21"/>
                <w:szCs w:val="21"/>
              </w:rPr>
              <w:t>温带亚洲分</w:t>
            </w:r>
            <w:r>
              <w:rPr>
                <w:rFonts w:ascii="Times New Roman" w:cs="Times New Roman"/>
                <w:spacing w:val="-2"/>
                <w:kern w:val="2"/>
                <w:sz w:val="21"/>
                <w:szCs w:val="21"/>
              </w:rPr>
              <w:t>布</w:t>
            </w:r>
          </w:p>
        </w:tc>
        <w:tc>
          <w:tcPr>
            <w:tcW w:w="1590" w:type="dxa"/>
          </w:tcPr>
          <w:p w:rsidR="00BD5820" w:rsidRDefault="00F64314">
            <w:pPr>
              <w:topLinePunct w:val="0"/>
              <w:adjustRightInd/>
              <w:spacing w:before="71" w:line="186" w:lineRule="auto"/>
              <w:ind w:left="716" w:firstLineChars="0" w:firstLine="0"/>
              <w:rPr>
                <w:rFonts w:ascii="Times New Roman" w:eastAsia="Times New Roman" w:cs="Times New Roman"/>
                <w:kern w:val="2"/>
                <w:sz w:val="21"/>
                <w:szCs w:val="21"/>
              </w:rPr>
            </w:pPr>
            <w:r>
              <w:rPr>
                <w:rFonts w:ascii="Times New Roman" w:eastAsia="Times New Roman" w:cs="Times New Roman"/>
                <w:kern w:val="2"/>
                <w:sz w:val="21"/>
                <w:szCs w:val="21"/>
              </w:rPr>
              <w:t>9</w:t>
            </w:r>
          </w:p>
        </w:tc>
        <w:tc>
          <w:tcPr>
            <w:tcW w:w="2542" w:type="dxa"/>
          </w:tcPr>
          <w:p w:rsidR="00BD5820" w:rsidRDefault="00F64314">
            <w:pPr>
              <w:topLinePunct w:val="0"/>
              <w:adjustRightInd/>
              <w:spacing w:before="71" w:line="186" w:lineRule="auto"/>
              <w:ind w:left="1076" w:firstLineChars="0" w:firstLine="0"/>
              <w:rPr>
                <w:rFonts w:ascii="Times New Roman" w:eastAsia="Times New Roman" w:cs="Times New Roman"/>
                <w:kern w:val="2"/>
                <w:sz w:val="21"/>
                <w:szCs w:val="21"/>
              </w:rPr>
            </w:pPr>
            <w:r>
              <w:rPr>
                <w:rFonts w:ascii="Times New Roman" w:eastAsia="Times New Roman" w:cs="Times New Roman"/>
                <w:spacing w:val="-6"/>
                <w:kern w:val="2"/>
                <w:sz w:val="21"/>
                <w:szCs w:val="21"/>
              </w:rPr>
              <w:t>1.87</w:t>
            </w:r>
          </w:p>
        </w:tc>
      </w:tr>
      <w:tr w:rsidR="00BD5820">
        <w:trPr>
          <w:trHeight w:val="306"/>
          <w:jc w:val="center"/>
        </w:trPr>
        <w:tc>
          <w:tcPr>
            <w:tcW w:w="4174" w:type="dxa"/>
          </w:tcPr>
          <w:p w:rsidR="00BD5820" w:rsidRDefault="00F64314">
            <w:pPr>
              <w:topLinePunct w:val="0"/>
              <w:adjustRightInd/>
              <w:spacing w:before="56" w:line="219" w:lineRule="auto"/>
              <w:ind w:left="630" w:firstLineChars="0" w:firstLine="0"/>
              <w:rPr>
                <w:rFonts w:ascii="Times New Roman" w:cs="Times New Roman"/>
                <w:kern w:val="2"/>
                <w:sz w:val="21"/>
                <w:szCs w:val="21"/>
              </w:rPr>
            </w:pPr>
            <w:r>
              <w:rPr>
                <w:rFonts w:ascii="Times New Roman" w:eastAsia="Times New Roman" w:cs="Times New Roman"/>
                <w:spacing w:val="-3"/>
                <w:kern w:val="2"/>
                <w:sz w:val="21"/>
                <w:szCs w:val="21"/>
              </w:rPr>
              <w:t>1</w:t>
            </w:r>
            <w:r>
              <w:rPr>
                <w:rFonts w:ascii="Times New Roman" w:eastAsia="Times New Roman" w:cs="Times New Roman"/>
                <w:spacing w:val="-2"/>
                <w:kern w:val="2"/>
                <w:sz w:val="21"/>
                <w:szCs w:val="21"/>
              </w:rPr>
              <w:t>2.</w:t>
            </w:r>
            <w:r>
              <w:rPr>
                <w:rFonts w:ascii="Times New Roman" w:cs="Times New Roman"/>
                <w:spacing w:val="-2"/>
                <w:kern w:val="2"/>
                <w:sz w:val="21"/>
                <w:szCs w:val="21"/>
              </w:rPr>
              <w:t>地中海区、西亚至中亚分布</w:t>
            </w:r>
          </w:p>
        </w:tc>
        <w:tc>
          <w:tcPr>
            <w:tcW w:w="1590" w:type="dxa"/>
          </w:tcPr>
          <w:p w:rsidR="00BD5820" w:rsidRDefault="00F64314">
            <w:pPr>
              <w:topLinePunct w:val="0"/>
              <w:adjustRightInd/>
              <w:spacing w:before="75" w:line="183" w:lineRule="auto"/>
              <w:ind w:left="715" w:firstLineChars="0" w:firstLine="0"/>
              <w:rPr>
                <w:rFonts w:ascii="Times New Roman" w:eastAsia="Times New Roman" w:cs="Times New Roman"/>
                <w:kern w:val="2"/>
                <w:sz w:val="21"/>
                <w:szCs w:val="21"/>
              </w:rPr>
            </w:pPr>
            <w:r>
              <w:rPr>
                <w:rFonts w:ascii="Times New Roman" w:eastAsia="Times New Roman" w:cs="Times New Roman"/>
                <w:kern w:val="2"/>
                <w:sz w:val="21"/>
                <w:szCs w:val="21"/>
              </w:rPr>
              <w:t>7</w:t>
            </w:r>
          </w:p>
        </w:tc>
        <w:tc>
          <w:tcPr>
            <w:tcW w:w="2542" w:type="dxa"/>
          </w:tcPr>
          <w:p w:rsidR="00BD5820" w:rsidRDefault="00F64314">
            <w:pPr>
              <w:topLinePunct w:val="0"/>
              <w:adjustRightInd/>
              <w:spacing w:before="72" w:line="186" w:lineRule="auto"/>
              <w:ind w:left="1076" w:firstLineChars="0" w:firstLine="0"/>
              <w:rPr>
                <w:rFonts w:ascii="Times New Roman" w:eastAsia="Times New Roman" w:cs="Times New Roman"/>
                <w:kern w:val="2"/>
                <w:sz w:val="21"/>
                <w:szCs w:val="21"/>
              </w:rPr>
            </w:pPr>
            <w:r>
              <w:rPr>
                <w:rFonts w:ascii="Times New Roman" w:eastAsia="Times New Roman" w:cs="Times New Roman"/>
                <w:spacing w:val="-6"/>
                <w:kern w:val="2"/>
                <w:sz w:val="21"/>
                <w:szCs w:val="21"/>
              </w:rPr>
              <w:t>1.38</w:t>
            </w:r>
          </w:p>
        </w:tc>
      </w:tr>
      <w:tr w:rsidR="00BD5820">
        <w:trPr>
          <w:trHeight w:val="304"/>
          <w:jc w:val="center"/>
        </w:trPr>
        <w:tc>
          <w:tcPr>
            <w:tcW w:w="4174" w:type="dxa"/>
          </w:tcPr>
          <w:p w:rsidR="00BD5820" w:rsidRDefault="00F64314">
            <w:pPr>
              <w:topLinePunct w:val="0"/>
              <w:adjustRightInd/>
              <w:spacing w:before="54" w:line="219" w:lineRule="auto"/>
              <w:ind w:left="1523" w:firstLineChars="0" w:firstLine="0"/>
              <w:rPr>
                <w:rFonts w:ascii="Times New Roman" w:cs="Times New Roman"/>
                <w:kern w:val="2"/>
                <w:sz w:val="21"/>
                <w:szCs w:val="21"/>
              </w:rPr>
            </w:pPr>
            <w:r>
              <w:rPr>
                <w:rFonts w:ascii="Times New Roman" w:eastAsia="Times New Roman" w:cs="Times New Roman"/>
                <w:spacing w:val="-6"/>
                <w:kern w:val="2"/>
                <w:sz w:val="21"/>
                <w:szCs w:val="21"/>
              </w:rPr>
              <w:t>1</w:t>
            </w:r>
            <w:r>
              <w:rPr>
                <w:rFonts w:ascii="Times New Roman" w:eastAsia="Times New Roman" w:cs="Times New Roman"/>
                <w:spacing w:val="-3"/>
                <w:kern w:val="2"/>
                <w:sz w:val="21"/>
                <w:szCs w:val="21"/>
              </w:rPr>
              <w:t>3.</w:t>
            </w:r>
            <w:r>
              <w:rPr>
                <w:rFonts w:ascii="Times New Roman" w:cs="Times New Roman"/>
                <w:spacing w:val="-3"/>
                <w:kern w:val="2"/>
                <w:sz w:val="21"/>
                <w:szCs w:val="21"/>
              </w:rPr>
              <w:t>中亚分布</w:t>
            </w:r>
          </w:p>
        </w:tc>
        <w:tc>
          <w:tcPr>
            <w:tcW w:w="1590" w:type="dxa"/>
          </w:tcPr>
          <w:p w:rsidR="00BD5820" w:rsidRDefault="00F64314">
            <w:pPr>
              <w:topLinePunct w:val="0"/>
              <w:adjustRightInd/>
              <w:spacing w:before="72" w:line="186" w:lineRule="auto"/>
              <w:ind w:left="732" w:firstLineChars="0" w:firstLine="0"/>
              <w:rPr>
                <w:rFonts w:ascii="Times New Roman" w:eastAsia="Times New Roman" w:cs="Times New Roman"/>
                <w:kern w:val="2"/>
                <w:sz w:val="21"/>
                <w:szCs w:val="21"/>
              </w:rPr>
            </w:pPr>
            <w:r>
              <w:rPr>
                <w:rFonts w:ascii="Times New Roman" w:eastAsia="Times New Roman" w:cs="Times New Roman"/>
                <w:kern w:val="2"/>
                <w:sz w:val="21"/>
                <w:szCs w:val="21"/>
              </w:rPr>
              <w:t>1</w:t>
            </w:r>
          </w:p>
        </w:tc>
        <w:tc>
          <w:tcPr>
            <w:tcW w:w="2542" w:type="dxa"/>
          </w:tcPr>
          <w:p w:rsidR="00BD5820" w:rsidRDefault="00F64314">
            <w:pPr>
              <w:topLinePunct w:val="0"/>
              <w:adjustRightInd/>
              <w:spacing w:before="72" w:line="186" w:lineRule="auto"/>
              <w:ind w:left="1059" w:firstLineChars="0" w:firstLine="0"/>
              <w:rPr>
                <w:rFonts w:ascii="Times New Roman" w:eastAsia="Times New Roman" w:cs="Times New Roman"/>
                <w:kern w:val="2"/>
                <w:sz w:val="21"/>
                <w:szCs w:val="21"/>
              </w:rPr>
            </w:pPr>
            <w:r>
              <w:rPr>
                <w:rFonts w:ascii="Times New Roman" w:eastAsia="Times New Roman" w:cs="Times New Roman"/>
                <w:spacing w:val="-2"/>
                <w:kern w:val="2"/>
                <w:sz w:val="21"/>
                <w:szCs w:val="21"/>
              </w:rPr>
              <w:t>0.1</w:t>
            </w:r>
            <w:r>
              <w:rPr>
                <w:rFonts w:ascii="Times New Roman" w:eastAsia="Times New Roman" w:cs="Times New Roman"/>
                <w:spacing w:val="-1"/>
                <w:kern w:val="2"/>
                <w:sz w:val="21"/>
                <w:szCs w:val="21"/>
              </w:rPr>
              <w:t>6</w:t>
            </w:r>
          </w:p>
        </w:tc>
      </w:tr>
      <w:tr w:rsidR="00BD5820">
        <w:trPr>
          <w:trHeight w:val="305"/>
          <w:jc w:val="center"/>
        </w:trPr>
        <w:tc>
          <w:tcPr>
            <w:tcW w:w="4174" w:type="dxa"/>
          </w:tcPr>
          <w:p w:rsidR="00BD5820" w:rsidRDefault="00F64314">
            <w:pPr>
              <w:topLinePunct w:val="0"/>
              <w:adjustRightInd/>
              <w:spacing w:before="55" w:line="219" w:lineRule="auto"/>
              <w:ind w:left="1523" w:firstLineChars="0" w:firstLine="0"/>
              <w:rPr>
                <w:rFonts w:ascii="Times New Roman" w:cs="Times New Roman"/>
                <w:kern w:val="2"/>
                <w:sz w:val="21"/>
                <w:szCs w:val="21"/>
              </w:rPr>
            </w:pPr>
            <w:r>
              <w:rPr>
                <w:rFonts w:ascii="Times New Roman" w:eastAsia="Times New Roman" w:cs="Times New Roman"/>
                <w:spacing w:val="-6"/>
                <w:kern w:val="2"/>
                <w:sz w:val="21"/>
                <w:szCs w:val="21"/>
              </w:rPr>
              <w:t>1</w:t>
            </w:r>
            <w:r>
              <w:rPr>
                <w:rFonts w:ascii="Times New Roman" w:eastAsia="Times New Roman" w:cs="Times New Roman"/>
                <w:spacing w:val="-3"/>
                <w:kern w:val="2"/>
                <w:sz w:val="21"/>
                <w:szCs w:val="21"/>
              </w:rPr>
              <w:t>4.</w:t>
            </w:r>
            <w:r>
              <w:rPr>
                <w:rFonts w:ascii="Times New Roman" w:cs="Times New Roman"/>
                <w:spacing w:val="-3"/>
                <w:kern w:val="2"/>
                <w:sz w:val="21"/>
                <w:szCs w:val="21"/>
              </w:rPr>
              <w:t>东亚分布</w:t>
            </w:r>
          </w:p>
        </w:tc>
        <w:tc>
          <w:tcPr>
            <w:tcW w:w="1590" w:type="dxa"/>
          </w:tcPr>
          <w:p w:rsidR="00BD5820" w:rsidRDefault="00F64314">
            <w:pPr>
              <w:topLinePunct w:val="0"/>
              <w:adjustRightInd/>
              <w:spacing w:before="73" w:line="186" w:lineRule="auto"/>
              <w:ind w:left="662" w:firstLineChars="0" w:firstLine="0"/>
              <w:rPr>
                <w:rFonts w:ascii="Times New Roman" w:eastAsia="Times New Roman" w:cs="Times New Roman"/>
                <w:kern w:val="2"/>
                <w:sz w:val="21"/>
                <w:szCs w:val="21"/>
              </w:rPr>
            </w:pPr>
            <w:r>
              <w:rPr>
                <w:rFonts w:ascii="Times New Roman" w:eastAsia="Times New Roman" w:cs="Times New Roman"/>
                <w:spacing w:val="-2"/>
                <w:kern w:val="2"/>
                <w:sz w:val="21"/>
                <w:szCs w:val="21"/>
              </w:rPr>
              <w:t>72</w:t>
            </w:r>
          </w:p>
        </w:tc>
        <w:tc>
          <w:tcPr>
            <w:tcW w:w="2542" w:type="dxa"/>
          </w:tcPr>
          <w:p w:rsidR="00BD5820" w:rsidRDefault="00F64314">
            <w:pPr>
              <w:topLinePunct w:val="0"/>
              <w:adjustRightInd/>
              <w:spacing w:before="73" w:line="186" w:lineRule="auto"/>
              <w:ind w:left="1023" w:firstLineChars="0" w:firstLine="0"/>
              <w:rPr>
                <w:rFonts w:ascii="Times New Roman" w:eastAsia="Times New Roman" w:cs="Times New Roman"/>
                <w:kern w:val="2"/>
                <w:sz w:val="21"/>
                <w:szCs w:val="21"/>
              </w:rPr>
            </w:pPr>
            <w:r>
              <w:rPr>
                <w:rFonts w:ascii="Times New Roman" w:eastAsia="Times New Roman" w:cs="Times New Roman"/>
                <w:spacing w:val="-8"/>
                <w:kern w:val="2"/>
                <w:sz w:val="21"/>
                <w:szCs w:val="21"/>
              </w:rPr>
              <w:t>1</w:t>
            </w:r>
            <w:r>
              <w:rPr>
                <w:rFonts w:ascii="Times New Roman" w:eastAsia="Times New Roman" w:cs="Times New Roman"/>
                <w:spacing w:val="-4"/>
                <w:kern w:val="2"/>
                <w:sz w:val="21"/>
                <w:szCs w:val="21"/>
              </w:rPr>
              <w:t>4.23</w:t>
            </w:r>
          </w:p>
        </w:tc>
      </w:tr>
      <w:tr w:rsidR="00BD5820">
        <w:trPr>
          <w:trHeight w:val="306"/>
          <w:jc w:val="center"/>
        </w:trPr>
        <w:tc>
          <w:tcPr>
            <w:tcW w:w="4174" w:type="dxa"/>
          </w:tcPr>
          <w:p w:rsidR="00BD5820" w:rsidRDefault="00F64314">
            <w:pPr>
              <w:topLinePunct w:val="0"/>
              <w:adjustRightInd/>
              <w:spacing w:before="56" w:line="219" w:lineRule="auto"/>
              <w:ind w:left="1523" w:firstLineChars="0" w:firstLine="0"/>
              <w:rPr>
                <w:rFonts w:ascii="Times New Roman" w:cs="Times New Roman"/>
                <w:kern w:val="2"/>
                <w:sz w:val="21"/>
                <w:szCs w:val="21"/>
              </w:rPr>
            </w:pPr>
            <w:r>
              <w:rPr>
                <w:rFonts w:ascii="Times New Roman" w:eastAsia="Times New Roman" w:cs="Times New Roman"/>
                <w:spacing w:val="-6"/>
                <w:kern w:val="2"/>
                <w:sz w:val="21"/>
                <w:szCs w:val="21"/>
              </w:rPr>
              <w:t>1</w:t>
            </w:r>
            <w:r>
              <w:rPr>
                <w:rFonts w:ascii="Times New Roman" w:eastAsia="Times New Roman" w:cs="Times New Roman"/>
                <w:spacing w:val="-3"/>
                <w:kern w:val="2"/>
                <w:sz w:val="21"/>
                <w:szCs w:val="21"/>
              </w:rPr>
              <w:t>5.</w:t>
            </w:r>
            <w:r>
              <w:rPr>
                <w:rFonts w:ascii="Times New Roman" w:cs="Times New Roman"/>
                <w:spacing w:val="-3"/>
                <w:kern w:val="2"/>
                <w:sz w:val="21"/>
                <w:szCs w:val="21"/>
              </w:rPr>
              <w:t>中国特有</w:t>
            </w:r>
          </w:p>
        </w:tc>
        <w:tc>
          <w:tcPr>
            <w:tcW w:w="1590" w:type="dxa"/>
          </w:tcPr>
          <w:p w:rsidR="00BD5820" w:rsidRDefault="00F64314">
            <w:pPr>
              <w:topLinePunct w:val="0"/>
              <w:adjustRightInd/>
              <w:spacing w:before="72" w:line="186" w:lineRule="auto"/>
              <w:ind w:left="717" w:firstLineChars="0" w:firstLine="0"/>
              <w:rPr>
                <w:rFonts w:ascii="Times New Roman" w:eastAsia="Times New Roman" w:cs="Times New Roman"/>
                <w:kern w:val="2"/>
                <w:sz w:val="21"/>
                <w:szCs w:val="21"/>
              </w:rPr>
            </w:pPr>
            <w:r>
              <w:rPr>
                <w:rFonts w:ascii="Times New Roman" w:eastAsia="Times New Roman" w:cs="Times New Roman"/>
                <w:kern w:val="2"/>
                <w:sz w:val="21"/>
                <w:szCs w:val="21"/>
              </w:rPr>
              <w:t>6</w:t>
            </w:r>
          </w:p>
        </w:tc>
        <w:tc>
          <w:tcPr>
            <w:tcW w:w="2542" w:type="dxa"/>
          </w:tcPr>
          <w:p w:rsidR="00BD5820" w:rsidRDefault="00F64314">
            <w:pPr>
              <w:topLinePunct w:val="0"/>
              <w:adjustRightInd/>
              <w:spacing w:before="72" w:line="186" w:lineRule="auto"/>
              <w:ind w:left="1076" w:firstLineChars="0" w:firstLine="0"/>
              <w:rPr>
                <w:rFonts w:ascii="Times New Roman" w:eastAsia="Times New Roman" w:cs="Times New Roman"/>
                <w:kern w:val="2"/>
                <w:sz w:val="21"/>
                <w:szCs w:val="21"/>
              </w:rPr>
            </w:pPr>
            <w:r>
              <w:rPr>
                <w:rFonts w:ascii="Times New Roman" w:eastAsia="Times New Roman" w:cs="Times New Roman"/>
                <w:spacing w:val="-6"/>
                <w:kern w:val="2"/>
                <w:sz w:val="21"/>
                <w:szCs w:val="21"/>
              </w:rPr>
              <w:t>1.19</w:t>
            </w:r>
          </w:p>
        </w:tc>
      </w:tr>
      <w:tr w:rsidR="00BD5820">
        <w:trPr>
          <w:trHeight w:val="309"/>
          <w:jc w:val="center"/>
        </w:trPr>
        <w:tc>
          <w:tcPr>
            <w:tcW w:w="4174" w:type="dxa"/>
          </w:tcPr>
          <w:p w:rsidR="00BD5820" w:rsidRDefault="00F64314">
            <w:pPr>
              <w:topLinePunct w:val="0"/>
              <w:adjustRightInd/>
              <w:spacing w:before="55" w:line="221" w:lineRule="auto"/>
              <w:ind w:left="1691" w:firstLineChars="0" w:firstLine="0"/>
              <w:rPr>
                <w:rFonts w:ascii="Times New Roman" w:cs="Times New Roman"/>
                <w:kern w:val="2"/>
                <w:sz w:val="21"/>
                <w:szCs w:val="21"/>
              </w:rPr>
            </w:pPr>
            <w:r>
              <w:rPr>
                <w:rFonts w:ascii="Times New Roman" w:cs="Times New Roman"/>
                <w:spacing w:val="-1"/>
                <w:kern w:val="2"/>
                <w:sz w:val="21"/>
                <w:szCs w:val="21"/>
              </w:rPr>
              <w:t>合</w:t>
            </w:r>
            <w:r>
              <w:rPr>
                <w:rFonts w:ascii="Times New Roman" w:cs="Times New Roman"/>
                <w:kern w:val="2"/>
                <w:sz w:val="21"/>
                <w:szCs w:val="21"/>
              </w:rPr>
              <w:t>计</w:t>
            </w:r>
          </w:p>
        </w:tc>
        <w:tc>
          <w:tcPr>
            <w:tcW w:w="1590" w:type="dxa"/>
          </w:tcPr>
          <w:p w:rsidR="00BD5820" w:rsidRDefault="00F64314">
            <w:pPr>
              <w:topLinePunct w:val="0"/>
              <w:adjustRightInd/>
              <w:spacing w:before="72" w:line="186" w:lineRule="auto"/>
              <w:ind w:left="612" w:firstLineChars="0" w:firstLine="0"/>
              <w:rPr>
                <w:rFonts w:ascii="Times New Roman" w:eastAsia="Times New Roman" w:cs="Times New Roman"/>
                <w:kern w:val="2"/>
                <w:sz w:val="21"/>
                <w:szCs w:val="21"/>
              </w:rPr>
            </w:pPr>
            <w:r>
              <w:rPr>
                <w:rFonts w:ascii="Times New Roman" w:eastAsia="Times New Roman" w:cs="Times New Roman"/>
                <w:spacing w:val="-3"/>
                <w:kern w:val="2"/>
                <w:sz w:val="21"/>
                <w:szCs w:val="21"/>
              </w:rPr>
              <w:t>5</w:t>
            </w:r>
            <w:r>
              <w:rPr>
                <w:rFonts w:ascii="Times New Roman" w:eastAsia="Times New Roman" w:cs="Times New Roman"/>
                <w:spacing w:val="-2"/>
                <w:kern w:val="2"/>
                <w:sz w:val="21"/>
                <w:szCs w:val="21"/>
              </w:rPr>
              <w:t>06</w:t>
            </w:r>
          </w:p>
        </w:tc>
        <w:tc>
          <w:tcPr>
            <w:tcW w:w="2542" w:type="dxa"/>
          </w:tcPr>
          <w:p w:rsidR="00BD5820" w:rsidRDefault="00F64314">
            <w:pPr>
              <w:topLinePunct w:val="0"/>
              <w:adjustRightInd/>
              <w:spacing w:before="72" w:line="186" w:lineRule="auto"/>
              <w:ind w:firstLineChars="0" w:firstLine="0"/>
              <w:jc w:val="center"/>
              <w:rPr>
                <w:rFonts w:ascii="Times New Roman" w:eastAsiaTheme="minorEastAsia" w:cs="Times New Roman"/>
                <w:kern w:val="2"/>
                <w:sz w:val="21"/>
                <w:szCs w:val="21"/>
              </w:rPr>
            </w:pPr>
            <w:r>
              <w:rPr>
                <w:rFonts w:ascii="Times New Roman" w:eastAsia="Times New Roman" w:cs="Times New Roman"/>
                <w:spacing w:val="-4"/>
                <w:kern w:val="2"/>
                <w:sz w:val="21"/>
                <w:szCs w:val="21"/>
              </w:rPr>
              <w:t>100</w:t>
            </w:r>
          </w:p>
        </w:tc>
      </w:tr>
    </w:tbl>
    <w:p w:rsidR="00BD5820" w:rsidRDefault="00F64314">
      <w:pPr>
        <w:topLinePunct w:val="0"/>
        <w:adjustRightInd/>
        <w:spacing w:before="29" w:line="233" w:lineRule="auto"/>
        <w:ind w:left="458" w:firstLineChars="0" w:firstLine="0"/>
        <w:rPr>
          <w:rFonts w:ascii="Times New Roman" w:cs="Times New Roman"/>
          <w:kern w:val="2"/>
          <w:sz w:val="21"/>
          <w:szCs w:val="21"/>
        </w:rPr>
      </w:pPr>
      <w:r>
        <w:rPr>
          <w:rFonts w:ascii="Times New Roman" w:cs="Times New Roman"/>
          <w:spacing w:val="-23"/>
          <w:kern w:val="2"/>
          <w:sz w:val="21"/>
          <w:szCs w:val="21"/>
        </w:rPr>
        <w:t>注</w:t>
      </w:r>
      <w:r>
        <w:rPr>
          <w:rFonts w:ascii="Times New Roman" w:cs="Times New Roman" w:hint="eastAsia"/>
          <w:spacing w:val="-23"/>
          <w:kern w:val="2"/>
          <w:sz w:val="21"/>
          <w:szCs w:val="21"/>
        </w:rPr>
        <w:t>：</w:t>
      </w:r>
      <w:r>
        <w:rPr>
          <w:rFonts w:ascii="Times New Roman" w:cs="Times New Roman" w:hint="eastAsia"/>
          <w:spacing w:val="-14"/>
          <w:kern w:val="2"/>
          <w:sz w:val="21"/>
          <w:szCs w:val="21"/>
        </w:rPr>
        <w:t>“</w:t>
      </w:r>
      <w:r>
        <w:rPr>
          <w:rFonts w:ascii="Times New Roman" w:cs="Times New Roman" w:hint="eastAsia"/>
          <w:spacing w:val="-14"/>
          <w:kern w:val="2"/>
          <w:sz w:val="21"/>
          <w:szCs w:val="21"/>
        </w:rPr>
        <w:t>*</w:t>
      </w:r>
      <w:r>
        <w:rPr>
          <w:rFonts w:ascii="Times New Roman" w:cs="Times New Roman" w:hint="eastAsia"/>
          <w:spacing w:val="-14"/>
          <w:kern w:val="2"/>
          <w:sz w:val="21"/>
          <w:szCs w:val="21"/>
        </w:rPr>
        <w:t>”</w:t>
      </w:r>
      <w:r>
        <w:rPr>
          <w:rFonts w:ascii="Times New Roman" w:cs="Times New Roman"/>
          <w:spacing w:val="-14"/>
          <w:kern w:val="2"/>
          <w:sz w:val="21"/>
          <w:szCs w:val="21"/>
        </w:rPr>
        <w:t>不含世界广布类型</w:t>
      </w:r>
    </w:p>
    <w:p w:rsidR="00BD5820" w:rsidRDefault="00F64314">
      <w:pPr>
        <w:pStyle w:val="affa"/>
        <w:ind w:firstLine="500"/>
        <w:rPr>
          <w:spacing w:val="15"/>
          <w:kern w:val="2"/>
          <w:szCs w:val="24"/>
        </w:rPr>
      </w:pPr>
      <w:r>
        <w:rPr>
          <w:spacing w:val="5"/>
          <w:kern w:val="2"/>
          <w:szCs w:val="24"/>
        </w:rPr>
        <w:t>上表的统计结果来看，</w:t>
      </w:r>
      <w:r>
        <w:rPr>
          <w:rFonts w:hint="eastAsia"/>
          <w:spacing w:val="5"/>
          <w:kern w:val="2"/>
          <w:szCs w:val="24"/>
        </w:rPr>
        <w:t>项目区域</w:t>
      </w:r>
      <w:r>
        <w:rPr>
          <w:spacing w:val="5"/>
          <w:kern w:val="2"/>
          <w:szCs w:val="24"/>
        </w:rPr>
        <w:t>热带分布区类型属</w:t>
      </w:r>
      <w:r>
        <w:rPr>
          <w:rFonts w:hint="eastAsia"/>
          <w:spacing w:val="5"/>
          <w:kern w:val="2"/>
          <w:szCs w:val="24"/>
        </w:rPr>
        <w:t>（</w:t>
      </w:r>
      <w:r>
        <w:rPr>
          <w:rFonts w:eastAsia="Times New Roman"/>
          <w:spacing w:val="5"/>
          <w:kern w:val="2"/>
          <w:szCs w:val="24"/>
        </w:rPr>
        <w:t>2-7</w:t>
      </w:r>
      <w:r>
        <w:rPr>
          <w:rFonts w:hint="eastAsia"/>
          <w:spacing w:val="5"/>
          <w:kern w:val="2"/>
          <w:szCs w:val="24"/>
        </w:rPr>
        <w:t>）</w:t>
      </w:r>
      <w:r>
        <w:rPr>
          <w:spacing w:val="5"/>
          <w:kern w:val="2"/>
          <w:szCs w:val="24"/>
        </w:rPr>
        <w:t>含有</w:t>
      </w:r>
      <w:r>
        <w:rPr>
          <w:rFonts w:eastAsia="Times New Roman"/>
          <w:spacing w:val="5"/>
          <w:kern w:val="2"/>
          <w:szCs w:val="24"/>
        </w:rPr>
        <w:t>199</w:t>
      </w:r>
      <w:r>
        <w:rPr>
          <w:spacing w:val="5"/>
          <w:kern w:val="2"/>
          <w:szCs w:val="24"/>
        </w:rPr>
        <w:t>属，占</w:t>
      </w:r>
      <w:r>
        <w:rPr>
          <w:rFonts w:hint="eastAsia"/>
          <w:spacing w:val="4"/>
          <w:kern w:val="2"/>
          <w:szCs w:val="24"/>
        </w:rPr>
        <w:t>项目区域</w:t>
      </w:r>
      <w:r>
        <w:rPr>
          <w:spacing w:val="-1"/>
          <w:kern w:val="2"/>
          <w:szCs w:val="24"/>
        </w:rPr>
        <w:t>非世界分布种子植物总属数的</w:t>
      </w:r>
      <w:r>
        <w:rPr>
          <w:rFonts w:eastAsia="Times New Roman"/>
          <w:spacing w:val="-1"/>
          <w:kern w:val="2"/>
          <w:szCs w:val="24"/>
        </w:rPr>
        <w:t>39.35%</w:t>
      </w:r>
      <w:r>
        <w:rPr>
          <w:spacing w:val="-1"/>
          <w:kern w:val="2"/>
          <w:szCs w:val="24"/>
        </w:rPr>
        <w:t>，具有代表性的属</w:t>
      </w:r>
      <w:r>
        <w:rPr>
          <w:kern w:val="2"/>
          <w:szCs w:val="24"/>
        </w:rPr>
        <w:t>有冬青属</w:t>
      </w:r>
      <w:r>
        <w:rPr>
          <w:rFonts w:eastAsia="Times New Roman"/>
          <w:i/>
          <w:iCs/>
          <w:kern w:val="2"/>
          <w:szCs w:val="24"/>
        </w:rPr>
        <w:t>Ilex</w:t>
      </w:r>
      <w:r>
        <w:rPr>
          <w:kern w:val="2"/>
          <w:szCs w:val="24"/>
        </w:rPr>
        <w:t>、柃木属</w:t>
      </w:r>
      <w:r>
        <w:rPr>
          <w:rFonts w:eastAsia="Times New Roman"/>
          <w:i/>
          <w:iCs/>
          <w:spacing w:val="-4"/>
          <w:kern w:val="2"/>
          <w:szCs w:val="24"/>
        </w:rPr>
        <w:t>Eurya</w:t>
      </w:r>
      <w:r>
        <w:rPr>
          <w:spacing w:val="-4"/>
          <w:kern w:val="2"/>
          <w:szCs w:val="24"/>
        </w:rPr>
        <w:t>、凤仙花属</w:t>
      </w:r>
      <w:r>
        <w:rPr>
          <w:rFonts w:eastAsia="Times New Roman"/>
          <w:i/>
          <w:iCs/>
          <w:spacing w:val="-4"/>
          <w:kern w:val="2"/>
          <w:szCs w:val="24"/>
        </w:rPr>
        <w:t>Impatiens</w:t>
      </w:r>
      <w:r>
        <w:rPr>
          <w:spacing w:val="-4"/>
          <w:kern w:val="2"/>
          <w:szCs w:val="24"/>
        </w:rPr>
        <w:t>、醉鱼草属</w:t>
      </w:r>
      <w:r>
        <w:rPr>
          <w:rFonts w:eastAsia="Times New Roman"/>
          <w:i/>
          <w:iCs/>
          <w:spacing w:val="-4"/>
          <w:kern w:val="2"/>
          <w:szCs w:val="24"/>
        </w:rPr>
        <w:t>Buddl</w:t>
      </w:r>
      <w:r>
        <w:rPr>
          <w:rFonts w:eastAsia="Times New Roman"/>
          <w:i/>
          <w:iCs/>
          <w:spacing w:val="-2"/>
          <w:kern w:val="2"/>
          <w:szCs w:val="24"/>
        </w:rPr>
        <w:t>e</w:t>
      </w:r>
      <w:r>
        <w:rPr>
          <w:rFonts w:eastAsia="Times New Roman"/>
          <w:i/>
          <w:iCs/>
          <w:kern w:val="2"/>
          <w:szCs w:val="24"/>
        </w:rPr>
        <w:t>ja</w:t>
      </w:r>
      <w:r>
        <w:rPr>
          <w:spacing w:val="-4"/>
          <w:kern w:val="2"/>
          <w:szCs w:val="24"/>
        </w:rPr>
        <w:t>等；温带分布区类型</w:t>
      </w:r>
      <w:r>
        <w:rPr>
          <w:rFonts w:hint="eastAsia"/>
          <w:spacing w:val="-4"/>
          <w:kern w:val="2"/>
          <w:szCs w:val="24"/>
        </w:rPr>
        <w:t>（</w:t>
      </w:r>
      <w:r>
        <w:rPr>
          <w:rFonts w:eastAsia="Times New Roman"/>
          <w:spacing w:val="-4"/>
          <w:kern w:val="2"/>
          <w:szCs w:val="24"/>
        </w:rPr>
        <w:t>8-14</w:t>
      </w:r>
      <w:r>
        <w:rPr>
          <w:rFonts w:hint="eastAsia"/>
          <w:spacing w:val="-4"/>
          <w:kern w:val="2"/>
          <w:szCs w:val="24"/>
        </w:rPr>
        <w:t>）</w:t>
      </w:r>
      <w:r>
        <w:rPr>
          <w:spacing w:val="-4"/>
          <w:kern w:val="2"/>
          <w:szCs w:val="24"/>
        </w:rPr>
        <w:t>含有</w:t>
      </w:r>
      <w:r>
        <w:rPr>
          <w:rFonts w:eastAsia="Times New Roman"/>
          <w:spacing w:val="1"/>
          <w:kern w:val="2"/>
          <w:szCs w:val="24"/>
        </w:rPr>
        <w:t>257</w:t>
      </w:r>
      <w:r>
        <w:rPr>
          <w:spacing w:val="1"/>
          <w:kern w:val="2"/>
          <w:szCs w:val="24"/>
        </w:rPr>
        <w:t>属，占评价区非世界分布种子植物</w:t>
      </w:r>
      <w:r>
        <w:rPr>
          <w:kern w:val="2"/>
          <w:szCs w:val="24"/>
        </w:rPr>
        <w:t>总属数的</w:t>
      </w:r>
      <w:r>
        <w:rPr>
          <w:rFonts w:eastAsia="Times New Roman"/>
          <w:kern w:val="2"/>
          <w:szCs w:val="24"/>
        </w:rPr>
        <w:t>50.84%</w:t>
      </w:r>
      <w:r>
        <w:rPr>
          <w:kern w:val="2"/>
          <w:szCs w:val="24"/>
        </w:rPr>
        <w:t>，具有代表性的有胡颓子</w:t>
      </w:r>
      <w:r>
        <w:rPr>
          <w:spacing w:val="-8"/>
          <w:kern w:val="2"/>
          <w:szCs w:val="24"/>
        </w:rPr>
        <w:t>属</w:t>
      </w:r>
      <w:r>
        <w:rPr>
          <w:rFonts w:eastAsia="Times New Roman"/>
          <w:i/>
          <w:iCs/>
          <w:spacing w:val="-4"/>
          <w:kern w:val="2"/>
          <w:szCs w:val="24"/>
        </w:rPr>
        <w:t>Elaeagnus</w:t>
      </w:r>
      <w:r>
        <w:rPr>
          <w:spacing w:val="-8"/>
          <w:kern w:val="2"/>
          <w:szCs w:val="24"/>
        </w:rPr>
        <w:t>、胡桃属</w:t>
      </w:r>
      <w:r>
        <w:rPr>
          <w:rFonts w:eastAsia="Times New Roman"/>
          <w:i/>
          <w:iCs/>
          <w:spacing w:val="-4"/>
          <w:kern w:val="2"/>
          <w:szCs w:val="24"/>
        </w:rPr>
        <w:t>Juglans</w:t>
      </w:r>
      <w:r>
        <w:rPr>
          <w:spacing w:val="-8"/>
          <w:kern w:val="2"/>
          <w:szCs w:val="24"/>
        </w:rPr>
        <w:t>、</w:t>
      </w:r>
      <w:r>
        <w:rPr>
          <w:spacing w:val="-7"/>
          <w:kern w:val="2"/>
          <w:szCs w:val="24"/>
        </w:rPr>
        <w:t>报</w:t>
      </w:r>
      <w:r>
        <w:rPr>
          <w:spacing w:val="-4"/>
          <w:kern w:val="2"/>
          <w:szCs w:val="24"/>
        </w:rPr>
        <w:t>春花属</w:t>
      </w:r>
      <w:r>
        <w:rPr>
          <w:rFonts w:eastAsia="Times New Roman"/>
          <w:i/>
          <w:iCs/>
          <w:spacing w:val="-4"/>
          <w:kern w:val="2"/>
          <w:szCs w:val="24"/>
        </w:rPr>
        <w:t>Primula</w:t>
      </w:r>
      <w:r>
        <w:rPr>
          <w:spacing w:val="-4"/>
          <w:kern w:val="2"/>
          <w:szCs w:val="24"/>
        </w:rPr>
        <w:t>、杜鹃属</w:t>
      </w:r>
      <w:r>
        <w:rPr>
          <w:rFonts w:eastAsia="Times New Roman"/>
          <w:i/>
          <w:iCs/>
          <w:spacing w:val="-4"/>
          <w:kern w:val="2"/>
          <w:szCs w:val="24"/>
        </w:rPr>
        <w:t>Rhododendron</w:t>
      </w:r>
      <w:r>
        <w:rPr>
          <w:spacing w:val="-4"/>
          <w:kern w:val="2"/>
          <w:szCs w:val="24"/>
        </w:rPr>
        <w:t>、胡枝子</w:t>
      </w:r>
      <w:r>
        <w:rPr>
          <w:spacing w:val="-10"/>
          <w:kern w:val="2"/>
          <w:szCs w:val="24"/>
        </w:rPr>
        <w:t>属</w:t>
      </w:r>
      <w:r>
        <w:rPr>
          <w:rFonts w:eastAsia="Times New Roman"/>
          <w:i/>
          <w:iCs/>
          <w:spacing w:val="-10"/>
          <w:kern w:val="2"/>
          <w:szCs w:val="24"/>
        </w:rPr>
        <w:t>Lespedeza</w:t>
      </w:r>
      <w:r>
        <w:rPr>
          <w:spacing w:val="-10"/>
          <w:kern w:val="2"/>
          <w:szCs w:val="24"/>
        </w:rPr>
        <w:t>、接骨木属</w:t>
      </w:r>
      <w:r>
        <w:rPr>
          <w:rFonts w:eastAsia="Times New Roman"/>
          <w:i/>
          <w:iCs/>
          <w:spacing w:val="-10"/>
          <w:kern w:val="2"/>
          <w:szCs w:val="24"/>
        </w:rPr>
        <w:t>Sambucus</w:t>
      </w:r>
      <w:r>
        <w:rPr>
          <w:spacing w:val="-10"/>
          <w:kern w:val="2"/>
          <w:szCs w:val="24"/>
        </w:rPr>
        <w:t>、楤木属</w:t>
      </w:r>
      <w:r>
        <w:rPr>
          <w:rFonts w:eastAsia="Times New Roman"/>
          <w:i/>
          <w:iCs/>
          <w:spacing w:val="-10"/>
          <w:kern w:val="2"/>
          <w:szCs w:val="24"/>
        </w:rPr>
        <w:t>Aralia</w:t>
      </w:r>
      <w:r>
        <w:rPr>
          <w:spacing w:val="-10"/>
          <w:kern w:val="2"/>
          <w:szCs w:val="24"/>
        </w:rPr>
        <w:t>、马桑属</w:t>
      </w:r>
      <w:r>
        <w:rPr>
          <w:rFonts w:eastAsia="Times New Roman"/>
          <w:i/>
          <w:iCs/>
          <w:spacing w:val="-10"/>
          <w:kern w:val="2"/>
          <w:szCs w:val="24"/>
        </w:rPr>
        <w:t>Coriaria</w:t>
      </w:r>
      <w:r>
        <w:rPr>
          <w:spacing w:val="-10"/>
          <w:kern w:val="2"/>
          <w:szCs w:val="24"/>
        </w:rPr>
        <w:t>、荚蒾属</w:t>
      </w:r>
      <w:r>
        <w:rPr>
          <w:rFonts w:eastAsia="Times New Roman"/>
          <w:i/>
          <w:iCs/>
          <w:spacing w:val="-10"/>
          <w:kern w:val="2"/>
          <w:szCs w:val="24"/>
        </w:rPr>
        <w:t>Viburnu</w:t>
      </w:r>
      <w:r>
        <w:rPr>
          <w:rFonts w:eastAsia="Times New Roman"/>
          <w:i/>
          <w:iCs/>
          <w:spacing w:val="-1"/>
          <w:kern w:val="2"/>
          <w:szCs w:val="24"/>
        </w:rPr>
        <w:t>m</w:t>
      </w:r>
      <w:r>
        <w:rPr>
          <w:spacing w:val="-10"/>
          <w:kern w:val="2"/>
          <w:szCs w:val="24"/>
        </w:rPr>
        <w:t>、</w:t>
      </w:r>
      <w:r>
        <w:rPr>
          <w:spacing w:val="-6"/>
          <w:kern w:val="2"/>
          <w:szCs w:val="24"/>
        </w:rPr>
        <w:t>栎属</w:t>
      </w:r>
      <w:r>
        <w:rPr>
          <w:rFonts w:eastAsia="Times New Roman"/>
          <w:i/>
          <w:iCs/>
          <w:spacing w:val="-3"/>
          <w:kern w:val="2"/>
          <w:szCs w:val="24"/>
        </w:rPr>
        <w:t>Quercus</w:t>
      </w:r>
      <w:r>
        <w:rPr>
          <w:spacing w:val="-6"/>
          <w:kern w:val="2"/>
          <w:szCs w:val="24"/>
        </w:rPr>
        <w:t>、蔷薇属</w:t>
      </w:r>
      <w:r>
        <w:rPr>
          <w:rFonts w:eastAsia="Times New Roman"/>
          <w:i/>
          <w:iCs/>
          <w:spacing w:val="-3"/>
          <w:kern w:val="2"/>
          <w:szCs w:val="24"/>
        </w:rPr>
        <w:t>Rosa</w:t>
      </w:r>
      <w:r>
        <w:rPr>
          <w:spacing w:val="-6"/>
          <w:kern w:val="2"/>
          <w:szCs w:val="24"/>
        </w:rPr>
        <w:t>、忍冬属</w:t>
      </w:r>
      <w:r>
        <w:rPr>
          <w:rFonts w:eastAsia="Times New Roman"/>
          <w:i/>
          <w:iCs/>
          <w:spacing w:val="-3"/>
          <w:kern w:val="2"/>
          <w:szCs w:val="24"/>
        </w:rPr>
        <w:t>Lonicera</w:t>
      </w:r>
      <w:r>
        <w:rPr>
          <w:spacing w:val="-4"/>
          <w:kern w:val="2"/>
          <w:szCs w:val="24"/>
        </w:rPr>
        <w:t>、</w:t>
      </w:r>
      <w:r>
        <w:rPr>
          <w:spacing w:val="-3"/>
          <w:kern w:val="2"/>
          <w:szCs w:val="24"/>
        </w:rPr>
        <w:t>香青属</w:t>
      </w:r>
      <w:r>
        <w:rPr>
          <w:rFonts w:eastAsia="Times New Roman"/>
          <w:i/>
          <w:iCs/>
          <w:spacing w:val="-3"/>
          <w:kern w:val="2"/>
          <w:szCs w:val="24"/>
        </w:rPr>
        <w:t>Anaphalis</w:t>
      </w:r>
      <w:r>
        <w:rPr>
          <w:spacing w:val="-3"/>
          <w:kern w:val="2"/>
          <w:szCs w:val="24"/>
        </w:rPr>
        <w:t>等；中国特有植</w:t>
      </w:r>
      <w:r>
        <w:rPr>
          <w:spacing w:val="-16"/>
          <w:kern w:val="2"/>
          <w:szCs w:val="24"/>
        </w:rPr>
        <w:t>物</w:t>
      </w:r>
      <w:r>
        <w:rPr>
          <w:spacing w:val="-9"/>
          <w:kern w:val="2"/>
          <w:szCs w:val="24"/>
        </w:rPr>
        <w:t>属</w:t>
      </w:r>
      <w:r>
        <w:rPr>
          <w:rFonts w:eastAsia="Times New Roman"/>
          <w:spacing w:val="-8"/>
          <w:kern w:val="2"/>
          <w:szCs w:val="24"/>
        </w:rPr>
        <w:t>6</w:t>
      </w:r>
      <w:r>
        <w:rPr>
          <w:spacing w:val="-8"/>
          <w:kern w:val="2"/>
          <w:szCs w:val="24"/>
        </w:rPr>
        <w:t>属，占</w:t>
      </w:r>
      <w:r>
        <w:rPr>
          <w:rFonts w:eastAsia="Times New Roman"/>
          <w:spacing w:val="-8"/>
          <w:kern w:val="2"/>
          <w:szCs w:val="24"/>
        </w:rPr>
        <w:t>1.19%</w:t>
      </w:r>
      <w:r>
        <w:rPr>
          <w:spacing w:val="-8"/>
          <w:kern w:val="2"/>
          <w:szCs w:val="24"/>
        </w:rPr>
        <w:t>，分别是喜树属</w:t>
      </w:r>
      <w:r>
        <w:rPr>
          <w:rFonts w:eastAsia="Times New Roman"/>
          <w:i/>
          <w:iCs/>
          <w:spacing w:val="-8"/>
          <w:kern w:val="2"/>
          <w:szCs w:val="24"/>
        </w:rPr>
        <w:t>Camptotheca</w:t>
      </w:r>
      <w:r>
        <w:rPr>
          <w:spacing w:val="-8"/>
          <w:kern w:val="2"/>
          <w:szCs w:val="24"/>
        </w:rPr>
        <w:t>、杉木属</w:t>
      </w:r>
      <w:r>
        <w:rPr>
          <w:rFonts w:eastAsia="Times New Roman"/>
          <w:i/>
          <w:iCs/>
          <w:spacing w:val="-8"/>
          <w:kern w:val="2"/>
          <w:szCs w:val="24"/>
        </w:rPr>
        <w:t>Cunninghamia</w:t>
      </w:r>
      <w:r>
        <w:rPr>
          <w:spacing w:val="-8"/>
          <w:kern w:val="2"/>
          <w:szCs w:val="24"/>
        </w:rPr>
        <w:t>、银杏属</w:t>
      </w:r>
      <w:r>
        <w:rPr>
          <w:rFonts w:eastAsia="Times New Roman"/>
          <w:i/>
          <w:iCs/>
          <w:spacing w:val="-2"/>
          <w:kern w:val="2"/>
          <w:szCs w:val="24"/>
        </w:rPr>
        <w:t>Ginkgo</w:t>
      </w:r>
      <w:r>
        <w:rPr>
          <w:spacing w:val="-2"/>
          <w:kern w:val="2"/>
          <w:szCs w:val="24"/>
        </w:rPr>
        <w:t>、水杉属</w:t>
      </w:r>
      <w:r>
        <w:rPr>
          <w:rFonts w:eastAsia="Times New Roman"/>
          <w:i/>
          <w:iCs/>
          <w:spacing w:val="-2"/>
          <w:kern w:val="2"/>
          <w:szCs w:val="24"/>
        </w:rPr>
        <w:t>Metasequoia</w:t>
      </w:r>
      <w:r>
        <w:rPr>
          <w:spacing w:val="-2"/>
          <w:kern w:val="2"/>
          <w:szCs w:val="24"/>
        </w:rPr>
        <w:t>、慈竹属</w:t>
      </w:r>
      <w:r>
        <w:rPr>
          <w:rFonts w:eastAsia="Times New Roman"/>
          <w:i/>
          <w:iCs/>
          <w:spacing w:val="-2"/>
          <w:kern w:val="2"/>
          <w:szCs w:val="24"/>
        </w:rPr>
        <w:t>Neos</w:t>
      </w:r>
      <w:r>
        <w:rPr>
          <w:rFonts w:eastAsia="Times New Roman"/>
          <w:i/>
          <w:iCs/>
          <w:spacing w:val="-1"/>
          <w:kern w:val="2"/>
          <w:szCs w:val="24"/>
        </w:rPr>
        <w:t>inocalamus</w:t>
      </w:r>
      <w:r>
        <w:rPr>
          <w:spacing w:val="-2"/>
          <w:kern w:val="2"/>
          <w:szCs w:val="24"/>
        </w:rPr>
        <w:t>、通脱木属</w:t>
      </w:r>
      <w:r>
        <w:rPr>
          <w:rFonts w:eastAsia="Times New Roman"/>
          <w:i/>
          <w:iCs/>
          <w:spacing w:val="-1"/>
          <w:kern w:val="2"/>
          <w:szCs w:val="24"/>
        </w:rPr>
        <w:t>Tetrapanax</w:t>
      </w:r>
      <w:r>
        <w:rPr>
          <w:spacing w:val="-2"/>
          <w:kern w:val="2"/>
          <w:szCs w:val="24"/>
        </w:rPr>
        <w:t>。从</w:t>
      </w:r>
      <w:r>
        <w:rPr>
          <w:spacing w:val="3"/>
          <w:kern w:val="2"/>
          <w:szCs w:val="24"/>
        </w:rPr>
        <w:t>属的分布区类型来看，</w:t>
      </w:r>
      <w:r>
        <w:rPr>
          <w:rFonts w:hint="eastAsia"/>
          <w:spacing w:val="3"/>
          <w:kern w:val="2"/>
          <w:szCs w:val="24"/>
        </w:rPr>
        <w:t>区域</w:t>
      </w:r>
      <w:r>
        <w:rPr>
          <w:spacing w:val="3"/>
          <w:kern w:val="2"/>
          <w:szCs w:val="24"/>
        </w:rPr>
        <w:t>内种子植物区系成分以北温带分布、东亚分布、</w:t>
      </w:r>
      <w:r>
        <w:rPr>
          <w:spacing w:val="1"/>
          <w:kern w:val="2"/>
          <w:szCs w:val="24"/>
        </w:rPr>
        <w:t>泛</w:t>
      </w:r>
      <w:r>
        <w:rPr>
          <w:spacing w:val="3"/>
          <w:kern w:val="2"/>
          <w:szCs w:val="24"/>
        </w:rPr>
        <w:t>热带分布、东亚和北美洲间断分布、旧世界温带所代表的温带成分为主，同时</w:t>
      </w:r>
      <w:r>
        <w:rPr>
          <w:spacing w:val="1"/>
          <w:kern w:val="2"/>
          <w:szCs w:val="24"/>
        </w:rPr>
        <w:t>热</w:t>
      </w:r>
      <w:r>
        <w:rPr>
          <w:spacing w:val="3"/>
          <w:kern w:val="2"/>
          <w:szCs w:val="24"/>
        </w:rPr>
        <w:t>带成分也有近四分之一的比例，反映出</w:t>
      </w:r>
      <w:r>
        <w:rPr>
          <w:rFonts w:hint="eastAsia"/>
          <w:spacing w:val="3"/>
          <w:kern w:val="2"/>
          <w:szCs w:val="24"/>
        </w:rPr>
        <w:t>项目区域</w:t>
      </w:r>
      <w:r>
        <w:rPr>
          <w:spacing w:val="3"/>
          <w:kern w:val="2"/>
          <w:szCs w:val="24"/>
        </w:rPr>
        <w:t>种子植物在属级水平上区系性质</w:t>
      </w:r>
      <w:r>
        <w:rPr>
          <w:spacing w:val="1"/>
          <w:kern w:val="2"/>
          <w:szCs w:val="24"/>
        </w:rPr>
        <w:t>的</w:t>
      </w:r>
      <w:r>
        <w:rPr>
          <w:spacing w:val="3"/>
          <w:kern w:val="2"/>
          <w:szCs w:val="24"/>
        </w:rPr>
        <w:t>复杂性，种子植物温带分布属显著多于其他区系成分，因此</w:t>
      </w:r>
      <w:r>
        <w:rPr>
          <w:rFonts w:hint="eastAsia"/>
          <w:spacing w:val="3"/>
          <w:kern w:val="2"/>
          <w:szCs w:val="24"/>
        </w:rPr>
        <w:t>项目区域</w:t>
      </w:r>
      <w:r>
        <w:rPr>
          <w:spacing w:val="3"/>
          <w:kern w:val="2"/>
          <w:szCs w:val="24"/>
        </w:rPr>
        <w:t>种子植物带</w:t>
      </w:r>
      <w:r>
        <w:rPr>
          <w:spacing w:val="1"/>
          <w:kern w:val="2"/>
          <w:szCs w:val="24"/>
        </w:rPr>
        <w:t>有</w:t>
      </w:r>
      <w:r>
        <w:rPr>
          <w:spacing w:val="-6"/>
          <w:kern w:val="2"/>
          <w:szCs w:val="24"/>
        </w:rPr>
        <w:t>极其明显的温带</w:t>
      </w:r>
      <w:r>
        <w:rPr>
          <w:spacing w:val="-4"/>
          <w:kern w:val="2"/>
          <w:szCs w:val="24"/>
        </w:rPr>
        <w:t>成</w:t>
      </w:r>
      <w:r>
        <w:rPr>
          <w:spacing w:val="-3"/>
          <w:kern w:val="2"/>
          <w:szCs w:val="24"/>
        </w:rPr>
        <w:t>分性质，这与</w:t>
      </w:r>
      <w:r>
        <w:rPr>
          <w:rFonts w:hint="eastAsia"/>
          <w:spacing w:val="-3"/>
          <w:kern w:val="2"/>
          <w:szCs w:val="24"/>
        </w:rPr>
        <w:t>项目区域</w:t>
      </w:r>
      <w:r>
        <w:rPr>
          <w:spacing w:val="-3"/>
          <w:kern w:val="2"/>
          <w:szCs w:val="24"/>
        </w:rPr>
        <w:t>所处的</w:t>
      </w:r>
      <w:r>
        <w:rPr>
          <w:rFonts w:hint="eastAsia"/>
          <w:spacing w:val="-3"/>
          <w:kern w:val="2"/>
          <w:szCs w:val="24"/>
        </w:rPr>
        <w:t>“</w:t>
      </w:r>
      <w:r>
        <w:rPr>
          <w:spacing w:val="-3"/>
          <w:kern w:val="2"/>
          <w:szCs w:val="24"/>
        </w:rPr>
        <w:t>亚热带常绿阔叶林区域</w:t>
      </w:r>
      <w:r>
        <w:rPr>
          <w:rFonts w:eastAsia="Times New Roman"/>
          <w:spacing w:val="-3"/>
          <w:kern w:val="2"/>
          <w:szCs w:val="24"/>
        </w:rPr>
        <w:t>—</w:t>
      </w:r>
      <w:r>
        <w:rPr>
          <w:spacing w:val="-3"/>
          <w:kern w:val="2"/>
          <w:szCs w:val="24"/>
        </w:rPr>
        <w:t>川东盆地</w:t>
      </w:r>
      <w:r>
        <w:rPr>
          <w:spacing w:val="8"/>
          <w:kern w:val="2"/>
          <w:szCs w:val="24"/>
        </w:rPr>
        <w:t>及川</w:t>
      </w:r>
      <w:r>
        <w:rPr>
          <w:spacing w:val="5"/>
          <w:kern w:val="2"/>
          <w:szCs w:val="24"/>
        </w:rPr>
        <w:t>西</w:t>
      </w:r>
      <w:r>
        <w:rPr>
          <w:spacing w:val="4"/>
          <w:kern w:val="2"/>
          <w:szCs w:val="24"/>
        </w:rPr>
        <w:t>南山地常绿阔叶林地带</w:t>
      </w:r>
      <w:r>
        <w:rPr>
          <w:rFonts w:hint="eastAsia"/>
          <w:spacing w:val="4"/>
          <w:kern w:val="2"/>
          <w:szCs w:val="24"/>
        </w:rPr>
        <w:t>（</w:t>
      </w:r>
      <w:r>
        <w:rPr>
          <w:spacing w:val="4"/>
          <w:kern w:val="2"/>
          <w:szCs w:val="24"/>
        </w:rPr>
        <w:t>东部常绿阔叶林亚区域</w:t>
      </w:r>
      <w:r>
        <w:rPr>
          <w:rFonts w:hint="eastAsia"/>
          <w:spacing w:val="4"/>
          <w:kern w:val="2"/>
          <w:szCs w:val="24"/>
        </w:rPr>
        <w:t>）</w:t>
      </w:r>
      <w:r>
        <w:rPr>
          <w:rFonts w:eastAsia="Times New Roman"/>
          <w:spacing w:val="4"/>
          <w:kern w:val="2"/>
          <w:szCs w:val="24"/>
        </w:rPr>
        <w:t>—</w:t>
      </w:r>
      <w:r>
        <w:rPr>
          <w:spacing w:val="4"/>
          <w:kern w:val="2"/>
          <w:szCs w:val="24"/>
        </w:rPr>
        <w:t>川东盆地偏湿性常绿</w:t>
      </w:r>
      <w:r>
        <w:rPr>
          <w:spacing w:val="11"/>
          <w:kern w:val="2"/>
          <w:szCs w:val="24"/>
        </w:rPr>
        <w:t>阔</w:t>
      </w:r>
      <w:r>
        <w:rPr>
          <w:spacing w:val="6"/>
          <w:kern w:val="2"/>
          <w:szCs w:val="24"/>
        </w:rPr>
        <w:t>叶林亚带</w:t>
      </w:r>
      <w:r>
        <w:rPr>
          <w:rFonts w:eastAsia="Times New Roman"/>
          <w:spacing w:val="6"/>
          <w:kern w:val="2"/>
          <w:szCs w:val="24"/>
        </w:rPr>
        <w:t>—</w:t>
      </w:r>
      <w:r>
        <w:rPr>
          <w:spacing w:val="6"/>
          <w:kern w:val="2"/>
          <w:szCs w:val="24"/>
        </w:rPr>
        <w:t>盆边北部中山植被地区</w:t>
      </w:r>
      <w:r>
        <w:rPr>
          <w:rFonts w:hint="eastAsia"/>
          <w:spacing w:val="6"/>
          <w:kern w:val="2"/>
          <w:szCs w:val="24"/>
        </w:rPr>
        <w:t>（</w:t>
      </w:r>
      <w:r>
        <w:rPr>
          <w:spacing w:val="6"/>
          <w:kern w:val="2"/>
          <w:szCs w:val="24"/>
        </w:rPr>
        <w:t>北亚热带常绿、落叶阔叶混交林地带</w:t>
      </w:r>
      <w:r>
        <w:rPr>
          <w:rFonts w:hint="eastAsia"/>
          <w:spacing w:val="6"/>
          <w:kern w:val="2"/>
          <w:szCs w:val="24"/>
        </w:rPr>
        <w:t>）</w:t>
      </w:r>
      <w:r>
        <w:rPr>
          <w:rFonts w:eastAsia="Times New Roman"/>
          <w:spacing w:val="6"/>
          <w:kern w:val="2"/>
          <w:szCs w:val="24"/>
        </w:rPr>
        <w:t>—</w:t>
      </w:r>
      <w:r>
        <w:rPr>
          <w:spacing w:val="4"/>
          <w:kern w:val="2"/>
          <w:szCs w:val="24"/>
        </w:rPr>
        <w:t>大</w:t>
      </w:r>
      <w:r>
        <w:rPr>
          <w:spacing w:val="3"/>
          <w:kern w:val="2"/>
          <w:szCs w:val="24"/>
        </w:rPr>
        <w:t>巴山植被小区</w:t>
      </w:r>
      <w:r>
        <w:rPr>
          <w:rFonts w:hint="eastAsia"/>
          <w:spacing w:val="3"/>
          <w:kern w:val="2"/>
          <w:szCs w:val="24"/>
        </w:rPr>
        <w:t>（</w:t>
      </w:r>
      <w:r>
        <w:rPr>
          <w:spacing w:val="3"/>
          <w:kern w:val="2"/>
          <w:szCs w:val="24"/>
        </w:rPr>
        <w:t>秦、巴山地丘陵，栎类林、巴山松、</w:t>
      </w:r>
      <w:r>
        <w:rPr>
          <w:rFonts w:hint="eastAsia"/>
          <w:spacing w:val="3"/>
          <w:kern w:val="2"/>
          <w:szCs w:val="24"/>
        </w:rPr>
        <w:t>马尾松</w:t>
      </w:r>
      <w:r>
        <w:rPr>
          <w:spacing w:val="3"/>
          <w:kern w:val="2"/>
          <w:szCs w:val="24"/>
        </w:rPr>
        <w:t>林区</w:t>
      </w:r>
      <w:r>
        <w:rPr>
          <w:rFonts w:hint="eastAsia"/>
          <w:spacing w:val="3"/>
          <w:kern w:val="2"/>
          <w:szCs w:val="24"/>
        </w:rPr>
        <w:t>）</w:t>
      </w:r>
      <w:r>
        <w:rPr>
          <w:rFonts w:hint="eastAsia"/>
          <w:spacing w:val="-3"/>
          <w:kern w:val="2"/>
          <w:szCs w:val="24"/>
        </w:rPr>
        <w:t>”</w:t>
      </w:r>
      <w:r>
        <w:rPr>
          <w:spacing w:val="3"/>
          <w:kern w:val="2"/>
          <w:szCs w:val="24"/>
        </w:rPr>
        <w:t>气候条件相</w:t>
      </w:r>
      <w:r>
        <w:rPr>
          <w:spacing w:val="-12"/>
          <w:kern w:val="2"/>
          <w:szCs w:val="24"/>
        </w:rPr>
        <w:t>符</w:t>
      </w:r>
      <w:r>
        <w:rPr>
          <w:spacing w:val="-10"/>
          <w:kern w:val="2"/>
          <w:szCs w:val="24"/>
        </w:rPr>
        <w:t>。</w:t>
      </w:r>
    </w:p>
    <w:p w:rsidR="00BD5820" w:rsidRDefault="00F64314">
      <w:pPr>
        <w:pStyle w:val="3"/>
        <w:rPr>
          <w:rFonts w:eastAsia="宋体"/>
        </w:rPr>
      </w:pPr>
      <w:bookmarkStart w:id="336" w:name="_Toc12288585"/>
      <w:r>
        <w:rPr>
          <w:rFonts w:eastAsia="宋体"/>
        </w:rPr>
        <w:lastRenderedPageBreak/>
        <w:t>5.2.4</w:t>
      </w:r>
      <w:r>
        <w:rPr>
          <w:rFonts w:eastAsia="宋体"/>
          <w:bCs/>
          <w:szCs w:val="24"/>
        </w:rPr>
        <w:t>评价范围陆生植被现状调查</w:t>
      </w:r>
      <w:bookmarkEnd w:id="336"/>
    </w:p>
    <w:p w:rsidR="00BD5820" w:rsidRDefault="00F64314">
      <w:pPr>
        <w:topLinePunct w:val="0"/>
        <w:snapToGrid w:val="0"/>
        <w:ind w:firstLine="482"/>
        <w:rPr>
          <w:rFonts w:ascii="Times New Roman" w:cs="Times New Roman"/>
          <w:b/>
          <w:bCs/>
          <w:kern w:val="2"/>
        </w:rPr>
      </w:pPr>
      <w:r>
        <w:rPr>
          <w:rFonts w:ascii="Times New Roman" w:cs="Times New Roman"/>
          <w:b/>
          <w:bCs/>
          <w:kern w:val="2"/>
        </w:rPr>
        <w:t>1</w:t>
      </w:r>
      <w:r>
        <w:rPr>
          <w:rFonts w:ascii="Times New Roman" w:cs="Times New Roman"/>
          <w:b/>
          <w:bCs/>
          <w:kern w:val="2"/>
        </w:rPr>
        <w:t>、评价范围内植被概况</w:t>
      </w:r>
    </w:p>
    <w:p w:rsidR="00BD5820" w:rsidRPr="003C7A6E" w:rsidRDefault="00F64314">
      <w:pPr>
        <w:topLinePunct w:val="0"/>
        <w:snapToGrid w:val="0"/>
        <w:ind w:firstLine="472"/>
        <w:rPr>
          <w:rFonts w:ascii="Times New Roman" w:cs="Times New Roman"/>
          <w:color w:val="FF0000"/>
          <w:spacing w:val="-2"/>
          <w:kern w:val="2"/>
        </w:rPr>
      </w:pPr>
      <w:r>
        <w:rPr>
          <w:rFonts w:ascii="Times New Roman" w:cs="Times New Roman"/>
          <w:spacing w:val="-2"/>
          <w:kern w:val="2"/>
        </w:rPr>
        <w:t>现</w:t>
      </w:r>
      <w:r w:rsidRPr="003C7A6E">
        <w:rPr>
          <w:rFonts w:ascii="Times New Roman" w:cs="Times New Roman"/>
          <w:color w:val="FF0000"/>
          <w:spacing w:val="-2"/>
          <w:kern w:val="2"/>
        </w:rPr>
        <w:t>场调查情况，评价区地带性植物为亚热带常绿阔叶林，植被覆盖度较高，亚热带针叶林、阔叶林植被，亚热带灌丛、热性草丛植被较常见，评价区内天然植被和人工栽植植被均广泛分布。</w:t>
      </w:r>
    </w:p>
    <w:p w:rsidR="00BD5820" w:rsidRDefault="00F64314">
      <w:pPr>
        <w:topLinePunct w:val="0"/>
        <w:adjustRightInd/>
        <w:snapToGrid w:val="0"/>
        <w:spacing w:line="240" w:lineRule="auto"/>
        <w:ind w:firstLineChars="196" w:firstLine="472"/>
        <w:rPr>
          <w:rFonts w:ascii="Times New Roman" w:cs="Times New Roman"/>
          <w:b/>
          <w:bCs/>
          <w:kern w:val="2"/>
        </w:rPr>
      </w:pPr>
      <w:r>
        <w:rPr>
          <w:rFonts w:ascii="Times New Roman" w:cs="Times New Roman" w:hint="eastAsia"/>
          <w:b/>
          <w:bCs/>
          <w:kern w:val="2"/>
        </w:rPr>
        <w:t>2</w:t>
      </w:r>
      <w:r>
        <w:rPr>
          <w:rFonts w:ascii="Times New Roman" w:cs="Times New Roman" w:hint="eastAsia"/>
          <w:b/>
          <w:bCs/>
          <w:kern w:val="2"/>
        </w:rPr>
        <w:t>、</w:t>
      </w:r>
      <w:r>
        <w:rPr>
          <w:rFonts w:ascii="Times New Roman" w:cs="Times New Roman"/>
          <w:b/>
          <w:bCs/>
          <w:kern w:val="2"/>
        </w:rPr>
        <w:t>植物群落结构及演替规律</w:t>
      </w:r>
    </w:p>
    <w:p w:rsidR="00BD5820" w:rsidRDefault="00F64314">
      <w:pPr>
        <w:topLinePunct w:val="0"/>
        <w:snapToGrid w:val="0"/>
        <w:ind w:firstLine="480"/>
        <w:rPr>
          <w:rFonts w:ascii="Times New Roman" w:cs="Times New Roman"/>
          <w:kern w:val="2"/>
        </w:rPr>
      </w:pPr>
      <w:r>
        <w:rPr>
          <w:rFonts w:ascii="Times New Roman" w:cs="Times New Roman"/>
          <w:kern w:val="2"/>
        </w:rPr>
        <w:t>评价区植物群落主要为乔木、灌木、草本为主的结构特征，其中乔木群落结构多为乔灌草三层植被，灌木群落结构多为灌草双层植被，草本群落则多为草丛单层植被。群落自然演替规律总体呈现草本</w:t>
      </w:r>
      <w:r>
        <w:rPr>
          <w:rFonts w:ascii="Times New Roman" w:cs="Times New Roman"/>
          <w:kern w:val="2"/>
        </w:rPr>
        <w:t>-</w:t>
      </w:r>
      <w:r>
        <w:rPr>
          <w:rFonts w:ascii="Times New Roman" w:cs="Times New Roman"/>
          <w:kern w:val="2"/>
        </w:rPr>
        <w:t>灌丛</w:t>
      </w:r>
      <w:r>
        <w:rPr>
          <w:rFonts w:ascii="Times New Roman" w:cs="Times New Roman"/>
          <w:kern w:val="2"/>
        </w:rPr>
        <w:t>-</w:t>
      </w:r>
      <w:r>
        <w:rPr>
          <w:rFonts w:ascii="Times New Roman" w:cs="Times New Roman"/>
          <w:kern w:val="2"/>
        </w:rPr>
        <w:t>乔木方向演替。同时，随着近年退耕还林等人为活动影响，还存在草本</w:t>
      </w:r>
      <w:r>
        <w:rPr>
          <w:rFonts w:ascii="Times New Roman" w:cs="Times New Roman"/>
          <w:kern w:val="2"/>
        </w:rPr>
        <w:t>-</w:t>
      </w:r>
      <w:r>
        <w:rPr>
          <w:rFonts w:ascii="Times New Roman" w:cs="Times New Roman"/>
          <w:kern w:val="2"/>
        </w:rPr>
        <w:t>园地、草本</w:t>
      </w:r>
      <w:r>
        <w:rPr>
          <w:rFonts w:ascii="Times New Roman" w:cs="Times New Roman"/>
          <w:kern w:val="2"/>
        </w:rPr>
        <w:t>-</w:t>
      </w:r>
      <w:r>
        <w:rPr>
          <w:rFonts w:ascii="Times New Roman" w:cs="Times New Roman"/>
          <w:kern w:val="2"/>
        </w:rPr>
        <w:t>乔木、灌丛</w:t>
      </w:r>
      <w:r>
        <w:rPr>
          <w:rFonts w:ascii="Times New Roman" w:cs="Times New Roman"/>
          <w:kern w:val="2"/>
        </w:rPr>
        <w:t>-</w:t>
      </w:r>
      <w:r>
        <w:rPr>
          <w:rFonts w:ascii="Times New Roman" w:cs="Times New Roman"/>
          <w:kern w:val="2"/>
        </w:rPr>
        <w:t>乔木、旱地</w:t>
      </w:r>
      <w:r>
        <w:rPr>
          <w:rFonts w:ascii="Times New Roman" w:cs="Times New Roman"/>
          <w:kern w:val="2"/>
        </w:rPr>
        <w:t>-</w:t>
      </w:r>
      <w:r>
        <w:rPr>
          <w:rFonts w:ascii="Times New Roman" w:cs="Times New Roman"/>
          <w:kern w:val="2"/>
        </w:rPr>
        <w:t>园地、旱地</w:t>
      </w:r>
      <w:r>
        <w:rPr>
          <w:rFonts w:ascii="Times New Roman" w:cs="Times New Roman"/>
          <w:kern w:val="2"/>
        </w:rPr>
        <w:t>-</w:t>
      </w:r>
      <w:r>
        <w:rPr>
          <w:rFonts w:ascii="Times New Roman" w:cs="Times New Roman"/>
          <w:kern w:val="2"/>
        </w:rPr>
        <w:t>乔木等结构演替，总之，项目区植物群落总体朝向生物多样性更加复杂、生产力和生物量更加丰富、生态系统结构更加稳定的方向演变。</w:t>
      </w:r>
    </w:p>
    <w:p w:rsidR="00BD5820" w:rsidRDefault="00F64314">
      <w:pPr>
        <w:topLinePunct w:val="0"/>
        <w:snapToGrid w:val="0"/>
        <w:ind w:firstLine="482"/>
        <w:rPr>
          <w:rFonts w:ascii="Times New Roman" w:cs="Times New Roman"/>
          <w:b/>
          <w:bCs/>
          <w:kern w:val="2"/>
        </w:rPr>
      </w:pPr>
      <w:r>
        <w:rPr>
          <w:rFonts w:ascii="Times New Roman" w:cs="Times New Roman"/>
          <w:b/>
          <w:bCs/>
          <w:kern w:val="2"/>
        </w:rPr>
        <w:t>3</w:t>
      </w:r>
      <w:r>
        <w:rPr>
          <w:rFonts w:ascii="Times New Roman" w:cs="Times New Roman"/>
          <w:b/>
          <w:bCs/>
          <w:kern w:val="2"/>
        </w:rPr>
        <w:t>、项目评价范围内主要植被类型</w:t>
      </w:r>
    </w:p>
    <w:p w:rsidR="00BD5820" w:rsidRDefault="00F64314">
      <w:pPr>
        <w:pStyle w:val="affa"/>
        <w:ind w:firstLine="480"/>
        <w:rPr>
          <w:kern w:val="2"/>
          <w:szCs w:val="24"/>
        </w:rPr>
      </w:pPr>
      <w:r>
        <w:rPr>
          <w:kern w:val="2"/>
          <w:szCs w:val="24"/>
        </w:rPr>
        <w:t>采用实地踏勘和样方调查相结合的方法对评价范围内植被进行实地调查，结合卫星影像解译成果，参考现有的资料和文献，根据各类群落的特征，按照吴征镒等《中国植物志》、《四川植物志》中对四川的自然、人工植被的分类系统，划分出评价区域内不同的植被类型，形成植被分类系统。评价区自然植被涉及</w:t>
      </w:r>
      <w:r>
        <w:rPr>
          <w:rFonts w:hint="eastAsia"/>
          <w:kern w:val="2"/>
          <w:szCs w:val="24"/>
        </w:rPr>
        <w:t>3</w:t>
      </w:r>
      <w:r>
        <w:rPr>
          <w:kern w:val="2"/>
          <w:szCs w:val="24"/>
        </w:rPr>
        <w:t>种植被型组，</w:t>
      </w:r>
      <w:r>
        <w:rPr>
          <w:kern w:val="2"/>
          <w:szCs w:val="24"/>
        </w:rPr>
        <w:t>5</w:t>
      </w:r>
      <w:r>
        <w:rPr>
          <w:kern w:val="2"/>
          <w:szCs w:val="24"/>
        </w:rPr>
        <w:t>种植被型和</w:t>
      </w:r>
      <w:r>
        <w:rPr>
          <w:rFonts w:hint="eastAsia"/>
          <w:kern w:val="2"/>
          <w:szCs w:val="24"/>
        </w:rPr>
        <w:t>9</w:t>
      </w:r>
      <w:r>
        <w:rPr>
          <w:kern w:val="2"/>
          <w:szCs w:val="24"/>
        </w:rPr>
        <w:t>种群系，自然植被分类见表</w:t>
      </w:r>
      <w:r>
        <w:rPr>
          <w:rFonts w:hint="eastAsia"/>
          <w:kern w:val="2"/>
          <w:szCs w:val="24"/>
        </w:rPr>
        <w:t>5</w:t>
      </w:r>
      <w:r>
        <w:rPr>
          <w:kern w:val="2"/>
          <w:szCs w:val="24"/>
        </w:rPr>
        <w:t>.</w:t>
      </w:r>
      <w:r>
        <w:rPr>
          <w:rFonts w:hint="eastAsia"/>
          <w:kern w:val="2"/>
          <w:szCs w:val="24"/>
        </w:rPr>
        <w:t>2</w:t>
      </w:r>
      <w:r>
        <w:rPr>
          <w:kern w:val="2"/>
          <w:szCs w:val="24"/>
        </w:rPr>
        <w:t>-</w:t>
      </w:r>
      <w:r>
        <w:rPr>
          <w:rFonts w:hint="eastAsia"/>
          <w:kern w:val="2"/>
          <w:szCs w:val="24"/>
        </w:rPr>
        <w:t>10</w:t>
      </w:r>
      <w:r>
        <w:rPr>
          <w:kern w:val="2"/>
          <w:szCs w:val="24"/>
        </w:rPr>
        <w:t>。</w:t>
      </w:r>
    </w:p>
    <w:p w:rsidR="00BD5820" w:rsidRDefault="00F64314" w:rsidP="00511129">
      <w:pPr>
        <w:topLinePunct w:val="0"/>
        <w:autoSpaceDE w:val="0"/>
        <w:autoSpaceDN w:val="0"/>
        <w:spacing w:beforeLines="50" w:line="240" w:lineRule="auto"/>
        <w:ind w:firstLineChars="0" w:firstLine="0"/>
        <w:jc w:val="center"/>
        <w:rPr>
          <w:rFonts w:ascii="Times New Roman" w:cs="Times New Roman"/>
          <w:b/>
          <w:sz w:val="21"/>
        </w:rPr>
      </w:pPr>
      <w:r>
        <w:rPr>
          <w:rFonts w:ascii="Times New Roman" w:cs="Times New Roman"/>
          <w:b/>
          <w:sz w:val="21"/>
        </w:rPr>
        <w:t>表</w:t>
      </w:r>
      <w:r>
        <w:rPr>
          <w:rFonts w:ascii="Times New Roman" w:cs="Times New Roman" w:hint="eastAsia"/>
          <w:b/>
          <w:sz w:val="21"/>
        </w:rPr>
        <w:t>5.2</w:t>
      </w:r>
      <w:r>
        <w:rPr>
          <w:rFonts w:ascii="Times New Roman" w:cs="Times New Roman"/>
          <w:b/>
          <w:sz w:val="21"/>
        </w:rPr>
        <w:t>-1</w:t>
      </w:r>
      <w:r>
        <w:rPr>
          <w:rFonts w:ascii="Times New Roman" w:cs="Times New Roman" w:hint="eastAsia"/>
          <w:b/>
          <w:sz w:val="21"/>
        </w:rPr>
        <w:t>0</w:t>
      </w:r>
      <w:r>
        <w:rPr>
          <w:rFonts w:ascii="Times New Roman" w:cs="Times New Roman"/>
          <w:b/>
          <w:sz w:val="21"/>
        </w:rPr>
        <w:t xml:space="preserve"> </w:t>
      </w:r>
      <w:r>
        <w:rPr>
          <w:rFonts w:ascii="Times New Roman" w:cs="Times New Roman"/>
          <w:b/>
          <w:sz w:val="21"/>
        </w:rPr>
        <w:t>工程评价区植被分类系统</w:t>
      </w:r>
    </w:p>
    <w:tbl>
      <w:tblPr>
        <w:tblW w:w="8016" w:type="dxa"/>
        <w:jc w:val="center"/>
        <w:tblBorders>
          <w:top w:val="single" w:sz="12" w:space="0" w:color="auto"/>
          <w:bottom w:val="single" w:sz="12" w:space="0" w:color="auto"/>
          <w:insideH w:val="single" w:sz="4" w:space="0" w:color="auto"/>
          <w:insideV w:val="single" w:sz="4" w:space="0" w:color="auto"/>
        </w:tblBorders>
        <w:tblLayout w:type="fixed"/>
        <w:tblCellMar>
          <w:left w:w="0" w:type="dxa"/>
          <w:right w:w="0" w:type="dxa"/>
        </w:tblCellMar>
        <w:tblLook w:val="04A0"/>
      </w:tblPr>
      <w:tblGrid>
        <w:gridCol w:w="374"/>
        <w:gridCol w:w="866"/>
        <w:gridCol w:w="776"/>
        <w:gridCol w:w="1897"/>
        <w:gridCol w:w="4103"/>
      </w:tblGrid>
      <w:tr w:rsidR="00BD5820">
        <w:trPr>
          <w:trHeight w:val="300"/>
          <w:jc w:val="center"/>
        </w:trPr>
        <w:tc>
          <w:tcPr>
            <w:tcW w:w="374" w:type="dxa"/>
            <w:vMerge w:val="restart"/>
            <w:textDirection w:val="tbRlV"/>
            <w:vAlign w:val="center"/>
          </w:tcPr>
          <w:p w:rsidR="00BD5820" w:rsidRDefault="00F64314">
            <w:pPr>
              <w:topLinePunct w:val="0"/>
              <w:adjustRightInd/>
              <w:spacing w:before="51" w:line="214" w:lineRule="auto"/>
              <w:ind w:firstLineChars="0" w:firstLine="0"/>
              <w:jc w:val="center"/>
              <w:rPr>
                <w:rFonts w:ascii="Times New Roman" w:cs="Times New Roman"/>
                <w:spacing w:val="-4"/>
                <w:kern w:val="2"/>
                <w:sz w:val="21"/>
                <w:szCs w:val="21"/>
              </w:rPr>
            </w:pPr>
            <w:r>
              <w:rPr>
                <w:rFonts w:ascii="Times New Roman" w:cs="Times New Roman"/>
                <w:spacing w:val="-4"/>
                <w:kern w:val="2"/>
                <w:sz w:val="21"/>
                <w:szCs w:val="21"/>
              </w:rPr>
              <w:t>自然植被</w:t>
            </w:r>
          </w:p>
        </w:tc>
        <w:tc>
          <w:tcPr>
            <w:tcW w:w="866" w:type="dxa"/>
            <w:vAlign w:val="center"/>
          </w:tcPr>
          <w:p w:rsidR="00BD5820" w:rsidRDefault="00F64314">
            <w:pPr>
              <w:topLinePunct w:val="0"/>
              <w:adjustRightInd/>
              <w:spacing w:before="51" w:line="214" w:lineRule="auto"/>
              <w:ind w:firstLineChars="0" w:firstLine="0"/>
              <w:jc w:val="center"/>
              <w:rPr>
                <w:rFonts w:ascii="Times New Roman" w:cs="Times New Roman"/>
                <w:spacing w:val="-4"/>
                <w:kern w:val="2"/>
                <w:sz w:val="21"/>
                <w:szCs w:val="21"/>
              </w:rPr>
            </w:pPr>
            <w:r>
              <w:rPr>
                <w:rFonts w:ascii="Times New Roman" w:cs="Times New Roman"/>
                <w:spacing w:val="-4"/>
                <w:kern w:val="2"/>
                <w:sz w:val="21"/>
                <w:szCs w:val="21"/>
              </w:rPr>
              <w:t>植被型组</w:t>
            </w:r>
          </w:p>
        </w:tc>
        <w:tc>
          <w:tcPr>
            <w:tcW w:w="776" w:type="dxa"/>
            <w:vAlign w:val="center"/>
          </w:tcPr>
          <w:p w:rsidR="00BD5820" w:rsidRDefault="00F64314">
            <w:pPr>
              <w:topLinePunct w:val="0"/>
              <w:adjustRightInd/>
              <w:spacing w:before="51" w:line="214" w:lineRule="auto"/>
              <w:ind w:firstLineChars="0" w:firstLine="0"/>
              <w:jc w:val="center"/>
              <w:rPr>
                <w:rFonts w:ascii="Times New Roman" w:cs="Times New Roman"/>
                <w:spacing w:val="-4"/>
                <w:kern w:val="2"/>
                <w:sz w:val="21"/>
                <w:szCs w:val="21"/>
              </w:rPr>
            </w:pPr>
            <w:r>
              <w:rPr>
                <w:rFonts w:ascii="Times New Roman" w:cs="Times New Roman"/>
                <w:spacing w:val="-4"/>
                <w:kern w:val="2"/>
                <w:sz w:val="21"/>
                <w:szCs w:val="21"/>
              </w:rPr>
              <w:t>植被型</w:t>
            </w:r>
          </w:p>
        </w:tc>
        <w:tc>
          <w:tcPr>
            <w:tcW w:w="1897" w:type="dxa"/>
            <w:vAlign w:val="center"/>
          </w:tcPr>
          <w:p w:rsidR="00BD5820" w:rsidRDefault="00F64314">
            <w:pPr>
              <w:topLinePunct w:val="0"/>
              <w:adjustRightInd/>
              <w:spacing w:before="51" w:line="214" w:lineRule="auto"/>
              <w:ind w:firstLineChars="0" w:firstLine="0"/>
              <w:jc w:val="center"/>
              <w:rPr>
                <w:rFonts w:ascii="Times New Roman" w:cs="Times New Roman"/>
                <w:kern w:val="2"/>
                <w:sz w:val="21"/>
                <w:szCs w:val="21"/>
              </w:rPr>
            </w:pPr>
            <w:r>
              <w:rPr>
                <w:rFonts w:ascii="Times New Roman" w:cs="Times New Roman"/>
                <w:spacing w:val="-3"/>
                <w:kern w:val="2"/>
                <w:sz w:val="21"/>
                <w:szCs w:val="21"/>
              </w:rPr>
              <w:t>群</w:t>
            </w:r>
            <w:r>
              <w:rPr>
                <w:rFonts w:ascii="Times New Roman" w:cs="Times New Roman"/>
                <w:spacing w:val="-2"/>
                <w:kern w:val="2"/>
                <w:sz w:val="21"/>
                <w:szCs w:val="21"/>
              </w:rPr>
              <w:t>系</w:t>
            </w:r>
          </w:p>
        </w:tc>
        <w:tc>
          <w:tcPr>
            <w:tcW w:w="4103" w:type="dxa"/>
            <w:vAlign w:val="center"/>
          </w:tcPr>
          <w:p w:rsidR="00BD5820" w:rsidRDefault="00F64314">
            <w:pPr>
              <w:topLinePunct w:val="0"/>
              <w:adjustRightInd/>
              <w:spacing w:before="53" w:line="217" w:lineRule="auto"/>
              <w:ind w:left="1176" w:firstLineChars="0" w:firstLine="0"/>
              <w:rPr>
                <w:rFonts w:ascii="Times New Roman" w:cs="Times New Roman"/>
                <w:kern w:val="2"/>
                <w:sz w:val="21"/>
                <w:szCs w:val="21"/>
              </w:rPr>
            </w:pPr>
            <w:r>
              <w:rPr>
                <w:rFonts w:ascii="Times New Roman" w:cs="Times New Roman"/>
                <w:spacing w:val="-2"/>
                <w:kern w:val="2"/>
                <w:sz w:val="21"/>
                <w:szCs w:val="21"/>
              </w:rPr>
              <w:t>群系</w:t>
            </w:r>
            <w:r>
              <w:rPr>
                <w:rFonts w:ascii="Times New Roman" w:cs="Times New Roman"/>
                <w:spacing w:val="-1"/>
                <w:kern w:val="2"/>
                <w:sz w:val="21"/>
                <w:szCs w:val="21"/>
              </w:rPr>
              <w:t>拉丁名</w:t>
            </w:r>
          </w:p>
        </w:tc>
      </w:tr>
      <w:tr w:rsidR="00BD5820">
        <w:trPr>
          <w:trHeight w:val="294"/>
          <w:jc w:val="center"/>
        </w:trPr>
        <w:tc>
          <w:tcPr>
            <w:tcW w:w="374" w:type="dxa"/>
            <w:vMerge/>
            <w:textDirection w:val="tbRlV"/>
            <w:vAlign w:val="center"/>
          </w:tcPr>
          <w:p w:rsidR="00BD5820" w:rsidRDefault="00BD5820">
            <w:pPr>
              <w:topLinePunct w:val="0"/>
              <w:adjustRightInd/>
              <w:spacing w:before="51" w:line="214" w:lineRule="auto"/>
              <w:ind w:firstLineChars="0" w:firstLine="0"/>
              <w:jc w:val="center"/>
              <w:rPr>
                <w:rFonts w:ascii="Times New Roman" w:cs="Times New Roman"/>
                <w:spacing w:val="-4"/>
                <w:kern w:val="2"/>
                <w:sz w:val="21"/>
                <w:szCs w:val="21"/>
              </w:rPr>
            </w:pPr>
          </w:p>
        </w:tc>
        <w:tc>
          <w:tcPr>
            <w:tcW w:w="866" w:type="dxa"/>
            <w:vMerge w:val="restart"/>
            <w:vAlign w:val="center"/>
          </w:tcPr>
          <w:p w:rsidR="00BD5820" w:rsidRDefault="00F64314">
            <w:pPr>
              <w:topLinePunct w:val="0"/>
              <w:adjustRightInd/>
              <w:spacing w:before="51" w:line="214" w:lineRule="auto"/>
              <w:ind w:firstLineChars="0" w:firstLine="0"/>
              <w:jc w:val="center"/>
              <w:rPr>
                <w:rFonts w:ascii="Times New Roman" w:cs="Times New Roman"/>
                <w:spacing w:val="-4"/>
                <w:kern w:val="2"/>
                <w:sz w:val="21"/>
                <w:szCs w:val="21"/>
              </w:rPr>
            </w:pPr>
            <w:r>
              <w:rPr>
                <w:rFonts w:ascii="Times New Roman" w:cs="Times New Roman"/>
                <w:spacing w:val="-4"/>
                <w:kern w:val="2"/>
                <w:sz w:val="21"/>
                <w:szCs w:val="21"/>
              </w:rPr>
              <w:t>针叶林</w:t>
            </w:r>
          </w:p>
        </w:tc>
        <w:tc>
          <w:tcPr>
            <w:tcW w:w="776" w:type="dxa"/>
            <w:vMerge w:val="restart"/>
            <w:vAlign w:val="center"/>
          </w:tcPr>
          <w:p w:rsidR="00BD5820" w:rsidRDefault="00F64314">
            <w:pPr>
              <w:topLinePunct w:val="0"/>
              <w:adjustRightInd/>
              <w:spacing w:before="51" w:line="214" w:lineRule="auto"/>
              <w:ind w:firstLineChars="0" w:firstLine="0"/>
              <w:jc w:val="center"/>
              <w:rPr>
                <w:rFonts w:ascii="Times New Roman" w:cs="Times New Roman"/>
                <w:spacing w:val="-4"/>
                <w:kern w:val="2"/>
                <w:sz w:val="21"/>
                <w:szCs w:val="21"/>
              </w:rPr>
            </w:pPr>
            <w:r>
              <w:rPr>
                <w:rFonts w:ascii="Times New Roman" w:cs="Times New Roman"/>
                <w:spacing w:val="-4"/>
                <w:kern w:val="2"/>
                <w:sz w:val="21"/>
                <w:szCs w:val="21"/>
              </w:rPr>
              <w:t>暖性针叶林</w:t>
            </w:r>
          </w:p>
        </w:tc>
        <w:tc>
          <w:tcPr>
            <w:tcW w:w="1897" w:type="dxa"/>
            <w:vAlign w:val="center"/>
          </w:tcPr>
          <w:p w:rsidR="00BD5820" w:rsidRDefault="00F64314">
            <w:pPr>
              <w:topLinePunct w:val="0"/>
              <w:adjustRightInd/>
              <w:spacing w:before="51" w:line="214" w:lineRule="auto"/>
              <w:ind w:firstLineChars="0" w:firstLine="0"/>
              <w:jc w:val="center"/>
              <w:rPr>
                <w:rFonts w:ascii="Times New Roman" w:cs="Times New Roman"/>
                <w:spacing w:val="-4"/>
                <w:kern w:val="2"/>
                <w:sz w:val="21"/>
                <w:szCs w:val="21"/>
              </w:rPr>
            </w:pPr>
            <w:r>
              <w:rPr>
                <w:rFonts w:ascii="Times New Roman" w:cs="Times New Roman"/>
                <w:spacing w:val="-4"/>
                <w:kern w:val="2"/>
                <w:sz w:val="21"/>
                <w:szCs w:val="21"/>
              </w:rPr>
              <w:t>马尾松林</w:t>
            </w:r>
          </w:p>
        </w:tc>
        <w:tc>
          <w:tcPr>
            <w:tcW w:w="4103" w:type="dxa"/>
            <w:vAlign w:val="center"/>
          </w:tcPr>
          <w:p w:rsidR="00BD5820" w:rsidRDefault="00F64314">
            <w:pPr>
              <w:topLinePunct w:val="0"/>
              <w:adjustRightInd/>
              <w:spacing w:before="83" w:line="211" w:lineRule="auto"/>
              <w:ind w:left="650" w:firstLineChars="0" w:firstLine="0"/>
              <w:rPr>
                <w:rFonts w:ascii="Times New Roman" w:eastAsia="Times New Roman" w:cs="Times New Roman"/>
                <w:kern w:val="2"/>
                <w:sz w:val="21"/>
                <w:szCs w:val="21"/>
              </w:rPr>
            </w:pPr>
            <w:r>
              <w:rPr>
                <w:rFonts w:ascii="Times New Roman" w:eastAsia="Times New Roman" w:cs="Times New Roman"/>
                <w:spacing w:val="-1"/>
                <w:kern w:val="2"/>
                <w:sz w:val="21"/>
                <w:szCs w:val="21"/>
              </w:rPr>
              <w:t>F</w:t>
            </w:r>
            <w:r>
              <w:rPr>
                <w:rFonts w:ascii="Times New Roman" w:eastAsia="Times New Roman" w:cs="Times New Roman"/>
                <w:kern w:val="2"/>
                <w:sz w:val="21"/>
                <w:szCs w:val="21"/>
              </w:rPr>
              <w:t>orm</w:t>
            </w:r>
            <w:r>
              <w:rPr>
                <w:rFonts w:ascii="Times New Roman" w:eastAsia="Times New Roman" w:cs="Times New Roman"/>
                <w:spacing w:val="-1"/>
                <w:kern w:val="2"/>
                <w:sz w:val="21"/>
                <w:szCs w:val="21"/>
              </w:rPr>
              <w:t xml:space="preserve">. </w:t>
            </w:r>
            <w:r>
              <w:rPr>
                <w:rFonts w:ascii="Times New Roman" w:eastAsia="Times New Roman" w:cs="Times New Roman"/>
                <w:i/>
                <w:iCs/>
                <w:kern w:val="2"/>
                <w:sz w:val="21"/>
                <w:szCs w:val="21"/>
              </w:rPr>
              <w:t>Pinus</w:t>
            </w:r>
            <w:r>
              <w:rPr>
                <w:rFonts w:ascii="Times New Roman" w:eastAsia="Times New Roman" w:cs="Times New Roman"/>
                <w:spacing w:val="-1"/>
                <w:kern w:val="2"/>
                <w:sz w:val="21"/>
                <w:szCs w:val="21"/>
              </w:rPr>
              <w:t xml:space="preserve"> </w:t>
            </w:r>
            <w:r>
              <w:rPr>
                <w:rFonts w:ascii="Times New Roman" w:eastAsia="Times New Roman" w:cs="Times New Roman"/>
                <w:i/>
                <w:iCs/>
                <w:kern w:val="2"/>
                <w:sz w:val="21"/>
                <w:szCs w:val="21"/>
              </w:rPr>
              <w:t>massoniana</w:t>
            </w:r>
          </w:p>
        </w:tc>
      </w:tr>
      <w:tr w:rsidR="00BD5820">
        <w:trPr>
          <w:trHeight w:val="295"/>
          <w:jc w:val="center"/>
        </w:trPr>
        <w:tc>
          <w:tcPr>
            <w:tcW w:w="374" w:type="dxa"/>
            <w:vMerge/>
            <w:textDirection w:val="tbRlV"/>
            <w:vAlign w:val="center"/>
          </w:tcPr>
          <w:p w:rsidR="00BD5820" w:rsidRDefault="00BD5820">
            <w:pPr>
              <w:topLinePunct w:val="0"/>
              <w:adjustRightInd/>
              <w:spacing w:before="51" w:line="214" w:lineRule="auto"/>
              <w:ind w:firstLineChars="0" w:firstLine="0"/>
              <w:jc w:val="center"/>
              <w:rPr>
                <w:rFonts w:ascii="Times New Roman" w:cs="Times New Roman"/>
                <w:spacing w:val="-4"/>
                <w:kern w:val="2"/>
                <w:sz w:val="21"/>
                <w:szCs w:val="21"/>
              </w:rPr>
            </w:pPr>
          </w:p>
        </w:tc>
        <w:tc>
          <w:tcPr>
            <w:tcW w:w="866" w:type="dxa"/>
            <w:vMerge/>
            <w:vAlign w:val="center"/>
          </w:tcPr>
          <w:p w:rsidR="00BD5820" w:rsidRDefault="00BD5820">
            <w:pPr>
              <w:topLinePunct w:val="0"/>
              <w:adjustRightInd/>
              <w:spacing w:before="51" w:line="214" w:lineRule="auto"/>
              <w:ind w:firstLineChars="0" w:firstLine="0"/>
              <w:jc w:val="center"/>
              <w:rPr>
                <w:rFonts w:ascii="Times New Roman" w:cs="Times New Roman"/>
                <w:spacing w:val="-4"/>
                <w:kern w:val="2"/>
                <w:sz w:val="21"/>
                <w:szCs w:val="21"/>
              </w:rPr>
            </w:pPr>
          </w:p>
        </w:tc>
        <w:tc>
          <w:tcPr>
            <w:tcW w:w="776" w:type="dxa"/>
            <w:vMerge/>
            <w:vAlign w:val="center"/>
          </w:tcPr>
          <w:p w:rsidR="00BD5820" w:rsidRDefault="00BD5820">
            <w:pPr>
              <w:topLinePunct w:val="0"/>
              <w:adjustRightInd/>
              <w:spacing w:before="51" w:line="214" w:lineRule="auto"/>
              <w:ind w:firstLineChars="0" w:firstLine="0"/>
              <w:jc w:val="center"/>
              <w:rPr>
                <w:rFonts w:ascii="Times New Roman" w:cs="Times New Roman"/>
                <w:spacing w:val="-4"/>
                <w:kern w:val="2"/>
                <w:sz w:val="21"/>
                <w:szCs w:val="21"/>
              </w:rPr>
            </w:pPr>
          </w:p>
        </w:tc>
        <w:tc>
          <w:tcPr>
            <w:tcW w:w="1897" w:type="dxa"/>
            <w:vAlign w:val="center"/>
          </w:tcPr>
          <w:p w:rsidR="00BD5820" w:rsidRDefault="00F64314">
            <w:pPr>
              <w:topLinePunct w:val="0"/>
              <w:adjustRightInd/>
              <w:spacing w:before="51" w:line="214" w:lineRule="auto"/>
              <w:ind w:firstLineChars="0" w:firstLine="0"/>
              <w:jc w:val="center"/>
              <w:rPr>
                <w:rFonts w:ascii="Times New Roman" w:cs="Times New Roman"/>
                <w:spacing w:val="-4"/>
                <w:kern w:val="2"/>
                <w:sz w:val="21"/>
                <w:szCs w:val="21"/>
              </w:rPr>
            </w:pPr>
            <w:r>
              <w:rPr>
                <w:rFonts w:ascii="Times New Roman" w:cs="Times New Roman"/>
                <w:spacing w:val="-4"/>
                <w:kern w:val="2"/>
                <w:sz w:val="21"/>
                <w:szCs w:val="21"/>
              </w:rPr>
              <w:t>柏木林</w:t>
            </w:r>
          </w:p>
        </w:tc>
        <w:tc>
          <w:tcPr>
            <w:tcW w:w="4103" w:type="dxa"/>
            <w:vAlign w:val="center"/>
          </w:tcPr>
          <w:p w:rsidR="00BD5820" w:rsidRDefault="00F64314">
            <w:pPr>
              <w:topLinePunct w:val="0"/>
              <w:adjustRightInd/>
              <w:spacing w:before="84" w:line="190" w:lineRule="auto"/>
              <w:ind w:left="639" w:firstLineChars="0" w:firstLine="0"/>
              <w:rPr>
                <w:rFonts w:ascii="Times New Roman" w:eastAsia="Times New Roman" w:cs="Times New Roman"/>
                <w:kern w:val="2"/>
                <w:sz w:val="21"/>
                <w:szCs w:val="21"/>
              </w:rPr>
            </w:pPr>
            <w:r>
              <w:rPr>
                <w:rFonts w:ascii="Times New Roman" w:eastAsia="Times New Roman" w:cs="Times New Roman"/>
                <w:kern w:val="2"/>
                <w:sz w:val="21"/>
                <w:szCs w:val="21"/>
              </w:rPr>
              <w:t>Form</w:t>
            </w:r>
            <w:r>
              <w:rPr>
                <w:rFonts w:ascii="Times New Roman" w:eastAsia="Times New Roman" w:cs="Times New Roman"/>
                <w:spacing w:val="41"/>
                <w:kern w:val="2"/>
                <w:sz w:val="21"/>
                <w:szCs w:val="21"/>
              </w:rPr>
              <w:t>.</w:t>
            </w:r>
            <w:r>
              <w:rPr>
                <w:rFonts w:ascii="Times New Roman" w:eastAsia="Times New Roman" w:cs="Times New Roman"/>
                <w:i/>
                <w:iCs/>
                <w:kern w:val="2"/>
                <w:sz w:val="21"/>
                <w:szCs w:val="21"/>
              </w:rPr>
              <w:t>Cupressusfunebris</w:t>
            </w:r>
          </w:p>
        </w:tc>
      </w:tr>
      <w:tr w:rsidR="00BD5820">
        <w:trPr>
          <w:trHeight w:val="441"/>
          <w:jc w:val="center"/>
        </w:trPr>
        <w:tc>
          <w:tcPr>
            <w:tcW w:w="374" w:type="dxa"/>
            <w:vMerge/>
            <w:textDirection w:val="tbRlV"/>
            <w:vAlign w:val="center"/>
          </w:tcPr>
          <w:p w:rsidR="00BD5820" w:rsidRDefault="00BD5820">
            <w:pPr>
              <w:topLinePunct w:val="0"/>
              <w:adjustRightInd/>
              <w:spacing w:before="51" w:line="214" w:lineRule="auto"/>
              <w:ind w:firstLineChars="0" w:firstLine="0"/>
              <w:jc w:val="center"/>
              <w:rPr>
                <w:rFonts w:ascii="Times New Roman" w:cs="Times New Roman"/>
                <w:spacing w:val="-4"/>
                <w:kern w:val="2"/>
                <w:sz w:val="21"/>
                <w:szCs w:val="21"/>
              </w:rPr>
            </w:pPr>
          </w:p>
        </w:tc>
        <w:tc>
          <w:tcPr>
            <w:tcW w:w="866" w:type="dxa"/>
            <w:vAlign w:val="center"/>
          </w:tcPr>
          <w:p w:rsidR="00BD5820" w:rsidRDefault="00F64314">
            <w:pPr>
              <w:topLinePunct w:val="0"/>
              <w:adjustRightInd/>
              <w:spacing w:before="51" w:line="214" w:lineRule="auto"/>
              <w:ind w:firstLineChars="0" w:firstLine="0"/>
              <w:jc w:val="center"/>
              <w:rPr>
                <w:rFonts w:ascii="Times New Roman" w:cs="Times New Roman"/>
                <w:spacing w:val="-4"/>
                <w:kern w:val="2"/>
                <w:sz w:val="21"/>
                <w:szCs w:val="21"/>
              </w:rPr>
            </w:pPr>
            <w:r>
              <w:rPr>
                <w:rFonts w:ascii="Times New Roman" w:cs="Times New Roman"/>
                <w:spacing w:val="-4"/>
                <w:kern w:val="2"/>
                <w:sz w:val="21"/>
                <w:szCs w:val="21"/>
              </w:rPr>
              <w:t>阔叶林</w:t>
            </w:r>
          </w:p>
        </w:tc>
        <w:tc>
          <w:tcPr>
            <w:tcW w:w="776" w:type="dxa"/>
            <w:vAlign w:val="center"/>
          </w:tcPr>
          <w:p w:rsidR="00BD5820" w:rsidRDefault="00F64314">
            <w:pPr>
              <w:topLinePunct w:val="0"/>
              <w:adjustRightInd/>
              <w:spacing w:before="51" w:line="214" w:lineRule="auto"/>
              <w:ind w:firstLineChars="0" w:firstLine="0"/>
              <w:jc w:val="center"/>
              <w:rPr>
                <w:rFonts w:ascii="Times New Roman" w:cs="Times New Roman"/>
                <w:spacing w:val="-4"/>
                <w:kern w:val="2"/>
                <w:sz w:val="21"/>
                <w:szCs w:val="21"/>
              </w:rPr>
            </w:pPr>
            <w:r>
              <w:rPr>
                <w:rFonts w:ascii="Times New Roman" w:cs="Times New Roman"/>
                <w:spacing w:val="-4"/>
                <w:kern w:val="2"/>
                <w:sz w:val="21"/>
                <w:szCs w:val="21"/>
              </w:rPr>
              <w:t>落叶阔叶林</w:t>
            </w:r>
          </w:p>
        </w:tc>
        <w:tc>
          <w:tcPr>
            <w:tcW w:w="1897" w:type="dxa"/>
            <w:vAlign w:val="center"/>
          </w:tcPr>
          <w:p w:rsidR="00BD5820" w:rsidRDefault="00F64314">
            <w:pPr>
              <w:topLinePunct w:val="0"/>
              <w:adjustRightInd/>
              <w:spacing w:before="51" w:line="214" w:lineRule="auto"/>
              <w:ind w:firstLineChars="0" w:firstLine="0"/>
              <w:jc w:val="center"/>
              <w:rPr>
                <w:rFonts w:ascii="Times New Roman" w:cs="Times New Roman"/>
                <w:spacing w:val="-4"/>
                <w:kern w:val="2"/>
                <w:sz w:val="21"/>
                <w:szCs w:val="21"/>
              </w:rPr>
            </w:pPr>
            <w:r>
              <w:rPr>
                <w:rFonts w:ascii="Times New Roman" w:cs="Times New Roman"/>
                <w:spacing w:val="-4"/>
                <w:kern w:val="2"/>
                <w:sz w:val="21"/>
                <w:szCs w:val="21"/>
              </w:rPr>
              <w:t>麻栎、</w:t>
            </w:r>
            <w:r>
              <w:rPr>
                <w:rFonts w:ascii="Times New Roman" w:cs="Times New Roman" w:hint="eastAsia"/>
                <w:spacing w:val="-4"/>
                <w:kern w:val="2"/>
                <w:sz w:val="21"/>
                <w:szCs w:val="21"/>
              </w:rPr>
              <w:t>青冈、</w:t>
            </w:r>
            <w:r>
              <w:rPr>
                <w:rFonts w:ascii="Times New Roman" w:cs="Times New Roman"/>
                <w:spacing w:val="-4"/>
                <w:kern w:val="2"/>
                <w:sz w:val="21"/>
                <w:szCs w:val="21"/>
              </w:rPr>
              <w:t>栓皮栎群系</w:t>
            </w:r>
          </w:p>
        </w:tc>
        <w:tc>
          <w:tcPr>
            <w:tcW w:w="4103" w:type="dxa"/>
            <w:vAlign w:val="center"/>
          </w:tcPr>
          <w:p w:rsidR="00BD5820" w:rsidRDefault="00F64314">
            <w:pPr>
              <w:topLinePunct w:val="0"/>
              <w:adjustRightInd/>
              <w:spacing w:before="51" w:line="214" w:lineRule="auto"/>
              <w:ind w:firstLineChars="0" w:firstLine="0"/>
              <w:jc w:val="center"/>
              <w:rPr>
                <w:rFonts w:ascii="Times New Roman" w:cs="Times New Roman"/>
                <w:i/>
                <w:iCs/>
                <w:spacing w:val="-4"/>
                <w:kern w:val="2"/>
                <w:sz w:val="21"/>
                <w:szCs w:val="21"/>
              </w:rPr>
            </w:pPr>
            <w:r>
              <w:rPr>
                <w:rFonts w:ascii="Times New Roman" w:cs="Times New Roman"/>
                <w:spacing w:val="-4"/>
                <w:kern w:val="2"/>
                <w:sz w:val="21"/>
                <w:szCs w:val="21"/>
              </w:rPr>
              <w:t>Form.</w:t>
            </w:r>
            <w:r>
              <w:rPr>
                <w:rFonts w:ascii="Times New Roman" w:cs="Times New Roman"/>
                <w:i/>
                <w:iCs/>
                <w:spacing w:val="-4"/>
                <w:kern w:val="2"/>
                <w:sz w:val="21"/>
                <w:szCs w:val="21"/>
              </w:rPr>
              <w:t>Quercus</w:t>
            </w:r>
            <w:r>
              <w:rPr>
                <w:rFonts w:ascii="Times New Roman" w:cs="Times New Roman" w:hint="eastAsia"/>
                <w:i/>
                <w:iCs/>
                <w:spacing w:val="-4"/>
                <w:kern w:val="2"/>
                <w:sz w:val="21"/>
                <w:szCs w:val="21"/>
              </w:rPr>
              <w:t xml:space="preserve"> </w:t>
            </w:r>
            <w:r>
              <w:rPr>
                <w:rFonts w:ascii="Times New Roman" w:cs="Times New Roman"/>
                <w:i/>
                <w:iCs/>
                <w:spacing w:val="-4"/>
                <w:kern w:val="2"/>
                <w:sz w:val="21"/>
                <w:szCs w:val="21"/>
              </w:rPr>
              <w:t>acutissima Carruth.+TCyclobalanopsis glauca</w:t>
            </w:r>
            <w:r>
              <w:rPr>
                <w:rFonts w:ascii="Times New Roman" w:cs="Times New Roman"/>
                <w:spacing w:val="-4"/>
                <w:kern w:val="2"/>
                <w:sz w:val="21"/>
                <w:szCs w:val="21"/>
              </w:rPr>
              <w:t>(Thunb.)</w:t>
            </w:r>
            <w:r>
              <w:rPr>
                <w:rFonts w:ascii="Times New Roman" w:cs="Times New Roman" w:hint="eastAsia"/>
                <w:spacing w:val="-4"/>
                <w:kern w:val="2"/>
                <w:sz w:val="21"/>
                <w:szCs w:val="21"/>
              </w:rPr>
              <w:t xml:space="preserve"> </w:t>
            </w:r>
            <w:r>
              <w:rPr>
                <w:rFonts w:ascii="Times New Roman" w:cs="Times New Roman"/>
                <w:spacing w:val="-4"/>
                <w:kern w:val="2"/>
                <w:sz w:val="21"/>
                <w:szCs w:val="21"/>
              </w:rPr>
              <w:t>Oerst</w:t>
            </w:r>
            <w:r>
              <w:rPr>
                <w:rFonts w:ascii="Times New Roman" w:cs="Times New Roman"/>
                <w:i/>
                <w:iCs/>
                <w:spacing w:val="-4"/>
                <w:kern w:val="2"/>
                <w:sz w:val="21"/>
                <w:szCs w:val="21"/>
              </w:rPr>
              <w:t xml:space="preserve">.+Quercus variabilis </w:t>
            </w:r>
            <w:r>
              <w:rPr>
                <w:rFonts w:ascii="Times New Roman" w:cs="Times New Roman"/>
                <w:spacing w:val="-4"/>
                <w:kern w:val="2"/>
                <w:sz w:val="21"/>
                <w:szCs w:val="21"/>
              </w:rPr>
              <w:t>Bl.</w:t>
            </w:r>
          </w:p>
        </w:tc>
      </w:tr>
      <w:tr w:rsidR="00BD5820">
        <w:trPr>
          <w:trHeight w:val="295"/>
          <w:jc w:val="center"/>
        </w:trPr>
        <w:tc>
          <w:tcPr>
            <w:tcW w:w="374" w:type="dxa"/>
            <w:vMerge/>
            <w:textDirection w:val="tbRlV"/>
            <w:vAlign w:val="center"/>
          </w:tcPr>
          <w:p w:rsidR="00BD5820" w:rsidRDefault="00BD5820">
            <w:pPr>
              <w:topLinePunct w:val="0"/>
              <w:adjustRightInd/>
              <w:spacing w:before="51" w:line="214" w:lineRule="auto"/>
              <w:ind w:firstLineChars="0" w:firstLine="0"/>
              <w:jc w:val="center"/>
              <w:rPr>
                <w:rFonts w:ascii="Times New Roman" w:cs="Times New Roman"/>
                <w:spacing w:val="-4"/>
                <w:kern w:val="2"/>
                <w:sz w:val="21"/>
                <w:szCs w:val="21"/>
              </w:rPr>
            </w:pPr>
          </w:p>
        </w:tc>
        <w:tc>
          <w:tcPr>
            <w:tcW w:w="866" w:type="dxa"/>
            <w:vMerge w:val="restart"/>
            <w:vAlign w:val="center"/>
          </w:tcPr>
          <w:p w:rsidR="00BD5820" w:rsidRDefault="00F64314">
            <w:pPr>
              <w:topLinePunct w:val="0"/>
              <w:adjustRightInd/>
              <w:spacing w:before="51" w:line="214" w:lineRule="auto"/>
              <w:ind w:firstLineChars="0" w:firstLine="0"/>
              <w:jc w:val="center"/>
              <w:rPr>
                <w:rFonts w:ascii="Times New Roman" w:cs="Times New Roman"/>
                <w:spacing w:val="-4"/>
                <w:kern w:val="2"/>
                <w:sz w:val="21"/>
                <w:szCs w:val="21"/>
              </w:rPr>
            </w:pPr>
            <w:r>
              <w:rPr>
                <w:rFonts w:ascii="Times New Roman" w:cs="Times New Roman"/>
                <w:spacing w:val="-4"/>
                <w:kern w:val="2"/>
                <w:sz w:val="21"/>
                <w:szCs w:val="21"/>
              </w:rPr>
              <w:t>灌丛和灌</w:t>
            </w:r>
            <w:r>
              <w:rPr>
                <w:rFonts w:ascii="Times New Roman" w:cs="Times New Roman"/>
                <w:spacing w:val="-4"/>
                <w:kern w:val="2"/>
                <w:sz w:val="21"/>
                <w:szCs w:val="21"/>
              </w:rPr>
              <w:t xml:space="preserve"> </w:t>
            </w:r>
            <w:r>
              <w:rPr>
                <w:rFonts w:ascii="Times New Roman" w:cs="Times New Roman"/>
                <w:spacing w:val="-4"/>
                <w:kern w:val="2"/>
                <w:sz w:val="21"/>
                <w:szCs w:val="21"/>
              </w:rPr>
              <w:t>草丛</w:t>
            </w:r>
          </w:p>
        </w:tc>
        <w:tc>
          <w:tcPr>
            <w:tcW w:w="776" w:type="dxa"/>
            <w:vMerge w:val="restart"/>
            <w:vAlign w:val="center"/>
          </w:tcPr>
          <w:p w:rsidR="00BD5820" w:rsidRDefault="00F64314">
            <w:pPr>
              <w:topLinePunct w:val="0"/>
              <w:adjustRightInd/>
              <w:spacing w:before="51" w:line="214" w:lineRule="auto"/>
              <w:ind w:firstLineChars="0" w:firstLine="0"/>
              <w:jc w:val="center"/>
              <w:rPr>
                <w:rFonts w:ascii="Times New Roman" w:cs="Times New Roman"/>
                <w:spacing w:val="-4"/>
                <w:kern w:val="2"/>
                <w:sz w:val="21"/>
                <w:szCs w:val="21"/>
              </w:rPr>
            </w:pPr>
            <w:r>
              <w:rPr>
                <w:rFonts w:ascii="Times New Roman" w:cs="Times New Roman"/>
                <w:spacing w:val="-4"/>
                <w:kern w:val="2"/>
                <w:sz w:val="21"/>
                <w:szCs w:val="21"/>
              </w:rPr>
              <w:t>阔叶灌丛</w:t>
            </w:r>
          </w:p>
        </w:tc>
        <w:tc>
          <w:tcPr>
            <w:tcW w:w="1897" w:type="dxa"/>
            <w:vAlign w:val="center"/>
          </w:tcPr>
          <w:p w:rsidR="00BD5820" w:rsidRDefault="00F64314">
            <w:pPr>
              <w:topLinePunct w:val="0"/>
              <w:adjustRightInd/>
              <w:spacing w:before="51" w:line="214" w:lineRule="auto"/>
              <w:ind w:firstLineChars="0" w:firstLine="0"/>
              <w:jc w:val="center"/>
              <w:rPr>
                <w:rFonts w:ascii="Times New Roman" w:cs="Times New Roman"/>
                <w:spacing w:val="-4"/>
                <w:kern w:val="2"/>
                <w:sz w:val="21"/>
                <w:szCs w:val="21"/>
              </w:rPr>
            </w:pPr>
            <w:r>
              <w:rPr>
                <w:rFonts w:ascii="Times New Roman" w:cs="Times New Roman"/>
                <w:spacing w:val="-4"/>
                <w:kern w:val="2"/>
                <w:sz w:val="21"/>
                <w:szCs w:val="21"/>
              </w:rPr>
              <w:t>槲栎灌丛群系</w:t>
            </w:r>
          </w:p>
        </w:tc>
        <w:tc>
          <w:tcPr>
            <w:tcW w:w="4103" w:type="dxa"/>
            <w:vAlign w:val="center"/>
          </w:tcPr>
          <w:p w:rsidR="00BD5820" w:rsidRDefault="00F64314">
            <w:pPr>
              <w:topLinePunct w:val="0"/>
              <w:adjustRightInd/>
              <w:spacing w:before="51" w:line="214" w:lineRule="auto"/>
              <w:ind w:firstLineChars="0" w:firstLine="0"/>
              <w:jc w:val="center"/>
              <w:rPr>
                <w:rFonts w:ascii="Times New Roman" w:cs="Times New Roman"/>
                <w:i/>
                <w:iCs/>
                <w:spacing w:val="-4"/>
                <w:kern w:val="2"/>
                <w:sz w:val="21"/>
                <w:szCs w:val="21"/>
              </w:rPr>
            </w:pPr>
            <w:r>
              <w:rPr>
                <w:rFonts w:ascii="Times New Roman" w:cs="Times New Roman"/>
                <w:kern w:val="2"/>
              </w:rPr>
              <w:t>Form.</w:t>
            </w:r>
            <w:r>
              <w:rPr>
                <w:rFonts w:ascii="Times New Roman" w:cs="Times New Roman"/>
                <w:i/>
                <w:iCs/>
                <w:kern w:val="2"/>
              </w:rPr>
              <w:t>Quercus aliena</w:t>
            </w:r>
          </w:p>
        </w:tc>
      </w:tr>
      <w:tr w:rsidR="00BD5820">
        <w:trPr>
          <w:trHeight w:val="295"/>
          <w:jc w:val="center"/>
        </w:trPr>
        <w:tc>
          <w:tcPr>
            <w:tcW w:w="374" w:type="dxa"/>
            <w:vMerge/>
            <w:textDirection w:val="tbRlV"/>
            <w:vAlign w:val="center"/>
          </w:tcPr>
          <w:p w:rsidR="00BD5820" w:rsidRDefault="00BD5820">
            <w:pPr>
              <w:topLinePunct w:val="0"/>
              <w:adjustRightInd/>
              <w:spacing w:before="51" w:line="214" w:lineRule="auto"/>
              <w:ind w:firstLineChars="0" w:firstLine="0"/>
              <w:jc w:val="center"/>
              <w:rPr>
                <w:rFonts w:ascii="Times New Roman" w:cs="Times New Roman"/>
                <w:spacing w:val="-4"/>
                <w:kern w:val="2"/>
                <w:sz w:val="21"/>
                <w:szCs w:val="21"/>
              </w:rPr>
            </w:pPr>
          </w:p>
        </w:tc>
        <w:tc>
          <w:tcPr>
            <w:tcW w:w="866" w:type="dxa"/>
            <w:vMerge/>
            <w:vAlign w:val="center"/>
          </w:tcPr>
          <w:p w:rsidR="00BD5820" w:rsidRDefault="00BD5820">
            <w:pPr>
              <w:topLinePunct w:val="0"/>
              <w:adjustRightInd/>
              <w:spacing w:before="51" w:line="214" w:lineRule="auto"/>
              <w:ind w:firstLineChars="0" w:firstLine="0"/>
              <w:jc w:val="center"/>
              <w:rPr>
                <w:rFonts w:ascii="Times New Roman" w:cs="Times New Roman"/>
                <w:spacing w:val="-4"/>
                <w:kern w:val="2"/>
                <w:sz w:val="21"/>
                <w:szCs w:val="21"/>
              </w:rPr>
            </w:pPr>
          </w:p>
        </w:tc>
        <w:tc>
          <w:tcPr>
            <w:tcW w:w="776" w:type="dxa"/>
            <w:vMerge/>
            <w:vAlign w:val="center"/>
          </w:tcPr>
          <w:p w:rsidR="00BD5820" w:rsidRDefault="00BD5820">
            <w:pPr>
              <w:topLinePunct w:val="0"/>
              <w:adjustRightInd/>
              <w:spacing w:before="51" w:line="214" w:lineRule="auto"/>
              <w:ind w:firstLineChars="0" w:firstLine="0"/>
              <w:jc w:val="center"/>
              <w:rPr>
                <w:rFonts w:ascii="Times New Roman" w:cs="Times New Roman"/>
                <w:spacing w:val="-4"/>
                <w:kern w:val="2"/>
                <w:sz w:val="21"/>
                <w:szCs w:val="21"/>
              </w:rPr>
            </w:pPr>
          </w:p>
        </w:tc>
        <w:tc>
          <w:tcPr>
            <w:tcW w:w="1897" w:type="dxa"/>
            <w:vAlign w:val="center"/>
          </w:tcPr>
          <w:p w:rsidR="00BD5820" w:rsidRDefault="00F64314">
            <w:pPr>
              <w:topLinePunct w:val="0"/>
              <w:adjustRightInd/>
              <w:spacing w:before="51" w:line="214" w:lineRule="auto"/>
              <w:ind w:firstLineChars="0" w:firstLine="0"/>
              <w:jc w:val="center"/>
              <w:rPr>
                <w:rFonts w:ascii="Times New Roman" w:cs="Times New Roman"/>
                <w:spacing w:val="-4"/>
                <w:kern w:val="2"/>
                <w:sz w:val="21"/>
                <w:szCs w:val="21"/>
              </w:rPr>
            </w:pPr>
            <w:r>
              <w:rPr>
                <w:rFonts w:ascii="Times New Roman" w:cs="Times New Roman"/>
                <w:spacing w:val="-4"/>
                <w:kern w:val="2"/>
                <w:sz w:val="21"/>
                <w:szCs w:val="21"/>
              </w:rPr>
              <w:t>马桑灌丛群系</w:t>
            </w:r>
          </w:p>
        </w:tc>
        <w:tc>
          <w:tcPr>
            <w:tcW w:w="4103" w:type="dxa"/>
            <w:vAlign w:val="center"/>
          </w:tcPr>
          <w:p w:rsidR="00BD5820" w:rsidRDefault="00F64314">
            <w:pPr>
              <w:topLinePunct w:val="0"/>
              <w:adjustRightInd/>
              <w:spacing w:before="51" w:line="214" w:lineRule="auto"/>
              <w:ind w:firstLineChars="0" w:firstLine="0"/>
              <w:jc w:val="center"/>
              <w:rPr>
                <w:rFonts w:ascii="Times New Roman" w:cs="Times New Roman"/>
                <w:spacing w:val="-4"/>
                <w:kern w:val="2"/>
                <w:sz w:val="21"/>
                <w:szCs w:val="21"/>
              </w:rPr>
            </w:pPr>
            <w:r>
              <w:rPr>
                <w:rFonts w:ascii="Times New Roman" w:cs="Times New Roman"/>
                <w:kern w:val="2"/>
              </w:rPr>
              <w:t>Form.</w:t>
            </w:r>
            <w:r>
              <w:rPr>
                <w:rFonts w:ascii="Times New Roman" w:cs="Times New Roman"/>
                <w:i/>
                <w:iCs/>
                <w:kern w:val="2"/>
              </w:rPr>
              <w:t>Coriaria nepalensis</w:t>
            </w:r>
          </w:p>
        </w:tc>
      </w:tr>
      <w:tr w:rsidR="00BD5820">
        <w:trPr>
          <w:trHeight w:val="295"/>
          <w:jc w:val="center"/>
        </w:trPr>
        <w:tc>
          <w:tcPr>
            <w:tcW w:w="374" w:type="dxa"/>
            <w:vMerge/>
            <w:textDirection w:val="tbRlV"/>
            <w:vAlign w:val="center"/>
          </w:tcPr>
          <w:p w:rsidR="00BD5820" w:rsidRDefault="00BD5820">
            <w:pPr>
              <w:topLinePunct w:val="0"/>
              <w:adjustRightInd/>
              <w:spacing w:before="51" w:line="214" w:lineRule="auto"/>
              <w:ind w:firstLineChars="0" w:firstLine="0"/>
              <w:jc w:val="center"/>
              <w:rPr>
                <w:rFonts w:ascii="Times New Roman" w:cs="Times New Roman"/>
                <w:spacing w:val="-4"/>
                <w:kern w:val="2"/>
                <w:sz w:val="21"/>
                <w:szCs w:val="21"/>
              </w:rPr>
            </w:pPr>
          </w:p>
        </w:tc>
        <w:tc>
          <w:tcPr>
            <w:tcW w:w="866" w:type="dxa"/>
            <w:vMerge/>
            <w:vAlign w:val="center"/>
          </w:tcPr>
          <w:p w:rsidR="00BD5820" w:rsidRDefault="00BD5820">
            <w:pPr>
              <w:topLinePunct w:val="0"/>
              <w:adjustRightInd/>
              <w:spacing w:before="51" w:line="214" w:lineRule="auto"/>
              <w:ind w:firstLineChars="0" w:firstLine="0"/>
              <w:jc w:val="center"/>
              <w:rPr>
                <w:rFonts w:ascii="Times New Roman" w:cs="Times New Roman"/>
                <w:spacing w:val="-4"/>
                <w:kern w:val="2"/>
                <w:sz w:val="21"/>
                <w:szCs w:val="21"/>
              </w:rPr>
            </w:pPr>
          </w:p>
        </w:tc>
        <w:tc>
          <w:tcPr>
            <w:tcW w:w="776" w:type="dxa"/>
            <w:vMerge/>
            <w:vAlign w:val="center"/>
          </w:tcPr>
          <w:p w:rsidR="00BD5820" w:rsidRDefault="00BD5820">
            <w:pPr>
              <w:topLinePunct w:val="0"/>
              <w:adjustRightInd/>
              <w:spacing w:before="51" w:line="214" w:lineRule="auto"/>
              <w:ind w:firstLineChars="0" w:firstLine="0"/>
              <w:jc w:val="center"/>
              <w:rPr>
                <w:rFonts w:ascii="Times New Roman" w:cs="Times New Roman"/>
                <w:spacing w:val="-4"/>
                <w:kern w:val="2"/>
                <w:sz w:val="21"/>
                <w:szCs w:val="21"/>
              </w:rPr>
            </w:pPr>
          </w:p>
        </w:tc>
        <w:tc>
          <w:tcPr>
            <w:tcW w:w="1897" w:type="dxa"/>
            <w:vAlign w:val="center"/>
          </w:tcPr>
          <w:p w:rsidR="00BD5820" w:rsidRDefault="00F64314">
            <w:pPr>
              <w:topLinePunct w:val="0"/>
              <w:adjustRightInd/>
              <w:spacing w:before="51" w:line="214" w:lineRule="auto"/>
              <w:ind w:firstLineChars="0" w:firstLine="0"/>
              <w:jc w:val="center"/>
              <w:rPr>
                <w:rFonts w:ascii="Times New Roman" w:cs="Times New Roman"/>
                <w:spacing w:val="-4"/>
                <w:kern w:val="2"/>
                <w:sz w:val="21"/>
                <w:szCs w:val="21"/>
              </w:rPr>
            </w:pPr>
            <w:r>
              <w:rPr>
                <w:rFonts w:ascii="Times New Roman" w:cs="Times New Roman"/>
                <w:spacing w:val="-4"/>
                <w:kern w:val="2"/>
                <w:sz w:val="21"/>
                <w:szCs w:val="21"/>
              </w:rPr>
              <w:t>马桑、黄荆、火棘</w:t>
            </w:r>
            <w:r>
              <w:rPr>
                <w:rFonts w:ascii="Times New Roman" w:cs="Times New Roman" w:hint="eastAsia"/>
                <w:spacing w:val="-4"/>
                <w:kern w:val="2"/>
                <w:sz w:val="21"/>
                <w:szCs w:val="21"/>
              </w:rPr>
              <w:t>灌丛</w:t>
            </w:r>
            <w:r>
              <w:rPr>
                <w:rFonts w:ascii="Times New Roman" w:cs="Times New Roman"/>
                <w:spacing w:val="-4"/>
                <w:kern w:val="2"/>
                <w:sz w:val="21"/>
                <w:szCs w:val="21"/>
              </w:rPr>
              <w:t>群系</w:t>
            </w:r>
          </w:p>
        </w:tc>
        <w:tc>
          <w:tcPr>
            <w:tcW w:w="4103" w:type="dxa"/>
            <w:vAlign w:val="center"/>
          </w:tcPr>
          <w:p w:rsidR="00BD5820" w:rsidRDefault="00F64314">
            <w:pPr>
              <w:topLinePunct w:val="0"/>
              <w:adjustRightInd/>
              <w:spacing w:before="51" w:line="214" w:lineRule="auto"/>
              <w:ind w:firstLineChars="0" w:firstLine="0"/>
              <w:jc w:val="center"/>
              <w:rPr>
                <w:rFonts w:ascii="Times New Roman" w:cs="Times New Roman"/>
                <w:i/>
                <w:iCs/>
                <w:spacing w:val="-4"/>
                <w:kern w:val="2"/>
                <w:sz w:val="21"/>
                <w:szCs w:val="21"/>
              </w:rPr>
            </w:pPr>
            <w:r>
              <w:rPr>
                <w:rFonts w:ascii="Times New Roman" w:cs="Times New Roman"/>
                <w:spacing w:val="-4"/>
                <w:kern w:val="2"/>
                <w:sz w:val="21"/>
                <w:szCs w:val="21"/>
              </w:rPr>
              <w:t>Form.</w:t>
            </w:r>
            <w:r>
              <w:rPr>
                <w:rFonts w:ascii="Times New Roman" w:cs="Times New Roman"/>
                <w:i/>
                <w:iCs/>
                <w:spacing w:val="-4"/>
                <w:kern w:val="2"/>
                <w:sz w:val="21"/>
                <w:szCs w:val="21"/>
              </w:rPr>
              <w:t>Coriaria nepalensis+Vitex negundo+Pyracantha fortuneana</w:t>
            </w:r>
          </w:p>
        </w:tc>
      </w:tr>
      <w:tr w:rsidR="00BD5820">
        <w:trPr>
          <w:trHeight w:val="296"/>
          <w:jc w:val="center"/>
        </w:trPr>
        <w:tc>
          <w:tcPr>
            <w:tcW w:w="374" w:type="dxa"/>
            <w:vMerge/>
            <w:textDirection w:val="tbRlV"/>
            <w:vAlign w:val="center"/>
          </w:tcPr>
          <w:p w:rsidR="00BD5820" w:rsidRDefault="00BD5820">
            <w:pPr>
              <w:topLinePunct w:val="0"/>
              <w:adjustRightInd/>
              <w:spacing w:before="51" w:line="214" w:lineRule="auto"/>
              <w:ind w:firstLineChars="0" w:firstLine="0"/>
              <w:jc w:val="center"/>
              <w:rPr>
                <w:rFonts w:ascii="Times New Roman" w:cs="Times New Roman"/>
                <w:spacing w:val="-4"/>
                <w:kern w:val="2"/>
                <w:sz w:val="21"/>
                <w:szCs w:val="21"/>
              </w:rPr>
            </w:pPr>
          </w:p>
        </w:tc>
        <w:tc>
          <w:tcPr>
            <w:tcW w:w="866" w:type="dxa"/>
            <w:vMerge/>
            <w:vAlign w:val="center"/>
          </w:tcPr>
          <w:p w:rsidR="00BD5820" w:rsidRDefault="00BD5820">
            <w:pPr>
              <w:topLinePunct w:val="0"/>
              <w:adjustRightInd/>
              <w:spacing w:before="51" w:line="214" w:lineRule="auto"/>
              <w:ind w:firstLineChars="0" w:firstLine="0"/>
              <w:jc w:val="center"/>
              <w:rPr>
                <w:rFonts w:ascii="Times New Roman" w:cs="Times New Roman"/>
                <w:spacing w:val="-4"/>
                <w:kern w:val="2"/>
                <w:sz w:val="21"/>
                <w:szCs w:val="21"/>
              </w:rPr>
            </w:pPr>
          </w:p>
        </w:tc>
        <w:tc>
          <w:tcPr>
            <w:tcW w:w="776" w:type="dxa"/>
            <w:vMerge w:val="restart"/>
            <w:vAlign w:val="center"/>
          </w:tcPr>
          <w:p w:rsidR="00BD5820" w:rsidRDefault="00F64314">
            <w:pPr>
              <w:topLinePunct w:val="0"/>
              <w:adjustRightInd/>
              <w:spacing w:before="51" w:line="214" w:lineRule="auto"/>
              <w:ind w:firstLineChars="0" w:firstLine="0"/>
              <w:jc w:val="center"/>
              <w:rPr>
                <w:rFonts w:ascii="Times New Roman" w:cs="Times New Roman"/>
                <w:spacing w:val="-4"/>
                <w:kern w:val="2"/>
                <w:sz w:val="21"/>
                <w:szCs w:val="21"/>
              </w:rPr>
            </w:pPr>
            <w:r>
              <w:rPr>
                <w:rFonts w:ascii="Times New Roman" w:cs="Times New Roman"/>
                <w:spacing w:val="-4"/>
                <w:kern w:val="2"/>
                <w:sz w:val="21"/>
                <w:szCs w:val="21"/>
              </w:rPr>
              <w:t>草丛</w:t>
            </w:r>
          </w:p>
        </w:tc>
        <w:tc>
          <w:tcPr>
            <w:tcW w:w="1897" w:type="dxa"/>
            <w:vAlign w:val="center"/>
          </w:tcPr>
          <w:p w:rsidR="00BD5820" w:rsidRDefault="00F64314">
            <w:pPr>
              <w:topLinePunct w:val="0"/>
              <w:adjustRightInd/>
              <w:spacing w:before="51" w:line="214" w:lineRule="auto"/>
              <w:ind w:firstLineChars="0" w:firstLine="0"/>
              <w:jc w:val="center"/>
              <w:rPr>
                <w:rFonts w:ascii="Times New Roman" w:cs="Times New Roman"/>
                <w:spacing w:val="-4"/>
                <w:kern w:val="2"/>
                <w:sz w:val="21"/>
                <w:szCs w:val="21"/>
              </w:rPr>
            </w:pPr>
            <w:r>
              <w:rPr>
                <w:rFonts w:ascii="Times New Roman" w:cs="Times New Roman"/>
                <w:spacing w:val="-4"/>
                <w:kern w:val="2"/>
                <w:sz w:val="21"/>
                <w:szCs w:val="21"/>
              </w:rPr>
              <w:t>白茅草丛群系</w:t>
            </w:r>
          </w:p>
        </w:tc>
        <w:tc>
          <w:tcPr>
            <w:tcW w:w="4103" w:type="dxa"/>
            <w:vAlign w:val="center"/>
          </w:tcPr>
          <w:p w:rsidR="00BD5820" w:rsidRDefault="00F64314">
            <w:pPr>
              <w:topLinePunct w:val="0"/>
              <w:adjustRightInd/>
              <w:spacing w:before="51" w:line="214" w:lineRule="auto"/>
              <w:ind w:firstLineChars="0" w:firstLine="0"/>
              <w:jc w:val="center"/>
              <w:rPr>
                <w:rFonts w:ascii="Times New Roman" w:cs="Times New Roman"/>
                <w:i/>
                <w:iCs/>
                <w:spacing w:val="-4"/>
                <w:kern w:val="2"/>
                <w:sz w:val="21"/>
                <w:szCs w:val="21"/>
              </w:rPr>
            </w:pPr>
            <w:r>
              <w:rPr>
                <w:rFonts w:ascii="Times New Roman" w:cs="Times New Roman"/>
                <w:spacing w:val="-4"/>
                <w:kern w:val="2"/>
                <w:sz w:val="21"/>
                <w:szCs w:val="21"/>
              </w:rPr>
              <w:t xml:space="preserve">Form. </w:t>
            </w:r>
            <w:r>
              <w:rPr>
                <w:rFonts w:ascii="Times New Roman" w:cs="Times New Roman"/>
                <w:i/>
                <w:iCs/>
                <w:spacing w:val="-4"/>
                <w:kern w:val="2"/>
                <w:sz w:val="21"/>
                <w:szCs w:val="21"/>
              </w:rPr>
              <w:t>Imperata cylindric</w:t>
            </w:r>
          </w:p>
        </w:tc>
      </w:tr>
      <w:tr w:rsidR="00BD5820">
        <w:trPr>
          <w:trHeight w:val="296"/>
          <w:jc w:val="center"/>
        </w:trPr>
        <w:tc>
          <w:tcPr>
            <w:tcW w:w="374" w:type="dxa"/>
            <w:vMerge/>
            <w:textDirection w:val="tbRlV"/>
            <w:vAlign w:val="center"/>
          </w:tcPr>
          <w:p w:rsidR="00BD5820" w:rsidRDefault="00BD5820">
            <w:pPr>
              <w:topLinePunct w:val="0"/>
              <w:adjustRightInd/>
              <w:spacing w:before="51" w:line="214" w:lineRule="auto"/>
              <w:ind w:firstLineChars="0" w:firstLine="0"/>
              <w:jc w:val="center"/>
              <w:rPr>
                <w:rFonts w:ascii="Times New Roman" w:cs="Times New Roman"/>
                <w:spacing w:val="-4"/>
                <w:kern w:val="2"/>
                <w:sz w:val="21"/>
                <w:szCs w:val="21"/>
              </w:rPr>
            </w:pPr>
          </w:p>
        </w:tc>
        <w:tc>
          <w:tcPr>
            <w:tcW w:w="866" w:type="dxa"/>
            <w:vMerge/>
            <w:vAlign w:val="center"/>
          </w:tcPr>
          <w:p w:rsidR="00BD5820" w:rsidRDefault="00BD5820">
            <w:pPr>
              <w:topLinePunct w:val="0"/>
              <w:adjustRightInd/>
              <w:spacing w:before="51" w:line="214" w:lineRule="auto"/>
              <w:ind w:firstLineChars="0" w:firstLine="0"/>
              <w:jc w:val="center"/>
              <w:rPr>
                <w:rFonts w:ascii="Times New Roman" w:cs="Times New Roman"/>
                <w:spacing w:val="-4"/>
                <w:kern w:val="2"/>
                <w:sz w:val="21"/>
                <w:szCs w:val="21"/>
              </w:rPr>
            </w:pPr>
          </w:p>
        </w:tc>
        <w:tc>
          <w:tcPr>
            <w:tcW w:w="776" w:type="dxa"/>
            <w:vMerge/>
            <w:vAlign w:val="center"/>
          </w:tcPr>
          <w:p w:rsidR="00BD5820" w:rsidRDefault="00BD5820">
            <w:pPr>
              <w:topLinePunct w:val="0"/>
              <w:adjustRightInd/>
              <w:spacing w:before="51" w:line="214" w:lineRule="auto"/>
              <w:ind w:firstLineChars="0" w:firstLine="0"/>
              <w:jc w:val="center"/>
              <w:rPr>
                <w:rFonts w:ascii="Times New Roman" w:cs="Times New Roman"/>
                <w:spacing w:val="-4"/>
                <w:kern w:val="2"/>
                <w:sz w:val="21"/>
                <w:szCs w:val="21"/>
              </w:rPr>
            </w:pPr>
          </w:p>
        </w:tc>
        <w:tc>
          <w:tcPr>
            <w:tcW w:w="1897" w:type="dxa"/>
            <w:vAlign w:val="center"/>
          </w:tcPr>
          <w:p w:rsidR="00BD5820" w:rsidRDefault="00F64314">
            <w:pPr>
              <w:topLinePunct w:val="0"/>
              <w:adjustRightInd/>
              <w:spacing w:before="51" w:line="214" w:lineRule="auto"/>
              <w:ind w:firstLineChars="0" w:firstLine="0"/>
              <w:jc w:val="center"/>
              <w:rPr>
                <w:rFonts w:ascii="Times New Roman" w:cs="Times New Roman"/>
                <w:spacing w:val="-4"/>
                <w:kern w:val="2"/>
                <w:sz w:val="21"/>
                <w:szCs w:val="21"/>
              </w:rPr>
            </w:pPr>
            <w:r>
              <w:rPr>
                <w:rFonts w:ascii="Times New Roman" w:cs="Times New Roman"/>
                <w:spacing w:val="-4"/>
                <w:kern w:val="2"/>
                <w:sz w:val="21"/>
                <w:szCs w:val="21"/>
              </w:rPr>
              <w:t>白茅、五节芒、野古草、斑茅</w:t>
            </w:r>
            <w:r>
              <w:rPr>
                <w:rFonts w:ascii="Times New Roman" w:cs="Times New Roman" w:hint="eastAsia"/>
                <w:spacing w:val="-4"/>
                <w:kern w:val="2"/>
                <w:sz w:val="21"/>
                <w:szCs w:val="21"/>
              </w:rPr>
              <w:t>草丛</w:t>
            </w:r>
            <w:r>
              <w:rPr>
                <w:rFonts w:ascii="Times New Roman" w:cs="Times New Roman"/>
                <w:spacing w:val="-4"/>
                <w:kern w:val="2"/>
                <w:sz w:val="21"/>
                <w:szCs w:val="21"/>
              </w:rPr>
              <w:t>群系</w:t>
            </w:r>
          </w:p>
        </w:tc>
        <w:tc>
          <w:tcPr>
            <w:tcW w:w="4103" w:type="dxa"/>
            <w:vAlign w:val="center"/>
          </w:tcPr>
          <w:p w:rsidR="00BD5820" w:rsidRDefault="00F64314">
            <w:pPr>
              <w:topLinePunct w:val="0"/>
              <w:adjustRightInd/>
              <w:spacing w:before="51" w:line="214" w:lineRule="auto"/>
              <w:ind w:firstLineChars="0" w:firstLine="0"/>
              <w:jc w:val="center"/>
              <w:rPr>
                <w:rFonts w:ascii="Times New Roman" w:cs="Times New Roman"/>
                <w:i/>
                <w:iCs/>
                <w:spacing w:val="-4"/>
                <w:kern w:val="2"/>
                <w:sz w:val="21"/>
                <w:szCs w:val="21"/>
              </w:rPr>
            </w:pPr>
            <w:r>
              <w:rPr>
                <w:rFonts w:ascii="Times New Roman" w:cs="Times New Roman"/>
                <w:spacing w:val="-4"/>
                <w:kern w:val="2"/>
                <w:sz w:val="21"/>
                <w:szCs w:val="21"/>
              </w:rPr>
              <w:t>Form.</w:t>
            </w:r>
            <w:r>
              <w:rPr>
                <w:rFonts w:ascii="Times New Roman" w:cs="Times New Roman"/>
                <w:i/>
                <w:iCs/>
                <w:spacing w:val="-4"/>
                <w:kern w:val="2"/>
                <w:sz w:val="21"/>
                <w:szCs w:val="21"/>
              </w:rPr>
              <w:t>Imperata</w:t>
            </w:r>
            <w:r>
              <w:rPr>
                <w:rFonts w:ascii="Times New Roman" w:cs="Times New Roman" w:hint="eastAsia"/>
                <w:i/>
                <w:iCs/>
                <w:spacing w:val="-4"/>
                <w:kern w:val="2"/>
                <w:sz w:val="21"/>
                <w:szCs w:val="21"/>
              </w:rPr>
              <w:t xml:space="preserve"> </w:t>
            </w:r>
            <w:r>
              <w:rPr>
                <w:rFonts w:ascii="Times New Roman" w:cs="Times New Roman"/>
                <w:i/>
                <w:iCs/>
                <w:spacing w:val="-4"/>
                <w:kern w:val="2"/>
                <w:sz w:val="21"/>
                <w:szCs w:val="21"/>
              </w:rPr>
              <w:t>cylindrica.+ Miscanthus floridulus+Arundinella anomala+Saccharum arundinaceum</w:t>
            </w:r>
          </w:p>
        </w:tc>
      </w:tr>
      <w:tr w:rsidR="00BD5820">
        <w:trPr>
          <w:trHeight w:val="296"/>
          <w:jc w:val="center"/>
        </w:trPr>
        <w:tc>
          <w:tcPr>
            <w:tcW w:w="374" w:type="dxa"/>
            <w:vMerge/>
            <w:textDirection w:val="tbRlV"/>
            <w:vAlign w:val="center"/>
          </w:tcPr>
          <w:p w:rsidR="00BD5820" w:rsidRDefault="00BD5820">
            <w:pPr>
              <w:topLinePunct w:val="0"/>
              <w:adjustRightInd/>
              <w:spacing w:before="51" w:line="214" w:lineRule="auto"/>
              <w:ind w:firstLineChars="0" w:firstLine="0"/>
              <w:jc w:val="center"/>
              <w:rPr>
                <w:rFonts w:ascii="Times New Roman" w:cs="Times New Roman"/>
                <w:spacing w:val="-4"/>
                <w:kern w:val="2"/>
                <w:sz w:val="21"/>
                <w:szCs w:val="21"/>
              </w:rPr>
            </w:pPr>
          </w:p>
        </w:tc>
        <w:tc>
          <w:tcPr>
            <w:tcW w:w="866" w:type="dxa"/>
            <w:vMerge/>
            <w:vAlign w:val="center"/>
          </w:tcPr>
          <w:p w:rsidR="00BD5820" w:rsidRDefault="00BD5820">
            <w:pPr>
              <w:topLinePunct w:val="0"/>
              <w:adjustRightInd/>
              <w:spacing w:before="51" w:line="214" w:lineRule="auto"/>
              <w:ind w:firstLineChars="0" w:firstLine="0"/>
              <w:jc w:val="center"/>
              <w:rPr>
                <w:rFonts w:ascii="Times New Roman" w:cs="Times New Roman"/>
                <w:spacing w:val="-4"/>
                <w:kern w:val="2"/>
                <w:sz w:val="21"/>
                <w:szCs w:val="21"/>
              </w:rPr>
            </w:pPr>
          </w:p>
        </w:tc>
        <w:tc>
          <w:tcPr>
            <w:tcW w:w="776" w:type="dxa"/>
            <w:vMerge/>
            <w:vAlign w:val="center"/>
          </w:tcPr>
          <w:p w:rsidR="00BD5820" w:rsidRDefault="00BD5820">
            <w:pPr>
              <w:topLinePunct w:val="0"/>
              <w:adjustRightInd/>
              <w:spacing w:before="51" w:line="214" w:lineRule="auto"/>
              <w:ind w:firstLineChars="0" w:firstLine="0"/>
              <w:jc w:val="center"/>
              <w:rPr>
                <w:rFonts w:ascii="Times New Roman" w:cs="Times New Roman"/>
                <w:spacing w:val="-4"/>
                <w:kern w:val="2"/>
                <w:sz w:val="21"/>
                <w:szCs w:val="21"/>
              </w:rPr>
            </w:pPr>
          </w:p>
        </w:tc>
        <w:tc>
          <w:tcPr>
            <w:tcW w:w="1897" w:type="dxa"/>
            <w:vAlign w:val="center"/>
          </w:tcPr>
          <w:p w:rsidR="00BD5820" w:rsidRDefault="00F64314">
            <w:pPr>
              <w:topLinePunct w:val="0"/>
              <w:adjustRightInd/>
              <w:spacing w:before="51" w:line="214" w:lineRule="auto"/>
              <w:ind w:firstLineChars="0" w:firstLine="0"/>
              <w:jc w:val="center"/>
              <w:rPr>
                <w:rFonts w:ascii="Times New Roman" w:cs="Times New Roman"/>
                <w:spacing w:val="-4"/>
                <w:kern w:val="2"/>
                <w:sz w:val="21"/>
                <w:szCs w:val="21"/>
              </w:rPr>
            </w:pPr>
            <w:r>
              <w:rPr>
                <w:rFonts w:ascii="Times New Roman" w:cs="Times New Roman"/>
                <w:spacing w:val="-4"/>
                <w:kern w:val="2"/>
                <w:sz w:val="21"/>
                <w:szCs w:val="21"/>
              </w:rPr>
              <w:t>芒、蕨、芒萁</w:t>
            </w:r>
            <w:r>
              <w:rPr>
                <w:rFonts w:ascii="Times New Roman" w:cs="Times New Roman" w:hint="eastAsia"/>
                <w:spacing w:val="-4"/>
                <w:kern w:val="2"/>
                <w:sz w:val="21"/>
                <w:szCs w:val="21"/>
              </w:rPr>
              <w:t>草丛</w:t>
            </w:r>
            <w:r>
              <w:rPr>
                <w:rFonts w:ascii="Times New Roman" w:cs="Times New Roman"/>
                <w:spacing w:val="-4"/>
                <w:kern w:val="2"/>
                <w:sz w:val="21"/>
                <w:szCs w:val="21"/>
              </w:rPr>
              <w:t>群系</w:t>
            </w:r>
          </w:p>
        </w:tc>
        <w:tc>
          <w:tcPr>
            <w:tcW w:w="4103" w:type="dxa"/>
            <w:vAlign w:val="center"/>
          </w:tcPr>
          <w:p w:rsidR="00BD5820" w:rsidRDefault="00F64314">
            <w:pPr>
              <w:topLinePunct w:val="0"/>
              <w:adjustRightInd/>
              <w:spacing w:before="51" w:line="214" w:lineRule="auto"/>
              <w:ind w:firstLineChars="0" w:firstLine="0"/>
              <w:jc w:val="center"/>
              <w:rPr>
                <w:rFonts w:ascii="Times New Roman" w:cs="Times New Roman"/>
                <w:i/>
                <w:iCs/>
                <w:spacing w:val="-4"/>
                <w:kern w:val="2"/>
                <w:sz w:val="21"/>
                <w:szCs w:val="21"/>
              </w:rPr>
            </w:pPr>
            <w:r>
              <w:rPr>
                <w:rFonts w:ascii="Times New Roman" w:cs="Times New Roman"/>
                <w:spacing w:val="-4"/>
                <w:kern w:val="2"/>
                <w:sz w:val="21"/>
                <w:szCs w:val="21"/>
              </w:rPr>
              <w:t>Form.</w:t>
            </w:r>
            <w:r>
              <w:rPr>
                <w:rFonts w:ascii="Times New Roman" w:cs="Times New Roman"/>
                <w:i/>
                <w:iCs/>
                <w:spacing w:val="-4"/>
                <w:kern w:val="2"/>
                <w:sz w:val="21"/>
                <w:szCs w:val="21"/>
              </w:rPr>
              <w:t>Miscanthus</w:t>
            </w:r>
            <w:r>
              <w:rPr>
                <w:rFonts w:ascii="Times New Roman" w:cs="Times New Roman" w:hint="eastAsia"/>
                <w:i/>
                <w:iCs/>
                <w:spacing w:val="-4"/>
                <w:kern w:val="2"/>
                <w:sz w:val="21"/>
                <w:szCs w:val="21"/>
              </w:rPr>
              <w:t xml:space="preserve"> </w:t>
            </w:r>
            <w:r>
              <w:rPr>
                <w:rFonts w:ascii="Times New Roman" w:cs="Times New Roman"/>
                <w:i/>
                <w:iCs/>
                <w:spacing w:val="-4"/>
                <w:kern w:val="2"/>
                <w:sz w:val="21"/>
                <w:szCs w:val="21"/>
              </w:rPr>
              <w:t>sinensis+P.Aquilinum+Dicranopteris dichotoma</w:t>
            </w:r>
            <w:r>
              <w:rPr>
                <w:rFonts w:ascii="Times New Roman" w:cs="Times New Roman"/>
                <w:spacing w:val="-4"/>
                <w:kern w:val="2"/>
                <w:sz w:val="21"/>
                <w:szCs w:val="21"/>
              </w:rPr>
              <w:t>(Thunb.)Bernh.</w:t>
            </w:r>
          </w:p>
        </w:tc>
      </w:tr>
      <w:tr w:rsidR="00BD5820">
        <w:trPr>
          <w:trHeight w:val="373"/>
          <w:jc w:val="center"/>
        </w:trPr>
        <w:tc>
          <w:tcPr>
            <w:tcW w:w="374" w:type="dxa"/>
            <w:vMerge w:val="restart"/>
            <w:textDirection w:val="tbRlV"/>
            <w:vAlign w:val="center"/>
          </w:tcPr>
          <w:p w:rsidR="00BD5820" w:rsidRDefault="00F64314">
            <w:pPr>
              <w:topLinePunct w:val="0"/>
              <w:adjustRightInd/>
              <w:spacing w:before="51" w:line="214" w:lineRule="auto"/>
              <w:ind w:firstLineChars="0" w:firstLine="0"/>
              <w:jc w:val="center"/>
              <w:rPr>
                <w:rFonts w:ascii="Times New Roman" w:cs="Times New Roman"/>
                <w:spacing w:val="-4"/>
                <w:kern w:val="2"/>
                <w:sz w:val="21"/>
                <w:szCs w:val="21"/>
              </w:rPr>
            </w:pPr>
            <w:r>
              <w:rPr>
                <w:rFonts w:ascii="Times New Roman" w:cs="Times New Roman"/>
                <w:spacing w:val="-4"/>
                <w:kern w:val="2"/>
                <w:sz w:val="21"/>
                <w:szCs w:val="21"/>
              </w:rPr>
              <w:t>人工植被</w:t>
            </w:r>
          </w:p>
        </w:tc>
        <w:tc>
          <w:tcPr>
            <w:tcW w:w="7642" w:type="dxa"/>
            <w:gridSpan w:val="4"/>
            <w:vAlign w:val="center"/>
          </w:tcPr>
          <w:p w:rsidR="00BD5820" w:rsidRDefault="00F64314">
            <w:pPr>
              <w:topLinePunct w:val="0"/>
              <w:adjustRightInd/>
              <w:spacing w:before="51" w:line="214" w:lineRule="auto"/>
              <w:ind w:firstLineChars="0" w:firstLine="0"/>
              <w:jc w:val="center"/>
              <w:rPr>
                <w:rFonts w:ascii="Times New Roman" w:cs="Times New Roman"/>
                <w:spacing w:val="-4"/>
                <w:kern w:val="2"/>
                <w:sz w:val="21"/>
                <w:szCs w:val="21"/>
              </w:rPr>
            </w:pPr>
            <w:r>
              <w:rPr>
                <w:rFonts w:ascii="Times New Roman" w:cs="Times New Roman"/>
                <w:spacing w:val="-4"/>
                <w:kern w:val="2"/>
                <w:sz w:val="21"/>
                <w:szCs w:val="21"/>
              </w:rPr>
              <w:t>1</w:t>
            </w:r>
            <w:r>
              <w:rPr>
                <w:rFonts w:ascii="Times New Roman" w:cs="Times New Roman"/>
                <w:spacing w:val="-4"/>
                <w:kern w:val="2"/>
                <w:sz w:val="21"/>
                <w:szCs w:val="21"/>
              </w:rPr>
              <w:t>、一年两熟水田作物组合型</w:t>
            </w:r>
          </w:p>
        </w:tc>
      </w:tr>
      <w:tr w:rsidR="00BD5820">
        <w:trPr>
          <w:trHeight w:val="378"/>
          <w:jc w:val="center"/>
        </w:trPr>
        <w:tc>
          <w:tcPr>
            <w:tcW w:w="374" w:type="dxa"/>
            <w:vMerge/>
            <w:textDirection w:val="tbRlV"/>
            <w:vAlign w:val="center"/>
          </w:tcPr>
          <w:p w:rsidR="00BD5820" w:rsidRDefault="00BD5820">
            <w:pPr>
              <w:topLinePunct w:val="0"/>
              <w:adjustRightInd/>
              <w:spacing w:line="240" w:lineRule="auto"/>
              <w:ind w:firstLineChars="0" w:firstLine="0"/>
              <w:rPr>
                <w:rFonts w:ascii="Times New Roman" w:cs="Times New Roman"/>
                <w:kern w:val="2"/>
                <w:sz w:val="21"/>
              </w:rPr>
            </w:pPr>
          </w:p>
        </w:tc>
        <w:tc>
          <w:tcPr>
            <w:tcW w:w="7642" w:type="dxa"/>
            <w:gridSpan w:val="4"/>
            <w:vAlign w:val="center"/>
          </w:tcPr>
          <w:p w:rsidR="00BD5820" w:rsidRDefault="00F64314">
            <w:pPr>
              <w:topLinePunct w:val="0"/>
              <w:adjustRightInd/>
              <w:spacing w:before="51" w:line="214" w:lineRule="auto"/>
              <w:ind w:firstLineChars="0" w:firstLine="0"/>
              <w:jc w:val="center"/>
              <w:rPr>
                <w:rFonts w:ascii="Times New Roman" w:cs="Times New Roman"/>
                <w:spacing w:val="-4"/>
                <w:kern w:val="2"/>
                <w:sz w:val="21"/>
                <w:szCs w:val="21"/>
              </w:rPr>
            </w:pPr>
            <w:r>
              <w:rPr>
                <w:rFonts w:ascii="Times New Roman" w:cs="Times New Roman"/>
                <w:spacing w:val="-4"/>
                <w:kern w:val="2"/>
                <w:sz w:val="21"/>
                <w:szCs w:val="21"/>
              </w:rPr>
              <w:t>2</w:t>
            </w:r>
            <w:r>
              <w:rPr>
                <w:rFonts w:ascii="Times New Roman" w:cs="Times New Roman"/>
                <w:spacing w:val="-4"/>
                <w:kern w:val="2"/>
                <w:sz w:val="21"/>
                <w:szCs w:val="21"/>
              </w:rPr>
              <w:t>、一年两熟旱地作物组合型</w:t>
            </w:r>
          </w:p>
        </w:tc>
      </w:tr>
      <w:tr w:rsidR="00BD5820">
        <w:trPr>
          <w:trHeight w:val="426"/>
          <w:jc w:val="center"/>
        </w:trPr>
        <w:tc>
          <w:tcPr>
            <w:tcW w:w="374" w:type="dxa"/>
            <w:vMerge/>
            <w:textDirection w:val="tbRlV"/>
            <w:vAlign w:val="center"/>
          </w:tcPr>
          <w:p w:rsidR="00BD5820" w:rsidRDefault="00BD5820">
            <w:pPr>
              <w:topLinePunct w:val="0"/>
              <w:adjustRightInd/>
              <w:spacing w:line="240" w:lineRule="auto"/>
              <w:ind w:firstLineChars="0" w:firstLine="0"/>
              <w:rPr>
                <w:rFonts w:ascii="Times New Roman" w:cs="Times New Roman"/>
                <w:kern w:val="2"/>
                <w:sz w:val="21"/>
              </w:rPr>
            </w:pPr>
          </w:p>
        </w:tc>
        <w:tc>
          <w:tcPr>
            <w:tcW w:w="7642" w:type="dxa"/>
            <w:gridSpan w:val="4"/>
            <w:vAlign w:val="center"/>
          </w:tcPr>
          <w:p w:rsidR="00BD5820" w:rsidRDefault="00F64314">
            <w:pPr>
              <w:topLinePunct w:val="0"/>
              <w:adjustRightInd/>
              <w:spacing w:before="51" w:line="214" w:lineRule="auto"/>
              <w:ind w:firstLineChars="0" w:firstLine="0"/>
              <w:jc w:val="center"/>
              <w:rPr>
                <w:rFonts w:ascii="Times New Roman" w:cs="Times New Roman"/>
                <w:kern w:val="2"/>
                <w:sz w:val="21"/>
              </w:rPr>
            </w:pPr>
            <w:r>
              <w:rPr>
                <w:rFonts w:ascii="Times New Roman" w:cs="Times New Roman"/>
                <w:kern w:val="2"/>
                <w:sz w:val="21"/>
              </w:rPr>
              <w:t>3</w:t>
            </w:r>
            <w:r>
              <w:rPr>
                <w:rFonts w:ascii="Times New Roman" w:cs="Times New Roman"/>
                <w:kern w:val="2"/>
                <w:sz w:val="21"/>
              </w:rPr>
              <w:t>、</w:t>
            </w:r>
            <w:r>
              <w:rPr>
                <w:rFonts w:ascii="Times New Roman" w:cs="Times New Roman" w:hint="eastAsia"/>
                <w:kern w:val="2"/>
                <w:sz w:val="21"/>
              </w:rPr>
              <w:t>经果林</w:t>
            </w:r>
            <w:r>
              <w:rPr>
                <w:rFonts w:ascii="Times New Roman" w:cs="Times New Roman"/>
                <w:kern w:val="2"/>
                <w:sz w:val="21"/>
              </w:rPr>
              <w:t>植被</w:t>
            </w:r>
            <w:r>
              <w:rPr>
                <w:rFonts w:ascii="Times New Roman" w:cs="Times New Roman" w:hint="eastAsia"/>
                <w:kern w:val="2"/>
                <w:sz w:val="21"/>
              </w:rPr>
              <w:t>（</w:t>
            </w:r>
            <w:r>
              <w:rPr>
                <w:rFonts w:ascii="Times New Roman" w:cs="Times New Roman"/>
                <w:kern w:val="2"/>
                <w:sz w:val="21"/>
              </w:rPr>
              <w:t>苹果、川梨、枇杷、桃、木瓜、樱桃、李、核桃、柑橘、柚子等</w:t>
            </w:r>
            <w:r>
              <w:rPr>
                <w:rFonts w:ascii="Times New Roman" w:cs="Times New Roman" w:hint="eastAsia"/>
                <w:kern w:val="2"/>
                <w:sz w:val="21"/>
              </w:rPr>
              <w:t>）</w:t>
            </w:r>
          </w:p>
        </w:tc>
      </w:tr>
    </w:tbl>
    <w:p w:rsidR="00BD5820" w:rsidRDefault="00F64314" w:rsidP="00511129">
      <w:pPr>
        <w:topLinePunct w:val="0"/>
        <w:adjustRightInd/>
        <w:spacing w:beforeLines="50"/>
        <w:ind w:firstLine="482"/>
        <w:rPr>
          <w:rFonts w:ascii="Times New Roman" w:cs="Times New Roman"/>
          <w:b/>
          <w:kern w:val="2"/>
        </w:rPr>
      </w:pPr>
      <w:r>
        <w:rPr>
          <w:rFonts w:ascii="Times New Roman" w:cs="Times New Roman" w:hint="eastAsia"/>
          <w:b/>
          <w:kern w:val="2"/>
        </w:rPr>
        <w:t>Ⅰ</w:t>
      </w:r>
      <w:r>
        <w:rPr>
          <w:rFonts w:ascii="Times New Roman" w:cs="Times New Roman"/>
          <w:b/>
          <w:kern w:val="2"/>
        </w:rPr>
        <w:t>森林植被</w:t>
      </w:r>
    </w:p>
    <w:p w:rsidR="00BD5820" w:rsidRDefault="00F64314">
      <w:pPr>
        <w:topLinePunct w:val="0"/>
        <w:adjustRightInd/>
        <w:ind w:left="520" w:firstLineChars="0" w:firstLine="0"/>
        <w:rPr>
          <w:rFonts w:ascii="Times New Roman" w:cs="Times New Roman"/>
          <w:kern w:val="2"/>
        </w:rPr>
      </w:pPr>
      <w:r>
        <w:rPr>
          <w:rFonts w:hAnsi="宋体" w:hint="eastAsia"/>
          <w:spacing w:val="15"/>
          <w:kern w:val="2"/>
        </w:rPr>
        <w:t>①</w:t>
      </w:r>
      <w:r>
        <w:rPr>
          <w:rFonts w:ascii="Times New Roman" w:cs="Times New Roman"/>
          <w:spacing w:val="9"/>
          <w:kern w:val="2"/>
        </w:rPr>
        <w:t>马尾松林</w:t>
      </w:r>
      <w:r>
        <w:rPr>
          <w:rFonts w:ascii="Times New Roman" w:cs="Times New Roman"/>
          <w:spacing w:val="9"/>
          <w:kern w:val="2"/>
        </w:rPr>
        <w:t>(</w:t>
      </w:r>
      <w:r>
        <w:rPr>
          <w:rFonts w:ascii="Times New Roman" w:eastAsia="Times New Roman" w:cs="Times New Roman"/>
          <w:kern w:val="2"/>
        </w:rPr>
        <w:t>Form</w:t>
      </w:r>
      <w:r>
        <w:rPr>
          <w:rFonts w:ascii="Times New Roman" w:eastAsia="Times New Roman" w:cs="Times New Roman"/>
          <w:spacing w:val="9"/>
          <w:kern w:val="2"/>
        </w:rPr>
        <w:t>.</w:t>
      </w:r>
      <w:r>
        <w:rPr>
          <w:rFonts w:ascii="Times New Roman" w:eastAsia="Times New Roman" w:cs="Times New Roman"/>
          <w:i/>
          <w:iCs/>
          <w:kern w:val="2"/>
        </w:rPr>
        <w:t>P</w:t>
      </w:r>
      <w:r>
        <w:rPr>
          <w:rFonts w:ascii="Times New Roman" w:eastAsia="Times New Roman" w:cs="Times New Roman"/>
          <w:i/>
          <w:iCs/>
          <w:spacing w:val="9"/>
          <w:kern w:val="2"/>
        </w:rPr>
        <w:t>.</w:t>
      </w:r>
      <w:r>
        <w:rPr>
          <w:rFonts w:ascii="Times New Roman" w:eastAsia="Times New Roman" w:cs="Times New Roman"/>
          <w:i/>
          <w:iCs/>
          <w:kern w:val="2"/>
        </w:rPr>
        <w:t>massoniana</w:t>
      </w:r>
      <w:r>
        <w:rPr>
          <w:rFonts w:ascii="Times New Roman" w:cs="Times New Roman"/>
          <w:spacing w:val="9"/>
          <w:kern w:val="2"/>
        </w:rPr>
        <w:t>)</w:t>
      </w:r>
    </w:p>
    <w:p w:rsidR="00BD5820" w:rsidRDefault="00F64314">
      <w:pPr>
        <w:topLinePunct w:val="0"/>
        <w:snapToGrid w:val="0"/>
        <w:ind w:firstLine="448"/>
        <w:rPr>
          <w:rFonts w:ascii="Times New Roman" w:cs="Times New Roman"/>
          <w:kern w:val="2"/>
        </w:rPr>
      </w:pPr>
      <w:r>
        <w:rPr>
          <w:rFonts w:ascii="Times New Roman" w:cs="Times New Roman"/>
          <w:spacing w:val="-8"/>
          <w:kern w:val="2"/>
        </w:rPr>
        <w:t>评</w:t>
      </w:r>
      <w:r>
        <w:rPr>
          <w:rFonts w:ascii="Times New Roman" w:cs="Times New Roman"/>
          <w:spacing w:val="-4"/>
          <w:kern w:val="2"/>
        </w:rPr>
        <w:t>价区的</w:t>
      </w:r>
      <w:r>
        <w:rPr>
          <w:rFonts w:ascii="Times New Roman" w:cs="Times New Roman"/>
          <w:kern w:val="2"/>
        </w:rPr>
        <w:t>马尾</w:t>
      </w:r>
      <w:r>
        <w:rPr>
          <w:rFonts w:ascii="Times New Roman" w:cs="Times New Roman"/>
          <w:spacing w:val="-4"/>
          <w:kern w:val="2"/>
        </w:rPr>
        <w:t>松</w:t>
      </w:r>
      <w:r>
        <w:rPr>
          <w:rFonts w:ascii="Times New Roman" w:cs="Times New Roman"/>
          <w:spacing w:val="-4"/>
          <w:kern w:val="2"/>
        </w:rPr>
        <w:t>(</w:t>
      </w:r>
      <w:r>
        <w:rPr>
          <w:rFonts w:ascii="Times New Roman" w:eastAsia="Times New Roman" w:cs="Times New Roman"/>
          <w:i/>
          <w:iCs/>
          <w:spacing w:val="-4"/>
          <w:kern w:val="2"/>
        </w:rPr>
        <w:t>P.massoniana</w:t>
      </w:r>
      <w:r>
        <w:rPr>
          <w:rFonts w:ascii="Times New Roman" w:cs="Times New Roman"/>
          <w:spacing w:val="-4"/>
          <w:kern w:val="2"/>
        </w:rPr>
        <w:t>)</w:t>
      </w:r>
      <w:r>
        <w:rPr>
          <w:rFonts w:ascii="Times New Roman" w:cs="Times New Roman"/>
          <w:spacing w:val="-4"/>
          <w:kern w:val="2"/>
        </w:rPr>
        <w:t>林为人工起源，多呈块状或片状分布在评价</w:t>
      </w:r>
      <w:r>
        <w:rPr>
          <w:rFonts w:ascii="Times New Roman" w:cs="Times New Roman"/>
          <w:spacing w:val="3"/>
          <w:kern w:val="2"/>
        </w:rPr>
        <w:t>区所在山体中、上部</w:t>
      </w:r>
      <w:r>
        <w:rPr>
          <w:rFonts w:hAnsi="宋体"/>
          <w:spacing w:val="-5"/>
          <w:kern w:val="2"/>
        </w:rPr>
        <w:t>砂页岩发育的黄壤地段上</w:t>
      </w:r>
      <w:r>
        <w:rPr>
          <w:rFonts w:ascii="Times New Roman" w:cs="Times New Roman"/>
          <w:spacing w:val="3"/>
          <w:kern w:val="2"/>
        </w:rPr>
        <w:t>，在评价区广泛分布。群落外貌呈翠绿色，林冠整齐，层</w:t>
      </w:r>
      <w:r>
        <w:rPr>
          <w:rFonts w:ascii="Times New Roman" w:cs="Times New Roman"/>
          <w:kern w:val="2"/>
        </w:rPr>
        <w:t>次</w:t>
      </w:r>
      <w:r>
        <w:rPr>
          <w:rFonts w:ascii="Times New Roman" w:cs="Times New Roman"/>
          <w:spacing w:val="-20"/>
          <w:kern w:val="2"/>
        </w:rPr>
        <w:t>分</w:t>
      </w:r>
      <w:r>
        <w:rPr>
          <w:rFonts w:ascii="Times New Roman" w:cs="Times New Roman"/>
          <w:spacing w:val="-16"/>
          <w:kern w:val="2"/>
        </w:rPr>
        <w:t>明</w:t>
      </w:r>
      <w:r>
        <w:rPr>
          <w:rFonts w:ascii="Times New Roman" w:cs="Times New Roman"/>
          <w:spacing w:val="-10"/>
          <w:kern w:val="2"/>
        </w:rPr>
        <w:t>。主要以纯林为主，乔灌层次分明。乔木层较少，主要有杉木、板栗</w:t>
      </w:r>
      <w:r>
        <w:rPr>
          <w:rFonts w:ascii="Times New Roman" w:cs="Times New Roman"/>
          <w:spacing w:val="-10"/>
          <w:kern w:val="2"/>
        </w:rPr>
        <w:t>(</w:t>
      </w:r>
      <w:r>
        <w:rPr>
          <w:rFonts w:ascii="Times New Roman" w:eastAsia="Times New Roman" w:cs="Times New Roman"/>
          <w:i/>
          <w:iCs/>
          <w:spacing w:val="-10"/>
          <w:kern w:val="2"/>
        </w:rPr>
        <w:t>Castanea</w:t>
      </w:r>
      <w:r>
        <w:rPr>
          <w:rFonts w:ascii="Times New Roman" w:eastAsia="Times New Roman" w:cs="Times New Roman"/>
          <w:kern w:val="2"/>
        </w:rPr>
        <w:t xml:space="preserve"> </w:t>
      </w:r>
      <w:r>
        <w:rPr>
          <w:rFonts w:ascii="Times New Roman" w:eastAsia="Times New Roman" w:cs="Times New Roman"/>
          <w:i/>
          <w:iCs/>
          <w:spacing w:val="-3"/>
          <w:kern w:val="2"/>
        </w:rPr>
        <w:t>mollissima</w:t>
      </w:r>
      <w:r>
        <w:rPr>
          <w:rFonts w:ascii="Times New Roman" w:cs="Times New Roman"/>
          <w:spacing w:val="-6"/>
          <w:kern w:val="2"/>
        </w:rPr>
        <w:t>)</w:t>
      </w:r>
      <w:r>
        <w:rPr>
          <w:rFonts w:ascii="Times New Roman" w:cs="Times New Roman"/>
          <w:spacing w:val="-6"/>
          <w:kern w:val="2"/>
        </w:rPr>
        <w:t>、江南桤木</w:t>
      </w:r>
      <w:r>
        <w:rPr>
          <w:rFonts w:ascii="Times New Roman" w:cs="Times New Roman"/>
          <w:spacing w:val="-4"/>
          <w:kern w:val="2"/>
        </w:rPr>
        <w:t>、</w:t>
      </w:r>
      <w:r>
        <w:rPr>
          <w:rFonts w:ascii="Times New Roman" w:cs="Times New Roman"/>
          <w:spacing w:val="-3"/>
          <w:kern w:val="2"/>
        </w:rPr>
        <w:t>枫香、栓皮栎、麻栎等。灌木层种类较多，</w:t>
      </w:r>
      <w:r>
        <w:rPr>
          <w:rFonts w:ascii="Times New Roman" w:cs="Times New Roman"/>
          <w:spacing w:val="14"/>
          <w:kern w:val="2"/>
        </w:rPr>
        <w:t>常见</w:t>
      </w:r>
      <w:r>
        <w:rPr>
          <w:rFonts w:ascii="Times New Roman" w:cs="Times New Roman"/>
          <w:spacing w:val="12"/>
          <w:kern w:val="2"/>
        </w:rPr>
        <w:t>为</w:t>
      </w:r>
      <w:r>
        <w:rPr>
          <w:rFonts w:ascii="Times New Roman" w:cs="Times New Roman"/>
          <w:spacing w:val="7"/>
          <w:kern w:val="2"/>
        </w:rPr>
        <w:t>多种</w:t>
      </w:r>
      <w:r>
        <w:rPr>
          <w:rFonts w:hAnsi="宋体"/>
          <w:spacing w:val="-5"/>
          <w:kern w:val="2"/>
        </w:rPr>
        <w:t>米饭花、映山红、米碎花、铁仔</w:t>
      </w:r>
      <w:r>
        <w:rPr>
          <w:rFonts w:hAnsi="宋体" w:hint="eastAsia"/>
          <w:spacing w:val="-5"/>
          <w:kern w:val="2"/>
        </w:rPr>
        <w:t>、</w:t>
      </w:r>
      <w:r>
        <w:rPr>
          <w:rFonts w:ascii="Times New Roman" w:cs="Times New Roman"/>
          <w:spacing w:val="7"/>
          <w:kern w:val="2"/>
        </w:rPr>
        <w:t>柃</w:t>
      </w:r>
      <w:r>
        <w:rPr>
          <w:rFonts w:ascii="Times New Roman" w:cs="Times New Roman"/>
          <w:kern w:val="2"/>
        </w:rPr>
        <w:t>木、杜鹃、鹅掌</w:t>
      </w:r>
      <w:r>
        <w:rPr>
          <w:rFonts w:ascii="Times New Roman" w:cs="Times New Roman"/>
          <w:spacing w:val="7"/>
          <w:kern w:val="2"/>
        </w:rPr>
        <w:t>柴、山矾</w:t>
      </w:r>
      <w:r>
        <w:rPr>
          <w:rFonts w:ascii="Times New Roman" w:cs="Times New Roman"/>
          <w:spacing w:val="7"/>
          <w:kern w:val="2"/>
        </w:rPr>
        <w:t>(</w:t>
      </w:r>
      <w:r>
        <w:rPr>
          <w:rFonts w:ascii="Times New Roman" w:eastAsia="Times New Roman" w:cs="Times New Roman"/>
          <w:i/>
          <w:iCs/>
          <w:kern w:val="2"/>
        </w:rPr>
        <w:t>Symplocos</w:t>
      </w:r>
      <w:r>
        <w:rPr>
          <w:rFonts w:ascii="Times New Roman" w:eastAsia="Times New Roman" w:cs="Times New Roman"/>
          <w:spacing w:val="7"/>
          <w:kern w:val="2"/>
        </w:rPr>
        <w:t xml:space="preserve"> </w:t>
      </w:r>
      <w:r>
        <w:rPr>
          <w:rFonts w:ascii="Times New Roman" w:eastAsia="Times New Roman" w:cs="Times New Roman"/>
          <w:i/>
          <w:iCs/>
          <w:kern w:val="2"/>
        </w:rPr>
        <w:t>spp</w:t>
      </w:r>
      <w:r>
        <w:rPr>
          <w:rFonts w:ascii="Times New Roman" w:eastAsia="Times New Roman" w:cs="Times New Roman"/>
          <w:i/>
          <w:iCs/>
          <w:spacing w:val="7"/>
          <w:kern w:val="2"/>
        </w:rPr>
        <w:t>.</w:t>
      </w:r>
      <w:r>
        <w:rPr>
          <w:rFonts w:ascii="Times New Roman" w:cs="Times New Roman"/>
          <w:spacing w:val="7"/>
          <w:kern w:val="2"/>
        </w:rPr>
        <w:t>)</w:t>
      </w:r>
      <w:r>
        <w:rPr>
          <w:rFonts w:ascii="Times New Roman" w:cs="Times New Roman"/>
          <w:spacing w:val="7"/>
          <w:kern w:val="2"/>
        </w:rPr>
        <w:t>、木莓、川莓、悬钩子</w:t>
      </w:r>
      <w:r>
        <w:rPr>
          <w:rFonts w:ascii="Times New Roman" w:cs="Times New Roman"/>
          <w:spacing w:val="30"/>
          <w:kern w:val="2"/>
        </w:rPr>
        <w:t>(</w:t>
      </w:r>
      <w:r>
        <w:rPr>
          <w:rFonts w:ascii="Times New Roman" w:eastAsia="Times New Roman" w:cs="Times New Roman"/>
          <w:i/>
          <w:iCs/>
          <w:kern w:val="2"/>
        </w:rPr>
        <w:t>Rubus</w:t>
      </w:r>
      <w:r>
        <w:rPr>
          <w:rFonts w:ascii="Times New Roman" w:eastAsia="Times New Roman" w:cs="Times New Roman"/>
          <w:spacing w:val="17"/>
          <w:kern w:val="2"/>
        </w:rPr>
        <w:t xml:space="preserve"> </w:t>
      </w:r>
      <w:r>
        <w:rPr>
          <w:rFonts w:ascii="Times New Roman" w:eastAsia="Times New Roman" w:cs="Times New Roman"/>
          <w:i/>
          <w:iCs/>
          <w:kern w:val="2"/>
        </w:rPr>
        <w:t>spp</w:t>
      </w:r>
      <w:r>
        <w:rPr>
          <w:rFonts w:ascii="Times New Roman" w:cs="Times New Roman"/>
          <w:spacing w:val="15"/>
          <w:kern w:val="2"/>
        </w:rPr>
        <w:t>)</w:t>
      </w:r>
      <w:r>
        <w:rPr>
          <w:rFonts w:ascii="Times New Roman" w:cs="Times New Roman"/>
          <w:spacing w:val="15"/>
          <w:kern w:val="2"/>
        </w:rPr>
        <w:t>、火棘、马桑等。草本层主要有芒萁</w:t>
      </w:r>
      <w:r>
        <w:rPr>
          <w:rFonts w:ascii="Times New Roman" w:cs="Times New Roman"/>
          <w:spacing w:val="15"/>
          <w:kern w:val="2"/>
        </w:rPr>
        <w:t>(</w:t>
      </w:r>
      <w:r>
        <w:rPr>
          <w:rFonts w:ascii="Times New Roman" w:eastAsia="Times New Roman" w:cs="Times New Roman"/>
          <w:i/>
          <w:iCs/>
          <w:kern w:val="2"/>
        </w:rPr>
        <w:t>Dicranopteris</w:t>
      </w:r>
      <w:r>
        <w:rPr>
          <w:rFonts w:ascii="Times New Roman" w:eastAsia="Times New Roman" w:cs="Times New Roman"/>
          <w:spacing w:val="15"/>
          <w:kern w:val="2"/>
        </w:rPr>
        <w:t xml:space="preserve"> </w:t>
      </w:r>
      <w:r>
        <w:rPr>
          <w:rFonts w:ascii="Times New Roman" w:eastAsia="Times New Roman" w:cs="Times New Roman"/>
          <w:i/>
          <w:iCs/>
          <w:kern w:val="2"/>
        </w:rPr>
        <w:t>dichotoma</w:t>
      </w:r>
      <w:r>
        <w:rPr>
          <w:rFonts w:ascii="Times New Roman" w:cs="Times New Roman"/>
          <w:spacing w:val="15"/>
          <w:kern w:val="2"/>
        </w:rPr>
        <w:t>)</w:t>
      </w:r>
      <w:r>
        <w:rPr>
          <w:rFonts w:ascii="Times New Roman" w:cs="Times New Roman"/>
          <w:spacing w:val="15"/>
          <w:kern w:val="2"/>
        </w:rPr>
        <w:t>、</w:t>
      </w:r>
      <w:r>
        <w:rPr>
          <w:rFonts w:ascii="Times New Roman" w:cs="Times New Roman"/>
          <w:spacing w:val="27"/>
          <w:kern w:val="2"/>
        </w:rPr>
        <w:t>芒</w:t>
      </w:r>
      <w:r>
        <w:rPr>
          <w:rFonts w:ascii="Times New Roman" w:cs="Times New Roman"/>
          <w:spacing w:val="24"/>
          <w:kern w:val="2"/>
        </w:rPr>
        <w:t>、苔草、麦冬</w:t>
      </w:r>
      <w:r>
        <w:rPr>
          <w:rFonts w:ascii="Times New Roman" w:cs="Times New Roman"/>
          <w:spacing w:val="24"/>
          <w:kern w:val="2"/>
        </w:rPr>
        <w:t>(</w:t>
      </w:r>
      <w:r>
        <w:rPr>
          <w:rFonts w:ascii="Times New Roman" w:cs="Times New Roman"/>
          <w:kern w:val="2"/>
        </w:rPr>
        <w:t xml:space="preserve">Ophiopogon </w:t>
      </w:r>
      <w:r>
        <w:rPr>
          <w:rFonts w:ascii="Times New Roman" w:eastAsia="Times New Roman" w:cs="Times New Roman"/>
          <w:i/>
          <w:iCs/>
          <w:kern w:val="2"/>
        </w:rPr>
        <w:t>japonicus</w:t>
      </w:r>
      <w:r>
        <w:rPr>
          <w:rFonts w:ascii="Times New Roman" w:cs="Times New Roman"/>
          <w:spacing w:val="24"/>
          <w:kern w:val="2"/>
        </w:rPr>
        <w:t>)</w:t>
      </w:r>
      <w:r>
        <w:rPr>
          <w:rFonts w:ascii="Times New Roman" w:cs="Times New Roman"/>
          <w:spacing w:val="24"/>
          <w:kern w:val="2"/>
        </w:rPr>
        <w:t>、翠云草</w:t>
      </w:r>
      <w:r>
        <w:rPr>
          <w:rFonts w:ascii="Times New Roman" w:cs="Times New Roman"/>
          <w:spacing w:val="24"/>
          <w:kern w:val="2"/>
        </w:rPr>
        <w:t>(</w:t>
      </w:r>
      <w:r>
        <w:rPr>
          <w:rFonts w:ascii="Times New Roman" w:eastAsia="Times New Roman" w:cs="Times New Roman"/>
          <w:i/>
          <w:iCs/>
          <w:kern w:val="2"/>
        </w:rPr>
        <w:t>Selaginella</w:t>
      </w:r>
      <w:r>
        <w:rPr>
          <w:rFonts w:ascii="Times New Roman" w:eastAsia="Times New Roman" w:cs="Times New Roman"/>
          <w:spacing w:val="24"/>
          <w:kern w:val="2"/>
        </w:rPr>
        <w:t xml:space="preserve"> </w:t>
      </w:r>
      <w:r>
        <w:rPr>
          <w:rFonts w:ascii="Times New Roman" w:eastAsia="Times New Roman" w:cs="Times New Roman"/>
          <w:i/>
          <w:iCs/>
          <w:kern w:val="2"/>
        </w:rPr>
        <w:t>uncinata</w:t>
      </w:r>
      <w:r>
        <w:rPr>
          <w:rFonts w:ascii="Times New Roman" w:cs="Times New Roman"/>
          <w:spacing w:val="24"/>
          <w:kern w:val="2"/>
        </w:rPr>
        <w:t>)</w:t>
      </w:r>
      <w:r>
        <w:rPr>
          <w:rFonts w:ascii="Times New Roman" w:cs="Times New Roman"/>
          <w:spacing w:val="24"/>
          <w:kern w:val="2"/>
        </w:rPr>
        <w:t>、蒿</w:t>
      </w:r>
      <w:r>
        <w:rPr>
          <w:rFonts w:ascii="Times New Roman" w:cs="Times New Roman"/>
          <w:spacing w:val="-11"/>
          <w:kern w:val="2"/>
        </w:rPr>
        <w:t>等</w:t>
      </w:r>
      <w:r>
        <w:rPr>
          <w:rFonts w:ascii="Times New Roman" w:cs="Times New Roman"/>
          <w:spacing w:val="-9"/>
          <w:kern w:val="2"/>
        </w:rPr>
        <w:t>。</w:t>
      </w:r>
    </w:p>
    <w:p w:rsidR="00BD5820" w:rsidRDefault="00F64314">
      <w:pPr>
        <w:topLinePunct w:val="0"/>
        <w:snapToGrid w:val="0"/>
        <w:ind w:firstLine="528"/>
        <w:rPr>
          <w:rFonts w:ascii="Times New Roman" w:cs="Times New Roman"/>
          <w:spacing w:val="12"/>
          <w:kern w:val="2"/>
        </w:rPr>
      </w:pPr>
      <w:r>
        <w:rPr>
          <w:rFonts w:hAnsi="宋体" w:hint="eastAsia"/>
          <w:spacing w:val="12"/>
          <w:kern w:val="2"/>
        </w:rPr>
        <w:t>②</w:t>
      </w:r>
      <w:r>
        <w:rPr>
          <w:rFonts w:ascii="Times New Roman" w:cs="Times New Roman"/>
          <w:spacing w:val="12"/>
          <w:kern w:val="2"/>
        </w:rPr>
        <w:t>柏木</w:t>
      </w:r>
      <w:r>
        <w:rPr>
          <w:rFonts w:ascii="Times New Roman" w:cs="Times New Roman" w:hint="eastAsia"/>
          <w:spacing w:val="12"/>
          <w:kern w:val="2"/>
        </w:rPr>
        <w:t>林</w:t>
      </w:r>
      <w:r>
        <w:rPr>
          <w:rFonts w:ascii="Times New Roman" w:cs="Times New Roman"/>
          <w:spacing w:val="12"/>
          <w:kern w:val="2"/>
        </w:rPr>
        <w:t>(Form.</w:t>
      </w:r>
      <w:r>
        <w:rPr>
          <w:rFonts w:ascii="Times New Roman" w:cs="Times New Roman"/>
          <w:i/>
          <w:iCs/>
          <w:spacing w:val="12"/>
          <w:kern w:val="2"/>
        </w:rPr>
        <w:t xml:space="preserve">Cupressus funebris </w:t>
      </w:r>
      <w:r>
        <w:rPr>
          <w:rFonts w:ascii="Times New Roman" w:cs="Times New Roman"/>
          <w:spacing w:val="12"/>
          <w:kern w:val="2"/>
        </w:rPr>
        <w:t>Endl.)</w:t>
      </w:r>
    </w:p>
    <w:p w:rsidR="00BD5820" w:rsidRDefault="00F64314">
      <w:pPr>
        <w:topLinePunct w:val="0"/>
        <w:snapToGrid w:val="0"/>
        <w:ind w:firstLine="528"/>
        <w:rPr>
          <w:rFonts w:ascii="Times New Roman" w:cs="Times New Roman"/>
          <w:spacing w:val="12"/>
          <w:kern w:val="2"/>
        </w:rPr>
      </w:pPr>
      <w:r>
        <w:rPr>
          <w:rFonts w:ascii="Times New Roman" w:cs="Times New Roman"/>
          <w:spacing w:val="12"/>
          <w:kern w:val="2"/>
        </w:rPr>
        <w:t>柏木对土壤的适应性较强，喜肥沃、湿润、深厚、排水良好的土壤，能耐干旱瘠薄，亦能稍耐水湿。中性、微酸性及钙质土均能生长。特别在土层浅薄的钙质紫色土和黑色石灰土上其它乔木不易生长的地区，柏木却生长良好。在土壤瘠簿干旱和基岩裸露地区，常呈疏林状态，酸性黄壤及红壤上虽能生长，但生长极缓慢。</w:t>
      </w:r>
    </w:p>
    <w:p w:rsidR="00BD5820" w:rsidRDefault="00F64314">
      <w:pPr>
        <w:topLinePunct w:val="0"/>
        <w:adjustRightInd/>
        <w:snapToGrid w:val="0"/>
        <w:ind w:firstLine="480"/>
        <w:rPr>
          <w:rFonts w:ascii="Times New Roman" w:cs="Times New Roman"/>
          <w:kern w:val="2"/>
        </w:rPr>
      </w:pPr>
      <w:r>
        <w:rPr>
          <w:rFonts w:ascii="Times New Roman" w:cs="Times New Roman"/>
          <w:kern w:val="2"/>
        </w:rPr>
        <w:t>该类型在评价区广泛分布，多为人工栽种的用材林，柏木群落外貌整齐，生境岩石多有裸露，风化较为严重。乔木层主要为柏树，高</w:t>
      </w:r>
      <w:r>
        <w:rPr>
          <w:rFonts w:ascii="Times New Roman" w:cs="Times New Roman"/>
          <w:kern w:val="2"/>
        </w:rPr>
        <w:t>7</w:t>
      </w:r>
      <w:r>
        <w:rPr>
          <w:rFonts w:ascii="Times New Roman" w:cs="Times New Roman"/>
          <w:kern w:val="2"/>
        </w:rPr>
        <w:t>～</w:t>
      </w:r>
      <w:r>
        <w:rPr>
          <w:rFonts w:ascii="Times New Roman" w:cs="Times New Roman"/>
          <w:kern w:val="2"/>
        </w:rPr>
        <w:t>9m</w:t>
      </w:r>
      <w:r>
        <w:rPr>
          <w:rFonts w:ascii="Times New Roman" w:cs="Times New Roman"/>
          <w:kern w:val="2"/>
        </w:rPr>
        <w:t>不等，胸径</w:t>
      </w:r>
      <w:r>
        <w:rPr>
          <w:rFonts w:ascii="Times New Roman" w:cs="Times New Roman"/>
          <w:kern w:val="2"/>
        </w:rPr>
        <w:t>8</w:t>
      </w:r>
      <w:r>
        <w:rPr>
          <w:rFonts w:ascii="Times New Roman" w:cs="Times New Roman"/>
          <w:kern w:val="2"/>
        </w:rPr>
        <w:t>～</w:t>
      </w:r>
      <w:r>
        <w:rPr>
          <w:rFonts w:ascii="Times New Roman" w:cs="Times New Roman"/>
          <w:kern w:val="2"/>
        </w:rPr>
        <w:t>25cm</w:t>
      </w:r>
      <w:r>
        <w:rPr>
          <w:rFonts w:ascii="Times New Roman" w:cs="Times New Roman"/>
          <w:kern w:val="2"/>
        </w:rPr>
        <w:t>。除柏木外，乔木层中常混生有枫香、响叶杨等阔叶树种，但其优势程度低于柏木，且多为幼树。灌木、草本层种类不多，有</w:t>
      </w:r>
      <w:r>
        <w:rPr>
          <w:rFonts w:hAnsi="宋体"/>
          <w:spacing w:val="2"/>
          <w:kern w:val="2"/>
        </w:rPr>
        <w:t>化香、黄连木</w:t>
      </w:r>
      <w:r>
        <w:rPr>
          <w:rFonts w:hAnsi="宋体" w:hint="eastAsia"/>
          <w:spacing w:val="2"/>
          <w:kern w:val="2"/>
        </w:rPr>
        <w:t>、</w:t>
      </w:r>
      <w:r>
        <w:rPr>
          <w:rFonts w:hAnsi="宋体"/>
          <w:spacing w:val="2"/>
          <w:kern w:val="2"/>
        </w:rPr>
        <w:t>黄荆、牡荆、马桑、铁仔、短柄枹栎</w:t>
      </w:r>
      <w:r>
        <w:rPr>
          <w:rFonts w:hAnsi="宋体" w:hint="eastAsia"/>
          <w:spacing w:val="2"/>
          <w:kern w:val="2"/>
        </w:rPr>
        <w:t>、</w:t>
      </w:r>
      <w:r>
        <w:rPr>
          <w:rFonts w:ascii="Times New Roman" w:cs="Times New Roman"/>
          <w:kern w:val="2"/>
        </w:rPr>
        <w:t>火棘、悬钩子、八角金盘、山胡椒等</w:t>
      </w:r>
      <w:r>
        <w:rPr>
          <w:rFonts w:ascii="Times New Roman" w:cs="Times New Roman" w:hint="eastAsia"/>
          <w:kern w:val="2"/>
        </w:rPr>
        <w:t>，草本有</w:t>
      </w:r>
      <w:r>
        <w:rPr>
          <w:rFonts w:hAnsi="宋体"/>
          <w:spacing w:val="1"/>
          <w:kern w:val="2"/>
        </w:rPr>
        <w:t>以黄茅、</w:t>
      </w:r>
      <w:r>
        <w:rPr>
          <w:rFonts w:hAnsi="宋体"/>
          <w:spacing w:val="4"/>
          <w:kern w:val="2"/>
        </w:rPr>
        <w:t>白茅、香茅为主的亚</w:t>
      </w:r>
      <w:r>
        <w:rPr>
          <w:rFonts w:hAnsi="宋体"/>
          <w:spacing w:val="3"/>
          <w:kern w:val="2"/>
        </w:rPr>
        <w:t>热</w:t>
      </w:r>
      <w:r>
        <w:rPr>
          <w:rFonts w:hAnsi="宋体"/>
          <w:spacing w:val="2"/>
          <w:kern w:val="2"/>
        </w:rPr>
        <w:t>带草丛</w:t>
      </w:r>
      <w:r>
        <w:rPr>
          <w:rFonts w:ascii="Times New Roman" w:cs="Times New Roman"/>
          <w:kern w:val="2"/>
        </w:rPr>
        <w:t>。</w:t>
      </w:r>
    </w:p>
    <w:p w:rsidR="00BD5820" w:rsidRDefault="00F64314">
      <w:pPr>
        <w:topLinePunct w:val="0"/>
        <w:adjustRightInd/>
        <w:ind w:firstLine="528"/>
        <w:rPr>
          <w:rFonts w:ascii="Times New Roman" w:cs="Times New Roman"/>
          <w:kern w:val="2"/>
        </w:rPr>
      </w:pPr>
      <w:r>
        <w:rPr>
          <w:rFonts w:hAnsi="宋体" w:hint="eastAsia"/>
          <w:spacing w:val="12"/>
          <w:kern w:val="2"/>
        </w:rPr>
        <w:t>③</w:t>
      </w:r>
      <w:r>
        <w:rPr>
          <w:rFonts w:hAnsi="宋体"/>
          <w:spacing w:val="-4"/>
          <w:kern w:val="2"/>
        </w:rPr>
        <w:t>麻栎</w:t>
      </w:r>
      <w:r>
        <w:rPr>
          <w:rFonts w:hAnsi="宋体"/>
          <w:spacing w:val="-2"/>
          <w:kern w:val="2"/>
        </w:rPr>
        <w:t>、</w:t>
      </w:r>
      <w:r>
        <w:rPr>
          <w:rFonts w:hAnsi="宋体" w:hint="eastAsia"/>
          <w:spacing w:val="-2"/>
          <w:kern w:val="2"/>
        </w:rPr>
        <w:t>青冈、</w:t>
      </w:r>
      <w:r>
        <w:rPr>
          <w:rFonts w:hAnsi="宋体"/>
          <w:spacing w:val="-2"/>
          <w:kern w:val="2"/>
        </w:rPr>
        <w:t>栓皮栎</w:t>
      </w:r>
      <w:r>
        <w:rPr>
          <w:rFonts w:ascii="Times New Roman" w:cs="Times New Roman"/>
          <w:kern w:val="2"/>
        </w:rPr>
        <w:t>群系</w:t>
      </w:r>
      <w:r>
        <w:rPr>
          <w:rFonts w:ascii="Times New Roman" w:cs="Times New Roman"/>
          <w:kern w:val="2"/>
        </w:rPr>
        <w:t>(Form.</w:t>
      </w:r>
      <w:r>
        <w:rPr>
          <w:rFonts w:ascii="Times New Roman" w:eastAsia="Times New Roman" w:cs="Times New Roman"/>
          <w:i/>
          <w:iCs/>
          <w:kern w:val="2"/>
        </w:rPr>
        <w:t xml:space="preserve">Quercus acutissima </w:t>
      </w:r>
      <w:r>
        <w:rPr>
          <w:rFonts w:ascii="Times New Roman" w:cs="Times New Roman"/>
          <w:kern w:val="2"/>
        </w:rPr>
        <w:t>Carruth.</w:t>
      </w:r>
      <w:r>
        <w:rPr>
          <w:rFonts w:ascii="Times New Roman" w:cs="Times New Roman"/>
          <w:i/>
          <w:iCs/>
          <w:kern w:val="2"/>
        </w:rPr>
        <w:t>+</w:t>
      </w:r>
      <w:r>
        <w:rPr>
          <w:rFonts w:ascii="Times New Roman" w:eastAsia="Times New Roman" w:cs="Times New Roman"/>
          <w:i/>
          <w:iCs/>
          <w:kern w:val="2"/>
        </w:rPr>
        <w:t>TCyclobalanopsis glauca</w:t>
      </w:r>
      <w:r>
        <w:rPr>
          <w:rFonts w:ascii="Times New Roman" w:cs="Times New Roman"/>
          <w:kern w:val="2"/>
        </w:rPr>
        <w:t>(Thunb.)Oerst.</w:t>
      </w:r>
      <w:r>
        <w:rPr>
          <w:rFonts w:ascii="Times New Roman" w:cs="Times New Roman"/>
          <w:i/>
          <w:iCs/>
          <w:kern w:val="2"/>
        </w:rPr>
        <w:t>+</w:t>
      </w:r>
      <w:r>
        <w:rPr>
          <w:rFonts w:ascii="Times New Roman" w:eastAsia="Times New Roman" w:cs="Times New Roman"/>
          <w:i/>
          <w:iCs/>
          <w:kern w:val="2"/>
        </w:rPr>
        <w:t xml:space="preserve">Quercus variabilis </w:t>
      </w:r>
      <w:r>
        <w:rPr>
          <w:rFonts w:ascii="Times New Roman" w:cs="Times New Roman"/>
          <w:kern w:val="2"/>
        </w:rPr>
        <w:t>Bl.)</w:t>
      </w:r>
    </w:p>
    <w:p w:rsidR="00BD5820" w:rsidRDefault="00F64314">
      <w:pPr>
        <w:topLinePunct w:val="0"/>
        <w:adjustRightInd/>
        <w:ind w:firstLineChars="0" w:firstLine="480"/>
        <w:rPr>
          <w:rFonts w:ascii="Times New Roman" w:cs="Times New Roman"/>
          <w:kern w:val="2"/>
        </w:rPr>
      </w:pPr>
      <w:r>
        <w:rPr>
          <w:rFonts w:ascii="Times New Roman" w:cs="Times New Roman"/>
          <w:kern w:val="2"/>
        </w:rPr>
        <w:lastRenderedPageBreak/>
        <w:t>该植被类型是评价区及周边房前屋后分布较广的植被类型，多为人工栽培，是一个生态幅度较大的森林类型，在不同气候类型的影响下，该植被类型生长发育都较好，表现出较强的适应性。这种较强的适应性，也表现在对林地的地形、岩石及土壤等环境无严格的选择上，常有慈竹混生，林内平均胸径</w:t>
      </w:r>
      <w:r>
        <w:rPr>
          <w:rFonts w:ascii="Times New Roman" w:cs="Times New Roman"/>
          <w:kern w:val="2"/>
        </w:rPr>
        <w:t>25</w:t>
      </w:r>
      <w:r>
        <w:rPr>
          <w:rFonts w:ascii="Times New Roman" w:cs="Times New Roman"/>
          <w:kern w:val="2"/>
        </w:rPr>
        <w:t>厘米，树高介于</w:t>
      </w:r>
      <w:r>
        <w:rPr>
          <w:rFonts w:ascii="Times New Roman" w:cs="Times New Roman"/>
          <w:kern w:val="2"/>
        </w:rPr>
        <w:t>10-20</w:t>
      </w:r>
      <w:r>
        <w:rPr>
          <w:rFonts w:ascii="Times New Roman" w:cs="Times New Roman"/>
          <w:kern w:val="2"/>
        </w:rPr>
        <w:t>米。常受到人类活动地影响，林下灌木极少。林下</w:t>
      </w:r>
      <w:r>
        <w:rPr>
          <w:rFonts w:ascii="Times New Roman" w:cs="Times New Roman" w:hint="eastAsia"/>
          <w:kern w:val="2"/>
        </w:rPr>
        <w:t>灌木主要为</w:t>
      </w:r>
      <w:r>
        <w:rPr>
          <w:rFonts w:hAnsi="宋体"/>
          <w:spacing w:val="-2"/>
          <w:kern w:val="2"/>
        </w:rPr>
        <w:t>烟管荚蓬、火棘、蔷薇、盐肤木、映山红、铁仔、毛黄栌</w:t>
      </w:r>
      <w:r>
        <w:rPr>
          <w:rFonts w:ascii="Times New Roman" w:cs="Times New Roman"/>
          <w:kern w:val="2"/>
        </w:rPr>
        <w:t>等分布。</w:t>
      </w:r>
    </w:p>
    <w:p w:rsidR="00BD5820" w:rsidRDefault="00F64314">
      <w:pPr>
        <w:topLinePunct w:val="0"/>
        <w:adjustRightInd/>
        <w:ind w:firstLine="480"/>
        <w:rPr>
          <w:rFonts w:ascii="Times New Roman" w:cs="Times New Roman"/>
          <w:kern w:val="2"/>
        </w:rPr>
      </w:pPr>
      <w:r>
        <w:rPr>
          <w:rFonts w:ascii="Times New Roman" w:cs="Times New Roman"/>
          <w:kern w:val="2"/>
        </w:rPr>
        <w:t>草本植物稍多，主要种类有狗牙根（</w:t>
      </w:r>
      <w:r>
        <w:rPr>
          <w:rFonts w:ascii="Times New Roman" w:cs="Times New Roman"/>
          <w:i/>
          <w:iCs/>
          <w:kern w:val="2"/>
        </w:rPr>
        <w:t>Cynodon dactylon</w:t>
      </w:r>
      <w:r>
        <w:rPr>
          <w:rFonts w:ascii="Times New Roman" w:cs="Times New Roman"/>
          <w:kern w:val="2"/>
        </w:rPr>
        <w:t>）、马唐（</w:t>
      </w:r>
      <w:r>
        <w:rPr>
          <w:rFonts w:ascii="Times New Roman" w:cs="Times New Roman"/>
          <w:i/>
          <w:iCs/>
          <w:kern w:val="2"/>
        </w:rPr>
        <w:t>Digitaria sanguinalis</w:t>
      </w:r>
      <w:r>
        <w:rPr>
          <w:rFonts w:ascii="Times New Roman" w:cs="Times New Roman"/>
          <w:kern w:val="2"/>
        </w:rPr>
        <w:t>）、酢浆草（</w:t>
      </w:r>
      <w:r>
        <w:rPr>
          <w:rFonts w:ascii="Times New Roman" w:cs="Times New Roman"/>
          <w:i/>
          <w:iCs/>
          <w:kern w:val="2"/>
        </w:rPr>
        <w:t>Oxalis corniculata</w:t>
      </w:r>
      <w:r>
        <w:rPr>
          <w:rFonts w:ascii="Times New Roman" w:cs="Times New Roman"/>
          <w:kern w:val="2"/>
        </w:rPr>
        <w:t>）、堇菜（</w:t>
      </w:r>
      <w:r>
        <w:rPr>
          <w:rFonts w:ascii="Times New Roman" w:cs="Times New Roman"/>
          <w:i/>
          <w:iCs/>
          <w:kern w:val="2"/>
        </w:rPr>
        <w:t>Viola spp.</w:t>
      </w:r>
      <w:r>
        <w:rPr>
          <w:rFonts w:ascii="Times New Roman" w:cs="Times New Roman"/>
          <w:kern w:val="2"/>
        </w:rPr>
        <w:t>）、车前（</w:t>
      </w:r>
      <w:r>
        <w:rPr>
          <w:rFonts w:ascii="Times New Roman" w:cs="Times New Roman"/>
          <w:i/>
          <w:iCs/>
          <w:kern w:val="2"/>
        </w:rPr>
        <w:t>Plantgo asiatica</w:t>
      </w:r>
      <w:r>
        <w:rPr>
          <w:rFonts w:ascii="Times New Roman" w:cs="Times New Roman"/>
          <w:kern w:val="2"/>
        </w:rPr>
        <w:t>）、欧夏枯草（</w:t>
      </w:r>
      <w:r>
        <w:rPr>
          <w:rFonts w:ascii="Times New Roman" w:cs="Times New Roman"/>
          <w:i/>
          <w:iCs/>
          <w:kern w:val="2"/>
        </w:rPr>
        <w:t>Prunella vulgaris</w:t>
      </w:r>
      <w:r>
        <w:rPr>
          <w:rFonts w:ascii="Times New Roman" w:cs="Times New Roman"/>
          <w:kern w:val="2"/>
        </w:rPr>
        <w:t>）、龙牙草（</w:t>
      </w:r>
      <w:r>
        <w:rPr>
          <w:rFonts w:ascii="Times New Roman" w:cs="Times New Roman"/>
          <w:i/>
          <w:iCs/>
          <w:kern w:val="2"/>
        </w:rPr>
        <w:t>Agrimonia pilosa</w:t>
      </w:r>
      <w:r>
        <w:rPr>
          <w:rFonts w:ascii="Times New Roman" w:cs="Times New Roman"/>
          <w:kern w:val="2"/>
        </w:rPr>
        <w:t>）、蕺菜（</w:t>
      </w:r>
      <w:r>
        <w:rPr>
          <w:rFonts w:ascii="Times New Roman" w:cs="Times New Roman"/>
          <w:i/>
          <w:iCs/>
          <w:kern w:val="2"/>
        </w:rPr>
        <w:t>Houttuynia cordata</w:t>
      </w:r>
      <w:r>
        <w:rPr>
          <w:rFonts w:ascii="Times New Roman" w:cs="Times New Roman"/>
          <w:kern w:val="2"/>
        </w:rPr>
        <w:t>）、紫花地丁</w:t>
      </w:r>
      <w:r>
        <w:rPr>
          <w:rFonts w:ascii="Times New Roman" w:cs="Times New Roman"/>
          <w:kern w:val="2"/>
        </w:rPr>
        <w:t>(</w:t>
      </w:r>
      <w:r>
        <w:rPr>
          <w:rFonts w:ascii="Times New Roman" w:cs="Times New Roman"/>
          <w:i/>
          <w:iCs/>
          <w:kern w:val="2"/>
        </w:rPr>
        <w:t>Viola philippica</w:t>
      </w:r>
      <w:r>
        <w:rPr>
          <w:rFonts w:ascii="Times New Roman" w:cs="Times New Roman"/>
          <w:kern w:val="2"/>
        </w:rPr>
        <w:t>)</w:t>
      </w:r>
      <w:r>
        <w:rPr>
          <w:rFonts w:ascii="Times New Roman" w:cs="Times New Roman"/>
          <w:kern w:val="2"/>
        </w:rPr>
        <w:t>、风轮菜</w:t>
      </w:r>
      <w:r>
        <w:rPr>
          <w:rFonts w:ascii="Times New Roman" w:cs="Times New Roman"/>
          <w:kern w:val="2"/>
        </w:rPr>
        <w:t>(</w:t>
      </w:r>
      <w:r>
        <w:rPr>
          <w:rFonts w:ascii="Times New Roman" w:cs="Times New Roman"/>
          <w:i/>
          <w:iCs/>
          <w:kern w:val="2"/>
        </w:rPr>
        <w:t>Clinopodium chinensis</w:t>
      </w:r>
      <w:r>
        <w:rPr>
          <w:rFonts w:ascii="Times New Roman" w:cs="Times New Roman"/>
          <w:kern w:val="2"/>
        </w:rPr>
        <w:t>)</w:t>
      </w:r>
      <w:r>
        <w:rPr>
          <w:rFonts w:ascii="Times New Roman" w:cs="Times New Roman"/>
          <w:kern w:val="2"/>
        </w:rPr>
        <w:t>、茅叶荩草</w:t>
      </w:r>
      <w:r>
        <w:rPr>
          <w:rFonts w:ascii="Times New Roman" w:cs="Times New Roman"/>
          <w:kern w:val="2"/>
        </w:rPr>
        <w:t>(</w:t>
      </w:r>
      <w:r>
        <w:rPr>
          <w:rFonts w:ascii="Times New Roman" w:cs="Times New Roman"/>
          <w:i/>
          <w:kern w:val="2"/>
        </w:rPr>
        <w:t>Arthr</w:t>
      </w:r>
      <w:r>
        <w:rPr>
          <w:rFonts w:ascii="Times New Roman" w:cs="Times New Roman"/>
          <w:i/>
          <w:iCs/>
          <w:kern w:val="2"/>
        </w:rPr>
        <w:t>axon lanc</w:t>
      </w:r>
      <w:r>
        <w:rPr>
          <w:rFonts w:ascii="Times New Roman" w:cs="Times New Roman"/>
          <w:i/>
          <w:kern w:val="2"/>
        </w:rPr>
        <w:t>eoltus</w:t>
      </w:r>
      <w:r>
        <w:rPr>
          <w:rFonts w:ascii="Times New Roman" w:cs="Times New Roman"/>
          <w:kern w:val="2"/>
        </w:rPr>
        <w:t>)</w:t>
      </w:r>
      <w:r>
        <w:rPr>
          <w:rFonts w:ascii="Times New Roman" w:cs="Times New Roman"/>
          <w:kern w:val="2"/>
        </w:rPr>
        <w:t>、阿拉伯婆婆纳</w:t>
      </w:r>
      <w:r>
        <w:rPr>
          <w:rFonts w:ascii="Times New Roman" w:cs="Times New Roman"/>
          <w:kern w:val="2"/>
        </w:rPr>
        <w:t>(</w:t>
      </w:r>
      <w:r>
        <w:rPr>
          <w:rFonts w:ascii="Times New Roman" w:cs="Times New Roman"/>
          <w:i/>
          <w:kern w:val="2"/>
        </w:rPr>
        <w:t>Veronica persica</w:t>
      </w:r>
      <w:r>
        <w:rPr>
          <w:rFonts w:ascii="Times New Roman" w:cs="Times New Roman"/>
          <w:kern w:val="2"/>
        </w:rPr>
        <w:t>)</w:t>
      </w:r>
      <w:r>
        <w:rPr>
          <w:rFonts w:ascii="Times New Roman" w:cs="Times New Roman"/>
          <w:kern w:val="2"/>
        </w:rPr>
        <w:t>、日本金星蕨</w:t>
      </w:r>
      <w:r>
        <w:rPr>
          <w:rFonts w:ascii="Times New Roman" w:cs="Times New Roman"/>
          <w:kern w:val="2"/>
        </w:rPr>
        <w:t>(</w:t>
      </w:r>
      <w:r>
        <w:rPr>
          <w:rFonts w:ascii="Times New Roman" w:cs="Times New Roman"/>
          <w:i/>
          <w:kern w:val="2"/>
        </w:rPr>
        <w:t>Parathel</w:t>
      </w:r>
      <w:r>
        <w:rPr>
          <w:rFonts w:ascii="Times New Roman" w:cs="Times New Roman"/>
          <w:i/>
          <w:iCs/>
          <w:kern w:val="2"/>
        </w:rPr>
        <w:t>ypteris japo</w:t>
      </w:r>
      <w:r>
        <w:rPr>
          <w:rFonts w:ascii="Times New Roman" w:cs="Times New Roman"/>
          <w:i/>
          <w:kern w:val="2"/>
        </w:rPr>
        <w:t>nica</w:t>
      </w:r>
      <w:r>
        <w:rPr>
          <w:rFonts w:ascii="Times New Roman" w:cs="Times New Roman"/>
          <w:kern w:val="2"/>
        </w:rPr>
        <w:t>)</w:t>
      </w:r>
      <w:r>
        <w:rPr>
          <w:rFonts w:ascii="Times New Roman" w:cs="Times New Roman"/>
          <w:kern w:val="2"/>
        </w:rPr>
        <w:t>、问荆</w:t>
      </w:r>
      <w:r>
        <w:rPr>
          <w:rFonts w:ascii="Times New Roman" w:cs="Times New Roman"/>
          <w:kern w:val="2"/>
        </w:rPr>
        <w:t>(</w:t>
      </w:r>
      <w:r>
        <w:rPr>
          <w:rFonts w:ascii="Times New Roman" w:cs="Times New Roman"/>
          <w:i/>
          <w:kern w:val="2"/>
        </w:rPr>
        <w:t>Equ</w:t>
      </w:r>
      <w:r>
        <w:rPr>
          <w:rFonts w:ascii="Times New Roman" w:cs="Times New Roman"/>
          <w:i/>
          <w:iCs/>
          <w:kern w:val="2"/>
        </w:rPr>
        <w:t>isetum arven</w:t>
      </w:r>
      <w:r>
        <w:rPr>
          <w:rFonts w:ascii="Times New Roman" w:cs="Times New Roman"/>
          <w:i/>
          <w:kern w:val="2"/>
        </w:rPr>
        <w:t>se</w:t>
      </w:r>
      <w:r>
        <w:rPr>
          <w:rFonts w:ascii="Times New Roman" w:cs="Times New Roman"/>
          <w:kern w:val="2"/>
        </w:rPr>
        <w:t>)</w:t>
      </w:r>
      <w:r>
        <w:rPr>
          <w:rFonts w:ascii="Times New Roman" w:cs="Times New Roman"/>
          <w:kern w:val="2"/>
        </w:rPr>
        <w:t>、马鞭草</w:t>
      </w:r>
      <w:r>
        <w:rPr>
          <w:rFonts w:ascii="Times New Roman" w:cs="Times New Roman"/>
          <w:kern w:val="2"/>
        </w:rPr>
        <w:t>(</w:t>
      </w:r>
      <w:r>
        <w:rPr>
          <w:rFonts w:ascii="Times New Roman" w:cs="Times New Roman"/>
          <w:i/>
          <w:kern w:val="2"/>
        </w:rPr>
        <w:t>Verbena officinalis</w:t>
      </w:r>
      <w:r>
        <w:rPr>
          <w:rFonts w:ascii="Times New Roman" w:cs="Times New Roman"/>
          <w:kern w:val="2"/>
        </w:rPr>
        <w:t>)</w:t>
      </w:r>
      <w:r>
        <w:rPr>
          <w:rFonts w:ascii="Times New Roman" w:cs="Times New Roman"/>
          <w:kern w:val="2"/>
        </w:rPr>
        <w:t>、狗牙根</w:t>
      </w:r>
      <w:r>
        <w:rPr>
          <w:rFonts w:ascii="Times New Roman" w:cs="Times New Roman"/>
          <w:kern w:val="2"/>
        </w:rPr>
        <w:t>(</w:t>
      </w:r>
      <w:r>
        <w:rPr>
          <w:rFonts w:ascii="Times New Roman" w:cs="Times New Roman"/>
          <w:i/>
          <w:kern w:val="2"/>
        </w:rPr>
        <w:t>Cynodondactylon</w:t>
      </w:r>
      <w:r>
        <w:rPr>
          <w:rFonts w:ascii="Times New Roman" w:cs="Times New Roman"/>
          <w:kern w:val="2"/>
        </w:rPr>
        <w:t>)</w:t>
      </w:r>
      <w:r>
        <w:rPr>
          <w:rFonts w:ascii="Times New Roman" w:cs="Times New Roman"/>
          <w:kern w:val="2"/>
        </w:rPr>
        <w:t>、稗</w:t>
      </w:r>
      <w:r>
        <w:rPr>
          <w:rFonts w:ascii="Times New Roman" w:cs="Times New Roman"/>
          <w:kern w:val="2"/>
        </w:rPr>
        <w:t>(</w:t>
      </w:r>
      <w:r>
        <w:rPr>
          <w:rFonts w:ascii="Times New Roman" w:cs="Times New Roman"/>
          <w:i/>
          <w:kern w:val="2"/>
        </w:rPr>
        <w:t>Echinoc</w:t>
      </w:r>
      <w:r>
        <w:rPr>
          <w:rFonts w:ascii="Times New Roman" w:cs="Times New Roman"/>
          <w:i/>
          <w:iCs/>
          <w:kern w:val="2"/>
        </w:rPr>
        <w:t>hloa crusgal</w:t>
      </w:r>
      <w:r>
        <w:rPr>
          <w:rFonts w:ascii="Times New Roman" w:cs="Times New Roman"/>
          <w:i/>
          <w:kern w:val="2"/>
        </w:rPr>
        <w:t>li</w:t>
      </w:r>
      <w:r>
        <w:rPr>
          <w:rFonts w:ascii="Times New Roman" w:cs="Times New Roman"/>
          <w:kern w:val="2"/>
        </w:rPr>
        <w:t>)</w:t>
      </w:r>
      <w:r>
        <w:rPr>
          <w:rFonts w:ascii="Times New Roman" w:cs="Times New Roman"/>
          <w:kern w:val="2"/>
        </w:rPr>
        <w:t>、球米草</w:t>
      </w:r>
      <w:r>
        <w:rPr>
          <w:rFonts w:ascii="Times New Roman" w:cs="Times New Roman"/>
          <w:kern w:val="2"/>
        </w:rPr>
        <w:t>(</w:t>
      </w:r>
      <w:r>
        <w:rPr>
          <w:rFonts w:ascii="Times New Roman" w:cs="Times New Roman"/>
          <w:i/>
          <w:kern w:val="2"/>
        </w:rPr>
        <w:t>Oplismehus compositus</w:t>
      </w:r>
      <w:r>
        <w:rPr>
          <w:rFonts w:ascii="Times New Roman" w:cs="Times New Roman"/>
          <w:kern w:val="2"/>
        </w:rPr>
        <w:t>)</w:t>
      </w:r>
      <w:r>
        <w:rPr>
          <w:rFonts w:ascii="Times New Roman" w:cs="Times New Roman"/>
          <w:kern w:val="2"/>
        </w:rPr>
        <w:t>、蜈蚣草</w:t>
      </w:r>
      <w:r>
        <w:rPr>
          <w:rFonts w:ascii="Times New Roman" w:cs="Times New Roman"/>
          <w:kern w:val="2"/>
        </w:rPr>
        <w:t>(</w:t>
      </w:r>
      <w:r>
        <w:rPr>
          <w:rFonts w:ascii="Times New Roman" w:cs="Times New Roman"/>
          <w:i/>
          <w:kern w:val="2"/>
        </w:rPr>
        <w:t>Pteris vittata</w:t>
      </w:r>
      <w:r>
        <w:rPr>
          <w:rFonts w:ascii="Times New Roman" w:cs="Times New Roman"/>
          <w:kern w:val="2"/>
        </w:rPr>
        <w:t>)</w:t>
      </w:r>
      <w:r>
        <w:rPr>
          <w:rFonts w:ascii="Times New Roman" w:cs="Times New Roman"/>
          <w:kern w:val="2"/>
        </w:rPr>
        <w:t>、三叶鬼针草</w:t>
      </w:r>
      <w:r>
        <w:rPr>
          <w:rFonts w:ascii="Times New Roman" w:cs="Times New Roman"/>
          <w:kern w:val="2"/>
        </w:rPr>
        <w:t>(</w:t>
      </w:r>
      <w:r>
        <w:rPr>
          <w:rFonts w:ascii="Times New Roman" w:cs="Times New Roman"/>
          <w:i/>
          <w:kern w:val="2"/>
        </w:rPr>
        <w:t>Bidens pilosa</w:t>
      </w:r>
      <w:r>
        <w:rPr>
          <w:rFonts w:ascii="Times New Roman" w:cs="Times New Roman"/>
          <w:kern w:val="2"/>
        </w:rPr>
        <w:t>)</w:t>
      </w:r>
      <w:r>
        <w:rPr>
          <w:rFonts w:ascii="Times New Roman" w:cs="Times New Roman"/>
          <w:kern w:val="2"/>
        </w:rPr>
        <w:t>、野艾蒿</w:t>
      </w:r>
      <w:r>
        <w:rPr>
          <w:rFonts w:ascii="Times New Roman" w:cs="Times New Roman"/>
          <w:kern w:val="2"/>
        </w:rPr>
        <w:t>(</w:t>
      </w:r>
      <w:r>
        <w:rPr>
          <w:rFonts w:ascii="Times New Roman" w:cs="Times New Roman"/>
          <w:i/>
          <w:kern w:val="2"/>
        </w:rPr>
        <w:t>Artemisia lavandulaefolia</w:t>
      </w:r>
      <w:r>
        <w:rPr>
          <w:rFonts w:ascii="Times New Roman" w:cs="Times New Roman"/>
          <w:kern w:val="2"/>
        </w:rPr>
        <w:t>)</w:t>
      </w:r>
      <w:r>
        <w:rPr>
          <w:rFonts w:ascii="Times New Roman" w:cs="Times New Roman"/>
          <w:kern w:val="2"/>
        </w:rPr>
        <w:t>等。</w:t>
      </w:r>
    </w:p>
    <w:p w:rsidR="00BD5820" w:rsidRDefault="00F64314" w:rsidP="00511129">
      <w:pPr>
        <w:topLinePunct w:val="0"/>
        <w:adjustRightInd/>
        <w:spacing w:beforeLines="50"/>
        <w:ind w:firstLine="482"/>
        <w:rPr>
          <w:rFonts w:ascii="Times New Roman" w:cs="Times New Roman"/>
          <w:b/>
          <w:kern w:val="2"/>
        </w:rPr>
      </w:pPr>
      <w:r>
        <w:rPr>
          <w:rFonts w:ascii="Times New Roman" w:cs="Times New Roman"/>
          <w:b/>
          <w:kern w:val="2"/>
        </w:rPr>
        <w:t xml:space="preserve">Ⅱ </w:t>
      </w:r>
      <w:r>
        <w:rPr>
          <w:rFonts w:ascii="Times New Roman" w:cs="Times New Roman"/>
          <w:b/>
          <w:kern w:val="2"/>
        </w:rPr>
        <w:t>灌丛植被</w:t>
      </w:r>
    </w:p>
    <w:p w:rsidR="00BD5820" w:rsidRDefault="00F64314">
      <w:pPr>
        <w:topLinePunct w:val="0"/>
        <w:adjustRightInd/>
        <w:ind w:left="60" w:right="100" w:firstLineChars="0" w:firstLine="482"/>
        <w:rPr>
          <w:rFonts w:ascii="Times New Roman" w:cs="Times New Roman"/>
          <w:kern w:val="2"/>
        </w:rPr>
      </w:pPr>
      <w:r>
        <w:rPr>
          <w:rFonts w:hAnsi="宋体" w:hint="eastAsia"/>
          <w:spacing w:val="8"/>
          <w:kern w:val="2"/>
        </w:rPr>
        <w:t>①</w:t>
      </w:r>
      <w:r>
        <w:rPr>
          <w:rFonts w:ascii="Times New Roman" w:cs="Times New Roman"/>
          <w:kern w:val="2"/>
        </w:rPr>
        <w:t>槲栎灌丛（</w:t>
      </w:r>
      <w:r>
        <w:rPr>
          <w:rFonts w:ascii="Times New Roman" w:cs="Times New Roman"/>
          <w:kern w:val="2"/>
        </w:rPr>
        <w:t>Form.</w:t>
      </w:r>
      <w:r>
        <w:rPr>
          <w:rFonts w:ascii="Times New Roman" w:cs="Times New Roman"/>
          <w:i/>
          <w:iCs/>
          <w:kern w:val="2"/>
        </w:rPr>
        <w:t>Quercus aliena</w:t>
      </w:r>
      <w:r>
        <w:rPr>
          <w:rFonts w:ascii="Times New Roman" w:cs="Times New Roman"/>
          <w:kern w:val="2"/>
        </w:rPr>
        <w:t>）</w:t>
      </w:r>
    </w:p>
    <w:p w:rsidR="00BD5820" w:rsidRDefault="00F64314">
      <w:pPr>
        <w:topLinePunct w:val="0"/>
        <w:adjustRightInd/>
        <w:ind w:left="60" w:right="100" w:firstLineChars="0" w:firstLine="482"/>
        <w:rPr>
          <w:rFonts w:ascii="Times New Roman" w:cs="Times New Roman"/>
          <w:kern w:val="2"/>
        </w:rPr>
      </w:pPr>
      <w:r>
        <w:rPr>
          <w:rFonts w:ascii="Times New Roman" w:cs="Times New Roman"/>
          <w:kern w:val="2"/>
        </w:rPr>
        <w:t>槲栎灌丛在评价区内分布于</w:t>
      </w:r>
      <w:r>
        <w:rPr>
          <w:rFonts w:ascii="Times New Roman" w:cs="Times New Roman" w:hint="eastAsia"/>
          <w:kern w:val="2"/>
        </w:rPr>
        <w:t>青冈</w:t>
      </w:r>
      <w:r>
        <w:rPr>
          <w:rFonts w:ascii="Times New Roman" w:cs="Times New Roman"/>
          <w:kern w:val="2"/>
        </w:rPr>
        <w:t>麻栎林向灌草丛过渡的地带，其中以槲栎（</w:t>
      </w:r>
      <w:r>
        <w:rPr>
          <w:rFonts w:ascii="Times New Roman" w:cs="Times New Roman"/>
          <w:i/>
          <w:iCs/>
          <w:kern w:val="2"/>
        </w:rPr>
        <w:t>Quercus aliena</w:t>
      </w:r>
      <w:r>
        <w:rPr>
          <w:rFonts w:ascii="Times New Roman" w:cs="Times New Roman"/>
          <w:kern w:val="2"/>
        </w:rPr>
        <w:t>）和毛黄栌（</w:t>
      </w:r>
      <w:r>
        <w:rPr>
          <w:rFonts w:ascii="Times New Roman" w:cs="Times New Roman"/>
          <w:i/>
          <w:iCs/>
          <w:kern w:val="2"/>
        </w:rPr>
        <w:t>Cotinus coggygria var.pubescens</w:t>
      </w:r>
      <w:r>
        <w:rPr>
          <w:rFonts w:ascii="Times New Roman" w:cs="Times New Roman"/>
          <w:kern w:val="2"/>
        </w:rPr>
        <w:t>）分布量居多、盖度居大，该灌丛平均高度为</w:t>
      </w:r>
      <w:r>
        <w:rPr>
          <w:rFonts w:ascii="Times New Roman" w:cs="Times New Roman"/>
          <w:kern w:val="2"/>
        </w:rPr>
        <w:t>2m-3m</w:t>
      </w:r>
      <w:r>
        <w:rPr>
          <w:rFonts w:ascii="Times New Roman" w:cs="Times New Roman"/>
          <w:kern w:val="2"/>
        </w:rPr>
        <w:t>，灌丛下草本层生长稀疏，盖度通常低于</w:t>
      </w:r>
      <w:r>
        <w:rPr>
          <w:rFonts w:ascii="Times New Roman" w:cs="Times New Roman"/>
          <w:kern w:val="2"/>
        </w:rPr>
        <w:t>10%</w:t>
      </w:r>
      <w:r>
        <w:rPr>
          <w:rFonts w:ascii="Times New Roman" w:cs="Times New Roman"/>
          <w:kern w:val="2"/>
        </w:rPr>
        <w:t>，数量较多的草本植物有栗褐苔草（</w:t>
      </w:r>
      <w:r>
        <w:rPr>
          <w:rFonts w:ascii="Times New Roman" w:cs="Times New Roman"/>
          <w:i/>
          <w:iCs/>
          <w:kern w:val="2"/>
        </w:rPr>
        <w:t>Carex brunnea Thunb.</w:t>
      </w:r>
      <w:r>
        <w:rPr>
          <w:rFonts w:ascii="Times New Roman" w:cs="Times New Roman"/>
          <w:kern w:val="2"/>
        </w:rPr>
        <w:t>）、披针叶苔草（</w:t>
      </w:r>
      <w:r>
        <w:rPr>
          <w:rFonts w:ascii="Times New Roman" w:cs="Times New Roman"/>
          <w:i/>
          <w:iCs/>
          <w:kern w:val="2"/>
        </w:rPr>
        <w:t>Carex lanceolata</w:t>
      </w:r>
      <w:r>
        <w:rPr>
          <w:rFonts w:ascii="Times New Roman" w:cs="Times New Roman"/>
          <w:i/>
          <w:iCs/>
          <w:kern w:val="2"/>
        </w:rPr>
        <w:tab/>
        <w:t>Boott</w:t>
      </w:r>
      <w:r>
        <w:rPr>
          <w:rFonts w:ascii="Times New Roman" w:cs="Times New Roman"/>
          <w:kern w:val="2"/>
        </w:rPr>
        <w:t>）、黄茅（</w:t>
      </w:r>
      <w:r>
        <w:rPr>
          <w:rFonts w:ascii="Times New Roman" w:cs="Times New Roman"/>
          <w:i/>
          <w:iCs/>
          <w:kern w:val="2"/>
        </w:rPr>
        <w:t>Heteropogon</w:t>
      </w:r>
      <w:r>
        <w:rPr>
          <w:rFonts w:ascii="Times New Roman" w:cs="Times New Roman"/>
          <w:i/>
          <w:iCs/>
          <w:kern w:val="2"/>
        </w:rPr>
        <w:tab/>
        <w:t>contortus</w:t>
      </w:r>
      <w:r>
        <w:rPr>
          <w:rFonts w:ascii="Times New Roman" w:cs="Times New Roman"/>
          <w:kern w:val="2"/>
        </w:rPr>
        <w:t>）、画眉草（</w:t>
      </w:r>
      <w:r>
        <w:rPr>
          <w:rFonts w:ascii="Times New Roman" w:cs="Times New Roman"/>
          <w:i/>
          <w:iCs/>
          <w:kern w:val="2"/>
        </w:rPr>
        <w:t>Eragrostis pilosa(L.)Beauv.</w:t>
      </w:r>
      <w:r>
        <w:rPr>
          <w:rFonts w:ascii="Times New Roman" w:cs="Times New Roman"/>
          <w:kern w:val="2"/>
        </w:rPr>
        <w:t>）等。</w:t>
      </w:r>
    </w:p>
    <w:p w:rsidR="00BD5820" w:rsidRDefault="00F64314">
      <w:pPr>
        <w:topLinePunct w:val="0"/>
        <w:adjustRightInd/>
        <w:ind w:leftChars="203" w:left="487" w:firstLineChars="0" w:firstLine="0"/>
        <w:jc w:val="left"/>
        <w:rPr>
          <w:rFonts w:ascii="Times New Roman" w:cs="Times New Roman"/>
          <w:smallCaps/>
          <w:kern w:val="2"/>
          <w:szCs w:val="20"/>
        </w:rPr>
      </w:pPr>
      <w:r>
        <w:rPr>
          <w:rFonts w:hAnsi="宋体" w:hint="eastAsia"/>
          <w:smallCaps/>
          <w:kern w:val="2"/>
        </w:rPr>
        <w:t>②</w:t>
      </w:r>
      <w:r>
        <w:rPr>
          <w:rFonts w:ascii="Times New Roman" w:cs="Times New Roman"/>
          <w:smallCaps/>
          <w:kern w:val="2"/>
          <w:szCs w:val="20"/>
        </w:rPr>
        <w:t>马桑灌丛（</w:t>
      </w:r>
      <w:r>
        <w:rPr>
          <w:rFonts w:ascii="Times New Roman" w:cs="Times New Roman"/>
          <w:smallCaps/>
          <w:kern w:val="2"/>
          <w:szCs w:val="20"/>
        </w:rPr>
        <w:t>Form.</w:t>
      </w:r>
      <w:r>
        <w:rPr>
          <w:rFonts w:ascii="Times New Roman" w:cs="Times New Roman"/>
          <w:i/>
          <w:iCs/>
          <w:smallCaps/>
          <w:kern w:val="2"/>
          <w:szCs w:val="20"/>
        </w:rPr>
        <w:t>Coriaria nepalensis</w:t>
      </w:r>
      <w:r>
        <w:rPr>
          <w:rFonts w:ascii="Times New Roman" w:cs="Times New Roman"/>
          <w:smallCaps/>
          <w:kern w:val="2"/>
          <w:szCs w:val="20"/>
        </w:rPr>
        <w:t>）</w:t>
      </w:r>
    </w:p>
    <w:p w:rsidR="00BD5820" w:rsidRDefault="00F64314">
      <w:pPr>
        <w:topLinePunct w:val="0"/>
        <w:adjustRightInd/>
        <w:ind w:left="60" w:right="100" w:firstLineChars="0" w:firstLine="482"/>
        <w:rPr>
          <w:rFonts w:ascii="Times New Roman" w:cs="Times New Roman"/>
          <w:kern w:val="2"/>
        </w:rPr>
      </w:pPr>
      <w:r>
        <w:rPr>
          <w:rFonts w:ascii="Times New Roman" w:cs="Times New Roman"/>
          <w:kern w:val="2"/>
        </w:rPr>
        <w:t>主要分布于评价区山体下部地带和河岸地带。群落外貌呈绿色，丛状，参差不齐。盖度</w:t>
      </w:r>
      <w:r>
        <w:rPr>
          <w:rFonts w:ascii="Times New Roman" w:cs="Times New Roman"/>
          <w:kern w:val="2"/>
        </w:rPr>
        <w:t>30%~50%</w:t>
      </w:r>
      <w:r>
        <w:rPr>
          <w:rFonts w:ascii="Times New Roman" w:cs="Times New Roman"/>
          <w:kern w:val="2"/>
        </w:rPr>
        <w:t>，也有达</w:t>
      </w:r>
      <w:r>
        <w:rPr>
          <w:rFonts w:ascii="Times New Roman" w:cs="Times New Roman"/>
          <w:kern w:val="2"/>
        </w:rPr>
        <w:t>70%</w:t>
      </w:r>
      <w:r>
        <w:rPr>
          <w:rFonts w:ascii="Times New Roman" w:cs="Times New Roman"/>
          <w:kern w:val="2"/>
        </w:rPr>
        <w:t>的，除马桑外，主要由黄荆、火棘、盐肤木（</w:t>
      </w:r>
      <w:r>
        <w:rPr>
          <w:rFonts w:ascii="Times New Roman" w:cs="Times New Roman"/>
          <w:i/>
          <w:iCs/>
          <w:kern w:val="2"/>
        </w:rPr>
        <w:t>Rhus chinensis</w:t>
      </w:r>
      <w:r>
        <w:rPr>
          <w:rFonts w:ascii="Times New Roman" w:cs="Times New Roman"/>
          <w:kern w:val="2"/>
        </w:rPr>
        <w:t>）、金山荚蒾（</w:t>
      </w:r>
      <w:r>
        <w:rPr>
          <w:rFonts w:ascii="Times New Roman" w:cs="Times New Roman"/>
          <w:i/>
          <w:iCs/>
          <w:kern w:val="2"/>
        </w:rPr>
        <w:t>Viburnum chinshanense</w:t>
      </w:r>
      <w:r>
        <w:rPr>
          <w:rFonts w:ascii="Times New Roman" w:cs="Times New Roman"/>
          <w:kern w:val="2"/>
        </w:rPr>
        <w:t>）等，也常在灌丛中占一定数量。</w:t>
      </w:r>
    </w:p>
    <w:p w:rsidR="00BD5820" w:rsidRDefault="00F64314">
      <w:pPr>
        <w:topLinePunct w:val="0"/>
        <w:adjustRightInd/>
        <w:ind w:left="60" w:right="100" w:firstLineChars="0" w:firstLine="482"/>
        <w:rPr>
          <w:rFonts w:ascii="Times New Roman" w:cs="Times New Roman"/>
          <w:kern w:val="2"/>
        </w:rPr>
      </w:pPr>
      <w:r>
        <w:rPr>
          <w:rFonts w:ascii="Times New Roman" w:cs="Times New Roman"/>
          <w:kern w:val="2"/>
        </w:rPr>
        <w:t>草本层植物一般种类较少，盖度</w:t>
      </w:r>
      <w:r>
        <w:rPr>
          <w:rFonts w:ascii="Times New Roman" w:cs="Times New Roman"/>
          <w:kern w:val="2"/>
        </w:rPr>
        <w:t>20%~40%</w:t>
      </w:r>
      <w:r>
        <w:rPr>
          <w:rFonts w:ascii="Times New Roman" w:cs="Times New Roman"/>
          <w:kern w:val="2"/>
        </w:rPr>
        <w:t>。主要优势种有垂穗鹅观草</w:t>
      </w:r>
      <w:r>
        <w:rPr>
          <w:rFonts w:ascii="Times New Roman" w:cs="Times New Roman"/>
          <w:kern w:val="2"/>
        </w:rPr>
        <w:lastRenderedPageBreak/>
        <w:t>（</w:t>
      </w:r>
      <w:r>
        <w:rPr>
          <w:rFonts w:ascii="Times New Roman" w:cs="Times New Roman"/>
          <w:i/>
          <w:iCs/>
          <w:kern w:val="2"/>
        </w:rPr>
        <w:t>Roegneria nutans</w:t>
      </w:r>
      <w:r>
        <w:rPr>
          <w:rFonts w:ascii="Times New Roman" w:cs="Times New Roman"/>
          <w:kern w:val="2"/>
        </w:rPr>
        <w:t>）、早熟禾（</w:t>
      </w:r>
      <w:r>
        <w:rPr>
          <w:rFonts w:ascii="Times New Roman" w:cs="Times New Roman"/>
          <w:i/>
          <w:iCs/>
          <w:kern w:val="2"/>
        </w:rPr>
        <w:t>Poa annua</w:t>
      </w:r>
      <w:r>
        <w:rPr>
          <w:rFonts w:ascii="Times New Roman" w:cs="Times New Roman"/>
          <w:kern w:val="2"/>
        </w:rPr>
        <w:t>）、芒草等禾草构成。</w:t>
      </w:r>
    </w:p>
    <w:p w:rsidR="00BD5820" w:rsidRDefault="00F64314">
      <w:pPr>
        <w:topLinePunct w:val="0"/>
        <w:adjustRightInd/>
        <w:ind w:firstLine="528"/>
        <w:rPr>
          <w:rFonts w:ascii="Times New Roman" w:cs="Times New Roman"/>
          <w:kern w:val="2"/>
        </w:rPr>
      </w:pPr>
      <w:r>
        <w:rPr>
          <w:rFonts w:hAnsi="宋体" w:hint="eastAsia"/>
          <w:spacing w:val="12"/>
          <w:kern w:val="2"/>
        </w:rPr>
        <w:t>④</w:t>
      </w:r>
      <w:r>
        <w:rPr>
          <w:rFonts w:ascii="Times New Roman" w:cs="Times New Roman"/>
          <w:kern w:val="2"/>
        </w:rPr>
        <w:t>马桑、黄荆、火棘群系（</w:t>
      </w:r>
      <w:r>
        <w:rPr>
          <w:rFonts w:ascii="Times New Roman" w:cs="Times New Roman"/>
          <w:kern w:val="2"/>
        </w:rPr>
        <w:t>Form.</w:t>
      </w:r>
      <w:r>
        <w:rPr>
          <w:rFonts w:ascii="Times New Roman" w:cs="Times New Roman"/>
          <w:i/>
          <w:iCs/>
          <w:kern w:val="2"/>
        </w:rPr>
        <w:t>Coriaria nepalensis+Vitex negundo+Pyracantha fortuneana</w:t>
      </w:r>
      <w:r>
        <w:rPr>
          <w:rFonts w:ascii="Times New Roman" w:cs="Times New Roman"/>
          <w:kern w:val="2"/>
        </w:rPr>
        <w:t>）</w:t>
      </w:r>
    </w:p>
    <w:p w:rsidR="00BD5820" w:rsidRDefault="00F64314">
      <w:pPr>
        <w:topLinePunct w:val="0"/>
        <w:adjustRightInd/>
        <w:ind w:firstLineChars="0" w:firstLine="480"/>
        <w:rPr>
          <w:rFonts w:ascii="Times New Roman" w:cs="Times New Roman"/>
          <w:kern w:val="2"/>
        </w:rPr>
      </w:pPr>
      <w:r>
        <w:rPr>
          <w:rFonts w:ascii="Times New Roman" w:cs="Times New Roman"/>
          <w:kern w:val="2"/>
        </w:rPr>
        <w:t>该群落多在林缘及砍伐迹地上出现，受人类活动干扰影响极大，群落结构不稳定，易向阔叶林演替。马桑、黄荆、火棘灌丛在评价区一些人类活动干扰较大的支沟内及居民点周围较为典型。</w:t>
      </w:r>
    </w:p>
    <w:p w:rsidR="00BD5820" w:rsidRDefault="00F64314">
      <w:pPr>
        <w:topLinePunct w:val="0"/>
        <w:adjustRightInd/>
        <w:ind w:firstLineChars="0" w:firstLine="480"/>
        <w:rPr>
          <w:rFonts w:ascii="Times New Roman" w:cs="Times New Roman"/>
          <w:kern w:val="2"/>
        </w:rPr>
      </w:pPr>
      <w:r>
        <w:rPr>
          <w:rFonts w:ascii="Times New Roman" w:cs="Times New Roman"/>
          <w:kern w:val="2"/>
        </w:rPr>
        <w:t>群落灌木层组成种类较为庞杂，总盖度达</w:t>
      </w:r>
      <w:r>
        <w:rPr>
          <w:rFonts w:ascii="Times New Roman" w:cs="Times New Roman"/>
          <w:kern w:val="2"/>
        </w:rPr>
        <w:t>60%</w:t>
      </w:r>
      <w:r>
        <w:rPr>
          <w:rFonts w:ascii="Times New Roman" w:cs="Times New Roman"/>
          <w:kern w:val="2"/>
        </w:rPr>
        <w:t>以上，以马桑、黄荆、火棘为优势种，平均高度</w:t>
      </w:r>
      <w:r>
        <w:rPr>
          <w:rFonts w:ascii="Times New Roman" w:cs="Times New Roman"/>
          <w:kern w:val="2"/>
        </w:rPr>
        <w:t>2.5m</w:t>
      </w:r>
      <w:r>
        <w:rPr>
          <w:rFonts w:ascii="Times New Roman" w:cs="Times New Roman"/>
          <w:kern w:val="2"/>
        </w:rPr>
        <w:t>。其他灌木种类有盐肤木、野桐（</w:t>
      </w:r>
      <w:r>
        <w:rPr>
          <w:rFonts w:ascii="Times New Roman" w:cs="Times New Roman"/>
          <w:i/>
          <w:iCs/>
          <w:kern w:val="2"/>
        </w:rPr>
        <w:t>Mallotus japonicus var. floccosus</w:t>
      </w:r>
      <w:r>
        <w:rPr>
          <w:rFonts w:ascii="Times New Roman" w:cs="Times New Roman"/>
          <w:kern w:val="2"/>
        </w:rPr>
        <w:t>）、川莓、山合欢、多种悬钩子、美丽胡枝子（</w:t>
      </w:r>
      <w:r>
        <w:rPr>
          <w:rFonts w:ascii="Times New Roman" w:cs="Times New Roman"/>
          <w:i/>
          <w:iCs/>
          <w:kern w:val="2"/>
        </w:rPr>
        <w:t>Lespedeza formosa</w:t>
      </w:r>
      <w:r>
        <w:rPr>
          <w:rFonts w:ascii="Times New Roman" w:cs="Times New Roman"/>
          <w:kern w:val="2"/>
        </w:rPr>
        <w:t>）、山胡椒（</w:t>
      </w:r>
      <w:r>
        <w:rPr>
          <w:rFonts w:ascii="Times New Roman" w:cs="Times New Roman"/>
          <w:i/>
          <w:iCs/>
          <w:kern w:val="2"/>
        </w:rPr>
        <w:t>Lindera sp.</w:t>
      </w:r>
      <w:r>
        <w:rPr>
          <w:rFonts w:ascii="Times New Roman" w:cs="Times New Roman"/>
          <w:kern w:val="2"/>
        </w:rPr>
        <w:t>）等多种灌木类型。</w:t>
      </w:r>
    </w:p>
    <w:p w:rsidR="00BD5820" w:rsidRDefault="00F64314">
      <w:pPr>
        <w:topLinePunct w:val="0"/>
        <w:adjustRightInd/>
        <w:ind w:firstLine="480"/>
        <w:rPr>
          <w:rFonts w:ascii="Times New Roman" w:cs="Times New Roman"/>
          <w:kern w:val="2"/>
        </w:rPr>
      </w:pPr>
      <w:r>
        <w:rPr>
          <w:rFonts w:ascii="Times New Roman" w:cs="Times New Roman"/>
          <w:kern w:val="2"/>
        </w:rPr>
        <w:t>草本植物生长茂盛，分层明显。芒居于草本层第</w:t>
      </w:r>
      <w:r>
        <w:rPr>
          <w:rFonts w:ascii="Times New Roman" w:cs="Times New Roman" w:hint="eastAsia"/>
          <w:kern w:val="2"/>
        </w:rPr>
        <w:t>Ⅰ</w:t>
      </w:r>
      <w:r>
        <w:rPr>
          <w:rFonts w:ascii="Times New Roman" w:cs="Times New Roman"/>
          <w:kern w:val="2"/>
        </w:rPr>
        <w:t>亚层植物，高度约</w:t>
      </w:r>
      <w:r>
        <w:rPr>
          <w:rFonts w:ascii="Times New Roman" w:cs="Times New Roman"/>
          <w:kern w:val="2"/>
        </w:rPr>
        <w:t>1.2m</w:t>
      </w:r>
      <w:r>
        <w:rPr>
          <w:rFonts w:ascii="Times New Roman" w:cs="Times New Roman"/>
          <w:kern w:val="2"/>
        </w:rPr>
        <w:t>。狗哇花（</w:t>
      </w:r>
      <w:r>
        <w:rPr>
          <w:rFonts w:ascii="Times New Roman" w:cs="Times New Roman"/>
          <w:i/>
          <w:iCs/>
          <w:kern w:val="2"/>
        </w:rPr>
        <w:t>Heteropappus hispidus</w:t>
      </w:r>
      <w:r>
        <w:rPr>
          <w:rFonts w:ascii="Times New Roman" w:cs="Times New Roman"/>
          <w:kern w:val="2"/>
        </w:rPr>
        <w:t>）、千里光（</w:t>
      </w:r>
      <w:r>
        <w:rPr>
          <w:rFonts w:ascii="Times New Roman" w:cs="Times New Roman"/>
          <w:i/>
          <w:iCs/>
          <w:kern w:val="2"/>
        </w:rPr>
        <w:t xml:space="preserve">Senecio scandens </w:t>
      </w:r>
      <w:r>
        <w:rPr>
          <w:rFonts w:ascii="Times New Roman" w:cs="Times New Roman"/>
          <w:kern w:val="2"/>
        </w:rPr>
        <w:t>Buch.-Ham. ex D.Don</w:t>
      </w:r>
      <w:r>
        <w:rPr>
          <w:rFonts w:ascii="Times New Roman" w:cs="Times New Roman"/>
          <w:kern w:val="2"/>
        </w:rPr>
        <w:t>）、糙苏（</w:t>
      </w:r>
      <w:r>
        <w:rPr>
          <w:rFonts w:ascii="Times New Roman" w:cs="Times New Roman"/>
          <w:i/>
          <w:iCs/>
          <w:kern w:val="2"/>
        </w:rPr>
        <w:t>Phlomis umbros</w:t>
      </w:r>
      <w:r>
        <w:rPr>
          <w:rFonts w:ascii="Times New Roman" w:cs="Times New Roman"/>
          <w:kern w:val="2"/>
        </w:rPr>
        <w:t>a</w:t>
      </w:r>
      <w:r>
        <w:rPr>
          <w:rFonts w:ascii="Times New Roman" w:cs="Times New Roman"/>
          <w:kern w:val="2"/>
        </w:rPr>
        <w:t>）、白茅（</w:t>
      </w:r>
      <w:r>
        <w:rPr>
          <w:rFonts w:ascii="Times New Roman" w:cs="Times New Roman"/>
          <w:i/>
          <w:iCs/>
          <w:kern w:val="2"/>
        </w:rPr>
        <w:t>Imperata cylindrica (Linn.)Beauv.</w:t>
      </w:r>
      <w:r>
        <w:rPr>
          <w:rFonts w:ascii="Times New Roman" w:cs="Times New Roman"/>
          <w:kern w:val="2"/>
        </w:rPr>
        <w:t>）等居于第</w:t>
      </w:r>
      <w:r>
        <w:rPr>
          <w:rFonts w:ascii="Times New Roman" w:cs="Times New Roman"/>
          <w:kern w:val="2"/>
        </w:rPr>
        <w:t>Ⅱ</w:t>
      </w:r>
      <w:r>
        <w:rPr>
          <w:rFonts w:ascii="Times New Roman" w:cs="Times New Roman"/>
          <w:kern w:val="2"/>
        </w:rPr>
        <w:t>亚层，高度</w:t>
      </w:r>
      <w:r>
        <w:rPr>
          <w:rFonts w:ascii="Times New Roman" w:cs="Times New Roman"/>
          <w:kern w:val="2"/>
        </w:rPr>
        <w:t>30~60cm</w:t>
      </w:r>
      <w:r>
        <w:rPr>
          <w:rFonts w:ascii="Times New Roman" w:cs="Times New Roman"/>
          <w:kern w:val="2"/>
        </w:rPr>
        <w:t>，车前（</w:t>
      </w:r>
      <w:r>
        <w:rPr>
          <w:rFonts w:ascii="Times New Roman" w:cs="Times New Roman"/>
          <w:i/>
          <w:iCs/>
          <w:kern w:val="2"/>
        </w:rPr>
        <w:t xml:space="preserve">Plantago asiatica </w:t>
      </w:r>
      <w:r>
        <w:rPr>
          <w:rFonts w:ascii="Times New Roman" w:cs="Times New Roman"/>
          <w:kern w:val="2"/>
        </w:rPr>
        <w:t>L.</w:t>
      </w:r>
      <w:r>
        <w:rPr>
          <w:rFonts w:ascii="Times New Roman" w:cs="Times New Roman"/>
          <w:kern w:val="2"/>
        </w:rPr>
        <w:t>）、聚花过路黄（</w:t>
      </w:r>
      <w:r>
        <w:rPr>
          <w:rFonts w:ascii="Times New Roman" w:cs="Times New Roman"/>
          <w:i/>
          <w:iCs/>
          <w:kern w:val="2"/>
        </w:rPr>
        <w:t>Lysimachia congestiflora Hemsl.</w:t>
      </w:r>
      <w:r>
        <w:rPr>
          <w:rFonts w:ascii="Times New Roman" w:cs="Times New Roman"/>
          <w:kern w:val="2"/>
        </w:rPr>
        <w:t>）、蕺菜（</w:t>
      </w:r>
      <w:r>
        <w:rPr>
          <w:rFonts w:ascii="Times New Roman" w:cs="Times New Roman"/>
          <w:i/>
          <w:iCs/>
          <w:kern w:val="2"/>
        </w:rPr>
        <w:t xml:space="preserve">Houttuynia cordata </w:t>
      </w:r>
      <w:r>
        <w:rPr>
          <w:rFonts w:ascii="Times New Roman" w:cs="Times New Roman"/>
          <w:kern w:val="2"/>
        </w:rPr>
        <w:t>Thunb</w:t>
      </w:r>
      <w:r>
        <w:rPr>
          <w:rFonts w:ascii="Times New Roman" w:cs="Times New Roman"/>
          <w:kern w:val="2"/>
        </w:rPr>
        <w:t>）、草莓（</w:t>
      </w:r>
      <w:r>
        <w:rPr>
          <w:rFonts w:ascii="Times New Roman" w:cs="Times New Roman"/>
          <w:i/>
          <w:iCs/>
          <w:kern w:val="2"/>
        </w:rPr>
        <w:t xml:space="preserve">Fragaria ananassa </w:t>
      </w:r>
      <w:r>
        <w:rPr>
          <w:rFonts w:ascii="Times New Roman" w:cs="Times New Roman"/>
          <w:kern w:val="2"/>
        </w:rPr>
        <w:t>Duch.</w:t>
      </w:r>
      <w:r>
        <w:rPr>
          <w:rFonts w:ascii="Times New Roman" w:cs="Times New Roman"/>
          <w:kern w:val="2"/>
        </w:rPr>
        <w:t>）、葎草（</w:t>
      </w:r>
      <w:r>
        <w:rPr>
          <w:rFonts w:ascii="Times New Roman" w:cs="Times New Roman"/>
          <w:i/>
          <w:iCs/>
          <w:kern w:val="2"/>
        </w:rPr>
        <w:t>Humulus scandens</w:t>
      </w:r>
      <w:r>
        <w:rPr>
          <w:rFonts w:ascii="Times New Roman" w:cs="Times New Roman"/>
          <w:kern w:val="2"/>
        </w:rPr>
        <w:t>）等居于第</w:t>
      </w:r>
      <w:r>
        <w:rPr>
          <w:rFonts w:ascii="Times New Roman" w:cs="Times New Roman"/>
          <w:kern w:val="2"/>
        </w:rPr>
        <w:t>Ⅲ</w:t>
      </w:r>
      <w:r>
        <w:rPr>
          <w:rFonts w:ascii="Times New Roman" w:cs="Times New Roman"/>
          <w:kern w:val="2"/>
        </w:rPr>
        <w:t>亚层，高度在</w:t>
      </w:r>
      <w:r>
        <w:rPr>
          <w:rFonts w:ascii="Times New Roman" w:cs="Times New Roman"/>
          <w:kern w:val="2"/>
        </w:rPr>
        <w:t>20cm</w:t>
      </w:r>
      <w:r>
        <w:rPr>
          <w:rFonts w:ascii="Times New Roman" w:cs="Times New Roman"/>
          <w:kern w:val="2"/>
        </w:rPr>
        <w:t>以下。另外还有多种蕨类植物如毛蕨（</w:t>
      </w:r>
      <w:r>
        <w:rPr>
          <w:rFonts w:ascii="Times New Roman" w:cs="Times New Roman"/>
          <w:i/>
          <w:iCs/>
          <w:kern w:val="2"/>
        </w:rPr>
        <w:t xml:space="preserve">Cyclosorus interruptus </w:t>
      </w:r>
      <w:r>
        <w:rPr>
          <w:rFonts w:ascii="Times New Roman" w:cs="Times New Roman"/>
          <w:kern w:val="2"/>
        </w:rPr>
        <w:t>(Willd.) H. Ito</w:t>
      </w:r>
      <w:r>
        <w:rPr>
          <w:rFonts w:ascii="Times New Roman" w:cs="Times New Roman"/>
          <w:kern w:val="2"/>
        </w:rPr>
        <w:t>）、铁角蕨（</w:t>
      </w:r>
      <w:r>
        <w:rPr>
          <w:rFonts w:ascii="Times New Roman" w:cs="Times New Roman"/>
          <w:i/>
          <w:iCs/>
          <w:kern w:val="2"/>
        </w:rPr>
        <w:t>Asplenium trichomanes</w:t>
      </w:r>
      <w:r>
        <w:rPr>
          <w:rFonts w:ascii="Times New Roman" w:cs="Times New Roman"/>
          <w:kern w:val="2"/>
        </w:rPr>
        <w:t>）在草本层生长。</w:t>
      </w:r>
    </w:p>
    <w:p w:rsidR="00BD5820" w:rsidRDefault="00F64314" w:rsidP="00511129">
      <w:pPr>
        <w:topLinePunct w:val="0"/>
        <w:adjustRightInd/>
        <w:spacing w:beforeLines="50"/>
        <w:ind w:firstLine="482"/>
        <w:rPr>
          <w:rFonts w:ascii="Times New Roman" w:cs="Times New Roman"/>
          <w:b/>
          <w:kern w:val="2"/>
        </w:rPr>
      </w:pPr>
      <w:r>
        <w:rPr>
          <w:rFonts w:ascii="Times New Roman" w:cs="Times New Roman"/>
          <w:b/>
          <w:kern w:val="2"/>
        </w:rPr>
        <w:t>Ⅲ</w:t>
      </w:r>
      <w:r>
        <w:rPr>
          <w:rFonts w:ascii="Times New Roman" w:cs="Times New Roman"/>
          <w:b/>
          <w:kern w:val="2"/>
        </w:rPr>
        <w:t>草丛植被</w:t>
      </w:r>
    </w:p>
    <w:p w:rsidR="00BD5820" w:rsidRDefault="00F64314">
      <w:pPr>
        <w:topLinePunct w:val="0"/>
        <w:snapToGrid w:val="0"/>
        <w:ind w:firstLine="544"/>
        <w:rPr>
          <w:rFonts w:ascii="Times New Roman" w:cs="Times New Roman"/>
          <w:kern w:val="2"/>
        </w:rPr>
      </w:pPr>
      <w:r>
        <w:rPr>
          <w:rFonts w:hAnsi="宋体" w:hint="eastAsia"/>
          <w:spacing w:val="16"/>
          <w:kern w:val="2"/>
        </w:rPr>
        <w:t>①</w:t>
      </w:r>
      <w:r>
        <w:rPr>
          <w:rFonts w:ascii="Times New Roman" w:cs="Times New Roman"/>
          <w:spacing w:val="11"/>
          <w:kern w:val="2"/>
        </w:rPr>
        <w:t>白</w:t>
      </w:r>
      <w:r>
        <w:rPr>
          <w:rFonts w:ascii="Times New Roman" w:cs="Times New Roman"/>
          <w:kern w:val="2"/>
        </w:rPr>
        <w:t>茅草</w:t>
      </w:r>
      <w:r>
        <w:rPr>
          <w:rFonts w:ascii="Times New Roman" w:cs="Times New Roman"/>
          <w:spacing w:val="11"/>
          <w:kern w:val="2"/>
        </w:rPr>
        <w:t>丛</w:t>
      </w:r>
      <w:r>
        <w:rPr>
          <w:rFonts w:ascii="Times New Roman" w:cs="Times New Roman"/>
          <w:spacing w:val="11"/>
          <w:kern w:val="2"/>
        </w:rPr>
        <w:t>(</w:t>
      </w:r>
      <w:r>
        <w:rPr>
          <w:rFonts w:ascii="Times New Roman" w:eastAsia="Times New Roman" w:cs="Times New Roman"/>
          <w:kern w:val="2"/>
        </w:rPr>
        <w:t>Form</w:t>
      </w:r>
      <w:r>
        <w:rPr>
          <w:rFonts w:ascii="Times New Roman" w:eastAsia="Times New Roman" w:cs="Times New Roman"/>
          <w:spacing w:val="11"/>
          <w:kern w:val="2"/>
        </w:rPr>
        <w:t xml:space="preserve">. </w:t>
      </w:r>
      <w:r>
        <w:rPr>
          <w:rFonts w:ascii="Times New Roman" w:eastAsia="Times New Roman" w:cs="Times New Roman"/>
          <w:i/>
          <w:iCs/>
          <w:kern w:val="2"/>
        </w:rPr>
        <w:t>Imperata</w:t>
      </w:r>
      <w:r>
        <w:rPr>
          <w:rFonts w:ascii="Times New Roman" w:eastAsia="Times New Roman" w:cs="Times New Roman"/>
          <w:spacing w:val="11"/>
          <w:kern w:val="2"/>
        </w:rPr>
        <w:t xml:space="preserve"> </w:t>
      </w:r>
      <w:r>
        <w:rPr>
          <w:rFonts w:ascii="Times New Roman" w:eastAsia="Times New Roman" w:cs="Times New Roman"/>
          <w:i/>
          <w:iCs/>
          <w:kern w:val="2"/>
        </w:rPr>
        <w:t>cylindric</w:t>
      </w:r>
      <w:r>
        <w:rPr>
          <w:rFonts w:ascii="Times New Roman" w:cs="Times New Roman"/>
          <w:spacing w:val="11"/>
          <w:kern w:val="2"/>
        </w:rPr>
        <w:t>)</w:t>
      </w:r>
    </w:p>
    <w:p w:rsidR="00BD5820" w:rsidRDefault="00F64314">
      <w:pPr>
        <w:topLinePunct w:val="0"/>
        <w:snapToGrid w:val="0"/>
        <w:ind w:firstLine="448"/>
        <w:rPr>
          <w:rFonts w:ascii="Times New Roman" w:cs="Times New Roman"/>
          <w:kern w:val="2"/>
        </w:rPr>
      </w:pPr>
      <w:r>
        <w:rPr>
          <w:rFonts w:ascii="Times New Roman" w:cs="Times New Roman"/>
          <w:spacing w:val="-8"/>
          <w:kern w:val="2"/>
        </w:rPr>
        <w:t>该群落</w:t>
      </w:r>
      <w:r>
        <w:rPr>
          <w:rFonts w:ascii="Times New Roman" w:cs="Times New Roman"/>
          <w:kern w:val="2"/>
        </w:rPr>
        <w:t>分布</w:t>
      </w:r>
      <w:r>
        <w:rPr>
          <w:rFonts w:ascii="Times New Roman" w:cs="Times New Roman"/>
          <w:spacing w:val="-8"/>
          <w:kern w:val="2"/>
        </w:rPr>
        <w:t>于</w:t>
      </w:r>
      <w:r>
        <w:rPr>
          <w:rFonts w:ascii="Times New Roman" w:cs="Times New Roman"/>
          <w:spacing w:val="-6"/>
          <w:kern w:val="2"/>
        </w:rPr>
        <w:t>路</w:t>
      </w:r>
      <w:r>
        <w:rPr>
          <w:rFonts w:ascii="Times New Roman" w:cs="Times New Roman"/>
          <w:spacing w:val="-4"/>
          <w:kern w:val="2"/>
        </w:rPr>
        <w:t>旁河谷、山坡上，生境向阳、比较干旱，受人为影响较强。</w:t>
      </w:r>
    </w:p>
    <w:p w:rsidR="00BD5820" w:rsidRDefault="00F64314">
      <w:pPr>
        <w:topLinePunct w:val="0"/>
        <w:snapToGrid w:val="0"/>
        <w:ind w:firstLine="464"/>
        <w:rPr>
          <w:rFonts w:ascii="Times New Roman" w:cs="Times New Roman"/>
          <w:spacing w:val="23"/>
          <w:kern w:val="2"/>
        </w:rPr>
      </w:pPr>
      <w:r>
        <w:rPr>
          <w:rFonts w:ascii="Times New Roman" w:cs="Times New Roman"/>
          <w:spacing w:val="-4"/>
          <w:kern w:val="2"/>
        </w:rPr>
        <w:t>群落</w:t>
      </w:r>
      <w:r>
        <w:rPr>
          <w:rFonts w:ascii="Times New Roman" w:cs="Times New Roman"/>
          <w:kern w:val="2"/>
        </w:rPr>
        <w:t>外貌</w:t>
      </w:r>
      <w:r>
        <w:rPr>
          <w:rFonts w:ascii="Times New Roman" w:cs="Times New Roman"/>
          <w:spacing w:val="-3"/>
          <w:kern w:val="2"/>
        </w:rPr>
        <w:t>高</w:t>
      </w:r>
      <w:r>
        <w:rPr>
          <w:rFonts w:ascii="Times New Roman" w:cs="Times New Roman"/>
          <w:spacing w:val="-2"/>
          <w:kern w:val="2"/>
        </w:rPr>
        <w:t>低不齐，总盖度约</w:t>
      </w:r>
      <w:r>
        <w:rPr>
          <w:rFonts w:ascii="Times New Roman" w:eastAsia="Times New Roman" w:cs="Times New Roman"/>
          <w:spacing w:val="-2"/>
          <w:kern w:val="2"/>
        </w:rPr>
        <w:t>50</w:t>
      </w:r>
      <w:r>
        <w:rPr>
          <w:rFonts w:ascii="Times New Roman" w:cs="Times New Roman"/>
          <w:spacing w:val="-2"/>
          <w:kern w:val="2"/>
        </w:rPr>
        <w:t>％，除优势种白茅、五节芒外，其它草本植</w:t>
      </w:r>
      <w:r>
        <w:rPr>
          <w:rFonts w:ascii="Times New Roman" w:cs="Times New Roman"/>
          <w:spacing w:val="4"/>
          <w:kern w:val="2"/>
        </w:rPr>
        <w:t>物尚有金发草芒萁</w:t>
      </w:r>
      <w:r>
        <w:rPr>
          <w:rFonts w:ascii="Times New Roman" w:cs="Times New Roman"/>
          <w:spacing w:val="2"/>
          <w:kern w:val="2"/>
        </w:rPr>
        <w:t>、蕨、香青、荩草、野古草、蔗茅</w:t>
      </w:r>
      <w:r>
        <w:rPr>
          <w:rFonts w:ascii="Times New Roman" w:cs="Times New Roman"/>
          <w:spacing w:val="2"/>
          <w:kern w:val="2"/>
        </w:rPr>
        <w:t>(</w:t>
      </w:r>
      <w:r>
        <w:rPr>
          <w:rFonts w:ascii="Times New Roman" w:eastAsia="Times New Roman" w:cs="Times New Roman"/>
          <w:i/>
          <w:iCs/>
          <w:kern w:val="2"/>
        </w:rPr>
        <w:t>Erianthus</w:t>
      </w:r>
      <w:r>
        <w:rPr>
          <w:rFonts w:ascii="Times New Roman" w:eastAsia="Times New Roman" w:cs="Times New Roman"/>
          <w:spacing w:val="2"/>
          <w:kern w:val="2"/>
        </w:rPr>
        <w:t xml:space="preserve"> </w:t>
      </w:r>
      <w:r>
        <w:rPr>
          <w:rFonts w:ascii="Times New Roman" w:eastAsia="Times New Roman" w:cs="Times New Roman"/>
          <w:i/>
          <w:iCs/>
          <w:kern w:val="2"/>
        </w:rPr>
        <w:t>rufipilus</w:t>
      </w:r>
      <w:r>
        <w:rPr>
          <w:rFonts w:ascii="Times New Roman" w:cs="Times New Roman"/>
          <w:spacing w:val="2"/>
          <w:kern w:val="2"/>
        </w:rPr>
        <w:t>)</w:t>
      </w:r>
      <w:r>
        <w:rPr>
          <w:rFonts w:ascii="Times New Roman" w:cs="Times New Roman"/>
          <w:spacing w:val="2"/>
          <w:kern w:val="2"/>
        </w:rPr>
        <w:t>、狗牙</w:t>
      </w:r>
      <w:r>
        <w:rPr>
          <w:rFonts w:ascii="Times New Roman" w:cs="Times New Roman"/>
          <w:spacing w:val="30"/>
          <w:kern w:val="2"/>
        </w:rPr>
        <w:t>根</w:t>
      </w:r>
      <w:r>
        <w:rPr>
          <w:rFonts w:ascii="Times New Roman" w:cs="Times New Roman"/>
          <w:spacing w:val="24"/>
          <w:kern w:val="2"/>
        </w:rPr>
        <w:t>(</w:t>
      </w:r>
      <w:r>
        <w:rPr>
          <w:rFonts w:ascii="Times New Roman" w:eastAsia="Times New Roman" w:cs="Times New Roman"/>
          <w:i/>
          <w:iCs/>
          <w:kern w:val="2"/>
        </w:rPr>
        <w:t>Cynodon</w:t>
      </w:r>
      <w:r>
        <w:rPr>
          <w:rFonts w:ascii="Times New Roman" w:eastAsia="Times New Roman" w:cs="Times New Roman"/>
          <w:spacing w:val="24"/>
          <w:kern w:val="2"/>
        </w:rPr>
        <w:t xml:space="preserve"> </w:t>
      </w:r>
      <w:r>
        <w:rPr>
          <w:rFonts w:ascii="Times New Roman" w:eastAsia="Times New Roman" w:cs="Times New Roman"/>
          <w:i/>
          <w:iCs/>
          <w:kern w:val="2"/>
        </w:rPr>
        <w:t>dactylon</w:t>
      </w:r>
      <w:r>
        <w:rPr>
          <w:rFonts w:ascii="Times New Roman" w:cs="Times New Roman"/>
          <w:spacing w:val="24"/>
          <w:kern w:val="2"/>
        </w:rPr>
        <w:t>)</w:t>
      </w:r>
      <w:r>
        <w:rPr>
          <w:rFonts w:ascii="Times New Roman" w:cs="Times New Roman"/>
          <w:spacing w:val="24"/>
          <w:kern w:val="2"/>
        </w:rPr>
        <w:t>、糯米团</w:t>
      </w:r>
      <w:r>
        <w:rPr>
          <w:rFonts w:ascii="Times New Roman" w:cs="Times New Roman"/>
          <w:spacing w:val="24"/>
          <w:kern w:val="2"/>
        </w:rPr>
        <w:t>(</w:t>
      </w:r>
      <w:r>
        <w:rPr>
          <w:rFonts w:ascii="Times New Roman" w:eastAsia="Times New Roman" w:cs="Times New Roman"/>
          <w:i/>
          <w:iCs/>
          <w:kern w:val="2"/>
        </w:rPr>
        <w:t>Memorialis</w:t>
      </w:r>
      <w:r>
        <w:rPr>
          <w:rFonts w:ascii="Times New Roman" w:eastAsia="Times New Roman" w:cs="Times New Roman"/>
          <w:spacing w:val="24"/>
          <w:kern w:val="2"/>
        </w:rPr>
        <w:t xml:space="preserve"> </w:t>
      </w:r>
      <w:r>
        <w:rPr>
          <w:rFonts w:ascii="Times New Roman" w:eastAsia="Times New Roman" w:cs="Times New Roman"/>
          <w:i/>
          <w:iCs/>
          <w:kern w:val="2"/>
        </w:rPr>
        <w:t>hirta</w:t>
      </w:r>
      <w:r>
        <w:rPr>
          <w:rFonts w:ascii="Times New Roman" w:cs="Times New Roman"/>
          <w:spacing w:val="24"/>
          <w:kern w:val="2"/>
        </w:rPr>
        <w:t>)</w:t>
      </w:r>
      <w:r>
        <w:rPr>
          <w:rFonts w:ascii="Times New Roman" w:cs="Times New Roman"/>
          <w:spacing w:val="24"/>
          <w:kern w:val="2"/>
        </w:rPr>
        <w:t>、苦买菜</w:t>
      </w:r>
      <w:r>
        <w:rPr>
          <w:rFonts w:ascii="Times New Roman" w:cs="Times New Roman"/>
          <w:spacing w:val="24"/>
          <w:kern w:val="2"/>
        </w:rPr>
        <w:t>(</w:t>
      </w:r>
      <w:r>
        <w:rPr>
          <w:rFonts w:ascii="Times New Roman" w:eastAsia="Times New Roman" w:cs="Times New Roman"/>
          <w:i/>
          <w:iCs/>
          <w:kern w:val="2"/>
        </w:rPr>
        <w:t>Ixeris</w:t>
      </w:r>
      <w:r>
        <w:rPr>
          <w:rFonts w:ascii="Times New Roman" w:eastAsia="Times New Roman" w:cs="Times New Roman"/>
          <w:spacing w:val="24"/>
          <w:kern w:val="2"/>
        </w:rPr>
        <w:t xml:space="preserve"> </w:t>
      </w:r>
      <w:r>
        <w:rPr>
          <w:rFonts w:ascii="Times New Roman" w:eastAsia="Times New Roman" w:cs="Times New Roman"/>
          <w:i/>
          <w:iCs/>
          <w:kern w:val="2"/>
        </w:rPr>
        <w:t>spp</w:t>
      </w:r>
      <w:r>
        <w:rPr>
          <w:rFonts w:ascii="Times New Roman" w:eastAsia="Times New Roman" w:cs="Times New Roman"/>
          <w:i/>
          <w:iCs/>
          <w:spacing w:val="24"/>
          <w:kern w:val="2"/>
        </w:rPr>
        <w:t>.</w:t>
      </w:r>
      <w:r>
        <w:rPr>
          <w:rFonts w:ascii="Times New Roman" w:cs="Times New Roman"/>
          <w:spacing w:val="24"/>
          <w:kern w:val="2"/>
        </w:rPr>
        <w:t>)</w:t>
      </w:r>
      <w:r>
        <w:rPr>
          <w:rFonts w:ascii="Times New Roman" w:cs="Times New Roman"/>
          <w:spacing w:val="24"/>
          <w:kern w:val="2"/>
        </w:rPr>
        <w:t>、风轮</w:t>
      </w:r>
      <w:r>
        <w:rPr>
          <w:rFonts w:ascii="Times New Roman" w:cs="Times New Roman"/>
          <w:spacing w:val="23"/>
          <w:kern w:val="2"/>
        </w:rPr>
        <w:t>菜</w:t>
      </w:r>
      <w:r>
        <w:rPr>
          <w:rFonts w:ascii="Times New Roman" w:cs="Times New Roman"/>
          <w:spacing w:val="23"/>
          <w:kern w:val="2"/>
        </w:rPr>
        <w:t>(</w:t>
      </w:r>
      <w:r>
        <w:rPr>
          <w:rFonts w:ascii="Times New Roman" w:eastAsia="Times New Roman" w:cs="Times New Roman"/>
          <w:i/>
          <w:iCs/>
          <w:kern w:val="2"/>
        </w:rPr>
        <w:t>Clamintha</w:t>
      </w:r>
      <w:r>
        <w:rPr>
          <w:rFonts w:ascii="Times New Roman" w:eastAsia="Times New Roman" w:cs="Times New Roman"/>
          <w:spacing w:val="23"/>
          <w:kern w:val="2"/>
        </w:rPr>
        <w:t xml:space="preserve"> </w:t>
      </w:r>
      <w:r>
        <w:rPr>
          <w:rFonts w:ascii="Times New Roman" w:eastAsia="Times New Roman" w:cs="Times New Roman"/>
          <w:i/>
          <w:iCs/>
          <w:kern w:val="2"/>
        </w:rPr>
        <w:t>chinensis</w:t>
      </w:r>
      <w:r>
        <w:rPr>
          <w:rFonts w:ascii="Times New Roman" w:cs="Times New Roman"/>
          <w:spacing w:val="23"/>
          <w:kern w:val="2"/>
        </w:rPr>
        <w:t>)</w:t>
      </w:r>
      <w:r>
        <w:rPr>
          <w:rFonts w:ascii="Times New Roman" w:cs="Times New Roman"/>
          <w:spacing w:val="23"/>
          <w:kern w:val="2"/>
        </w:rPr>
        <w:t>、菝葜。</w:t>
      </w:r>
    </w:p>
    <w:p w:rsidR="00BD5820" w:rsidRDefault="00F64314">
      <w:pPr>
        <w:topLinePunct w:val="0"/>
        <w:adjustRightInd/>
        <w:ind w:firstLine="480"/>
        <w:rPr>
          <w:rFonts w:ascii="Times New Roman" w:cs="Times New Roman"/>
          <w:kern w:val="2"/>
        </w:rPr>
      </w:pPr>
      <w:r>
        <w:rPr>
          <w:rFonts w:hAnsi="宋体" w:hint="eastAsia"/>
          <w:kern w:val="2"/>
        </w:rPr>
        <w:t>②</w:t>
      </w:r>
      <w:r>
        <w:rPr>
          <w:rFonts w:ascii="Times New Roman" w:cs="Times New Roman"/>
          <w:kern w:val="2"/>
        </w:rPr>
        <w:t>白茅、五节芒、野古草、斑茅群系（</w:t>
      </w:r>
      <w:r>
        <w:rPr>
          <w:rFonts w:ascii="Times New Roman" w:cs="Times New Roman"/>
          <w:i/>
          <w:iCs/>
          <w:kern w:val="2"/>
        </w:rPr>
        <w:t>Form.Imperata cylindrica.+Miscanthus floridulus+Arundinella anomala+Saccharum arundinaceum</w:t>
      </w:r>
      <w:r>
        <w:rPr>
          <w:rFonts w:ascii="Times New Roman" w:cs="Times New Roman"/>
          <w:kern w:val="2"/>
        </w:rPr>
        <w:t>）</w:t>
      </w:r>
    </w:p>
    <w:p w:rsidR="00BD5820" w:rsidRDefault="00F64314">
      <w:pPr>
        <w:topLinePunct w:val="0"/>
        <w:adjustRightInd/>
        <w:ind w:firstLine="480"/>
        <w:rPr>
          <w:rFonts w:ascii="Times New Roman" w:cs="Times New Roman"/>
          <w:kern w:val="2"/>
        </w:rPr>
      </w:pPr>
      <w:r>
        <w:rPr>
          <w:rFonts w:ascii="Times New Roman" w:cs="Times New Roman"/>
          <w:kern w:val="2"/>
        </w:rPr>
        <w:t>白茅占优势所组成的灌草丛，在我国分布范围较广，主要在热带和亚热带，向北可以分布到华北地区，这是一类最常见的阳性禾草，常布满于撂荒地及火烧</w:t>
      </w:r>
      <w:r>
        <w:rPr>
          <w:rFonts w:ascii="Times New Roman" w:cs="Times New Roman"/>
          <w:kern w:val="2"/>
        </w:rPr>
        <w:lastRenderedPageBreak/>
        <w:t>后的林地。</w:t>
      </w:r>
    </w:p>
    <w:p w:rsidR="00BD5820" w:rsidRDefault="00F64314">
      <w:pPr>
        <w:topLinePunct w:val="0"/>
        <w:adjustRightInd/>
        <w:ind w:firstLine="480"/>
        <w:rPr>
          <w:rFonts w:ascii="Times New Roman" w:cs="Times New Roman"/>
          <w:kern w:val="2"/>
        </w:rPr>
      </w:pPr>
      <w:r>
        <w:rPr>
          <w:rFonts w:ascii="Times New Roman" w:cs="Times New Roman"/>
          <w:kern w:val="2"/>
        </w:rPr>
        <w:t>白茅灌草丛可出现在河谷、盆地、河漫滩上的阶地、山地、丘陵及海滩地带。在四川各地分布十分广泛。由于白茅的生活力很强，因而可以在不同的生境条件下出现。白茅对土壤的酸碱度要求亦不大严格，因此在石灰岩为基岩发育的石灰土或砂页岩等发育的酸性土上都有分布。在撂荒地上，首先遇到的就是白茅草丛，在一些地段上，白茅生长密集，地下茎很发达，相互交织成网，其他植物很难侵入，可以形成几乎是纯白茅的草丛。</w:t>
      </w:r>
    </w:p>
    <w:p w:rsidR="00BD5820" w:rsidRDefault="00F64314">
      <w:pPr>
        <w:topLinePunct w:val="0"/>
        <w:adjustRightInd/>
        <w:ind w:firstLine="480"/>
        <w:rPr>
          <w:rFonts w:ascii="Times New Roman" w:cs="Times New Roman"/>
          <w:kern w:val="2"/>
        </w:rPr>
      </w:pPr>
      <w:r>
        <w:rPr>
          <w:rFonts w:ascii="Times New Roman" w:cs="Times New Roman"/>
          <w:kern w:val="2"/>
        </w:rPr>
        <w:t>评价范围及周边白茅草本层的高度为</w:t>
      </w:r>
      <w:r>
        <w:rPr>
          <w:rFonts w:ascii="Times New Roman" w:cs="Times New Roman"/>
          <w:kern w:val="2"/>
        </w:rPr>
        <w:t>60</w:t>
      </w:r>
      <w:r>
        <w:rPr>
          <w:rFonts w:ascii="Times New Roman" w:cs="Times New Roman" w:hint="eastAsia"/>
          <w:kern w:val="2"/>
        </w:rPr>
        <w:t>-</w:t>
      </w:r>
      <w:r>
        <w:rPr>
          <w:rFonts w:ascii="Times New Roman" w:cs="Times New Roman"/>
          <w:kern w:val="2"/>
        </w:rPr>
        <w:t>80</w:t>
      </w:r>
      <w:r>
        <w:rPr>
          <w:rFonts w:ascii="Times New Roman" w:cs="Times New Roman"/>
          <w:kern w:val="2"/>
        </w:rPr>
        <w:t>厘米，层覆盖度在</w:t>
      </w:r>
      <w:r>
        <w:rPr>
          <w:rFonts w:ascii="Times New Roman" w:cs="Times New Roman"/>
          <w:kern w:val="2"/>
        </w:rPr>
        <w:t>70</w:t>
      </w:r>
      <w:r>
        <w:rPr>
          <w:rFonts w:ascii="Times New Roman" w:cs="Times New Roman" w:hint="eastAsia"/>
          <w:kern w:val="2"/>
        </w:rPr>
        <w:t>-</w:t>
      </w:r>
      <w:r>
        <w:rPr>
          <w:rFonts w:ascii="Times New Roman" w:cs="Times New Roman"/>
          <w:kern w:val="2"/>
        </w:rPr>
        <w:t>90%</w:t>
      </w:r>
      <w:r>
        <w:rPr>
          <w:rFonts w:ascii="Times New Roman" w:cs="Times New Roman"/>
          <w:kern w:val="2"/>
        </w:rPr>
        <w:t>之间。其伴生植物有五节芒、野古草、斑茅、婆婆针、飞蓬、蛇莓、夏枯草、蛇含委陵草、鸡眼草</w:t>
      </w:r>
      <w:r>
        <w:rPr>
          <w:rFonts w:ascii="Times New Roman" w:cs="Times New Roman" w:hint="eastAsia"/>
          <w:kern w:val="2"/>
        </w:rPr>
        <w:t>、</w:t>
      </w:r>
      <w:r>
        <w:rPr>
          <w:rFonts w:ascii="Times New Roman" w:cs="Times New Roman"/>
          <w:kern w:val="2"/>
        </w:rPr>
        <w:t>芒、黄背草、铁扫帚、歪头菜、贯叶连翘等，在群落中散生有少数灌木，如美丽胡枝子、山豆花、肖梵天花及麻栎、白栎幼树等。</w:t>
      </w:r>
    </w:p>
    <w:p w:rsidR="00BD5820" w:rsidRDefault="00F64314">
      <w:pPr>
        <w:topLinePunct w:val="0"/>
        <w:adjustRightInd/>
        <w:ind w:firstLine="480"/>
        <w:rPr>
          <w:rFonts w:ascii="Times New Roman" w:cs="Times New Roman"/>
          <w:kern w:val="2"/>
        </w:rPr>
      </w:pPr>
      <w:r>
        <w:rPr>
          <w:rFonts w:hAnsi="宋体" w:hint="eastAsia"/>
          <w:kern w:val="2"/>
        </w:rPr>
        <w:t>③</w:t>
      </w:r>
      <w:r>
        <w:rPr>
          <w:rFonts w:ascii="Times New Roman" w:cs="Times New Roman"/>
          <w:kern w:val="2"/>
        </w:rPr>
        <w:t>芒、蕨、芒萁群系（</w:t>
      </w:r>
      <w:r>
        <w:rPr>
          <w:rFonts w:ascii="Times New Roman" w:cs="Times New Roman"/>
          <w:i/>
          <w:iCs/>
          <w:kern w:val="2"/>
        </w:rPr>
        <w:t>Form.</w:t>
      </w:r>
      <w:r>
        <w:rPr>
          <w:rFonts w:ascii="Times New Roman" w:cs="Times New Roman"/>
          <w:i/>
          <w:kern w:val="2"/>
          <w:sz w:val="21"/>
          <w:szCs w:val="21"/>
        </w:rPr>
        <w:t>Miscanthus sinensis</w:t>
      </w:r>
      <w:r>
        <w:rPr>
          <w:rFonts w:ascii="Times New Roman" w:cs="Times New Roman"/>
          <w:i/>
          <w:iCs/>
          <w:kern w:val="2"/>
        </w:rPr>
        <w:t>+</w:t>
      </w:r>
      <w:r>
        <w:rPr>
          <w:rFonts w:ascii="Times New Roman" w:cs="Times New Roman"/>
          <w:i/>
          <w:iCs/>
          <w:kern w:val="2"/>
          <w:sz w:val="21"/>
          <w:szCs w:val="21"/>
        </w:rPr>
        <w:t>P.Aquilinum</w:t>
      </w:r>
      <w:r>
        <w:rPr>
          <w:rFonts w:ascii="Times New Roman" w:cs="Times New Roman"/>
          <w:i/>
          <w:iCs/>
          <w:kern w:val="2"/>
        </w:rPr>
        <w:t>+</w:t>
      </w:r>
      <w:r>
        <w:rPr>
          <w:rFonts w:ascii="Times New Roman" w:cs="Times New Roman"/>
          <w:i/>
          <w:iCs/>
          <w:kern w:val="2"/>
          <w:sz w:val="21"/>
          <w:szCs w:val="21"/>
        </w:rPr>
        <w:t>Dicranopteris dichotoma(Thunb.)Bernh.</w:t>
      </w:r>
      <w:r>
        <w:rPr>
          <w:rFonts w:ascii="Times New Roman" w:cs="Times New Roman"/>
          <w:kern w:val="2"/>
        </w:rPr>
        <w:t>）</w:t>
      </w:r>
    </w:p>
    <w:p w:rsidR="00BD5820" w:rsidRDefault="00F64314">
      <w:pPr>
        <w:topLinePunct w:val="0"/>
        <w:adjustRightInd/>
        <w:ind w:firstLine="480"/>
        <w:rPr>
          <w:rFonts w:ascii="Times New Roman" w:cs="Times New Roman"/>
          <w:kern w:val="2"/>
        </w:rPr>
      </w:pPr>
      <w:r>
        <w:rPr>
          <w:rFonts w:ascii="Times New Roman" w:cs="Times New Roman"/>
          <w:kern w:val="2"/>
        </w:rPr>
        <w:t>本灌草丛在评价区内分布广泛，在大部分酸性土地区均有分布，本群落为植被受到严重破坏，乔木、灌木很难恢复的情况下形成的一类灌草丛，尤其是在强度火烧山后出现。群落的特征主要由蕨类和禾本草为主的草本植物组成，灌木稀少。常见的草本植物有芒、蕨、铁芒萁、牛尾蒿、狗脊、荩草、石松等种类，禾本草主要有四脉金茅、野古草、白茅、雀稗、芒、荻等。其他草本植物有珍珠菜，毛果一枝黄花、三脉紫菀、鸡眼草及野棉花等。</w:t>
      </w:r>
    </w:p>
    <w:p w:rsidR="00BD5820" w:rsidRDefault="00F64314" w:rsidP="00511129">
      <w:pPr>
        <w:topLinePunct w:val="0"/>
        <w:adjustRightInd/>
        <w:spacing w:beforeLines="50"/>
        <w:ind w:firstLine="482"/>
        <w:rPr>
          <w:rFonts w:ascii="Times New Roman" w:cs="Times New Roman"/>
          <w:b/>
          <w:kern w:val="2"/>
        </w:rPr>
      </w:pPr>
      <w:r>
        <w:rPr>
          <w:rFonts w:ascii="Times New Roman" w:cs="Times New Roman"/>
          <w:b/>
          <w:kern w:val="2"/>
        </w:rPr>
        <w:t>Ⅳ</w:t>
      </w:r>
      <w:r>
        <w:rPr>
          <w:rFonts w:ascii="Times New Roman" w:cs="Times New Roman"/>
          <w:b/>
          <w:kern w:val="2"/>
        </w:rPr>
        <w:t>栽培植被</w:t>
      </w:r>
    </w:p>
    <w:p w:rsidR="00BD5820" w:rsidRDefault="00F64314">
      <w:pPr>
        <w:topLinePunct w:val="0"/>
        <w:adjustRightInd/>
        <w:ind w:firstLine="480"/>
        <w:rPr>
          <w:rFonts w:ascii="Times New Roman" w:cs="Times New Roman"/>
          <w:kern w:val="2"/>
        </w:rPr>
      </w:pPr>
      <w:r>
        <w:rPr>
          <w:rFonts w:ascii="Times New Roman" w:cs="Times New Roman"/>
          <w:kern w:val="2"/>
        </w:rPr>
        <w:t>栽培植被指人类在自然环境中，根据人类生产、生活的需要，通过人为的经营、管理措施而培育形成的植被类型。在评价区域，栽培植被主要为以农业技术措施为主培育形成的农田植被以及具有一定经济效益的经济林木。现分别就各类栽培植被分析如下：</w:t>
      </w:r>
    </w:p>
    <w:p w:rsidR="00BD5820" w:rsidRDefault="00F64314">
      <w:pPr>
        <w:topLinePunct w:val="0"/>
        <w:adjustRightInd/>
        <w:ind w:firstLine="480"/>
        <w:rPr>
          <w:rFonts w:ascii="Times New Roman" w:cs="Times New Roman"/>
          <w:kern w:val="2"/>
        </w:rPr>
      </w:pPr>
      <w:r>
        <w:rPr>
          <w:rFonts w:ascii="Times New Roman" w:cs="Times New Roman" w:hint="eastAsia"/>
          <w:kern w:val="2"/>
        </w:rPr>
        <w:t>（</w:t>
      </w:r>
      <w:r>
        <w:rPr>
          <w:rFonts w:ascii="Times New Roman" w:cs="Times New Roman" w:hint="eastAsia"/>
          <w:kern w:val="2"/>
        </w:rPr>
        <w:t>1</w:t>
      </w:r>
      <w:r>
        <w:rPr>
          <w:rFonts w:ascii="Times New Roman" w:cs="Times New Roman" w:hint="eastAsia"/>
          <w:kern w:val="2"/>
        </w:rPr>
        <w:t>）</w:t>
      </w:r>
      <w:r>
        <w:rPr>
          <w:rFonts w:ascii="Times New Roman" w:cs="Times New Roman"/>
          <w:kern w:val="2"/>
        </w:rPr>
        <w:t>农田植被</w:t>
      </w:r>
    </w:p>
    <w:p w:rsidR="00BD5820" w:rsidRDefault="00F64314">
      <w:pPr>
        <w:topLinePunct w:val="0"/>
        <w:adjustRightInd/>
        <w:ind w:firstLine="480"/>
        <w:rPr>
          <w:rFonts w:ascii="Times New Roman" w:cs="Times New Roman"/>
          <w:kern w:val="2"/>
          <w:lang w:val="de-DE"/>
        </w:rPr>
      </w:pPr>
      <w:r>
        <w:rPr>
          <w:rFonts w:hAnsi="宋体" w:hint="eastAsia"/>
          <w:kern w:val="2"/>
          <w:lang w:val="de-DE"/>
        </w:rPr>
        <w:t>①</w:t>
      </w:r>
      <w:r>
        <w:rPr>
          <w:rFonts w:ascii="Times New Roman" w:cs="Times New Roman"/>
          <w:kern w:val="2"/>
          <w:lang w:val="de-DE"/>
        </w:rPr>
        <w:t>一年两熟水稻作物</w:t>
      </w:r>
    </w:p>
    <w:p w:rsidR="00BD5820" w:rsidRDefault="00F64314">
      <w:pPr>
        <w:topLinePunct w:val="0"/>
        <w:adjustRightInd/>
        <w:ind w:firstLine="480"/>
        <w:rPr>
          <w:rFonts w:ascii="Times New Roman" w:cs="Times New Roman"/>
          <w:kern w:val="2"/>
        </w:rPr>
      </w:pPr>
      <w:r>
        <w:rPr>
          <w:rFonts w:ascii="Times New Roman" w:cs="Times New Roman"/>
          <w:kern w:val="2"/>
        </w:rPr>
        <w:t>属于草本类型大田农作物型水田作物亚型，此类型对水利灌溉要求较高，主要分布在丘谷、河流两旁等地区。在水利条件好的地区水稻收割后可种植一季油菜、豆类等，而在部分地区，由于灌溉达不到要求只种植一季水稻。</w:t>
      </w:r>
    </w:p>
    <w:p w:rsidR="00BD5820" w:rsidRDefault="00F64314">
      <w:pPr>
        <w:topLinePunct w:val="0"/>
        <w:adjustRightInd/>
        <w:ind w:firstLine="480"/>
        <w:rPr>
          <w:rFonts w:ascii="Times New Roman" w:cs="Times New Roman"/>
          <w:kern w:val="2"/>
          <w:lang w:val="de-DE"/>
        </w:rPr>
      </w:pPr>
      <w:r>
        <w:rPr>
          <w:rFonts w:hAnsi="宋体" w:hint="eastAsia"/>
          <w:kern w:val="2"/>
          <w:lang w:val="de-DE"/>
        </w:rPr>
        <w:lastRenderedPageBreak/>
        <w:t>②</w:t>
      </w:r>
      <w:r>
        <w:rPr>
          <w:rFonts w:ascii="Times New Roman" w:cs="Times New Roman"/>
          <w:kern w:val="2"/>
          <w:lang w:val="de-DE"/>
        </w:rPr>
        <w:t>一年</w:t>
      </w:r>
      <w:r>
        <w:rPr>
          <w:rFonts w:ascii="Times New Roman" w:cs="Times New Roman"/>
          <w:kern w:val="2"/>
        </w:rPr>
        <w:t>两</w:t>
      </w:r>
      <w:r>
        <w:rPr>
          <w:rFonts w:ascii="Times New Roman" w:cs="Times New Roman"/>
          <w:kern w:val="2"/>
          <w:lang w:val="de-DE"/>
        </w:rPr>
        <w:t>作为主的蔬菜组合</w:t>
      </w:r>
    </w:p>
    <w:p w:rsidR="00BD5820" w:rsidRDefault="00F64314">
      <w:pPr>
        <w:topLinePunct w:val="0"/>
        <w:adjustRightInd/>
        <w:ind w:firstLine="480"/>
        <w:rPr>
          <w:rFonts w:ascii="Times New Roman" w:cs="Times New Roman"/>
          <w:kern w:val="2"/>
        </w:rPr>
      </w:pPr>
      <w:r>
        <w:rPr>
          <w:rFonts w:ascii="Times New Roman" w:cs="Times New Roman"/>
          <w:kern w:val="2"/>
        </w:rPr>
        <w:t>属于草本类型蔬菜作物型旱地作物亚型，本组合型广泛分布于亚热带范围内，对灌溉要求不是很严格，本地组成蔬菜作物的建群种，有白菜、卷心菜、花椰菜、芥菜、等白菜类，大头菜、萝卜、胡萝卜、洋葱、蒜、姜等根茎类、鳞茎类蔬菜，韭菜、葱、蒜、苋菜、芹菜、菠菜、莴笋等绿叶蔬菜，马铃薯、芋头等薯类，茄子、辣椒等茄果类，黄瓜、菜瓜、冬瓜、南瓜、葫芦、苦瓜、丝瓜等瓜类，豇豆、豌豆、蚕豆、大豆、菜豆等豆类，以及花生、油菜等油料作物。</w:t>
      </w:r>
    </w:p>
    <w:p w:rsidR="00BD5820" w:rsidRDefault="00F64314">
      <w:pPr>
        <w:topLinePunct w:val="0"/>
        <w:adjustRightInd/>
        <w:ind w:firstLine="480"/>
        <w:rPr>
          <w:rFonts w:ascii="Times New Roman" w:cs="Times New Roman"/>
          <w:kern w:val="2"/>
          <w:lang w:val="de-DE"/>
        </w:rPr>
      </w:pPr>
      <w:r>
        <w:rPr>
          <w:rFonts w:hAnsi="宋体" w:hint="eastAsia"/>
          <w:kern w:val="2"/>
          <w:lang w:val="de-DE"/>
        </w:rPr>
        <w:t>③</w:t>
      </w:r>
      <w:r>
        <w:rPr>
          <w:rFonts w:ascii="Times New Roman" w:cs="Times New Roman"/>
          <w:kern w:val="2"/>
          <w:lang w:val="de-DE"/>
        </w:rPr>
        <w:t>以</w:t>
      </w:r>
      <w:r>
        <w:rPr>
          <w:rFonts w:ascii="Times New Roman" w:cs="Times New Roman" w:hint="eastAsia"/>
          <w:spacing w:val="2"/>
          <w:kern w:val="2"/>
        </w:rPr>
        <w:t>玉米、红苕、棉花、花生、小麦、马铃薯、豌豆</w:t>
      </w:r>
      <w:r>
        <w:rPr>
          <w:rFonts w:ascii="Times New Roman" w:cs="Times New Roman"/>
          <w:kern w:val="2"/>
          <w:lang w:val="de-DE"/>
        </w:rPr>
        <w:t>为主的作物组合</w:t>
      </w:r>
    </w:p>
    <w:p w:rsidR="00BD5820" w:rsidRDefault="00F64314">
      <w:pPr>
        <w:topLinePunct w:val="0"/>
        <w:adjustRightInd/>
        <w:ind w:firstLine="480"/>
        <w:rPr>
          <w:rFonts w:ascii="Times New Roman" w:cs="Times New Roman"/>
          <w:kern w:val="2"/>
        </w:rPr>
      </w:pPr>
      <w:r>
        <w:rPr>
          <w:rFonts w:ascii="Times New Roman" w:cs="Times New Roman"/>
          <w:kern w:val="2"/>
        </w:rPr>
        <w:t>属于草本类型大田农作物型旱地作物亚型，广泛分布于四川盆地边缘的丘陵地区。</w:t>
      </w:r>
      <w:r>
        <w:rPr>
          <w:rFonts w:ascii="Times New Roman" w:cs="Times New Roman"/>
          <w:spacing w:val="2"/>
          <w:kern w:val="2"/>
        </w:rPr>
        <w:t>小春作物以小麦、豌豆为主，深丘上</w:t>
      </w:r>
      <w:r>
        <w:rPr>
          <w:rFonts w:ascii="Times New Roman" w:cs="Times New Roman"/>
          <w:spacing w:val="-2"/>
          <w:kern w:val="2"/>
        </w:rPr>
        <w:t>部种有马铃薯，多为一年两熟类型</w:t>
      </w:r>
      <w:r>
        <w:rPr>
          <w:rFonts w:ascii="Times New Roman" w:cs="Times New Roman" w:hint="eastAsia"/>
          <w:spacing w:val="-2"/>
          <w:kern w:val="2"/>
        </w:rPr>
        <w:t>，</w:t>
      </w:r>
      <w:r>
        <w:rPr>
          <w:rFonts w:ascii="Times New Roman" w:cs="Times New Roman"/>
          <w:kern w:val="2"/>
        </w:rPr>
        <w:t>调查区域内局部灌溉条件较差的地方实行这种作物组合。</w:t>
      </w:r>
    </w:p>
    <w:p w:rsidR="00BD5820" w:rsidRDefault="00F64314">
      <w:pPr>
        <w:topLinePunct w:val="0"/>
        <w:adjustRightInd/>
        <w:ind w:firstLine="480"/>
        <w:rPr>
          <w:rFonts w:ascii="Times New Roman" w:cs="Times New Roman"/>
          <w:kern w:val="2"/>
        </w:rPr>
      </w:pPr>
      <w:r>
        <w:rPr>
          <w:rFonts w:ascii="Times New Roman" w:cs="Times New Roman" w:hint="eastAsia"/>
          <w:kern w:val="2"/>
        </w:rPr>
        <w:t>（</w:t>
      </w:r>
      <w:r>
        <w:rPr>
          <w:rFonts w:ascii="Times New Roman" w:cs="Times New Roman" w:hint="eastAsia"/>
          <w:kern w:val="2"/>
        </w:rPr>
        <w:t>2</w:t>
      </w:r>
      <w:r>
        <w:rPr>
          <w:rFonts w:ascii="Times New Roman" w:cs="Times New Roman" w:hint="eastAsia"/>
          <w:kern w:val="2"/>
        </w:rPr>
        <w:t>）</w:t>
      </w:r>
      <w:r>
        <w:rPr>
          <w:rFonts w:ascii="Times New Roman" w:cs="Times New Roman"/>
          <w:kern w:val="2"/>
        </w:rPr>
        <w:t>经济林木</w:t>
      </w:r>
    </w:p>
    <w:p w:rsidR="00BD5820" w:rsidRDefault="00F64314">
      <w:pPr>
        <w:topLinePunct w:val="0"/>
        <w:adjustRightInd/>
        <w:ind w:firstLine="480"/>
        <w:rPr>
          <w:rFonts w:ascii="Times New Roman" w:cs="Times New Roman"/>
          <w:kern w:val="2"/>
        </w:rPr>
      </w:pPr>
      <w:r>
        <w:rPr>
          <w:rFonts w:ascii="Times New Roman" w:cs="Times New Roman"/>
          <w:kern w:val="2"/>
        </w:rPr>
        <w:t>常见种植的种类有苹果</w:t>
      </w:r>
      <w:r>
        <w:rPr>
          <w:rFonts w:ascii="Times New Roman" w:cs="Times New Roman"/>
          <w:kern w:val="2"/>
        </w:rPr>
        <w:t>(</w:t>
      </w:r>
      <w:r>
        <w:rPr>
          <w:rFonts w:ascii="Times New Roman" w:cs="Times New Roman"/>
          <w:i/>
          <w:kern w:val="2"/>
        </w:rPr>
        <w:t>Malus pumila</w:t>
      </w:r>
      <w:r>
        <w:rPr>
          <w:rFonts w:ascii="Times New Roman" w:cs="Times New Roman"/>
          <w:kern w:val="2"/>
        </w:rPr>
        <w:t>)</w:t>
      </w:r>
      <w:r>
        <w:rPr>
          <w:rFonts w:ascii="Times New Roman" w:cs="Times New Roman"/>
          <w:kern w:val="2"/>
        </w:rPr>
        <w:t>、</w:t>
      </w:r>
      <w:r>
        <w:rPr>
          <w:rFonts w:ascii="Times New Roman" w:cs="Times New Roman"/>
          <w:spacing w:val="5"/>
          <w:kern w:val="2"/>
        </w:rPr>
        <w:t>川梨</w:t>
      </w:r>
      <w:r>
        <w:rPr>
          <w:rFonts w:ascii="Times New Roman" w:cs="Times New Roman"/>
          <w:spacing w:val="5"/>
          <w:kern w:val="2"/>
        </w:rPr>
        <w:t>(</w:t>
      </w:r>
      <w:r>
        <w:rPr>
          <w:rFonts w:ascii="Times New Roman" w:eastAsia="Times New Roman" w:cs="Times New Roman"/>
          <w:i/>
          <w:iCs/>
          <w:kern w:val="2"/>
        </w:rPr>
        <w:t>Pyrus</w:t>
      </w:r>
      <w:r>
        <w:rPr>
          <w:rFonts w:ascii="Times New Roman" w:eastAsia="Times New Roman" w:cs="Times New Roman"/>
          <w:spacing w:val="5"/>
          <w:kern w:val="2"/>
        </w:rPr>
        <w:t xml:space="preserve"> </w:t>
      </w:r>
      <w:r>
        <w:rPr>
          <w:rFonts w:ascii="Times New Roman" w:eastAsia="Times New Roman" w:cs="Times New Roman"/>
          <w:i/>
          <w:iCs/>
          <w:kern w:val="2"/>
        </w:rPr>
        <w:t>pashia</w:t>
      </w:r>
      <w:r>
        <w:rPr>
          <w:rFonts w:ascii="Times New Roman" w:cs="Times New Roman"/>
          <w:spacing w:val="5"/>
          <w:kern w:val="2"/>
        </w:rPr>
        <w:t>)</w:t>
      </w:r>
      <w:r>
        <w:rPr>
          <w:rFonts w:ascii="Times New Roman" w:cs="Times New Roman"/>
          <w:spacing w:val="5"/>
          <w:kern w:val="2"/>
        </w:rPr>
        <w:t>、枇杷</w:t>
      </w:r>
      <w:r>
        <w:rPr>
          <w:rFonts w:ascii="Times New Roman" w:cs="Times New Roman"/>
          <w:spacing w:val="5"/>
          <w:kern w:val="2"/>
        </w:rPr>
        <w:t>(</w:t>
      </w:r>
      <w:r>
        <w:rPr>
          <w:rFonts w:ascii="Times New Roman" w:eastAsia="Times New Roman" w:cs="Times New Roman"/>
          <w:i/>
          <w:iCs/>
          <w:kern w:val="2"/>
        </w:rPr>
        <w:t>Eriobotryajaponica</w:t>
      </w:r>
      <w:r>
        <w:rPr>
          <w:rFonts w:ascii="Times New Roman" w:cs="Times New Roman"/>
          <w:spacing w:val="5"/>
          <w:kern w:val="2"/>
        </w:rPr>
        <w:t>)</w:t>
      </w:r>
      <w:r>
        <w:rPr>
          <w:rFonts w:ascii="Times New Roman" w:cs="Times New Roman"/>
          <w:spacing w:val="5"/>
          <w:kern w:val="2"/>
        </w:rPr>
        <w:t>、桃</w:t>
      </w:r>
      <w:r>
        <w:rPr>
          <w:rFonts w:ascii="Times New Roman" w:cs="Times New Roman"/>
          <w:spacing w:val="5"/>
          <w:kern w:val="2"/>
        </w:rPr>
        <w:t>(</w:t>
      </w:r>
      <w:r>
        <w:rPr>
          <w:rFonts w:ascii="Times New Roman" w:eastAsia="Times New Roman" w:cs="Times New Roman"/>
          <w:i/>
          <w:iCs/>
          <w:kern w:val="2"/>
        </w:rPr>
        <w:t>Amygdalus</w:t>
      </w:r>
      <w:r>
        <w:rPr>
          <w:rFonts w:ascii="Times New Roman" w:eastAsia="Times New Roman" w:cs="Times New Roman"/>
          <w:kern w:val="2"/>
        </w:rPr>
        <w:t xml:space="preserve"> </w:t>
      </w:r>
      <w:r>
        <w:rPr>
          <w:rFonts w:ascii="Times New Roman" w:eastAsia="Times New Roman" w:cs="Times New Roman"/>
          <w:i/>
          <w:iCs/>
          <w:kern w:val="2"/>
        </w:rPr>
        <w:t>persica</w:t>
      </w:r>
      <w:r>
        <w:rPr>
          <w:rFonts w:ascii="Times New Roman" w:cs="Times New Roman"/>
          <w:spacing w:val="27"/>
          <w:kern w:val="2"/>
        </w:rPr>
        <w:t>)</w:t>
      </w:r>
      <w:r>
        <w:rPr>
          <w:rFonts w:ascii="Times New Roman" w:cs="Times New Roman"/>
          <w:spacing w:val="25"/>
          <w:kern w:val="2"/>
        </w:rPr>
        <w:t>、木瓜</w:t>
      </w:r>
      <w:r>
        <w:rPr>
          <w:rFonts w:ascii="Times New Roman" w:cs="Times New Roman"/>
          <w:spacing w:val="25"/>
          <w:kern w:val="2"/>
        </w:rPr>
        <w:t>(</w:t>
      </w:r>
      <w:r>
        <w:rPr>
          <w:rFonts w:ascii="Times New Roman" w:eastAsia="Times New Roman" w:cs="Times New Roman"/>
          <w:i/>
          <w:iCs/>
          <w:kern w:val="2"/>
        </w:rPr>
        <w:t>ChaenomelessinensisKoehne</w:t>
      </w:r>
      <w:r>
        <w:rPr>
          <w:rFonts w:ascii="Times New Roman" w:cs="Times New Roman"/>
          <w:spacing w:val="25"/>
          <w:kern w:val="2"/>
        </w:rPr>
        <w:t>)</w:t>
      </w:r>
      <w:r>
        <w:rPr>
          <w:rFonts w:ascii="Times New Roman" w:cs="Times New Roman"/>
          <w:kern w:val="2"/>
        </w:rPr>
        <w:t>、樱桃</w:t>
      </w:r>
      <w:r>
        <w:rPr>
          <w:rFonts w:ascii="Times New Roman" w:cs="Times New Roman"/>
          <w:kern w:val="2"/>
        </w:rPr>
        <w:t>(</w:t>
      </w:r>
      <w:r>
        <w:rPr>
          <w:rFonts w:ascii="Times New Roman" w:cs="Times New Roman"/>
          <w:i/>
          <w:kern w:val="2"/>
        </w:rPr>
        <w:t>Cerasus pseudocerasus</w:t>
      </w:r>
      <w:r>
        <w:rPr>
          <w:rFonts w:ascii="Times New Roman" w:cs="Times New Roman"/>
          <w:kern w:val="2"/>
        </w:rPr>
        <w:t>)</w:t>
      </w:r>
      <w:r>
        <w:rPr>
          <w:rFonts w:ascii="Times New Roman" w:cs="Times New Roman"/>
          <w:kern w:val="2"/>
        </w:rPr>
        <w:t>、李</w:t>
      </w:r>
      <w:r>
        <w:rPr>
          <w:rFonts w:ascii="Times New Roman" w:cs="Times New Roman"/>
          <w:kern w:val="2"/>
        </w:rPr>
        <w:t>(</w:t>
      </w:r>
      <w:r>
        <w:rPr>
          <w:rFonts w:ascii="Times New Roman" w:cs="Times New Roman"/>
          <w:i/>
          <w:kern w:val="2"/>
        </w:rPr>
        <w:t>Prunus salicina</w:t>
      </w:r>
      <w:r>
        <w:rPr>
          <w:rFonts w:ascii="Times New Roman" w:cs="Times New Roman"/>
          <w:kern w:val="2"/>
        </w:rPr>
        <w:t>)</w:t>
      </w:r>
      <w:r>
        <w:rPr>
          <w:rFonts w:ascii="Times New Roman" w:cs="Times New Roman"/>
          <w:kern w:val="2"/>
        </w:rPr>
        <w:t>、核桃</w:t>
      </w:r>
      <w:r>
        <w:rPr>
          <w:rFonts w:ascii="Times New Roman" w:cs="Times New Roman"/>
          <w:kern w:val="2"/>
        </w:rPr>
        <w:t>(</w:t>
      </w:r>
      <w:r>
        <w:rPr>
          <w:rFonts w:ascii="Times New Roman" w:cs="Times New Roman"/>
          <w:i/>
          <w:kern w:val="2"/>
        </w:rPr>
        <w:t>Juglans regia</w:t>
      </w:r>
      <w:r>
        <w:rPr>
          <w:rFonts w:ascii="Times New Roman" w:cs="Times New Roman"/>
          <w:kern w:val="2"/>
        </w:rPr>
        <w:t>)</w:t>
      </w:r>
      <w:r>
        <w:rPr>
          <w:rFonts w:ascii="Times New Roman" w:cs="Times New Roman"/>
          <w:kern w:val="2"/>
        </w:rPr>
        <w:t>、柑橘</w:t>
      </w:r>
      <w:r>
        <w:rPr>
          <w:rFonts w:ascii="Times New Roman" w:cs="Times New Roman"/>
          <w:kern w:val="2"/>
        </w:rPr>
        <w:t>(</w:t>
      </w:r>
      <w:r>
        <w:rPr>
          <w:rFonts w:ascii="Times New Roman" w:cs="Times New Roman"/>
          <w:i/>
          <w:kern w:val="2"/>
        </w:rPr>
        <w:t>Citrus reticulata</w:t>
      </w:r>
      <w:r>
        <w:rPr>
          <w:rFonts w:ascii="Times New Roman" w:cs="Times New Roman"/>
          <w:kern w:val="2"/>
        </w:rPr>
        <w:t>)</w:t>
      </w:r>
      <w:r>
        <w:rPr>
          <w:rFonts w:ascii="Times New Roman" w:cs="Times New Roman"/>
          <w:kern w:val="2"/>
        </w:rPr>
        <w:t>、柚子</w:t>
      </w:r>
      <w:r>
        <w:rPr>
          <w:rFonts w:ascii="Times New Roman" w:cs="Times New Roman"/>
          <w:kern w:val="2"/>
        </w:rPr>
        <w:t>(</w:t>
      </w:r>
      <w:r>
        <w:rPr>
          <w:rFonts w:ascii="Times New Roman" w:cs="Times New Roman"/>
          <w:i/>
          <w:kern w:val="2"/>
        </w:rPr>
        <w:t>Citrus grandis</w:t>
      </w:r>
      <w:r>
        <w:rPr>
          <w:rFonts w:ascii="Times New Roman" w:cs="Times New Roman"/>
          <w:kern w:val="2"/>
        </w:rPr>
        <w:t>)</w:t>
      </w:r>
      <w:r>
        <w:rPr>
          <w:rFonts w:ascii="Times New Roman" w:cs="Times New Roman"/>
          <w:kern w:val="2"/>
        </w:rPr>
        <w:t>等经济果树。</w:t>
      </w:r>
    </w:p>
    <w:p w:rsidR="00BD5820" w:rsidRDefault="00F64314">
      <w:pPr>
        <w:pStyle w:val="affa"/>
        <w:ind w:firstLine="480"/>
        <w:rPr>
          <w:kern w:val="2"/>
          <w:szCs w:val="24"/>
        </w:rPr>
      </w:pPr>
      <w:r>
        <w:rPr>
          <w:kern w:val="2"/>
          <w:szCs w:val="24"/>
        </w:rPr>
        <w:t>与栽培植被共存的还有各种农田杂草及田间灌草丛，它们在农闲，轮作间歇期，或者农田管理不善时，成为栽培植被的主要替代者，此时即为杂草丛生的农田外貌，杂草以禾本科、菊科、莎草科、豆科、蓼科、唇形科植物为主。常见种类有蜈蚣草、三叶鬼针草、艾蒿、土牛膝、打破碗花花、猪殃殃、反枝苋、问荆、繁缕、蒲公英、土牛膝、毛茛、雀稗、光头稗、狗牙根、牛鞭草、空心莲子草、白花碎米荠、醴肠等。</w:t>
      </w:r>
    </w:p>
    <w:p w:rsidR="00BD5820" w:rsidRDefault="00F64314">
      <w:pPr>
        <w:pStyle w:val="affa"/>
        <w:ind w:firstLine="480"/>
      </w:pPr>
      <w:r>
        <w:t>项目评价范围陆生植被调查及样方现场照片见图</w:t>
      </w:r>
      <w:r>
        <w:t>4.3-</w:t>
      </w:r>
      <w:r>
        <w:rPr>
          <w:rFonts w:hint="eastAsia"/>
        </w:rPr>
        <w:t>1</w:t>
      </w:r>
      <w:r>
        <w:t>。</w:t>
      </w:r>
    </w:p>
    <w:tbl>
      <w:tblPr>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9"/>
        <w:gridCol w:w="4412"/>
      </w:tblGrid>
      <w:tr w:rsidR="00BD5820">
        <w:trPr>
          <w:jc w:val="center"/>
        </w:trPr>
        <w:tc>
          <w:tcPr>
            <w:tcW w:w="4369" w:type="dxa"/>
          </w:tcPr>
          <w:p w:rsidR="00BD5820" w:rsidRDefault="00F64314">
            <w:pPr>
              <w:pStyle w:val="Default"/>
              <w:jc w:val="center"/>
              <w:rPr>
                <w:rFonts w:ascii="Times New Roman" w:hAnsi="Times New Roman" w:cs="Times New Roman"/>
                <w:color w:val="auto"/>
                <w:kern w:val="2"/>
              </w:rPr>
            </w:pPr>
            <w:r>
              <w:rPr>
                <w:noProof/>
              </w:rPr>
              <w:lastRenderedPageBreak/>
              <w:drawing>
                <wp:inline distT="0" distB="0" distL="114300" distR="114300">
                  <wp:extent cx="2661920" cy="1934845"/>
                  <wp:effectExtent l="0" t="0" r="5080" b="8255"/>
                  <wp:docPr id="1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9"/>
                          <pic:cNvPicPr>
                            <a:picLocks noChangeAspect="1"/>
                          </pic:cNvPicPr>
                        </pic:nvPicPr>
                        <pic:blipFill>
                          <a:blip r:embed="rId56"/>
                          <a:stretch>
                            <a:fillRect/>
                          </a:stretch>
                        </pic:blipFill>
                        <pic:spPr>
                          <a:xfrm>
                            <a:off x="0" y="0"/>
                            <a:ext cx="2661920" cy="1934845"/>
                          </a:xfrm>
                          <a:prstGeom prst="rect">
                            <a:avLst/>
                          </a:prstGeom>
                          <a:noFill/>
                          <a:ln>
                            <a:noFill/>
                          </a:ln>
                        </pic:spPr>
                      </pic:pic>
                    </a:graphicData>
                  </a:graphic>
                </wp:inline>
              </w:drawing>
            </w:r>
          </w:p>
        </w:tc>
        <w:tc>
          <w:tcPr>
            <w:tcW w:w="4412" w:type="dxa"/>
          </w:tcPr>
          <w:p w:rsidR="00BD5820" w:rsidRDefault="00F64314">
            <w:pPr>
              <w:pStyle w:val="Default"/>
              <w:jc w:val="center"/>
              <w:rPr>
                <w:rFonts w:ascii="Times New Roman" w:hAnsi="Times New Roman" w:cs="Times New Roman"/>
                <w:color w:val="auto"/>
                <w:kern w:val="2"/>
              </w:rPr>
            </w:pPr>
            <w:r>
              <w:rPr>
                <w:noProof/>
              </w:rPr>
              <w:drawing>
                <wp:inline distT="0" distB="0" distL="114300" distR="114300">
                  <wp:extent cx="2632710" cy="1971040"/>
                  <wp:effectExtent l="0" t="0" r="15240" b="10160"/>
                  <wp:docPr id="1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8"/>
                          <pic:cNvPicPr>
                            <a:picLocks noChangeAspect="1"/>
                          </pic:cNvPicPr>
                        </pic:nvPicPr>
                        <pic:blipFill>
                          <a:blip r:embed="rId57"/>
                          <a:stretch>
                            <a:fillRect/>
                          </a:stretch>
                        </pic:blipFill>
                        <pic:spPr>
                          <a:xfrm>
                            <a:off x="0" y="0"/>
                            <a:ext cx="2632710" cy="1971040"/>
                          </a:xfrm>
                          <a:prstGeom prst="rect">
                            <a:avLst/>
                          </a:prstGeom>
                          <a:noFill/>
                          <a:ln>
                            <a:noFill/>
                          </a:ln>
                        </pic:spPr>
                      </pic:pic>
                    </a:graphicData>
                  </a:graphic>
                </wp:inline>
              </w:drawing>
            </w:r>
          </w:p>
        </w:tc>
      </w:tr>
      <w:tr w:rsidR="00BD5820">
        <w:trPr>
          <w:jc w:val="center"/>
        </w:trPr>
        <w:tc>
          <w:tcPr>
            <w:tcW w:w="4369" w:type="dxa"/>
          </w:tcPr>
          <w:p w:rsidR="00BD5820" w:rsidRDefault="00F64314">
            <w:pPr>
              <w:pStyle w:val="Default"/>
              <w:jc w:val="center"/>
              <w:rPr>
                <w:rFonts w:ascii="Times New Roman" w:hAnsi="Times New Roman" w:cs="Times New Roman"/>
                <w:color w:val="auto"/>
                <w:kern w:val="2"/>
                <w:sz w:val="21"/>
                <w:szCs w:val="21"/>
              </w:rPr>
            </w:pPr>
            <w:r>
              <w:rPr>
                <w:rFonts w:hAnsi="Times New Roman" w:hint="eastAsia"/>
                <w:color w:val="auto"/>
                <w:kern w:val="2"/>
                <w:sz w:val="21"/>
                <w:szCs w:val="21"/>
              </w:rPr>
              <w:t>马尾松群落</w:t>
            </w:r>
          </w:p>
        </w:tc>
        <w:tc>
          <w:tcPr>
            <w:tcW w:w="4412" w:type="dxa"/>
          </w:tcPr>
          <w:p w:rsidR="00BD5820" w:rsidRDefault="00F64314">
            <w:pPr>
              <w:pStyle w:val="Default"/>
              <w:jc w:val="center"/>
              <w:rPr>
                <w:rFonts w:ascii="Times New Roman" w:hAnsi="Times New Roman" w:cs="Times New Roman"/>
                <w:color w:val="auto"/>
                <w:kern w:val="2"/>
                <w:sz w:val="21"/>
                <w:szCs w:val="21"/>
              </w:rPr>
            </w:pPr>
            <w:r>
              <w:rPr>
                <w:rFonts w:hAnsi="Times New Roman" w:hint="eastAsia"/>
                <w:color w:val="auto"/>
                <w:kern w:val="2"/>
                <w:sz w:val="21"/>
                <w:szCs w:val="21"/>
              </w:rPr>
              <w:t>马尾松样方调查</w:t>
            </w:r>
          </w:p>
        </w:tc>
      </w:tr>
      <w:tr w:rsidR="00BD5820">
        <w:trPr>
          <w:jc w:val="center"/>
        </w:trPr>
        <w:tc>
          <w:tcPr>
            <w:tcW w:w="4369" w:type="dxa"/>
          </w:tcPr>
          <w:p w:rsidR="00BD5820" w:rsidRDefault="00F64314">
            <w:pPr>
              <w:pStyle w:val="Default"/>
              <w:jc w:val="center"/>
              <w:rPr>
                <w:rFonts w:hAnsi="Times New Roman"/>
                <w:color w:val="auto"/>
                <w:kern w:val="2"/>
              </w:rPr>
            </w:pPr>
            <w:r>
              <w:rPr>
                <w:noProof/>
              </w:rPr>
              <w:drawing>
                <wp:inline distT="0" distB="0" distL="114300" distR="114300">
                  <wp:extent cx="2663825" cy="2078990"/>
                  <wp:effectExtent l="0" t="0" r="3175" b="16510"/>
                  <wp:docPr id="17"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1"/>
                          <pic:cNvPicPr>
                            <a:picLocks noChangeAspect="1"/>
                          </pic:cNvPicPr>
                        </pic:nvPicPr>
                        <pic:blipFill>
                          <a:blip r:embed="rId58"/>
                          <a:stretch>
                            <a:fillRect/>
                          </a:stretch>
                        </pic:blipFill>
                        <pic:spPr>
                          <a:xfrm>
                            <a:off x="0" y="0"/>
                            <a:ext cx="2663825" cy="2078990"/>
                          </a:xfrm>
                          <a:prstGeom prst="rect">
                            <a:avLst/>
                          </a:prstGeom>
                          <a:noFill/>
                          <a:ln>
                            <a:noFill/>
                          </a:ln>
                        </pic:spPr>
                      </pic:pic>
                    </a:graphicData>
                  </a:graphic>
                </wp:inline>
              </w:drawing>
            </w:r>
          </w:p>
        </w:tc>
        <w:tc>
          <w:tcPr>
            <w:tcW w:w="4412" w:type="dxa"/>
          </w:tcPr>
          <w:p w:rsidR="00BD5820" w:rsidRDefault="00F64314">
            <w:pPr>
              <w:pStyle w:val="Default"/>
              <w:jc w:val="center"/>
              <w:rPr>
                <w:rFonts w:hAnsi="Times New Roman"/>
                <w:color w:val="auto"/>
                <w:kern w:val="2"/>
              </w:rPr>
            </w:pPr>
            <w:r>
              <w:rPr>
                <w:noProof/>
              </w:rPr>
              <w:drawing>
                <wp:inline distT="0" distB="0" distL="114300" distR="114300">
                  <wp:extent cx="2634615" cy="2063750"/>
                  <wp:effectExtent l="0" t="0" r="13335" b="12700"/>
                  <wp:docPr id="1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0"/>
                          <pic:cNvPicPr>
                            <a:picLocks noChangeAspect="1"/>
                          </pic:cNvPicPr>
                        </pic:nvPicPr>
                        <pic:blipFill>
                          <a:blip r:embed="rId59"/>
                          <a:stretch>
                            <a:fillRect/>
                          </a:stretch>
                        </pic:blipFill>
                        <pic:spPr>
                          <a:xfrm>
                            <a:off x="0" y="0"/>
                            <a:ext cx="2634615" cy="2063750"/>
                          </a:xfrm>
                          <a:prstGeom prst="rect">
                            <a:avLst/>
                          </a:prstGeom>
                          <a:noFill/>
                          <a:ln>
                            <a:noFill/>
                          </a:ln>
                        </pic:spPr>
                      </pic:pic>
                    </a:graphicData>
                  </a:graphic>
                </wp:inline>
              </w:drawing>
            </w:r>
          </w:p>
        </w:tc>
      </w:tr>
      <w:tr w:rsidR="00BD5820">
        <w:trPr>
          <w:jc w:val="center"/>
        </w:trPr>
        <w:tc>
          <w:tcPr>
            <w:tcW w:w="4369" w:type="dxa"/>
          </w:tcPr>
          <w:p w:rsidR="00BD5820" w:rsidRDefault="00F64314">
            <w:pPr>
              <w:pStyle w:val="Default"/>
              <w:jc w:val="center"/>
              <w:rPr>
                <w:rFonts w:hAnsi="Times New Roman"/>
                <w:color w:val="auto"/>
                <w:kern w:val="2"/>
                <w:sz w:val="21"/>
                <w:szCs w:val="21"/>
              </w:rPr>
            </w:pPr>
            <w:r>
              <w:rPr>
                <w:rFonts w:hAnsi="Times New Roman" w:hint="eastAsia"/>
                <w:color w:val="auto"/>
                <w:kern w:val="2"/>
                <w:sz w:val="21"/>
                <w:szCs w:val="21"/>
              </w:rPr>
              <w:t>柏木群落</w:t>
            </w:r>
          </w:p>
        </w:tc>
        <w:tc>
          <w:tcPr>
            <w:tcW w:w="4412" w:type="dxa"/>
          </w:tcPr>
          <w:p w:rsidR="00BD5820" w:rsidRDefault="00F64314">
            <w:pPr>
              <w:pStyle w:val="Default"/>
              <w:jc w:val="center"/>
              <w:rPr>
                <w:rFonts w:hAnsi="Times New Roman"/>
                <w:color w:val="auto"/>
                <w:kern w:val="2"/>
                <w:sz w:val="21"/>
                <w:szCs w:val="21"/>
              </w:rPr>
            </w:pPr>
            <w:r>
              <w:rPr>
                <w:rFonts w:hAnsi="Times New Roman" w:hint="eastAsia"/>
                <w:color w:val="auto"/>
                <w:kern w:val="2"/>
                <w:sz w:val="21"/>
                <w:szCs w:val="21"/>
              </w:rPr>
              <w:t>柏木样方调查</w:t>
            </w:r>
          </w:p>
        </w:tc>
      </w:tr>
      <w:tr w:rsidR="00BD5820">
        <w:trPr>
          <w:jc w:val="center"/>
        </w:trPr>
        <w:tc>
          <w:tcPr>
            <w:tcW w:w="4369" w:type="dxa"/>
          </w:tcPr>
          <w:p w:rsidR="00BD5820" w:rsidRDefault="00F64314">
            <w:pPr>
              <w:pStyle w:val="Default"/>
              <w:jc w:val="center"/>
              <w:rPr>
                <w:rFonts w:hAnsi="Times New Roman"/>
                <w:color w:val="auto"/>
                <w:kern w:val="2"/>
              </w:rPr>
            </w:pPr>
            <w:r>
              <w:rPr>
                <w:noProof/>
              </w:rPr>
              <w:drawing>
                <wp:inline distT="0" distB="0" distL="114300" distR="114300">
                  <wp:extent cx="2637155" cy="1890395"/>
                  <wp:effectExtent l="0" t="0" r="10795" b="14605"/>
                  <wp:docPr id="1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2"/>
                          <pic:cNvPicPr>
                            <a:picLocks noChangeAspect="1"/>
                          </pic:cNvPicPr>
                        </pic:nvPicPr>
                        <pic:blipFill>
                          <a:blip r:embed="rId60"/>
                          <a:stretch>
                            <a:fillRect/>
                          </a:stretch>
                        </pic:blipFill>
                        <pic:spPr>
                          <a:xfrm>
                            <a:off x="0" y="0"/>
                            <a:ext cx="2637155" cy="1890395"/>
                          </a:xfrm>
                          <a:prstGeom prst="rect">
                            <a:avLst/>
                          </a:prstGeom>
                          <a:noFill/>
                          <a:ln>
                            <a:noFill/>
                          </a:ln>
                        </pic:spPr>
                      </pic:pic>
                    </a:graphicData>
                  </a:graphic>
                </wp:inline>
              </w:drawing>
            </w:r>
          </w:p>
        </w:tc>
        <w:tc>
          <w:tcPr>
            <w:tcW w:w="4412" w:type="dxa"/>
          </w:tcPr>
          <w:p w:rsidR="00BD5820" w:rsidRDefault="00F64314">
            <w:pPr>
              <w:pStyle w:val="Default"/>
              <w:jc w:val="center"/>
              <w:rPr>
                <w:rFonts w:hAnsi="Times New Roman"/>
                <w:color w:val="auto"/>
                <w:kern w:val="2"/>
              </w:rPr>
            </w:pPr>
            <w:r>
              <w:rPr>
                <w:noProof/>
              </w:rPr>
              <w:drawing>
                <wp:inline distT="0" distB="0" distL="114300" distR="114300">
                  <wp:extent cx="2659380" cy="1810385"/>
                  <wp:effectExtent l="0" t="0" r="7620" b="18415"/>
                  <wp:docPr id="2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3"/>
                          <pic:cNvPicPr>
                            <a:picLocks noChangeAspect="1"/>
                          </pic:cNvPicPr>
                        </pic:nvPicPr>
                        <pic:blipFill>
                          <a:blip r:embed="rId61"/>
                          <a:stretch>
                            <a:fillRect/>
                          </a:stretch>
                        </pic:blipFill>
                        <pic:spPr>
                          <a:xfrm>
                            <a:off x="0" y="0"/>
                            <a:ext cx="2659380" cy="1810385"/>
                          </a:xfrm>
                          <a:prstGeom prst="rect">
                            <a:avLst/>
                          </a:prstGeom>
                          <a:noFill/>
                          <a:ln>
                            <a:noFill/>
                          </a:ln>
                        </pic:spPr>
                      </pic:pic>
                    </a:graphicData>
                  </a:graphic>
                </wp:inline>
              </w:drawing>
            </w:r>
          </w:p>
        </w:tc>
      </w:tr>
      <w:tr w:rsidR="00BD5820">
        <w:trPr>
          <w:jc w:val="center"/>
        </w:trPr>
        <w:tc>
          <w:tcPr>
            <w:tcW w:w="4369" w:type="dxa"/>
          </w:tcPr>
          <w:p w:rsidR="00BD5820" w:rsidRDefault="00F64314">
            <w:pPr>
              <w:pStyle w:val="Default"/>
              <w:jc w:val="center"/>
              <w:rPr>
                <w:rFonts w:hAnsi="Times New Roman"/>
                <w:color w:val="auto"/>
                <w:kern w:val="2"/>
                <w:sz w:val="21"/>
                <w:szCs w:val="21"/>
              </w:rPr>
            </w:pPr>
            <w:r>
              <w:rPr>
                <w:rFonts w:hAnsi="Times New Roman"/>
                <w:color w:val="auto"/>
                <w:kern w:val="2"/>
                <w:sz w:val="21"/>
                <w:szCs w:val="21"/>
              </w:rPr>
              <w:t>麻栎、</w:t>
            </w:r>
            <w:r>
              <w:rPr>
                <w:rFonts w:hAnsi="Times New Roman" w:hint="eastAsia"/>
                <w:color w:val="auto"/>
                <w:kern w:val="2"/>
                <w:sz w:val="21"/>
                <w:szCs w:val="21"/>
              </w:rPr>
              <w:t>青冈、</w:t>
            </w:r>
            <w:r>
              <w:rPr>
                <w:rFonts w:hAnsi="Times New Roman"/>
                <w:color w:val="auto"/>
                <w:kern w:val="2"/>
                <w:sz w:val="21"/>
                <w:szCs w:val="21"/>
              </w:rPr>
              <w:t>栓皮栎群系</w:t>
            </w:r>
          </w:p>
        </w:tc>
        <w:tc>
          <w:tcPr>
            <w:tcW w:w="4412" w:type="dxa"/>
          </w:tcPr>
          <w:p w:rsidR="00BD5820" w:rsidRDefault="00F64314">
            <w:pPr>
              <w:pStyle w:val="Default"/>
              <w:jc w:val="center"/>
              <w:rPr>
                <w:rFonts w:hAnsi="Times New Roman"/>
                <w:color w:val="auto"/>
                <w:kern w:val="2"/>
                <w:sz w:val="21"/>
                <w:szCs w:val="21"/>
              </w:rPr>
            </w:pPr>
            <w:r>
              <w:rPr>
                <w:rFonts w:hAnsi="Times New Roman"/>
                <w:color w:val="auto"/>
                <w:kern w:val="2"/>
                <w:sz w:val="21"/>
                <w:szCs w:val="21"/>
              </w:rPr>
              <w:t>麻栎、</w:t>
            </w:r>
            <w:r>
              <w:rPr>
                <w:rFonts w:hAnsi="Times New Roman" w:hint="eastAsia"/>
                <w:color w:val="auto"/>
                <w:kern w:val="2"/>
                <w:sz w:val="21"/>
                <w:szCs w:val="21"/>
              </w:rPr>
              <w:t>青冈、</w:t>
            </w:r>
            <w:r>
              <w:rPr>
                <w:rFonts w:hAnsi="Times New Roman"/>
                <w:color w:val="auto"/>
                <w:kern w:val="2"/>
                <w:sz w:val="21"/>
                <w:szCs w:val="21"/>
              </w:rPr>
              <w:t>栓皮栎群系</w:t>
            </w:r>
          </w:p>
        </w:tc>
      </w:tr>
      <w:tr w:rsidR="00BD5820">
        <w:trPr>
          <w:jc w:val="center"/>
        </w:trPr>
        <w:tc>
          <w:tcPr>
            <w:tcW w:w="4369" w:type="dxa"/>
          </w:tcPr>
          <w:p w:rsidR="00BD5820" w:rsidRDefault="00F64314">
            <w:pPr>
              <w:pStyle w:val="Default"/>
              <w:jc w:val="center"/>
              <w:rPr>
                <w:rFonts w:ascii="Times New Roman" w:hAnsi="Times New Roman" w:cs="Times New Roman"/>
                <w:color w:val="auto"/>
                <w:spacing w:val="-4"/>
                <w:kern w:val="2"/>
                <w:sz w:val="21"/>
                <w:szCs w:val="21"/>
              </w:rPr>
            </w:pPr>
            <w:r>
              <w:rPr>
                <w:noProof/>
              </w:rPr>
              <w:lastRenderedPageBreak/>
              <w:drawing>
                <wp:inline distT="0" distB="0" distL="114300" distR="114300">
                  <wp:extent cx="2632075" cy="2083435"/>
                  <wp:effectExtent l="0" t="0" r="15875" b="12065"/>
                  <wp:docPr id="2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4"/>
                          <pic:cNvPicPr>
                            <a:picLocks noChangeAspect="1"/>
                          </pic:cNvPicPr>
                        </pic:nvPicPr>
                        <pic:blipFill>
                          <a:blip r:embed="rId62"/>
                          <a:stretch>
                            <a:fillRect/>
                          </a:stretch>
                        </pic:blipFill>
                        <pic:spPr>
                          <a:xfrm>
                            <a:off x="0" y="0"/>
                            <a:ext cx="2632075" cy="2083435"/>
                          </a:xfrm>
                          <a:prstGeom prst="rect">
                            <a:avLst/>
                          </a:prstGeom>
                          <a:noFill/>
                          <a:ln>
                            <a:noFill/>
                          </a:ln>
                        </pic:spPr>
                      </pic:pic>
                    </a:graphicData>
                  </a:graphic>
                </wp:inline>
              </w:drawing>
            </w:r>
          </w:p>
        </w:tc>
        <w:tc>
          <w:tcPr>
            <w:tcW w:w="4412" w:type="dxa"/>
          </w:tcPr>
          <w:p w:rsidR="00BD5820" w:rsidRDefault="00F64314">
            <w:pPr>
              <w:pStyle w:val="Default"/>
              <w:jc w:val="center"/>
              <w:rPr>
                <w:rFonts w:ascii="Times New Roman" w:hAnsi="Times New Roman" w:cs="Times New Roman"/>
                <w:color w:val="auto"/>
                <w:spacing w:val="-4"/>
                <w:kern w:val="2"/>
                <w:sz w:val="21"/>
                <w:szCs w:val="21"/>
              </w:rPr>
            </w:pPr>
            <w:r>
              <w:rPr>
                <w:noProof/>
              </w:rPr>
              <w:drawing>
                <wp:inline distT="0" distB="0" distL="114300" distR="114300">
                  <wp:extent cx="2662555" cy="2065020"/>
                  <wp:effectExtent l="0" t="0" r="4445" b="11430"/>
                  <wp:docPr id="2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5"/>
                          <pic:cNvPicPr>
                            <a:picLocks noChangeAspect="1"/>
                          </pic:cNvPicPr>
                        </pic:nvPicPr>
                        <pic:blipFill>
                          <a:blip r:embed="rId63"/>
                          <a:stretch>
                            <a:fillRect/>
                          </a:stretch>
                        </pic:blipFill>
                        <pic:spPr>
                          <a:xfrm>
                            <a:off x="0" y="0"/>
                            <a:ext cx="2662555" cy="2065020"/>
                          </a:xfrm>
                          <a:prstGeom prst="rect">
                            <a:avLst/>
                          </a:prstGeom>
                          <a:noFill/>
                          <a:ln>
                            <a:noFill/>
                          </a:ln>
                        </pic:spPr>
                      </pic:pic>
                    </a:graphicData>
                  </a:graphic>
                </wp:inline>
              </w:drawing>
            </w:r>
          </w:p>
        </w:tc>
      </w:tr>
      <w:tr w:rsidR="00BD5820">
        <w:trPr>
          <w:jc w:val="center"/>
        </w:trPr>
        <w:tc>
          <w:tcPr>
            <w:tcW w:w="4369" w:type="dxa"/>
          </w:tcPr>
          <w:p w:rsidR="00BD5820" w:rsidRDefault="00F64314">
            <w:pPr>
              <w:pStyle w:val="Default"/>
              <w:jc w:val="center"/>
              <w:rPr>
                <w:rFonts w:hAnsi="Times New Roman"/>
                <w:color w:val="auto"/>
                <w:kern w:val="2"/>
                <w:sz w:val="21"/>
                <w:szCs w:val="21"/>
              </w:rPr>
            </w:pPr>
            <w:r>
              <w:rPr>
                <w:rFonts w:hAnsi="Times New Roman"/>
                <w:color w:val="auto"/>
                <w:kern w:val="2"/>
                <w:sz w:val="21"/>
                <w:szCs w:val="21"/>
              </w:rPr>
              <w:t>灌丛群系</w:t>
            </w:r>
          </w:p>
        </w:tc>
        <w:tc>
          <w:tcPr>
            <w:tcW w:w="4412" w:type="dxa"/>
          </w:tcPr>
          <w:p w:rsidR="00BD5820" w:rsidRDefault="00F64314">
            <w:pPr>
              <w:pStyle w:val="Default"/>
              <w:jc w:val="center"/>
              <w:rPr>
                <w:rFonts w:hAnsi="Times New Roman"/>
                <w:color w:val="auto"/>
                <w:kern w:val="2"/>
                <w:sz w:val="21"/>
                <w:szCs w:val="21"/>
              </w:rPr>
            </w:pPr>
            <w:r>
              <w:rPr>
                <w:rFonts w:hAnsi="Times New Roman" w:hint="eastAsia"/>
                <w:color w:val="auto"/>
                <w:kern w:val="2"/>
                <w:sz w:val="21"/>
                <w:szCs w:val="21"/>
              </w:rPr>
              <w:t>灌丛</w:t>
            </w:r>
            <w:r>
              <w:rPr>
                <w:rFonts w:hAnsi="Times New Roman"/>
                <w:color w:val="auto"/>
                <w:kern w:val="2"/>
                <w:sz w:val="21"/>
                <w:szCs w:val="21"/>
              </w:rPr>
              <w:t>群系</w:t>
            </w:r>
          </w:p>
        </w:tc>
      </w:tr>
      <w:tr w:rsidR="00BD5820">
        <w:trPr>
          <w:jc w:val="center"/>
        </w:trPr>
        <w:tc>
          <w:tcPr>
            <w:tcW w:w="4369" w:type="dxa"/>
          </w:tcPr>
          <w:p w:rsidR="00BD5820" w:rsidRDefault="00F64314">
            <w:pPr>
              <w:pStyle w:val="Default"/>
              <w:jc w:val="center"/>
              <w:rPr>
                <w:rFonts w:hAnsi="Times New Roman"/>
                <w:color w:val="auto"/>
                <w:kern w:val="2"/>
                <w:sz w:val="21"/>
                <w:szCs w:val="21"/>
              </w:rPr>
            </w:pPr>
            <w:r>
              <w:rPr>
                <w:rFonts w:hAnsi="Times New Roman" w:hint="eastAsia"/>
                <w:noProof/>
                <w:color w:val="auto"/>
                <w:kern w:val="2"/>
                <w:sz w:val="21"/>
                <w:szCs w:val="21"/>
              </w:rPr>
              <w:drawing>
                <wp:inline distT="0" distB="0" distL="114300" distR="114300">
                  <wp:extent cx="2633980" cy="1974850"/>
                  <wp:effectExtent l="0" t="0" r="13970" b="6350"/>
                  <wp:docPr id="24" name="图片 24" descr="0e5cf58d446f5974f20398ba0814c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0e5cf58d446f5974f20398ba0814c56"/>
                          <pic:cNvPicPr>
                            <a:picLocks noChangeAspect="1"/>
                          </pic:cNvPicPr>
                        </pic:nvPicPr>
                        <pic:blipFill>
                          <a:blip r:embed="rId64"/>
                          <a:stretch>
                            <a:fillRect/>
                          </a:stretch>
                        </pic:blipFill>
                        <pic:spPr>
                          <a:xfrm>
                            <a:off x="0" y="0"/>
                            <a:ext cx="2633980" cy="1974850"/>
                          </a:xfrm>
                          <a:prstGeom prst="rect">
                            <a:avLst/>
                          </a:prstGeom>
                        </pic:spPr>
                      </pic:pic>
                    </a:graphicData>
                  </a:graphic>
                </wp:inline>
              </w:drawing>
            </w:r>
          </w:p>
        </w:tc>
        <w:tc>
          <w:tcPr>
            <w:tcW w:w="4412" w:type="dxa"/>
          </w:tcPr>
          <w:p w:rsidR="00BD5820" w:rsidRDefault="00F64314">
            <w:pPr>
              <w:pStyle w:val="Default"/>
              <w:jc w:val="center"/>
              <w:rPr>
                <w:rFonts w:hAnsi="Times New Roman"/>
                <w:color w:val="auto"/>
                <w:kern w:val="2"/>
                <w:sz w:val="21"/>
                <w:szCs w:val="21"/>
              </w:rPr>
            </w:pPr>
            <w:r>
              <w:rPr>
                <w:rFonts w:hAnsi="Times New Roman" w:hint="eastAsia"/>
                <w:noProof/>
                <w:color w:val="auto"/>
                <w:kern w:val="2"/>
                <w:sz w:val="21"/>
                <w:szCs w:val="21"/>
              </w:rPr>
              <w:drawing>
                <wp:inline distT="0" distB="0" distL="114300" distR="114300">
                  <wp:extent cx="2650490" cy="1866900"/>
                  <wp:effectExtent l="0" t="0" r="16510" b="0"/>
                  <wp:docPr id="26" name="图片 26" descr="b81eaa6e053d9fead5d4464393e51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b81eaa6e053d9fead5d4464393e51dd"/>
                          <pic:cNvPicPr>
                            <a:picLocks noChangeAspect="1"/>
                          </pic:cNvPicPr>
                        </pic:nvPicPr>
                        <pic:blipFill>
                          <a:blip r:embed="rId65"/>
                          <a:stretch>
                            <a:fillRect/>
                          </a:stretch>
                        </pic:blipFill>
                        <pic:spPr>
                          <a:xfrm>
                            <a:off x="0" y="0"/>
                            <a:ext cx="2650490" cy="1866900"/>
                          </a:xfrm>
                          <a:prstGeom prst="rect">
                            <a:avLst/>
                          </a:prstGeom>
                        </pic:spPr>
                      </pic:pic>
                    </a:graphicData>
                  </a:graphic>
                </wp:inline>
              </w:drawing>
            </w:r>
          </w:p>
        </w:tc>
      </w:tr>
      <w:tr w:rsidR="00BD5820">
        <w:trPr>
          <w:trHeight w:val="298"/>
          <w:jc w:val="center"/>
        </w:trPr>
        <w:tc>
          <w:tcPr>
            <w:tcW w:w="4369" w:type="dxa"/>
          </w:tcPr>
          <w:p w:rsidR="00BD5820" w:rsidRDefault="00F64314">
            <w:pPr>
              <w:pStyle w:val="Default"/>
              <w:jc w:val="center"/>
              <w:rPr>
                <w:rFonts w:hAnsi="Times New Roman"/>
                <w:color w:val="auto"/>
                <w:kern w:val="2"/>
                <w:sz w:val="21"/>
                <w:szCs w:val="21"/>
              </w:rPr>
            </w:pPr>
            <w:r>
              <w:rPr>
                <w:rFonts w:ascii="Times New Roman" w:cs="Times New Roman" w:hint="eastAsia"/>
                <w:spacing w:val="-4"/>
                <w:kern w:val="2"/>
                <w:sz w:val="21"/>
                <w:szCs w:val="21"/>
              </w:rPr>
              <w:t>草丛</w:t>
            </w:r>
            <w:r>
              <w:rPr>
                <w:rFonts w:ascii="Times New Roman" w:cs="Times New Roman"/>
                <w:spacing w:val="-4"/>
                <w:kern w:val="2"/>
                <w:sz w:val="21"/>
                <w:szCs w:val="21"/>
              </w:rPr>
              <w:t>群系</w:t>
            </w:r>
          </w:p>
        </w:tc>
        <w:tc>
          <w:tcPr>
            <w:tcW w:w="4412" w:type="dxa"/>
          </w:tcPr>
          <w:p w:rsidR="00BD5820" w:rsidRDefault="00F64314">
            <w:pPr>
              <w:pStyle w:val="Default"/>
              <w:jc w:val="center"/>
              <w:rPr>
                <w:rFonts w:hAnsi="Times New Roman"/>
                <w:color w:val="auto"/>
                <w:kern w:val="2"/>
                <w:sz w:val="21"/>
                <w:szCs w:val="21"/>
              </w:rPr>
            </w:pPr>
            <w:r>
              <w:rPr>
                <w:rFonts w:ascii="Times New Roman" w:cs="Times New Roman" w:hint="eastAsia"/>
                <w:spacing w:val="-4"/>
                <w:kern w:val="2"/>
                <w:sz w:val="21"/>
                <w:szCs w:val="21"/>
              </w:rPr>
              <w:t>草丛</w:t>
            </w:r>
            <w:r>
              <w:rPr>
                <w:rFonts w:ascii="Times New Roman" w:cs="Times New Roman"/>
                <w:spacing w:val="-4"/>
                <w:kern w:val="2"/>
                <w:sz w:val="21"/>
                <w:szCs w:val="21"/>
              </w:rPr>
              <w:t>群系</w:t>
            </w:r>
          </w:p>
        </w:tc>
      </w:tr>
      <w:tr w:rsidR="00BD5820">
        <w:trPr>
          <w:trHeight w:val="298"/>
          <w:jc w:val="center"/>
        </w:trPr>
        <w:tc>
          <w:tcPr>
            <w:tcW w:w="8781" w:type="dxa"/>
            <w:gridSpan w:val="2"/>
          </w:tcPr>
          <w:p w:rsidR="00BD5820" w:rsidRDefault="00F64314">
            <w:pPr>
              <w:pStyle w:val="Default"/>
              <w:jc w:val="center"/>
              <w:rPr>
                <w:rFonts w:ascii="Times New Roman" w:cs="Times New Roman"/>
                <w:spacing w:val="-4"/>
                <w:kern w:val="2"/>
                <w:sz w:val="21"/>
                <w:szCs w:val="21"/>
              </w:rPr>
            </w:pPr>
            <w:r>
              <w:rPr>
                <w:b/>
                <w:bCs/>
                <w:sz w:val="21"/>
                <w:szCs w:val="21"/>
              </w:rPr>
              <w:t>图</w:t>
            </w:r>
            <w:r>
              <w:rPr>
                <w:rFonts w:ascii="Times New Roman" w:hAnsi="Times New Roman" w:cs="Times New Roman" w:hint="eastAsia"/>
                <w:b/>
                <w:bCs/>
                <w:color w:val="auto"/>
                <w:kern w:val="2"/>
                <w:sz w:val="21"/>
                <w:szCs w:val="21"/>
              </w:rPr>
              <w:t>4.3-1</w:t>
            </w:r>
            <w:r>
              <w:rPr>
                <w:rFonts w:hint="eastAsia"/>
                <w:b/>
                <w:bCs/>
                <w:sz w:val="21"/>
                <w:szCs w:val="21"/>
              </w:rPr>
              <w:t xml:space="preserve">  </w:t>
            </w:r>
            <w:r>
              <w:rPr>
                <w:b/>
                <w:bCs/>
                <w:sz w:val="21"/>
                <w:szCs w:val="21"/>
              </w:rPr>
              <w:t>项目评价范围陆生植被调查及样方现场照片</w:t>
            </w:r>
          </w:p>
        </w:tc>
      </w:tr>
    </w:tbl>
    <w:p w:rsidR="00BD5820" w:rsidRDefault="00F64314">
      <w:pPr>
        <w:pStyle w:val="affa"/>
        <w:ind w:firstLineChars="0" w:firstLine="0"/>
        <w:rPr>
          <w:spacing w:val="-9"/>
          <w:szCs w:val="24"/>
        </w:rPr>
      </w:pPr>
      <w:r>
        <w:rPr>
          <w:spacing w:val="-9"/>
          <w:szCs w:val="24"/>
        </w:rPr>
        <w:t>评价范围陆生植被样方记录表如下：</w:t>
      </w:r>
    </w:p>
    <w:p w:rsidR="00BD5820" w:rsidRDefault="00F64314">
      <w:pPr>
        <w:topLinePunct w:val="0"/>
        <w:adjustRightInd/>
        <w:spacing w:line="500" w:lineRule="exact"/>
        <w:ind w:left="60" w:right="100" w:firstLineChars="0" w:firstLine="482"/>
        <w:jc w:val="center"/>
        <w:rPr>
          <w:rFonts w:ascii="Times New Roman" w:cs="Times New Roman"/>
          <w:b/>
          <w:kern w:val="2"/>
          <w:sz w:val="21"/>
          <w:szCs w:val="20"/>
        </w:rPr>
      </w:pPr>
      <w:r>
        <w:rPr>
          <w:rFonts w:ascii="Times New Roman" w:cs="Times New Roman"/>
          <w:b/>
          <w:kern w:val="2"/>
          <w:sz w:val="21"/>
          <w:szCs w:val="20"/>
        </w:rPr>
        <w:t>样方</w:t>
      </w:r>
      <w:r>
        <w:rPr>
          <w:rFonts w:ascii="Times New Roman" w:cs="Times New Roman"/>
          <w:b/>
          <w:kern w:val="2"/>
          <w:sz w:val="21"/>
          <w:szCs w:val="20"/>
        </w:rPr>
        <w:t>1</w:t>
      </w:r>
      <w:r>
        <w:rPr>
          <w:rFonts w:ascii="Times New Roman" w:cs="Times New Roman" w:hint="eastAsia"/>
          <w:b/>
          <w:kern w:val="2"/>
          <w:sz w:val="21"/>
          <w:szCs w:val="20"/>
        </w:rPr>
        <w:t xml:space="preserve"> </w:t>
      </w:r>
      <w:r>
        <w:rPr>
          <w:rFonts w:ascii="Times New Roman" w:cs="Times New Roman" w:hint="eastAsia"/>
          <w:b/>
          <w:kern w:val="2"/>
          <w:sz w:val="21"/>
          <w:szCs w:val="20"/>
        </w:rPr>
        <w:t>马尾松群落样方表</w:t>
      </w:r>
    </w:p>
    <w:tbl>
      <w:tblPr>
        <w:tblW w:w="9426" w:type="dxa"/>
        <w:jc w:val="center"/>
        <w:tblBorders>
          <w:top w:val="single" w:sz="12" w:space="0" w:color="000000"/>
          <w:bottom w:val="single" w:sz="12" w:space="0" w:color="auto"/>
          <w:insideH w:val="single" w:sz="4" w:space="0" w:color="auto"/>
          <w:insideV w:val="single" w:sz="4" w:space="0" w:color="auto"/>
        </w:tblBorders>
        <w:tblLayout w:type="fixed"/>
        <w:tblLook w:val="04A0"/>
      </w:tblPr>
      <w:tblGrid>
        <w:gridCol w:w="570"/>
        <w:gridCol w:w="3928"/>
        <w:gridCol w:w="703"/>
        <w:gridCol w:w="481"/>
        <w:gridCol w:w="621"/>
        <w:gridCol w:w="648"/>
        <w:gridCol w:w="550"/>
        <w:gridCol w:w="523"/>
        <w:gridCol w:w="659"/>
        <w:gridCol w:w="743"/>
      </w:tblGrid>
      <w:tr w:rsidR="00BD5820">
        <w:trPr>
          <w:trHeight w:val="755"/>
          <w:jc w:val="center"/>
        </w:trPr>
        <w:tc>
          <w:tcPr>
            <w:tcW w:w="570"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sz w:val="21"/>
                <w:szCs w:val="21"/>
              </w:rPr>
              <w:t>坐标</w:t>
            </w: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107.7894</w:t>
            </w:r>
            <w:r>
              <w:rPr>
                <w:rFonts w:ascii="Times New Roman" w:cs="Times New Roman" w:hint="eastAsia"/>
                <w:bCs/>
                <w:kern w:val="2"/>
                <w:sz w:val="21"/>
                <w:szCs w:val="21"/>
              </w:rPr>
              <w:t>，</w:t>
            </w:r>
            <w:r>
              <w:rPr>
                <w:rFonts w:ascii="Times New Roman" w:cs="Times New Roman" w:hint="eastAsia"/>
                <w:bCs/>
                <w:kern w:val="2"/>
                <w:sz w:val="21"/>
                <w:szCs w:val="21"/>
              </w:rPr>
              <w:t>31.5425</w:t>
            </w:r>
          </w:p>
        </w:tc>
        <w:tc>
          <w:tcPr>
            <w:tcW w:w="70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海拔</w:t>
            </w:r>
            <w:r>
              <w:rPr>
                <w:rFonts w:ascii="Times New Roman" w:cs="Times New Roman" w:hint="eastAsia"/>
                <w:bCs/>
                <w:kern w:val="2"/>
                <w:sz w:val="21"/>
                <w:szCs w:val="21"/>
              </w:rPr>
              <w:t>（</w:t>
            </w:r>
            <w:r>
              <w:rPr>
                <w:rFonts w:ascii="Times New Roman" w:cs="Times New Roman"/>
                <w:bCs/>
                <w:kern w:val="2"/>
                <w:sz w:val="21"/>
                <w:szCs w:val="21"/>
              </w:rPr>
              <w:t>m</w:t>
            </w:r>
            <w:r>
              <w:rPr>
                <w:rFonts w:ascii="Times New Roman" w:cs="Times New Roman" w:hint="eastAsia"/>
                <w:bCs/>
                <w:kern w:val="2"/>
                <w:sz w:val="21"/>
                <w:szCs w:val="21"/>
              </w:rPr>
              <w:t>）</w:t>
            </w:r>
          </w:p>
        </w:tc>
        <w:tc>
          <w:tcPr>
            <w:tcW w:w="481"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910</w:t>
            </w:r>
          </w:p>
        </w:tc>
        <w:tc>
          <w:tcPr>
            <w:tcW w:w="621"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sz w:val="21"/>
                <w:szCs w:val="21"/>
              </w:rPr>
              <w:t>土壤类型</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壤土</w:t>
            </w:r>
          </w:p>
        </w:tc>
        <w:tc>
          <w:tcPr>
            <w:tcW w:w="550"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sz w:val="21"/>
                <w:szCs w:val="21"/>
              </w:rPr>
              <w:t>坡度</w:t>
            </w:r>
          </w:p>
        </w:tc>
        <w:tc>
          <w:tcPr>
            <w:tcW w:w="52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5</w:t>
            </w:r>
          </w:p>
        </w:tc>
        <w:tc>
          <w:tcPr>
            <w:tcW w:w="659"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sz w:val="21"/>
                <w:szCs w:val="21"/>
              </w:rPr>
              <w:t>坡向</w:t>
            </w:r>
          </w:p>
        </w:tc>
        <w:tc>
          <w:tcPr>
            <w:tcW w:w="74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S</w:t>
            </w:r>
            <w:r>
              <w:rPr>
                <w:rFonts w:ascii="Times New Roman" w:cs="Times New Roman" w:hint="eastAsia"/>
                <w:bCs/>
                <w:kern w:val="2"/>
                <w:sz w:val="21"/>
                <w:szCs w:val="21"/>
              </w:rPr>
              <w:t>E</w:t>
            </w:r>
          </w:p>
        </w:tc>
      </w:tr>
      <w:tr w:rsidR="00BD5820">
        <w:trPr>
          <w:trHeight w:val="308"/>
          <w:jc w:val="center"/>
        </w:trPr>
        <w:tc>
          <w:tcPr>
            <w:tcW w:w="570"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中文名</w:t>
            </w:r>
            <w:r>
              <w:rPr>
                <w:rFonts w:ascii="Times New Roman" w:cs="Times New Roman" w:hint="eastAsia"/>
                <w:bCs/>
                <w:kern w:val="2"/>
                <w:sz w:val="21"/>
                <w:szCs w:val="21"/>
              </w:rPr>
              <w:t>（</w:t>
            </w:r>
            <w:r>
              <w:rPr>
                <w:rFonts w:ascii="Times New Roman" w:cs="Times New Roman"/>
                <w:bCs/>
                <w:kern w:val="2"/>
                <w:sz w:val="21"/>
                <w:szCs w:val="21"/>
              </w:rPr>
              <w:t>拉丁名</w:t>
            </w:r>
            <w:r>
              <w:rPr>
                <w:rFonts w:ascii="Times New Roman" w:cs="Times New Roman" w:hint="eastAsia"/>
                <w:bCs/>
                <w:kern w:val="2"/>
                <w:sz w:val="21"/>
                <w:szCs w:val="21"/>
              </w:rPr>
              <w:t>）</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平均高度</w:t>
            </w:r>
            <w:r>
              <w:rPr>
                <w:rFonts w:ascii="Times New Roman" w:cs="Times New Roman"/>
                <w:bCs/>
                <w:kern w:val="2"/>
                <w:sz w:val="21"/>
                <w:szCs w:val="21"/>
              </w:rPr>
              <w:t>m</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株数</w:t>
            </w:r>
            <w:r>
              <w:rPr>
                <w:rFonts w:ascii="Times New Roman" w:cs="Times New Roman"/>
                <w:bCs/>
                <w:kern w:val="2"/>
                <w:sz w:val="21"/>
                <w:szCs w:val="21"/>
              </w:rPr>
              <w:t>/</w:t>
            </w:r>
            <w:r>
              <w:rPr>
                <w:rFonts w:ascii="Times New Roman" w:cs="Times New Roman"/>
                <w:bCs/>
                <w:kern w:val="2"/>
                <w:sz w:val="21"/>
                <w:szCs w:val="21"/>
              </w:rPr>
              <w:t>多度</w:t>
            </w:r>
          </w:p>
        </w:tc>
        <w:tc>
          <w:tcPr>
            <w:tcW w:w="1073" w:type="dxa"/>
            <w:gridSpan w:val="2"/>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平均胸径</w:t>
            </w:r>
            <w:r>
              <w:rPr>
                <w:rFonts w:ascii="Times New Roman" w:cs="Times New Roman"/>
                <w:bCs/>
                <w:kern w:val="2"/>
                <w:sz w:val="21"/>
                <w:szCs w:val="21"/>
              </w:rPr>
              <w:t>cm</w:t>
            </w:r>
          </w:p>
        </w:tc>
        <w:tc>
          <w:tcPr>
            <w:tcW w:w="659"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平均</w:t>
            </w:r>
          </w:p>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冠幅</w:t>
            </w:r>
          </w:p>
        </w:tc>
        <w:tc>
          <w:tcPr>
            <w:tcW w:w="74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茂盛</w:t>
            </w:r>
          </w:p>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度</w:t>
            </w:r>
          </w:p>
        </w:tc>
      </w:tr>
      <w:tr w:rsidR="00BD5820">
        <w:trPr>
          <w:trHeight w:val="308"/>
          <w:jc w:val="center"/>
        </w:trPr>
        <w:tc>
          <w:tcPr>
            <w:tcW w:w="570"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乔木层</w:t>
            </w: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马尾松（</w:t>
            </w:r>
            <w:r>
              <w:rPr>
                <w:rFonts w:ascii="Times New Roman" w:cs="Times New Roman"/>
                <w:i/>
                <w:iCs/>
                <w:kern w:val="2"/>
                <w:sz w:val="21"/>
                <w:szCs w:val="21"/>
              </w:rPr>
              <w:t>Pinus massoniana</w:t>
            </w:r>
            <w:r>
              <w:rPr>
                <w:rFonts w:ascii="Times New Roman" w:cs="Times New Roman"/>
                <w:kern w:val="2"/>
                <w:sz w:val="21"/>
                <w:szCs w:val="21"/>
              </w:rPr>
              <w:t>）</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14</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24</w:t>
            </w:r>
          </w:p>
        </w:tc>
        <w:tc>
          <w:tcPr>
            <w:tcW w:w="1073" w:type="dxa"/>
            <w:gridSpan w:val="2"/>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13</w:t>
            </w:r>
          </w:p>
        </w:tc>
        <w:tc>
          <w:tcPr>
            <w:tcW w:w="659"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4</w:t>
            </w:r>
            <w:r>
              <w:rPr>
                <w:rFonts w:ascii="Times New Roman" w:cs="Times New Roman"/>
                <w:bCs/>
                <w:kern w:val="2"/>
                <w:sz w:val="21"/>
                <w:szCs w:val="21"/>
              </w:rPr>
              <w:t>*</w:t>
            </w:r>
            <w:r>
              <w:rPr>
                <w:rFonts w:ascii="Times New Roman" w:cs="Times New Roman" w:hint="eastAsia"/>
                <w:bCs/>
                <w:kern w:val="2"/>
                <w:sz w:val="21"/>
                <w:szCs w:val="21"/>
              </w:rPr>
              <w:t>3</w:t>
            </w:r>
          </w:p>
        </w:tc>
        <w:tc>
          <w:tcPr>
            <w:tcW w:w="74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盛</w:t>
            </w:r>
          </w:p>
        </w:tc>
      </w:tr>
      <w:tr w:rsidR="00BD5820">
        <w:trPr>
          <w:trHeight w:val="308"/>
          <w:jc w:val="center"/>
        </w:trPr>
        <w:tc>
          <w:tcPr>
            <w:tcW w:w="570" w:type="dxa"/>
            <w:vMerge w:val="restart"/>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灌木层</w:t>
            </w: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铁仔（</w:t>
            </w:r>
            <w:r>
              <w:rPr>
                <w:rFonts w:ascii="Times New Roman" w:cs="Times New Roman"/>
                <w:i/>
                <w:iCs/>
                <w:kern w:val="2"/>
                <w:sz w:val="21"/>
                <w:szCs w:val="21"/>
              </w:rPr>
              <w:t>Myrsine africana</w:t>
            </w:r>
            <w:r>
              <w:rPr>
                <w:rFonts w:ascii="Times New Roman" w:cs="Times New Roman"/>
                <w:kern w:val="2"/>
                <w:sz w:val="21"/>
                <w:szCs w:val="21"/>
              </w:rPr>
              <w:t>）</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1.</w:t>
            </w:r>
            <w:r>
              <w:rPr>
                <w:rFonts w:ascii="Times New Roman" w:cs="Times New Roman" w:hint="eastAsia"/>
                <w:bCs/>
                <w:kern w:val="2"/>
                <w:sz w:val="21"/>
                <w:szCs w:val="21"/>
              </w:rPr>
              <w:t>5</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14</w:t>
            </w:r>
          </w:p>
        </w:tc>
        <w:tc>
          <w:tcPr>
            <w:tcW w:w="1073" w:type="dxa"/>
            <w:gridSpan w:val="2"/>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1.</w:t>
            </w:r>
            <w:r>
              <w:rPr>
                <w:rFonts w:ascii="Times New Roman" w:cs="Times New Roman" w:hint="eastAsia"/>
                <w:bCs/>
                <w:kern w:val="2"/>
                <w:sz w:val="21"/>
                <w:szCs w:val="21"/>
              </w:rPr>
              <w:t>4</w:t>
            </w: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盛</w:t>
            </w:r>
          </w:p>
        </w:tc>
      </w:tr>
      <w:tr w:rsidR="00BD5820">
        <w:trPr>
          <w:trHeight w:val="308"/>
          <w:jc w:val="center"/>
        </w:trPr>
        <w:tc>
          <w:tcPr>
            <w:tcW w:w="570" w:type="dxa"/>
            <w:vMerge/>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小果蔷薇（</w:t>
            </w:r>
            <w:r>
              <w:rPr>
                <w:rFonts w:ascii="Times New Roman" w:cs="Times New Roman"/>
                <w:i/>
                <w:iCs/>
                <w:kern w:val="2"/>
                <w:sz w:val="21"/>
                <w:szCs w:val="21"/>
              </w:rPr>
              <w:t>Rosa cymosa</w:t>
            </w:r>
            <w:r>
              <w:rPr>
                <w:rFonts w:ascii="Times New Roman" w:cs="Times New Roman"/>
                <w:kern w:val="2"/>
                <w:sz w:val="21"/>
                <w:szCs w:val="21"/>
              </w:rPr>
              <w:t>）</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1.</w:t>
            </w:r>
            <w:r>
              <w:rPr>
                <w:rFonts w:ascii="Times New Roman" w:cs="Times New Roman" w:hint="eastAsia"/>
                <w:bCs/>
                <w:kern w:val="2"/>
                <w:sz w:val="21"/>
                <w:szCs w:val="21"/>
              </w:rPr>
              <w:t>0</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10</w:t>
            </w:r>
          </w:p>
        </w:tc>
        <w:tc>
          <w:tcPr>
            <w:tcW w:w="1073" w:type="dxa"/>
            <w:gridSpan w:val="2"/>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1.</w:t>
            </w:r>
            <w:r>
              <w:rPr>
                <w:rFonts w:ascii="Times New Roman" w:cs="Times New Roman" w:hint="eastAsia"/>
                <w:bCs/>
                <w:kern w:val="2"/>
                <w:sz w:val="21"/>
                <w:szCs w:val="21"/>
              </w:rPr>
              <w:t>4</w:t>
            </w: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盛</w:t>
            </w:r>
          </w:p>
        </w:tc>
      </w:tr>
      <w:tr w:rsidR="00BD5820">
        <w:trPr>
          <w:trHeight w:val="308"/>
          <w:jc w:val="center"/>
        </w:trPr>
        <w:tc>
          <w:tcPr>
            <w:tcW w:w="570" w:type="dxa"/>
            <w:vMerge/>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乌泡子（</w:t>
            </w:r>
            <w:r>
              <w:rPr>
                <w:rFonts w:ascii="Times New Roman" w:cs="Times New Roman"/>
                <w:i/>
                <w:iCs/>
                <w:kern w:val="2"/>
                <w:sz w:val="21"/>
                <w:szCs w:val="21"/>
              </w:rPr>
              <w:t>Rubus parkeri</w:t>
            </w:r>
            <w:r>
              <w:rPr>
                <w:rFonts w:ascii="Times New Roman" w:cs="Times New Roman"/>
                <w:kern w:val="2"/>
                <w:sz w:val="21"/>
                <w:szCs w:val="21"/>
              </w:rPr>
              <w:t>）</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1.</w:t>
            </w:r>
            <w:r>
              <w:rPr>
                <w:rFonts w:ascii="Times New Roman" w:cs="Times New Roman" w:hint="eastAsia"/>
                <w:bCs/>
                <w:kern w:val="2"/>
                <w:sz w:val="21"/>
                <w:szCs w:val="21"/>
              </w:rPr>
              <w:t>2</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8</w:t>
            </w:r>
          </w:p>
        </w:tc>
        <w:tc>
          <w:tcPr>
            <w:tcW w:w="1073" w:type="dxa"/>
            <w:gridSpan w:val="2"/>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1.0</w:t>
            </w: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盛</w:t>
            </w:r>
          </w:p>
        </w:tc>
      </w:tr>
      <w:tr w:rsidR="00BD5820">
        <w:trPr>
          <w:trHeight w:val="308"/>
          <w:jc w:val="center"/>
        </w:trPr>
        <w:tc>
          <w:tcPr>
            <w:tcW w:w="570" w:type="dxa"/>
            <w:vMerge/>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金山荚蒾（</w:t>
            </w:r>
            <w:r>
              <w:rPr>
                <w:rFonts w:ascii="Times New Roman" w:cs="Times New Roman"/>
                <w:i/>
                <w:iCs/>
                <w:kern w:val="2"/>
                <w:sz w:val="21"/>
                <w:szCs w:val="21"/>
              </w:rPr>
              <w:t>Viburnum chinshanense</w:t>
            </w:r>
            <w:r>
              <w:rPr>
                <w:rFonts w:ascii="Times New Roman" w:cs="Times New Roman"/>
                <w:kern w:val="2"/>
                <w:sz w:val="21"/>
                <w:szCs w:val="21"/>
              </w:rPr>
              <w:t>）</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1.</w:t>
            </w:r>
            <w:r>
              <w:rPr>
                <w:rFonts w:ascii="Times New Roman" w:cs="Times New Roman" w:hint="eastAsia"/>
                <w:bCs/>
                <w:kern w:val="2"/>
                <w:sz w:val="21"/>
                <w:szCs w:val="21"/>
              </w:rPr>
              <w:t>4</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4</w:t>
            </w:r>
          </w:p>
        </w:tc>
        <w:tc>
          <w:tcPr>
            <w:tcW w:w="1073" w:type="dxa"/>
            <w:gridSpan w:val="2"/>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1.</w:t>
            </w:r>
            <w:r>
              <w:rPr>
                <w:rFonts w:ascii="Times New Roman" w:cs="Times New Roman" w:hint="eastAsia"/>
                <w:bCs/>
                <w:kern w:val="2"/>
                <w:sz w:val="21"/>
                <w:szCs w:val="21"/>
              </w:rPr>
              <w:t>2</w:t>
            </w: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中</w:t>
            </w:r>
          </w:p>
        </w:tc>
      </w:tr>
      <w:tr w:rsidR="00BD5820">
        <w:trPr>
          <w:trHeight w:val="308"/>
          <w:jc w:val="center"/>
        </w:trPr>
        <w:tc>
          <w:tcPr>
            <w:tcW w:w="570" w:type="dxa"/>
            <w:vMerge w:val="restart"/>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草</w:t>
            </w:r>
            <w:r>
              <w:rPr>
                <w:rFonts w:ascii="Times New Roman" w:cs="Times New Roman"/>
                <w:bCs/>
                <w:kern w:val="2"/>
                <w:sz w:val="21"/>
                <w:szCs w:val="21"/>
              </w:rPr>
              <w:lastRenderedPageBreak/>
              <w:t>本层</w:t>
            </w: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lastRenderedPageBreak/>
              <w:t>白茅</w:t>
            </w:r>
            <w:r>
              <w:rPr>
                <w:rFonts w:ascii="Times New Roman" w:cs="Times New Roman"/>
                <w:bCs/>
                <w:i/>
                <w:iCs/>
                <w:kern w:val="2"/>
                <w:sz w:val="21"/>
                <w:szCs w:val="21"/>
              </w:rPr>
              <w:t>Imperata cylindrica.</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0.</w:t>
            </w:r>
            <w:r>
              <w:rPr>
                <w:rFonts w:ascii="Times New Roman" w:cs="Times New Roman" w:hint="eastAsia"/>
                <w:bCs/>
                <w:kern w:val="2"/>
                <w:sz w:val="21"/>
                <w:szCs w:val="21"/>
              </w:rPr>
              <w:t>6</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Soc</w:t>
            </w:r>
          </w:p>
        </w:tc>
        <w:tc>
          <w:tcPr>
            <w:tcW w:w="1073" w:type="dxa"/>
            <w:gridSpan w:val="2"/>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r>
      <w:tr w:rsidR="00BD5820">
        <w:trPr>
          <w:trHeight w:val="308"/>
          <w:jc w:val="center"/>
        </w:trPr>
        <w:tc>
          <w:tcPr>
            <w:tcW w:w="570" w:type="dxa"/>
            <w:vMerge/>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五节芒</w:t>
            </w:r>
            <w:r>
              <w:rPr>
                <w:rFonts w:ascii="Times New Roman" w:cs="Times New Roman"/>
                <w:bCs/>
                <w:i/>
                <w:iCs/>
                <w:kern w:val="2"/>
                <w:sz w:val="21"/>
                <w:szCs w:val="21"/>
              </w:rPr>
              <w:t>Miscanthus floridulus</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0.4</w:t>
            </w:r>
            <w:r>
              <w:rPr>
                <w:rFonts w:ascii="Times New Roman" w:cs="Times New Roman" w:hint="eastAsia"/>
                <w:bCs/>
                <w:kern w:val="2"/>
                <w:sz w:val="21"/>
                <w:szCs w:val="21"/>
              </w:rPr>
              <w:t>0</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Cop</w:t>
            </w:r>
            <w:r>
              <w:rPr>
                <w:rFonts w:ascii="Times New Roman" w:cs="Times New Roman"/>
                <w:bCs/>
                <w:kern w:val="2"/>
                <w:sz w:val="21"/>
                <w:szCs w:val="21"/>
                <w:vertAlign w:val="subscript"/>
              </w:rPr>
              <w:t>1</w:t>
            </w:r>
          </w:p>
        </w:tc>
        <w:tc>
          <w:tcPr>
            <w:tcW w:w="1073" w:type="dxa"/>
            <w:gridSpan w:val="2"/>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r>
      <w:tr w:rsidR="00BD5820">
        <w:trPr>
          <w:trHeight w:val="308"/>
          <w:jc w:val="center"/>
        </w:trPr>
        <w:tc>
          <w:tcPr>
            <w:tcW w:w="570" w:type="dxa"/>
            <w:vMerge/>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芒</w:t>
            </w:r>
            <w:r>
              <w:rPr>
                <w:rFonts w:ascii="Times New Roman" w:cs="Times New Roman"/>
                <w:bCs/>
                <w:i/>
                <w:iCs/>
                <w:kern w:val="2"/>
                <w:sz w:val="21"/>
                <w:szCs w:val="21"/>
              </w:rPr>
              <w:t>Miscanthus sinensis</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0.25</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Sp.</w:t>
            </w:r>
          </w:p>
        </w:tc>
        <w:tc>
          <w:tcPr>
            <w:tcW w:w="1073" w:type="dxa"/>
            <w:gridSpan w:val="2"/>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r>
    </w:tbl>
    <w:p w:rsidR="00BD5820" w:rsidRDefault="00F64314">
      <w:pPr>
        <w:topLinePunct w:val="0"/>
        <w:adjustRightInd/>
        <w:spacing w:line="500" w:lineRule="exact"/>
        <w:ind w:left="60" w:right="100" w:firstLineChars="0" w:firstLine="482"/>
        <w:jc w:val="center"/>
        <w:rPr>
          <w:rFonts w:ascii="Times New Roman" w:cs="Times New Roman"/>
          <w:b/>
          <w:kern w:val="2"/>
          <w:sz w:val="21"/>
          <w:szCs w:val="20"/>
        </w:rPr>
      </w:pPr>
      <w:r>
        <w:rPr>
          <w:rFonts w:ascii="Times New Roman" w:cs="Times New Roman"/>
          <w:b/>
          <w:kern w:val="2"/>
          <w:sz w:val="21"/>
          <w:szCs w:val="20"/>
        </w:rPr>
        <w:t>样方</w:t>
      </w:r>
      <w:r>
        <w:rPr>
          <w:rFonts w:ascii="Times New Roman" w:cs="Times New Roman" w:hint="eastAsia"/>
          <w:b/>
          <w:kern w:val="2"/>
          <w:sz w:val="21"/>
          <w:szCs w:val="20"/>
        </w:rPr>
        <w:t xml:space="preserve">2 </w:t>
      </w:r>
      <w:r>
        <w:rPr>
          <w:rFonts w:ascii="Times New Roman" w:cs="Times New Roman"/>
          <w:b/>
          <w:kern w:val="2"/>
          <w:sz w:val="21"/>
          <w:szCs w:val="20"/>
        </w:rPr>
        <w:t>柏木</w:t>
      </w:r>
      <w:r>
        <w:rPr>
          <w:rFonts w:ascii="Times New Roman" w:cs="Times New Roman" w:hint="eastAsia"/>
          <w:b/>
          <w:kern w:val="2"/>
          <w:sz w:val="21"/>
          <w:szCs w:val="20"/>
        </w:rPr>
        <w:t>群落样方表</w:t>
      </w:r>
    </w:p>
    <w:tbl>
      <w:tblPr>
        <w:tblW w:w="9426"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570"/>
        <w:gridCol w:w="3928"/>
        <w:gridCol w:w="703"/>
        <w:gridCol w:w="481"/>
        <w:gridCol w:w="621"/>
        <w:gridCol w:w="648"/>
        <w:gridCol w:w="550"/>
        <w:gridCol w:w="523"/>
        <w:gridCol w:w="659"/>
        <w:gridCol w:w="743"/>
      </w:tblGrid>
      <w:tr w:rsidR="00BD5820">
        <w:trPr>
          <w:trHeight w:val="755"/>
          <w:jc w:val="center"/>
        </w:trPr>
        <w:tc>
          <w:tcPr>
            <w:tcW w:w="570"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sz w:val="21"/>
                <w:szCs w:val="21"/>
              </w:rPr>
              <w:t>坐标</w:t>
            </w: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107.7892</w:t>
            </w:r>
            <w:r>
              <w:rPr>
                <w:rFonts w:ascii="Times New Roman" w:cs="Times New Roman" w:hint="eastAsia"/>
                <w:bCs/>
                <w:kern w:val="2"/>
                <w:sz w:val="21"/>
                <w:szCs w:val="21"/>
              </w:rPr>
              <w:t>，</w:t>
            </w:r>
            <w:r>
              <w:rPr>
                <w:rFonts w:ascii="Times New Roman" w:cs="Times New Roman" w:hint="eastAsia"/>
                <w:bCs/>
                <w:kern w:val="2"/>
                <w:sz w:val="21"/>
                <w:szCs w:val="21"/>
              </w:rPr>
              <w:t>31.5444</w:t>
            </w:r>
          </w:p>
        </w:tc>
        <w:tc>
          <w:tcPr>
            <w:tcW w:w="70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海拔</w:t>
            </w:r>
            <w:r>
              <w:rPr>
                <w:rFonts w:ascii="Times New Roman" w:cs="Times New Roman" w:hint="eastAsia"/>
                <w:bCs/>
                <w:kern w:val="2"/>
                <w:sz w:val="21"/>
                <w:szCs w:val="21"/>
              </w:rPr>
              <w:t>（</w:t>
            </w:r>
            <w:r>
              <w:rPr>
                <w:rFonts w:ascii="Times New Roman" w:cs="Times New Roman"/>
                <w:bCs/>
                <w:kern w:val="2"/>
                <w:sz w:val="21"/>
                <w:szCs w:val="21"/>
              </w:rPr>
              <w:t>m</w:t>
            </w:r>
            <w:r>
              <w:rPr>
                <w:rFonts w:ascii="Times New Roman" w:cs="Times New Roman" w:hint="eastAsia"/>
                <w:bCs/>
                <w:kern w:val="2"/>
                <w:sz w:val="21"/>
                <w:szCs w:val="21"/>
              </w:rPr>
              <w:t>）</w:t>
            </w:r>
          </w:p>
        </w:tc>
        <w:tc>
          <w:tcPr>
            <w:tcW w:w="481"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889</w:t>
            </w:r>
          </w:p>
        </w:tc>
        <w:tc>
          <w:tcPr>
            <w:tcW w:w="621"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sz w:val="21"/>
                <w:szCs w:val="21"/>
              </w:rPr>
              <w:t>土壤类型</w:t>
            </w:r>
          </w:p>
        </w:tc>
        <w:tc>
          <w:tcPr>
            <w:tcW w:w="648" w:type="dxa"/>
            <w:vAlign w:val="center"/>
          </w:tcPr>
          <w:p w:rsidR="00BD5820" w:rsidRDefault="00F64314">
            <w:pPr>
              <w:topLinePunct w:val="0"/>
              <w:adjustRightInd/>
              <w:spacing w:line="240" w:lineRule="auto"/>
              <w:ind w:firstLineChars="0" w:firstLine="0"/>
              <w:rPr>
                <w:rFonts w:ascii="Times New Roman" w:cs="Times New Roman"/>
                <w:bCs/>
                <w:kern w:val="2"/>
                <w:sz w:val="21"/>
                <w:szCs w:val="21"/>
              </w:rPr>
            </w:pPr>
            <w:r>
              <w:rPr>
                <w:rFonts w:ascii="Times New Roman" w:cs="Times New Roman" w:hint="eastAsia"/>
                <w:bCs/>
                <w:kern w:val="2"/>
                <w:sz w:val="21"/>
                <w:szCs w:val="21"/>
              </w:rPr>
              <w:t>碱性土</w:t>
            </w:r>
          </w:p>
        </w:tc>
        <w:tc>
          <w:tcPr>
            <w:tcW w:w="550"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sz w:val="21"/>
                <w:szCs w:val="21"/>
              </w:rPr>
              <w:t>坡度</w:t>
            </w:r>
          </w:p>
        </w:tc>
        <w:tc>
          <w:tcPr>
            <w:tcW w:w="52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10</w:t>
            </w:r>
          </w:p>
        </w:tc>
        <w:tc>
          <w:tcPr>
            <w:tcW w:w="659"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sz w:val="21"/>
                <w:szCs w:val="21"/>
              </w:rPr>
              <w:t>坡向</w:t>
            </w:r>
          </w:p>
        </w:tc>
        <w:tc>
          <w:tcPr>
            <w:tcW w:w="74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S</w:t>
            </w:r>
            <w:r>
              <w:rPr>
                <w:rFonts w:ascii="Times New Roman" w:cs="Times New Roman" w:hint="eastAsia"/>
                <w:bCs/>
                <w:kern w:val="2"/>
                <w:sz w:val="21"/>
                <w:szCs w:val="21"/>
              </w:rPr>
              <w:t>E</w:t>
            </w:r>
          </w:p>
        </w:tc>
      </w:tr>
      <w:tr w:rsidR="00BD5820">
        <w:trPr>
          <w:trHeight w:val="308"/>
          <w:jc w:val="center"/>
        </w:trPr>
        <w:tc>
          <w:tcPr>
            <w:tcW w:w="570"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中文名</w:t>
            </w:r>
            <w:r>
              <w:rPr>
                <w:rFonts w:ascii="Times New Roman" w:cs="Times New Roman" w:hint="eastAsia"/>
                <w:bCs/>
                <w:kern w:val="2"/>
                <w:sz w:val="21"/>
                <w:szCs w:val="21"/>
              </w:rPr>
              <w:t>（</w:t>
            </w:r>
            <w:r>
              <w:rPr>
                <w:rFonts w:ascii="Times New Roman" w:cs="Times New Roman"/>
                <w:bCs/>
                <w:kern w:val="2"/>
                <w:sz w:val="21"/>
                <w:szCs w:val="21"/>
              </w:rPr>
              <w:t>拉丁名</w:t>
            </w:r>
            <w:r>
              <w:rPr>
                <w:rFonts w:ascii="Times New Roman" w:cs="Times New Roman" w:hint="eastAsia"/>
                <w:bCs/>
                <w:kern w:val="2"/>
                <w:sz w:val="21"/>
                <w:szCs w:val="21"/>
              </w:rPr>
              <w:t>）</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平均高度</w:t>
            </w:r>
            <w:r>
              <w:rPr>
                <w:rFonts w:ascii="Times New Roman" w:cs="Times New Roman"/>
                <w:bCs/>
                <w:kern w:val="2"/>
                <w:sz w:val="21"/>
                <w:szCs w:val="21"/>
              </w:rPr>
              <w:t>m</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株数</w:t>
            </w:r>
            <w:r>
              <w:rPr>
                <w:rFonts w:ascii="Times New Roman" w:cs="Times New Roman"/>
                <w:bCs/>
                <w:kern w:val="2"/>
                <w:sz w:val="21"/>
                <w:szCs w:val="21"/>
              </w:rPr>
              <w:t>/</w:t>
            </w:r>
            <w:r>
              <w:rPr>
                <w:rFonts w:ascii="Times New Roman" w:cs="Times New Roman"/>
                <w:bCs/>
                <w:kern w:val="2"/>
                <w:sz w:val="21"/>
                <w:szCs w:val="21"/>
              </w:rPr>
              <w:t>多度</w:t>
            </w:r>
          </w:p>
        </w:tc>
        <w:tc>
          <w:tcPr>
            <w:tcW w:w="1073" w:type="dxa"/>
            <w:gridSpan w:val="2"/>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平均胸径</w:t>
            </w:r>
            <w:r>
              <w:rPr>
                <w:rFonts w:ascii="Times New Roman" w:cs="Times New Roman"/>
                <w:bCs/>
                <w:kern w:val="2"/>
                <w:sz w:val="21"/>
                <w:szCs w:val="21"/>
              </w:rPr>
              <w:t>cm</w:t>
            </w:r>
          </w:p>
        </w:tc>
        <w:tc>
          <w:tcPr>
            <w:tcW w:w="659"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平均</w:t>
            </w:r>
          </w:p>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冠幅</w:t>
            </w:r>
          </w:p>
        </w:tc>
        <w:tc>
          <w:tcPr>
            <w:tcW w:w="74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茂盛</w:t>
            </w:r>
          </w:p>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度</w:t>
            </w:r>
          </w:p>
        </w:tc>
      </w:tr>
      <w:tr w:rsidR="00BD5820">
        <w:trPr>
          <w:trHeight w:val="308"/>
          <w:jc w:val="center"/>
        </w:trPr>
        <w:tc>
          <w:tcPr>
            <w:tcW w:w="570"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乔木层</w:t>
            </w: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柏木（</w:t>
            </w:r>
            <w:r>
              <w:rPr>
                <w:rFonts w:ascii="Times New Roman" w:cs="Times New Roman"/>
                <w:i/>
                <w:kern w:val="2"/>
                <w:sz w:val="21"/>
                <w:szCs w:val="21"/>
              </w:rPr>
              <w:t>Form. Cupressus funebris</w:t>
            </w:r>
            <w:r>
              <w:rPr>
                <w:rFonts w:ascii="Times New Roman" w:cs="Times New Roman"/>
                <w:kern w:val="2"/>
                <w:sz w:val="21"/>
                <w:szCs w:val="21"/>
              </w:rPr>
              <w:t>）</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9</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15</w:t>
            </w:r>
          </w:p>
        </w:tc>
        <w:tc>
          <w:tcPr>
            <w:tcW w:w="1073" w:type="dxa"/>
            <w:gridSpan w:val="2"/>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12</w:t>
            </w:r>
          </w:p>
        </w:tc>
        <w:tc>
          <w:tcPr>
            <w:tcW w:w="659"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2</w:t>
            </w:r>
            <w:r>
              <w:rPr>
                <w:rFonts w:ascii="Times New Roman" w:cs="Times New Roman"/>
                <w:bCs/>
                <w:kern w:val="2"/>
                <w:sz w:val="21"/>
                <w:szCs w:val="21"/>
              </w:rPr>
              <w:t>*</w:t>
            </w:r>
            <w:r>
              <w:rPr>
                <w:rFonts w:ascii="Times New Roman" w:cs="Times New Roman" w:hint="eastAsia"/>
                <w:bCs/>
                <w:kern w:val="2"/>
                <w:sz w:val="21"/>
                <w:szCs w:val="21"/>
              </w:rPr>
              <w:t>2</w:t>
            </w:r>
          </w:p>
        </w:tc>
        <w:tc>
          <w:tcPr>
            <w:tcW w:w="74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盛</w:t>
            </w:r>
          </w:p>
        </w:tc>
      </w:tr>
      <w:tr w:rsidR="00BD5820">
        <w:trPr>
          <w:trHeight w:val="308"/>
          <w:jc w:val="center"/>
        </w:trPr>
        <w:tc>
          <w:tcPr>
            <w:tcW w:w="570" w:type="dxa"/>
            <w:vMerge w:val="restart"/>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灌木层</w:t>
            </w: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白栎（</w:t>
            </w:r>
            <w:r>
              <w:rPr>
                <w:rFonts w:ascii="Times New Roman" w:cs="Times New Roman"/>
                <w:i/>
                <w:iCs/>
                <w:kern w:val="2"/>
                <w:sz w:val="21"/>
                <w:szCs w:val="21"/>
              </w:rPr>
              <w:t>Quercus fabri</w:t>
            </w:r>
            <w:r>
              <w:rPr>
                <w:rFonts w:ascii="Times New Roman" w:cs="Times New Roman"/>
                <w:kern w:val="2"/>
                <w:sz w:val="21"/>
                <w:szCs w:val="21"/>
              </w:rPr>
              <w:t>）</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1.</w:t>
            </w:r>
            <w:r>
              <w:rPr>
                <w:rFonts w:ascii="Times New Roman" w:cs="Times New Roman" w:hint="eastAsia"/>
                <w:bCs/>
                <w:kern w:val="2"/>
                <w:sz w:val="21"/>
                <w:szCs w:val="21"/>
              </w:rPr>
              <w:t>4</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9</w:t>
            </w:r>
          </w:p>
        </w:tc>
        <w:tc>
          <w:tcPr>
            <w:tcW w:w="1073" w:type="dxa"/>
            <w:gridSpan w:val="2"/>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盛</w:t>
            </w:r>
          </w:p>
        </w:tc>
      </w:tr>
      <w:tr w:rsidR="00BD5820">
        <w:trPr>
          <w:trHeight w:val="308"/>
          <w:jc w:val="center"/>
        </w:trPr>
        <w:tc>
          <w:tcPr>
            <w:tcW w:w="570" w:type="dxa"/>
            <w:vMerge/>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盐肤木（</w:t>
            </w:r>
            <w:r>
              <w:rPr>
                <w:rFonts w:ascii="Times New Roman" w:cs="Times New Roman"/>
                <w:i/>
                <w:iCs/>
                <w:kern w:val="2"/>
                <w:sz w:val="21"/>
                <w:szCs w:val="21"/>
              </w:rPr>
              <w:t>Rhus chinensis</w:t>
            </w:r>
            <w:r>
              <w:rPr>
                <w:rFonts w:ascii="Times New Roman" w:cs="Times New Roman"/>
                <w:kern w:val="2"/>
                <w:sz w:val="21"/>
                <w:szCs w:val="21"/>
              </w:rPr>
              <w:t>）</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7</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7</w:t>
            </w:r>
          </w:p>
        </w:tc>
        <w:tc>
          <w:tcPr>
            <w:tcW w:w="1073" w:type="dxa"/>
            <w:gridSpan w:val="2"/>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1.5</w:t>
            </w: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盛</w:t>
            </w:r>
          </w:p>
        </w:tc>
      </w:tr>
      <w:tr w:rsidR="00BD5820">
        <w:trPr>
          <w:trHeight w:val="308"/>
          <w:jc w:val="center"/>
        </w:trPr>
        <w:tc>
          <w:tcPr>
            <w:tcW w:w="570" w:type="dxa"/>
            <w:vMerge/>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马桑（</w:t>
            </w:r>
            <w:r>
              <w:rPr>
                <w:rFonts w:ascii="Times New Roman" w:cs="Times New Roman"/>
                <w:i/>
                <w:iCs/>
                <w:kern w:val="2"/>
                <w:sz w:val="21"/>
                <w:szCs w:val="21"/>
              </w:rPr>
              <w:t>Coriaria nepalensis</w:t>
            </w:r>
            <w:r>
              <w:rPr>
                <w:rFonts w:ascii="Times New Roman" w:cs="Times New Roman"/>
                <w:kern w:val="2"/>
                <w:sz w:val="21"/>
                <w:szCs w:val="21"/>
              </w:rPr>
              <w:t>）</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1.</w:t>
            </w:r>
            <w:r>
              <w:rPr>
                <w:rFonts w:ascii="Times New Roman" w:cs="Times New Roman" w:hint="eastAsia"/>
                <w:bCs/>
                <w:kern w:val="2"/>
                <w:sz w:val="21"/>
                <w:szCs w:val="21"/>
              </w:rPr>
              <w:t>2</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8</w:t>
            </w:r>
          </w:p>
        </w:tc>
        <w:tc>
          <w:tcPr>
            <w:tcW w:w="1073" w:type="dxa"/>
            <w:gridSpan w:val="2"/>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1.0</w:t>
            </w: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盛</w:t>
            </w:r>
          </w:p>
        </w:tc>
      </w:tr>
      <w:tr w:rsidR="00BD5820">
        <w:trPr>
          <w:trHeight w:val="308"/>
          <w:jc w:val="center"/>
        </w:trPr>
        <w:tc>
          <w:tcPr>
            <w:tcW w:w="570" w:type="dxa"/>
            <w:vMerge/>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胡枝子</w:t>
            </w:r>
            <w:r>
              <w:rPr>
                <w:rFonts w:ascii="Times New Roman" w:cs="Times New Roman"/>
                <w:i/>
                <w:iCs/>
                <w:kern w:val="2"/>
                <w:sz w:val="21"/>
                <w:szCs w:val="21"/>
              </w:rPr>
              <w:t>（</w:t>
            </w:r>
            <w:r>
              <w:rPr>
                <w:rFonts w:ascii="Times New Roman" w:cs="Times New Roman"/>
                <w:i/>
                <w:iCs/>
                <w:kern w:val="2"/>
                <w:sz w:val="21"/>
                <w:szCs w:val="21"/>
              </w:rPr>
              <w:t>Lespedeza bicolour</w:t>
            </w:r>
            <w:r>
              <w:rPr>
                <w:rFonts w:ascii="Times New Roman" w:cs="Times New Roman"/>
                <w:kern w:val="2"/>
                <w:sz w:val="21"/>
                <w:szCs w:val="21"/>
              </w:rPr>
              <w:t>）</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1.2</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8</w:t>
            </w:r>
          </w:p>
        </w:tc>
        <w:tc>
          <w:tcPr>
            <w:tcW w:w="1073" w:type="dxa"/>
            <w:gridSpan w:val="2"/>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2.0</w:t>
            </w: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中</w:t>
            </w:r>
          </w:p>
        </w:tc>
      </w:tr>
      <w:tr w:rsidR="00BD5820">
        <w:trPr>
          <w:trHeight w:val="308"/>
          <w:jc w:val="center"/>
        </w:trPr>
        <w:tc>
          <w:tcPr>
            <w:tcW w:w="570" w:type="dxa"/>
            <w:vMerge/>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铁仔（</w:t>
            </w:r>
            <w:r>
              <w:rPr>
                <w:rFonts w:ascii="Times New Roman" w:cs="Times New Roman"/>
                <w:i/>
                <w:iCs/>
                <w:kern w:val="2"/>
                <w:sz w:val="21"/>
                <w:szCs w:val="21"/>
              </w:rPr>
              <w:t>Myrsine africana</w:t>
            </w:r>
            <w:r>
              <w:rPr>
                <w:rFonts w:ascii="Times New Roman" w:cs="Times New Roman"/>
                <w:kern w:val="2"/>
                <w:sz w:val="21"/>
                <w:szCs w:val="21"/>
              </w:rPr>
              <w:t>）</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1.2</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3</w:t>
            </w:r>
          </w:p>
        </w:tc>
        <w:tc>
          <w:tcPr>
            <w:tcW w:w="1073" w:type="dxa"/>
            <w:gridSpan w:val="2"/>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1.5</w:t>
            </w: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盛</w:t>
            </w:r>
          </w:p>
        </w:tc>
      </w:tr>
      <w:tr w:rsidR="00BD5820">
        <w:trPr>
          <w:trHeight w:val="308"/>
          <w:jc w:val="center"/>
        </w:trPr>
        <w:tc>
          <w:tcPr>
            <w:tcW w:w="570" w:type="dxa"/>
            <w:vMerge w:val="restart"/>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草本层</w:t>
            </w: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黄花蒿（</w:t>
            </w:r>
            <w:r>
              <w:rPr>
                <w:rFonts w:ascii="Times New Roman" w:cs="Times New Roman"/>
                <w:i/>
                <w:iCs/>
                <w:kern w:val="2"/>
                <w:sz w:val="21"/>
                <w:szCs w:val="21"/>
              </w:rPr>
              <w:t>Artemisia annua</w:t>
            </w:r>
            <w:r>
              <w:rPr>
                <w:rFonts w:ascii="Times New Roman" w:cs="Times New Roman"/>
                <w:kern w:val="2"/>
                <w:sz w:val="21"/>
                <w:szCs w:val="21"/>
              </w:rPr>
              <w:t>）</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0.95</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Soc</w:t>
            </w:r>
          </w:p>
        </w:tc>
        <w:tc>
          <w:tcPr>
            <w:tcW w:w="1073" w:type="dxa"/>
            <w:gridSpan w:val="2"/>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r>
      <w:tr w:rsidR="00BD5820">
        <w:trPr>
          <w:trHeight w:val="308"/>
          <w:jc w:val="center"/>
        </w:trPr>
        <w:tc>
          <w:tcPr>
            <w:tcW w:w="570" w:type="dxa"/>
            <w:vMerge/>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白茅</w:t>
            </w:r>
            <w:r>
              <w:rPr>
                <w:rFonts w:ascii="Times New Roman" w:cs="Times New Roman"/>
                <w:bCs/>
                <w:i/>
                <w:iCs/>
                <w:kern w:val="2"/>
                <w:sz w:val="21"/>
                <w:szCs w:val="21"/>
              </w:rPr>
              <w:t>Imperata cylindrica.</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0.55</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Soc</w:t>
            </w:r>
          </w:p>
        </w:tc>
        <w:tc>
          <w:tcPr>
            <w:tcW w:w="1073" w:type="dxa"/>
            <w:gridSpan w:val="2"/>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r>
      <w:tr w:rsidR="00BD5820">
        <w:trPr>
          <w:trHeight w:val="308"/>
          <w:jc w:val="center"/>
        </w:trPr>
        <w:tc>
          <w:tcPr>
            <w:tcW w:w="570" w:type="dxa"/>
            <w:vMerge/>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五节芒</w:t>
            </w:r>
            <w:r>
              <w:rPr>
                <w:rFonts w:ascii="Times New Roman" w:cs="Times New Roman"/>
                <w:bCs/>
                <w:i/>
                <w:iCs/>
                <w:kern w:val="2"/>
                <w:sz w:val="21"/>
                <w:szCs w:val="21"/>
              </w:rPr>
              <w:t>Miscanthus floridulus</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0.45</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Cop</w:t>
            </w:r>
            <w:r>
              <w:rPr>
                <w:rFonts w:ascii="Times New Roman" w:cs="Times New Roman"/>
                <w:bCs/>
                <w:kern w:val="2"/>
                <w:sz w:val="21"/>
                <w:szCs w:val="21"/>
                <w:vertAlign w:val="subscript"/>
              </w:rPr>
              <w:t>1</w:t>
            </w:r>
          </w:p>
        </w:tc>
        <w:tc>
          <w:tcPr>
            <w:tcW w:w="1073" w:type="dxa"/>
            <w:gridSpan w:val="2"/>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r>
      <w:tr w:rsidR="00BD5820">
        <w:trPr>
          <w:trHeight w:val="308"/>
          <w:jc w:val="center"/>
        </w:trPr>
        <w:tc>
          <w:tcPr>
            <w:tcW w:w="570" w:type="dxa"/>
            <w:vMerge/>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芒</w:t>
            </w:r>
            <w:r>
              <w:rPr>
                <w:rFonts w:ascii="Times New Roman" w:cs="Times New Roman"/>
                <w:bCs/>
                <w:i/>
                <w:iCs/>
                <w:kern w:val="2"/>
                <w:sz w:val="21"/>
                <w:szCs w:val="21"/>
              </w:rPr>
              <w:t>Miscanthus sinensis</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0.25</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Sp.</w:t>
            </w:r>
          </w:p>
        </w:tc>
        <w:tc>
          <w:tcPr>
            <w:tcW w:w="1073" w:type="dxa"/>
            <w:gridSpan w:val="2"/>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r>
      <w:tr w:rsidR="00BD5820">
        <w:trPr>
          <w:trHeight w:val="308"/>
          <w:jc w:val="center"/>
        </w:trPr>
        <w:tc>
          <w:tcPr>
            <w:tcW w:w="570" w:type="dxa"/>
            <w:vMerge/>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rPr>
                <w:rFonts w:ascii="Times New Roman" w:cs="Times New Roman"/>
                <w:bCs/>
                <w:kern w:val="2"/>
                <w:sz w:val="21"/>
                <w:szCs w:val="21"/>
              </w:rPr>
            </w:pPr>
            <w:r>
              <w:rPr>
                <w:rFonts w:ascii="Times New Roman" w:cs="Times New Roman"/>
                <w:kern w:val="2"/>
                <w:sz w:val="21"/>
                <w:szCs w:val="21"/>
              </w:rPr>
              <w:t>三褶脉紫菀（</w:t>
            </w:r>
            <w:r>
              <w:rPr>
                <w:rFonts w:ascii="Times New Roman" w:cs="Times New Roman"/>
                <w:i/>
                <w:iCs/>
                <w:kern w:val="2"/>
                <w:sz w:val="21"/>
                <w:szCs w:val="21"/>
              </w:rPr>
              <w:t>Aster ageratoides</w:t>
            </w:r>
            <w:r>
              <w:rPr>
                <w:rFonts w:ascii="Times New Roman" w:cs="Times New Roman"/>
                <w:kern w:val="2"/>
                <w:sz w:val="21"/>
                <w:szCs w:val="21"/>
              </w:rPr>
              <w:t>）</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0.6</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S</w:t>
            </w:r>
            <w:r>
              <w:rPr>
                <w:rFonts w:ascii="Times New Roman" w:cs="Times New Roman" w:hint="eastAsia"/>
                <w:bCs/>
                <w:kern w:val="2"/>
                <w:sz w:val="21"/>
                <w:szCs w:val="21"/>
              </w:rPr>
              <w:t>p</w:t>
            </w:r>
          </w:p>
        </w:tc>
        <w:tc>
          <w:tcPr>
            <w:tcW w:w="1073" w:type="dxa"/>
            <w:gridSpan w:val="2"/>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r>
    </w:tbl>
    <w:p w:rsidR="00BD5820" w:rsidRDefault="00F64314">
      <w:pPr>
        <w:topLinePunct w:val="0"/>
        <w:adjustRightInd/>
        <w:spacing w:line="500" w:lineRule="exact"/>
        <w:ind w:left="60" w:right="100" w:firstLineChars="0" w:firstLine="482"/>
        <w:jc w:val="center"/>
        <w:rPr>
          <w:rFonts w:ascii="Times New Roman" w:cs="Times New Roman"/>
          <w:b/>
          <w:kern w:val="2"/>
          <w:sz w:val="21"/>
          <w:szCs w:val="20"/>
        </w:rPr>
      </w:pPr>
      <w:r>
        <w:rPr>
          <w:rFonts w:ascii="Times New Roman" w:cs="Times New Roman"/>
          <w:b/>
          <w:kern w:val="2"/>
          <w:sz w:val="21"/>
          <w:szCs w:val="20"/>
        </w:rPr>
        <w:t>样方</w:t>
      </w:r>
      <w:r>
        <w:rPr>
          <w:rFonts w:ascii="Times New Roman" w:cs="Times New Roman" w:hint="eastAsia"/>
          <w:b/>
          <w:kern w:val="2"/>
          <w:sz w:val="21"/>
          <w:szCs w:val="20"/>
        </w:rPr>
        <w:t xml:space="preserve">3 </w:t>
      </w:r>
      <w:r>
        <w:rPr>
          <w:rFonts w:ascii="Times New Roman" w:cs="Times New Roman"/>
          <w:b/>
          <w:kern w:val="2"/>
          <w:sz w:val="21"/>
          <w:szCs w:val="20"/>
        </w:rPr>
        <w:t>麻栎、</w:t>
      </w:r>
      <w:r>
        <w:rPr>
          <w:rFonts w:ascii="Times New Roman" w:cs="Times New Roman" w:hint="eastAsia"/>
          <w:b/>
          <w:kern w:val="2"/>
          <w:sz w:val="21"/>
          <w:szCs w:val="20"/>
        </w:rPr>
        <w:t>青冈、</w:t>
      </w:r>
      <w:r>
        <w:rPr>
          <w:rFonts w:ascii="Times New Roman" w:cs="Times New Roman"/>
          <w:b/>
          <w:kern w:val="2"/>
          <w:sz w:val="21"/>
          <w:szCs w:val="20"/>
        </w:rPr>
        <w:t>栓皮栎</w:t>
      </w:r>
      <w:r>
        <w:rPr>
          <w:rFonts w:ascii="Times New Roman" w:cs="Times New Roman" w:hint="eastAsia"/>
          <w:b/>
          <w:kern w:val="2"/>
          <w:sz w:val="21"/>
          <w:szCs w:val="20"/>
        </w:rPr>
        <w:t>群落样方表</w:t>
      </w:r>
    </w:p>
    <w:tbl>
      <w:tblPr>
        <w:tblW w:w="9426"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570"/>
        <w:gridCol w:w="3928"/>
        <w:gridCol w:w="703"/>
        <w:gridCol w:w="481"/>
        <w:gridCol w:w="621"/>
        <w:gridCol w:w="648"/>
        <w:gridCol w:w="550"/>
        <w:gridCol w:w="523"/>
        <w:gridCol w:w="659"/>
        <w:gridCol w:w="743"/>
      </w:tblGrid>
      <w:tr w:rsidR="00BD5820">
        <w:trPr>
          <w:trHeight w:val="755"/>
          <w:jc w:val="center"/>
        </w:trPr>
        <w:tc>
          <w:tcPr>
            <w:tcW w:w="570"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sz w:val="21"/>
                <w:szCs w:val="21"/>
              </w:rPr>
              <w:t>坐标</w:t>
            </w: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107.7916</w:t>
            </w:r>
            <w:r>
              <w:rPr>
                <w:rFonts w:ascii="Times New Roman" w:cs="Times New Roman" w:hint="eastAsia"/>
                <w:bCs/>
                <w:kern w:val="2"/>
                <w:sz w:val="21"/>
                <w:szCs w:val="21"/>
              </w:rPr>
              <w:t>，</w:t>
            </w:r>
            <w:r>
              <w:rPr>
                <w:rFonts w:ascii="Times New Roman" w:cs="Times New Roman" w:hint="eastAsia"/>
                <w:bCs/>
                <w:kern w:val="2"/>
                <w:sz w:val="21"/>
                <w:szCs w:val="21"/>
              </w:rPr>
              <w:t>31.5451</w:t>
            </w:r>
          </w:p>
        </w:tc>
        <w:tc>
          <w:tcPr>
            <w:tcW w:w="70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海拔</w:t>
            </w:r>
            <w:r>
              <w:rPr>
                <w:rFonts w:ascii="Times New Roman" w:cs="Times New Roman" w:hint="eastAsia"/>
                <w:bCs/>
                <w:kern w:val="2"/>
                <w:sz w:val="21"/>
                <w:szCs w:val="21"/>
              </w:rPr>
              <w:t>（</w:t>
            </w:r>
            <w:r>
              <w:rPr>
                <w:rFonts w:ascii="Times New Roman" w:cs="Times New Roman"/>
                <w:bCs/>
                <w:kern w:val="2"/>
                <w:sz w:val="21"/>
                <w:szCs w:val="21"/>
              </w:rPr>
              <w:t>m</w:t>
            </w:r>
            <w:r>
              <w:rPr>
                <w:rFonts w:ascii="Times New Roman" w:cs="Times New Roman" w:hint="eastAsia"/>
                <w:bCs/>
                <w:kern w:val="2"/>
                <w:sz w:val="21"/>
                <w:szCs w:val="21"/>
              </w:rPr>
              <w:t>）</w:t>
            </w:r>
          </w:p>
        </w:tc>
        <w:tc>
          <w:tcPr>
            <w:tcW w:w="481"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939</w:t>
            </w:r>
          </w:p>
        </w:tc>
        <w:tc>
          <w:tcPr>
            <w:tcW w:w="621"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sz w:val="21"/>
                <w:szCs w:val="21"/>
              </w:rPr>
              <w:t>土壤类型</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壤土</w:t>
            </w:r>
          </w:p>
        </w:tc>
        <w:tc>
          <w:tcPr>
            <w:tcW w:w="550"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sz w:val="21"/>
                <w:szCs w:val="21"/>
              </w:rPr>
              <w:t>坡度</w:t>
            </w:r>
          </w:p>
        </w:tc>
        <w:tc>
          <w:tcPr>
            <w:tcW w:w="52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15</w:t>
            </w:r>
          </w:p>
        </w:tc>
        <w:tc>
          <w:tcPr>
            <w:tcW w:w="659"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sz w:val="21"/>
                <w:szCs w:val="21"/>
              </w:rPr>
              <w:t>坡向</w:t>
            </w:r>
          </w:p>
        </w:tc>
        <w:tc>
          <w:tcPr>
            <w:tcW w:w="74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S</w:t>
            </w:r>
          </w:p>
        </w:tc>
      </w:tr>
      <w:tr w:rsidR="00BD5820">
        <w:trPr>
          <w:trHeight w:val="308"/>
          <w:jc w:val="center"/>
        </w:trPr>
        <w:tc>
          <w:tcPr>
            <w:tcW w:w="570"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中文名</w:t>
            </w:r>
            <w:r>
              <w:rPr>
                <w:rFonts w:ascii="Times New Roman" w:cs="Times New Roman" w:hint="eastAsia"/>
                <w:bCs/>
                <w:kern w:val="2"/>
                <w:sz w:val="21"/>
                <w:szCs w:val="21"/>
              </w:rPr>
              <w:t>（</w:t>
            </w:r>
            <w:r>
              <w:rPr>
                <w:rFonts w:ascii="Times New Roman" w:cs="Times New Roman"/>
                <w:bCs/>
                <w:kern w:val="2"/>
                <w:sz w:val="21"/>
                <w:szCs w:val="21"/>
              </w:rPr>
              <w:t>拉丁名</w:t>
            </w:r>
            <w:r>
              <w:rPr>
                <w:rFonts w:ascii="Times New Roman" w:cs="Times New Roman" w:hint="eastAsia"/>
                <w:bCs/>
                <w:kern w:val="2"/>
                <w:sz w:val="21"/>
                <w:szCs w:val="21"/>
              </w:rPr>
              <w:t>）</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平均高度</w:t>
            </w:r>
            <w:r>
              <w:rPr>
                <w:rFonts w:ascii="Times New Roman" w:cs="Times New Roman"/>
                <w:bCs/>
                <w:kern w:val="2"/>
                <w:sz w:val="21"/>
                <w:szCs w:val="21"/>
              </w:rPr>
              <w:t>m</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株数</w:t>
            </w:r>
            <w:r>
              <w:rPr>
                <w:rFonts w:ascii="Times New Roman" w:cs="Times New Roman"/>
                <w:bCs/>
                <w:kern w:val="2"/>
                <w:sz w:val="21"/>
                <w:szCs w:val="21"/>
              </w:rPr>
              <w:t>/</w:t>
            </w:r>
            <w:r>
              <w:rPr>
                <w:rFonts w:ascii="Times New Roman" w:cs="Times New Roman"/>
                <w:bCs/>
                <w:kern w:val="2"/>
                <w:sz w:val="21"/>
                <w:szCs w:val="21"/>
              </w:rPr>
              <w:t>多度</w:t>
            </w:r>
          </w:p>
        </w:tc>
        <w:tc>
          <w:tcPr>
            <w:tcW w:w="1073" w:type="dxa"/>
            <w:gridSpan w:val="2"/>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平均胸径</w:t>
            </w:r>
            <w:r>
              <w:rPr>
                <w:rFonts w:ascii="Times New Roman" w:cs="Times New Roman"/>
                <w:bCs/>
                <w:kern w:val="2"/>
                <w:sz w:val="21"/>
                <w:szCs w:val="21"/>
              </w:rPr>
              <w:t>cm</w:t>
            </w:r>
          </w:p>
        </w:tc>
        <w:tc>
          <w:tcPr>
            <w:tcW w:w="659"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平均</w:t>
            </w:r>
          </w:p>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冠幅</w:t>
            </w:r>
          </w:p>
        </w:tc>
        <w:tc>
          <w:tcPr>
            <w:tcW w:w="74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茂盛</w:t>
            </w:r>
          </w:p>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度</w:t>
            </w:r>
          </w:p>
        </w:tc>
      </w:tr>
      <w:tr w:rsidR="00BD5820">
        <w:trPr>
          <w:trHeight w:val="308"/>
          <w:jc w:val="center"/>
        </w:trPr>
        <w:tc>
          <w:tcPr>
            <w:tcW w:w="570" w:type="dxa"/>
            <w:vMerge w:val="restart"/>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乔木层</w:t>
            </w: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麻栎（</w:t>
            </w:r>
            <w:r>
              <w:rPr>
                <w:rFonts w:ascii="Times New Roman" w:cs="Times New Roman"/>
                <w:i/>
                <w:iCs/>
                <w:kern w:val="2"/>
                <w:sz w:val="21"/>
                <w:szCs w:val="21"/>
              </w:rPr>
              <w:t>Quercus acutissima</w:t>
            </w:r>
            <w:r>
              <w:rPr>
                <w:rFonts w:ascii="Times New Roman" w:cs="Times New Roman"/>
                <w:kern w:val="2"/>
                <w:sz w:val="21"/>
                <w:szCs w:val="21"/>
              </w:rPr>
              <w:t>）</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7</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12</w:t>
            </w:r>
          </w:p>
        </w:tc>
        <w:tc>
          <w:tcPr>
            <w:tcW w:w="1073" w:type="dxa"/>
            <w:gridSpan w:val="2"/>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11</w:t>
            </w:r>
          </w:p>
        </w:tc>
        <w:tc>
          <w:tcPr>
            <w:tcW w:w="659"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4</w:t>
            </w:r>
            <w:r>
              <w:rPr>
                <w:rFonts w:ascii="Times New Roman" w:cs="Times New Roman"/>
                <w:bCs/>
                <w:kern w:val="2"/>
                <w:sz w:val="21"/>
                <w:szCs w:val="21"/>
              </w:rPr>
              <w:t>*4</w:t>
            </w:r>
          </w:p>
        </w:tc>
        <w:tc>
          <w:tcPr>
            <w:tcW w:w="74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盛</w:t>
            </w:r>
          </w:p>
        </w:tc>
      </w:tr>
      <w:tr w:rsidR="00BD5820">
        <w:trPr>
          <w:trHeight w:val="308"/>
          <w:jc w:val="center"/>
        </w:trPr>
        <w:tc>
          <w:tcPr>
            <w:tcW w:w="570" w:type="dxa"/>
            <w:vMerge/>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青冈</w:t>
            </w:r>
            <w:r>
              <w:rPr>
                <w:rFonts w:ascii="Times New Roman" w:cs="Times New Roman"/>
                <w:kern w:val="2"/>
                <w:sz w:val="21"/>
                <w:szCs w:val="21"/>
              </w:rPr>
              <w:t>（</w:t>
            </w:r>
            <w:r>
              <w:rPr>
                <w:rFonts w:ascii="Times New Roman" w:cs="Times New Roman"/>
                <w:i/>
                <w:iCs/>
                <w:kern w:val="2"/>
                <w:sz w:val="21"/>
                <w:szCs w:val="21"/>
              </w:rPr>
              <w:t>TCyclobalanopsis</w:t>
            </w:r>
            <w:r>
              <w:rPr>
                <w:rFonts w:ascii="Times New Roman" w:cs="Times New Roman" w:hint="eastAsia"/>
                <w:i/>
                <w:iCs/>
                <w:kern w:val="2"/>
                <w:sz w:val="21"/>
                <w:szCs w:val="21"/>
              </w:rPr>
              <w:t xml:space="preserve"> </w:t>
            </w:r>
            <w:r>
              <w:rPr>
                <w:rFonts w:ascii="Times New Roman" w:cs="Times New Roman"/>
                <w:i/>
                <w:iCs/>
                <w:kern w:val="2"/>
                <w:sz w:val="21"/>
                <w:szCs w:val="21"/>
              </w:rPr>
              <w:t>glauca(Thunb.)Oerst</w:t>
            </w:r>
            <w:r>
              <w:rPr>
                <w:rFonts w:ascii="Times New Roman" w:cs="Times New Roman"/>
                <w:kern w:val="2"/>
                <w:sz w:val="21"/>
                <w:szCs w:val="21"/>
              </w:rPr>
              <w:t>.</w:t>
            </w:r>
            <w:r>
              <w:rPr>
                <w:rFonts w:ascii="Times New Roman" w:cs="Times New Roman"/>
                <w:i/>
                <w:iCs/>
                <w:kern w:val="2"/>
                <w:sz w:val="21"/>
                <w:szCs w:val="21"/>
              </w:rPr>
              <w:t>）</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12</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4</w:t>
            </w:r>
          </w:p>
        </w:tc>
        <w:tc>
          <w:tcPr>
            <w:tcW w:w="1073" w:type="dxa"/>
            <w:gridSpan w:val="2"/>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10</w:t>
            </w:r>
          </w:p>
        </w:tc>
        <w:tc>
          <w:tcPr>
            <w:tcW w:w="659"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3</w:t>
            </w:r>
            <w:r>
              <w:rPr>
                <w:rFonts w:ascii="Times New Roman" w:cs="Times New Roman"/>
                <w:bCs/>
                <w:kern w:val="2"/>
                <w:sz w:val="21"/>
                <w:szCs w:val="21"/>
              </w:rPr>
              <w:t>*4</w:t>
            </w:r>
          </w:p>
        </w:tc>
        <w:tc>
          <w:tcPr>
            <w:tcW w:w="74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盛</w:t>
            </w:r>
          </w:p>
        </w:tc>
      </w:tr>
      <w:tr w:rsidR="00BD5820">
        <w:trPr>
          <w:trHeight w:val="308"/>
          <w:jc w:val="center"/>
        </w:trPr>
        <w:tc>
          <w:tcPr>
            <w:tcW w:w="570" w:type="dxa"/>
            <w:vMerge/>
            <w:vAlign w:val="center"/>
          </w:tcPr>
          <w:p w:rsidR="00BD5820" w:rsidRDefault="00BD5820">
            <w:pPr>
              <w:topLinePunct w:val="0"/>
              <w:autoSpaceDE w:val="0"/>
              <w:autoSpaceDN w:val="0"/>
              <w:spacing w:line="240" w:lineRule="auto"/>
              <w:ind w:firstLineChars="0" w:firstLine="0"/>
              <w:jc w:val="left"/>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栓皮栎（</w:t>
            </w:r>
            <w:r>
              <w:rPr>
                <w:rFonts w:ascii="Times New Roman" w:cs="Times New Roman"/>
                <w:i/>
                <w:iCs/>
                <w:kern w:val="2"/>
                <w:sz w:val="21"/>
                <w:szCs w:val="21"/>
              </w:rPr>
              <w:t>Quercus variabilis Bl.</w:t>
            </w:r>
            <w:r>
              <w:rPr>
                <w:rFonts w:ascii="Times New Roman" w:cs="Times New Roman"/>
                <w:kern w:val="2"/>
                <w:sz w:val="21"/>
                <w:szCs w:val="21"/>
              </w:rPr>
              <w:t>）</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13</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3</w:t>
            </w:r>
          </w:p>
        </w:tc>
        <w:tc>
          <w:tcPr>
            <w:tcW w:w="1073" w:type="dxa"/>
            <w:gridSpan w:val="2"/>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9</w:t>
            </w:r>
          </w:p>
        </w:tc>
        <w:tc>
          <w:tcPr>
            <w:tcW w:w="659"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2</w:t>
            </w:r>
            <w:r>
              <w:rPr>
                <w:rFonts w:ascii="Times New Roman" w:cs="Times New Roman"/>
                <w:bCs/>
                <w:kern w:val="2"/>
                <w:sz w:val="21"/>
                <w:szCs w:val="21"/>
              </w:rPr>
              <w:t>*</w:t>
            </w:r>
            <w:r>
              <w:rPr>
                <w:rFonts w:ascii="Times New Roman" w:cs="Times New Roman" w:hint="eastAsia"/>
                <w:bCs/>
                <w:kern w:val="2"/>
                <w:sz w:val="21"/>
                <w:szCs w:val="21"/>
              </w:rPr>
              <w:t>3</w:t>
            </w:r>
          </w:p>
        </w:tc>
        <w:tc>
          <w:tcPr>
            <w:tcW w:w="74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盛</w:t>
            </w:r>
          </w:p>
        </w:tc>
      </w:tr>
      <w:tr w:rsidR="00BD5820">
        <w:trPr>
          <w:trHeight w:val="308"/>
          <w:jc w:val="center"/>
        </w:trPr>
        <w:tc>
          <w:tcPr>
            <w:tcW w:w="570" w:type="dxa"/>
            <w:vMerge w:val="restart"/>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灌木层</w:t>
            </w: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马桑</w:t>
            </w:r>
            <w:r>
              <w:rPr>
                <w:rFonts w:ascii="Times New Roman" w:cs="Times New Roman"/>
                <w:kern w:val="2"/>
                <w:sz w:val="21"/>
                <w:szCs w:val="21"/>
              </w:rPr>
              <w:t>(</w:t>
            </w:r>
            <w:r>
              <w:rPr>
                <w:rFonts w:ascii="Times New Roman" w:cs="Times New Roman"/>
                <w:i/>
                <w:iCs/>
                <w:kern w:val="2"/>
                <w:sz w:val="21"/>
                <w:szCs w:val="21"/>
              </w:rPr>
              <w:t>Coriaria nepalensis</w:t>
            </w:r>
            <w:r>
              <w:rPr>
                <w:rFonts w:ascii="Times New Roman" w:cs="Times New Roman"/>
                <w:kern w:val="2"/>
                <w:sz w:val="21"/>
                <w:szCs w:val="21"/>
              </w:rPr>
              <w:t>)</w:t>
            </w:r>
            <w:r>
              <w:rPr>
                <w:rFonts w:ascii="Times New Roman" w:cs="Times New Roman"/>
                <w:kern w:val="2"/>
                <w:sz w:val="21"/>
                <w:szCs w:val="21"/>
              </w:rPr>
              <w:t>、</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1.2</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10</w:t>
            </w:r>
          </w:p>
        </w:tc>
        <w:tc>
          <w:tcPr>
            <w:tcW w:w="1073" w:type="dxa"/>
            <w:gridSpan w:val="2"/>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盛</w:t>
            </w:r>
          </w:p>
        </w:tc>
      </w:tr>
      <w:tr w:rsidR="00BD5820">
        <w:trPr>
          <w:trHeight w:val="308"/>
          <w:jc w:val="center"/>
        </w:trPr>
        <w:tc>
          <w:tcPr>
            <w:tcW w:w="570" w:type="dxa"/>
            <w:vMerge/>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豪猪刺</w:t>
            </w:r>
            <w:r>
              <w:rPr>
                <w:rFonts w:ascii="Times New Roman" w:cs="Times New Roman"/>
                <w:kern w:val="2"/>
                <w:sz w:val="21"/>
                <w:szCs w:val="21"/>
              </w:rPr>
              <w:t>(</w:t>
            </w:r>
            <w:r>
              <w:rPr>
                <w:rFonts w:ascii="Times New Roman" w:cs="Times New Roman"/>
                <w:i/>
                <w:iCs/>
                <w:kern w:val="2"/>
                <w:sz w:val="21"/>
                <w:szCs w:val="21"/>
              </w:rPr>
              <w:t>Berberis julianae</w:t>
            </w:r>
            <w:r>
              <w:rPr>
                <w:rFonts w:ascii="Times New Roman" w:cs="Times New Roman"/>
                <w:kern w:val="2"/>
                <w:sz w:val="21"/>
                <w:szCs w:val="21"/>
              </w:rPr>
              <w:t>)</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1.2</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7</w:t>
            </w:r>
          </w:p>
        </w:tc>
        <w:tc>
          <w:tcPr>
            <w:tcW w:w="1073" w:type="dxa"/>
            <w:gridSpan w:val="2"/>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1.5</w:t>
            </w: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盛</w:t>
            </w:r>
          </w:p>
        </w:tc>
      </w:tr>
      <w:tr w:rsidR="00BD5820">
        <w:trPr>
          <w:trHeight w:val="308"/>
          <w:jc w:val="center"/>
        </w:trPr>
        <w:tc>
          <w:tcPr>
            <w:tcW w:w="570" w:type="dxa"/>
            <w:vMerge/>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盐肤木（</w:t>
            </w:r>
            <w:r>
              <w:rPr>
                <w:rFonts w:ascii="Times New Roman" w:cs="Times New Roman"/>
                <w:i/>
                <w:iCs/>
                <w:kern w:val="2"/>
                <w:sz w:val="21"/>
                <w:szCs w:val="21"/>
              </w:rPr>
              <w:t>Rhus chinensis</w:t>
            </w:r>
            <w:r>
              <w:rPr>
                <w:rFonts w:ascii="Times New Roman" w:cs="Times New Roman"/>
                <w:kern w:val="2"/>
                <w:sz w:val="21"/>
                <w:szCs w:val="21"/>
              </w:rPr>
              <w:t>）</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1.4</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8</w:t>
            </w:r>
          </w:p>
        </w:tc>
        <w:tc>
          <w:tcPr>
            <w:tcW w:w="1073" w:type="dxa"/>
            <w:gridSpan w:val="2"/>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1.5</w:t>
            </w: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中</w:t>
            </w:r>
          </w:p>
        </w:tc>
      </w:tr>
      <w:tr w:rsidR="00BD5820">
        <w:trPr>
          <w:trHeight w:val="308"/>
          <w:jc w:val="center"/>
        </w:trPr>
        <w:tc>
          <w:tcPr>
            <w:tcW w:w="570" w:type="dxa"/>
            <w:vMerge/>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刺红珠</w:t>
            </w:r>
            <w:r>
              <w:rPr>
                <w:rFonts w:ascii="Times New Roman" w:cs="Times New Roman"/>
                <w:kern w:val="2"/>
                <w:sz w:val="21"/>
                <w:szCs w:val="21"/>
              </w:rPr>
              <w:t>(</w:t>
            </w:r>
            <w:r>
              <w:rPr>
                <w:rFonts w:ascii="Times New Roman" w:cs="Times New Roman"/>
                <w:i/>
                <w:iCs/>
                <w:kern w:val="2"/>
                <w:sz w:val="21"/>
                <w:szCs w:val="21"/>
              </w:rPr>
              <w:t>Berberis dictyophylla</w:t>
            </w:r>
            <w:r>
              <w:rPr>
                <w:rFonts w:ascii="Times New Roman" w:cs="Times New Roman"/>
                <w:kern w:val="2"/>
                <w:sz w:val="21"/>
                <w:szCs w:val="21"/>
              </w:rPr>
              <w:t>)</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1.2</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3</w:t>
            </w:r>
          </w:p>
        </w:tc>
        <w:tc>
          <w:tcPr>
            <w:tcW w:w="1073" w:type="dxa"/>
            <w:gridSpan w:val="2"/>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2.0</w:t>
            </w: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盛</w:t>
            </w:r>
          </w:p>
        </w:tc>
      </w:tr>
      <w:tr w:rsidR="00BD5820">
        <w:trPr>
          <w:trHeight w:val="308"/>
          <w:jc w:val="center"/>
        </w:trPr>
        <w:tc>
          <w:tcPr>
            <w:tcW w:w="570" w:type="dxa"/>
            <w:vMerge/>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
                <w:bCs/>
                <w:kern w:val="2"/>
                <w:sz w:val="21"/>
                <w:szCs w:val="21"/>
              </w:rPr>
            </w:pPr>
            <w:r>
              <w:rPr>
                <w:rFonts w:ascii="Times New Roman" w:cs="Times New Roman"/>
                <w:kern w:val="2"/>
                <w:sz w:val="21"/>
                <w:szCs w:val="21"/>
              </w:rPr>
              <w:t>胡颓子</w:t>
            </w:r>
            <w:r>
              <w:rPr>
                <w:rFonts w:ascii="Times New Roman" w:cs="Times New Roman" w:hint="eastAsia"/>
                <w:kern w:val="2"/>
                <w:sz w:val="21"/>
                <w:szCs w:val="21"/>
              </w:rPr>
              <w:t>（</w:t>
            </w:r>
            <w:r>
              <w:rPr>
                <w:rFonts w:ascii="Times New Roman" w:cs="Times New Roman"/>
                <w:i/>
                <w:iCs/>
                <w:kern w:val="2"/>
                <w:sz w:val="21"/>
                <w:szCs w:val="21"/>
              </w:rPr>
              <w:t>Elaeagnus pungens Thunb.</w:t>
            </w:r>
            <w:r>
              <w:rPr>
                <w:rFonts w:ascii="Times New Roman" w:cs="Times New Roman" w:hint="eastAsia"/>
                <w:kern w:val="2"/>
                <w:sz w:val="21"/>
                <w:szCs w:val="21"/>
              </w:rPr>
              <w:t>）</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1.2</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3</w:t>
            </w:r>
          </w:p>
        </w:tc>
        <w:tc>
          <w:tcPr>
            <w:tcW w:w="1073" w:type="dxa"/>
            <w:gridSpan w:val="2"/>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1.5</w:t>
            </w: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盛</w:t>
            </w:r>
          </w:p>
        </w:tc>
      </w:tr>
      <w:tr w:rsidR="00BD5820">
        <w:trPr>
          <w:trHeight w:val="308"/>
          <w:jc w:val="center"/>
        </w:trPr>
        <w:tc>
          <w:tcPr>
            <w:tcW w:w="570" w:type="dxa"/>
            <w:vMerge w:val="restart"/>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草本</w:t>
            </w:r>
            <w:r>
              <w:rPr>
                <w:rFonts w:ascii="Times New Roman" w:cs="Times New Roman"/>
                <w:bCs/>
                <w:kern w:val="2"/>
                <w:sz w:val="21"/>
                <w:szCs w:val="21"/>
              </w:rPr>
              <w:lastRenderedPageBreak/>
              <w:t>层</w:t>
            </w: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lastRenderedPageBreak/>
              <w:t>蒿</w:t>
            </w:r>
            <w:r>
              <w:rPr>
                <w:rFonts w:ascii="Times New Roman" w:cs="Times New Roman" w:hint="eastAsia"/>
                <w:kern w:val="2"/>
                <w:sz w:val="21"/>
                <w:szCs w:val="21"/>
              </w:rPr>
              <w:t>（</w:t>
            </w:r>
            <w:r>
              <w:rPr>
                <w:rFonts w:ascii="Times New Roman" w:cs="Times New Roman"/>
                <w:i/>
                <w:iCs/>
                <w:kern w:val="2"/>
                <w:sz w:val="21"/>
                <w:szCs w:val="21"/>
              </w:rPr>
              <w:t>Artemisia</w:t>
            </w:r>
            <w:r>
              <w:rPr>
                <w:rFonts w:ascii="Times New Roman" w:cs="Times New Roman" w:hint="eastAsia"/>
                <w:kern w:val="2"/>
                <w:sz w:val="21"/>
                <w:szCs w:val="21"/>
              </w:rPr>
              <w:t>）</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0.95</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Cop</w:t>
            </w:r>
            <w:r>
              <w:rPr>
                <w:rFonts w:ascii="Times New Roman" w:cs="Times New Roman" w:hint="eastAsia"/>
                <w:bCs/>
                <w:kern w:val="2"/>
                <w:sz w:val="21"/>
                <w:szCs w:val="21"/>
                <w:vertAlign w:val="subscript"/>
              </w:rPr>
              <w:t>2</w:t>
            </w:r>
          </w:p>
        </w:tc>
        <w:tc>
          <w:tcPr>
            <w:tcW w:w="1073" w:type="dxa"/>
            <w:gridSpan w:val="2"/>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r>
      <w:tr w:rsidR="00BD5820">
        <w:trPr>
          <w:trHeight w:val="308"/>
          <w:jc w:val="center"/>
        </w:trPr>
        <w:tc>
          <w:tcPr>
            <w:tcW w:w="570" w:type="dxa"/>
            <w:vMerge/>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白茅</w:t>
            </w:r>
            <w:r>
              <w:rPr>
                <w:rFonts w:ascii="Times New Roman" w:cs="Times New Roman" w:hint="eastAsia"/>
                <w:kern w:val="2"/>
                <w:sz w:val="21"/>
                <w:szCs w:val="21"/>
              </w:rPr>
              <w:t>（</w:t>
            </w:r>
            <w:r>
              <w:rPr>
                <w:rFonts w:ascii="Times New Roman" w:cs="Times New Roman"/>
                <w:i/>
                <w:iCs/>
                <w:kern w:val="2"/>
                <w:sz w:val="21"/>
                <w:szCs w:val="21"/>
              </w:rPr>
              <w:t>Imperata cylindrica (L.) Beauv.</w:t>
            </w:r>
            <w:r>
              <w:rPr>
                <w:rFonts w:ascii="Times New Roman" w:cs="Times New Roman" w:hint="eastAsia"/>
                <w:kern w:val="2"/>
                <w:sz w:val="21"/>
                <w:szCs w:val="21"/>
              </w:rPr>
              <w:t>）</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0.85</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Cop</w:t>
            </w:r>
            <w:r>
              <w:rPr>
                <w:rFonts w:ascii="Times New Roman" w:cs="Times New Roman" w:hint="eastAsia"/>
                <w:bCs/>
                <w:kern w:val="2"/>
                <w:sz w:val="21"/>
                <w:szCs w:val="21"/>
                <w:vertAlign w:val="subscript"/>
              </w:rPr>
              <w:t>2</w:t>
            </w:r>
          </w:p>
        </w:tc>
        <w:tc>
          <w:tcPr>
            <w:tcW w:w="1073" w:type="dxa"/>
            <w:gridSpan w:val="2"/>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r>
      <w:tr w:rsidR="00BD5820">
        <w:trPr>
          <w:trHeight w:val="308"/>
          <w:jc w:val="center"/>
        </w:trPr>
        <w:tc>
          <w:tcPr>
            <w:tcW w:w="570" w:type="dxa"/>
            <w:vMerge/>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芒萁</w:t>
            </w:r>
            <w:r>
              <w:rPr>
                <w:rFonts w:ascii="Times New Roman" w:cs="Times New Roman"/>
                <w:kern w:val="2"/>
                <w:sz w:val="21"/>
                <w:szCs w:val="21"/>
              </w:rPr>
              <w:t>(</w:t>
            </w:r>
            <w:r>
              <w:rPr>
                <w:rFonts w:ascii="Times New Roman" w:cs="Times New Roman"/>
                <w:i/>
                <w:iCs/>
                <w:kern w:val="2"/>
                <w:sz w:val="21"/>
                <w:szCs w:val="21"/>
              </w:rPr>
              <w:t>Dicranopteris dichotoma</w:t>
            </w:r>
            <w:r>
              <w:rPr>
                <w:rFonts w:ascii="Times New Roman" w:cs="Times New Roman"/>
                <w:kern w:val="2"/>
                <w:sz w:val="21"/>
                <w:szCs w:val="21"/>
              </w:rPr>
              <w:t>)</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0.4</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Cop</w:t>
            </w:r>
            <w:r>
              <w:rPr>
                <w:rFonts w:ascii="Times New Roman" w:cs="Times New Roman"/>
                <w:bCs/>
                <w:kern w:val="2"/>
                <w:sz w:val="21"/>
                <w:szCs w:val="21"/>
                <w:vertAlign w:val="subscript"/>
              </w:rPr>
              <w:t>1</w:t>
            </w:r>
          </w:p>
        </w:tc>
        <w:tc>
          <w:tcPr>
            <w:tcW w:w="1073" w:type="dxa"/>
            <w:gridSpan w:val="2"/>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r>
      <w:tr w:rsidR="00BD5820">
        <w:trPr>
          <w:trHeight w:val="308"/>
          <w:jc w:val="center"/>
        </w:trPr>
        <w:tc>
          <w:tcPr>
            <w:tcW w:w="570" w:type="dxa"/>
            <w:vMerge/>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聚花过路黄</w:t>
            </w:r>
            <w:r>
              <w:rPr>
                <w:rFonts w:ascii="Times New Roman" w:cs="Times New Roman"/>
                <w:i/>
                <w:iCs/>
                <w:kern w:val="2"/>
                <w:sz w:val="21"/>
                <w:szCs w:val="21"/>
              </w:rPr>
              <w:t>Lysimachia congestiflora Hemsl.</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0.25</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Sol.</w:t>
            </w:r>
          </w:p>
        </w:tc>
        <w:tc>
          <w:tcPr>
            <w:tcW w:w="1073" w:type="dxa"/>
            <w:gridSpan w:val="2"/>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r>
      <w:tr w:rsidR="00BD5820">
        <w:trPr>
          <w:trHeight w:val="308"/>
          <w:jc w:val="center"/>
        </w:trPr>
        <w:tc>
          <w:tcPr>
            <w:tcW w:w="570" w:type="dxa"/>
            <w:vMerge/>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蕺菜</w:t>
            </w:r>
            <w:r>
              <w:rPr>
                <w:rFonts w:ascii="Times New Roman" w:cs="Times New Roman"/>
                <w:i/>
                <w:iCs/>
                <w:kern w:val="2"/>
                <w:sz w:val="21"/>
                <w:szCs w:val="21"/>
              </w:rPr>
              <w:t>Houttuynia cordata Thunb</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0.6</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Un.</w:t>
            </w:r>
          </w:p>
        </w:tc>
        <w:tc>
          <w:tcPr>
            <w:tcW w:w="1073" w:type="dxa"/>
            <w:gridSpan w:val="2"/>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r>
      <w:tr w:rsidR="00BD5820">
        <w:trPr>
          <w:trHeight w:val="308"/>
          <w:jc w:val="center"/>
        </w:trPr>
        <w:tc>
          <w:tcPr>
            <w:tcW w:w="570" w:type="dxa"/>
            <w:vMerge/>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荩草</w:t>
            </w:r>
            <w:r>
              <w:rPr>
                <w:rFonts w:ascii="Times New Roman" w:cs="Times New Roman" w:hint="eastAsia"/>
                <w:kern w:val="2"/>
                <w:sz w:val="21"/>
                <w:szCs w:val="21"/>
              </w:rPr>
              <w:t>（</w:t>
            </w:r>
            <w:r>
              <w:rPr>
                <w:rFonts w:ascii="Times New Roman" w:cs="Times New Roman"/>
                <w:i/>
                <w:iCs/>
                <w:kern w:val="2"/>
                <w:sz w:val="21"/>
                <w:szCs w:val="21"/>
              </w:rPr>
              <w:t>Gramineae </w:t>
            </w:r>
            <w:r>
              <w:rPr>
                <w:rFonts w:ascii="Times New Roman" w:cs="Times New Roman" w:hint="eastAsia"/>
                <w:kern w:val="2"/>
                <w:sz w:val="21"/>
                <w:szCs w:val="21"/>
              </w:rPr>
              <w:t>）</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1.2</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Un.</w:t>
            </w:r>
          </w:p>
        </w:tc>
        <w:tc>
          <w:tcPr>
            <w:tcW w:w="1073" w:type="dxa"/>
            <w:gridSpan w:val="2"/>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r>
      <w:tr w:rsidR="00BD5820">
        <w:trPr>
          <w:trHeight w:val="308"/>
          <w:jc w:val="center"/>
        </w:trPr>
        <w:tc>
          <w:tcPr>
            <w:tcW w:w="570"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层外</w:t>
            </w:r>
          </w:p>
        </w:tc>
        <w:tc>
          <w:tcPr>
            <w:tcW w:w="8856" w:type="dxa"/>
            <w:gridSpan w:val="9"/>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托柄菝葜</w:t>
            </w:r>
            <w:r>
              <w:rPr>
                <w:rFonts w:ascii="Times New Roman" w:cs="Times New Roman"/>
                <w:kern w:val="2"/>
                <w:sz w:val="21"/>
                <w:szCs w:val="21"/>
              </w:rPr>
              <w:t>(</w:t>
            </w:r>
            <w:r>
              <w:rPr>
                <w:rFonts w:ascii="Times New Roman" w:cs="Times New Roman"/>
                <w:i/>
                <w:iCs/>
                <w:kern w:val="2"/>
                <w:sz w:val="21"/>
                <w:szCs w:val="21"/>
              </w:rPr>
              <w:t>Smilax discotis</w:t>
            </w:r>
            <w:r>
              <w:rPr>
                <w:rFonts w:ascii="Times New Roman" w:cs="Times New Roman"/>
                <w:kern w:val="2"/>
                <w:sz w:val="21"/>
                <w:szCs w:val="21"/>
              </w:rPr>
              <w:t>)</w:t>
            </w:r>
            <w:r>
              <w:rPr>
                <w:rFonts w:ascii="Times New Roman" w:cs="Times New Roman"/>
                <w:kern w:val="2"/>
                <w:sz w:val="21"/>
                <w:szCs w:val="21"/>
              </w:rPr>
              <w:t>、鞘柄菝葜</w:t>
            </w:r>
            <w:r>
              <w:rPr>
                <w:rFonts w:ascii="Times New Roman" w:cs="Times New Roman"/>
                <w:kern w:val="2"/>
                <w:sz w:val="21"/>
                <w:szCs w:val="21"/>
              </w:rPr>
              <w:t>(Smilax stans)</w:t>
            </w:r>
            <w:r>
              <w:rPr>
                <w:rFonts w:ascii="Times New Roman" w:cs="Times New Roman"/>
                <w:kern w:val="2"/>
                <w:sz w:val="21"/>
                <w:szCs w:val="21"/>
              </w:rPr>
              <w:t>、三叶木通</w:t>
            </w:r>
            <w:r>
              <w:rPr>
                <w:rFonts w:ascii="Times New Roman" w:cs="Times New Roman"/>
                <w:kern w:val="2"/>
                <w:sz w:val="21"/>
                <w:szCs w:val="21"/>
              </w:rPr>
              <w:t>(</w:t>
            </w:r>
            <w:r>
              <w:rPr>
                <w:rFonts w:ascii="Times New Roman" w:cs="Times New Roman"/>
                <w:i/>
                <w:iCs/>
                <w:kern w:val="2"/>
                <w:sz w:val="21"/>
                <w:szCs w:val="21"/>
              </w:rPr>
              <w:t>Akebia trifoliata</w:t>
            </w:r>
            <w:r>
              <w:rPr>
                <w:rFonts w:ascii="Times New Roman" w:cs="Times New Roman"/>
                <w:kern w:val="2"/>
                <w:sz w:val="21"/>
                <w:szCs w:val="21"/>
              </w:rPr>
              <w:t>)</w:t>
            </w:r>
            <w:r>
              <w:rPr>
                <w:rFonts w:ascii="Times New Roman" w:cs="Times New Roman"/>
                <w:kern w:val="2"/>
                <w:sz w:val="21"/>
                <w:szCs w:val="21"/>
              </w:rPr>
              <w:t>、三裂蛇葡萄</w:t>
            </w:r>
            <w:r>
              <w:rPr>
                <w:rFonts w:ascii="Times New Roman" w:cs="Times New Roman"/>
                <w:kern w:val="2"/>
                <w:sz w:val="21"/>
                <w:szCs w:val="21"/>
              </w:rPr>
              <w:t>(</w:t>
            </w:r>
            <w:r>
              <w:rPr>
                <w:rFonts w:ascii="Times New Roman" w:cs="Times New Roman"/>
                <w:i/>
                <w:iCs/>
                <w:kern w:val="2"/>
                <w:sz w:val="21"/>
                <w:szCs w:val="21"/>
              </w:rPr>
              <w:t>Ampelopsis delavayana</w:t>
            </w:r>
            <w:r>
              <w:rPr>
                <w:rFonts w:ascii="Times New Roman" w:cs="Times New Roman"/>
                <w:kern w:val="2"/>
                <w:sz w:val="21"/>
                <w:szCs w:val="21"/>
              </w:rPr>
              <w:t>)</w:t>
            </w:r>
            <w:r>
              <w:rPr>
                <w:rFonts w:ascii="Times New Roman" w:cs="Times New Roman"/>
                <w:kern w:val="2"/>
                <w:sz w:val="21"/>
                <w:szCs w:val="21"/>
              </w:rPr>
              <w:t>、爬山虎</w:t>
            </w:r>
            <w:r>
              <w:rPr>
                <w:rFonts w:ascii="Times New Roman" w:cs="Times New Roman"/>
                <w:kern w:val="2"/>
                <w:sz w:val="21"/>
                <w:szCs w:val="21"/>
              </w:rPr>
              <w:t>(</w:t>
            </w:r>
            <w:r>
              <w:rPr>
                <w:rFonts w:ascii="Times New Roman" w:cs="Times New Roman"/>
                <w:i/>
                <w:iCs/>
                <w:kern w:val="2"/>
                <w:sz w:val="21"/>
                <w:szCs w:val="21"/>
              </w:rPr>
              <w:t>Parthenocissus tricuspidata</w:t>
            </w:r>
            <w:r>
              <w:rPr>
                <w:rFonts w:ascii="Times New Roman" w:cs="Times New Roman"/>
                <w:kern w:val="2"/>
                <w:sz w:val="21"/>
                <w:szCs w:val="21"/>
              </w:rPr>
              <w:t>)</w:t>
            </w:r>
          </w:p>
        </w:tc>
      </w:tr>
    </w:tbl>
    <w:p w:rsidR="00BD5820" w:rsidRDefault="00F64314">
      <w:pPr>
        <w:topLinePunct w:val="0"/>
        <w:adjustRightInd/>
        <w:spacing w:line="500" w:lineRule="exact"/>
        <w:ind w:left="60" w:right="100" w:firstLineChars="0" w:firstLine="482"/>
        <w:jc w:val="center"/>
        <w:rPr>
          <w:rFonts w:ascii="Times New Roman" w:cs="Times New Roman"/>
          <w:b/>
          <w:kern w:val="2"/>
          <w:sz w:val="21"/>
          <w:szCs w:val="20"/>
        </w:rPr>
      </w:pPr>
      <w:r>
        <w:rPr>
          <w:rFonts w:ascii="Times New Roman" w:cs="Times New Roman"/>
          <w:b/>
          <w:kern w:val="2"/>
          <w:sz w:val="21"/>
          <w:szCs w:val="20"/>
        </w:rPr>
        <w:t>样方</w:t>
      </w:r>
      <w:r>
        <w:rPr>
          <w:rFonts w:ascii="Times New Roman" w:cs="Times New Roman" w:hint="eastAsia"/>
          <w:b/>
          <w:kern w:val="2"/>
          <w:sz w:val="21"/>
          <w:szCs w:val="20"/>
        </w:rPr>
        <w:t xml:space="preserve">4 </w:t>
      </w:r>
      <w:r>
        <w:rPr>
          <w:rFonts w:ascii="Times New Roman" w:cs="Times New Roman"/>
          <w:b/>
          <w:kern w:val="2"/>
          <w:sz w:val="21"/>
          <w:szCs w:val="20"/>
        </w:rPr>
        <w:t>槲栎灌丛</w:t>
      </w:r>
      <w:r>
        <w:rPr>
          <w:rFonts w:ascii="Times New Roman" w:cs="Times New Roman" w:hint="eastAsia"/>
          <w:b/>
          <w:kern w:val="2"/>
          <w:sz w:val="21"/>
          <w:szCs w:val="20"/>
        </w:rPr>
        <w:t>群落样方表</w:t>
      </w:r>
    </w:p>
    <w:tbl>
      <w:tblPr>
        <w:tblW w:w="9426"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570"/>
        <w:gridCol w:w="3928"/>
        <w:gridCol w:w="703"/>
        <w:gridCol w:w="481"/>
        <w:gridCol w:w="621"/>
        <w:gridCol w:w="648"/>
        <w:gridCol w:w="550"/>
        <w:gridCol w:w="523"/>
        <w:gridCol w:w="659"/>
        <w:gridCol w:w="743"/>
      </w:tblGrid>
      <w:tr w:rsidR="00BD5820">
        <w:trPr>
          <w:trHeight w:val="755"/>
          <w:jc w:val="center"/>
        </w:trPr>
        <w:tc>
          <w:tcPr>
            <w:tcW w:w="570"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sz w:val="21"/>
                <w:szCs w:val="21"/>
              </w:rPr>
              <w:t>坐标</w:t>
            </w: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107.8007</w:t>
            </w:r>
            <w:r>
              <w:rPr>
                <w:rFonts w:ascii="Times New Roman" w:cs="Times New Roman" w:hint="eastAsia"/>
                <w:bCs/>
                <w:kern w:val="2"/>
                <w:sz w:val="21"/>
                <w:szCs w:val="21"/>
              </w:rPr>
              <w:t>，</w:t>
            </w:r>
            <w:r>
              <w:rPr>
                <w:rFonts w:ascii="Times New Roman" w:cs="Times New Roman" w:hint="eastAsia"/>
                <w:bCs/>
                <w:kern w:val="2"/>
                <w:sz w:val="21"/>
                <w:szCs w:val="21"/>
              </w:rPr>
              <w:t>31.5398</w:t>
            </w:r>
          </w:p>
        </w:tc>
        <w:tc>
          <w:tcPr>
            <w:tcW w:w="70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海拔</w:t>
            </w:r>
            <w:r>
              <w:rPr>
                <w:rFonts w:ascii="Times New Roman" w:cs="Times New Roman" w:hint="eastAsia"/>
                <w:bCs/>
                <w:kern w:val="2"/>
                <w:sz w:val="21"/>
                <w:szCs w:val="21"/>
              </w:rPr>
              <w:t>（</w:t>
            </w:r>
            <w:r>
              <w:rPr>
                <w:rFonts w:ascii="Times New Roman" w:cs="Times New Roman"/>
                <w:bCs/>
                <w:kern w:val="2"/>
                <w:sz w:val="21"/>
                <w:szCs w:val="21"/>
              </w:rPr>
              <w:t>m</w:t>
            </w:r>
            <w:r>
              <w:rPr>
                <w:rFonts w:ascii="Times New Roman" w:cs="Times New Roman" w:hint="eastAsia"/>
                <w:bCs/>
                <w:kern w:val="2"/>
                <w:sz w:val="21"/>
                <w:szCs w:val="21"/>
              </w:rPr>
              <w:t>）</w:t>
            </w:r>
          </w:p>
        </w:tc>
        <w:tc>
          <w:tcPr>
            <w:tcW w:w="481"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764</w:t>
            </w:r>
          </w:p>
        </w:tc>
        <w:tc>
          <w:tcPr>
            <w:tcW w:w="621"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sz w:val="21"/>
                <w:szCs w:val="21"/>
              </w:rPr>
              <w:t>土壤类型</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酸性土</w:t>
            </w:r>
          </w:p>
        </w:tc>
        <w:tc>
          <w:tcPr>
            <w:tcW w:w="550"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sz w:val="21"/>
                <w:szCs w:val="21"/>
              </w:rPr>
              <w:t>坡度</w:t>
            </w:r>
          </w:p>
        </w:tc>
        <w:tc>
          <w:tcPr>
            <w:tcW w:w="52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5</w:t>
            </w:r>
          </w:p>
        </w:tc>
        <w:tc>
          <w:tcPr>
            <w:tcW w:w="659"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sz w:val="21"/>
                <w:szCs w:val="21"/>
              </w:rPr>
              <w:t>坡向</w:t>
            </w:r>
          </w:p>
        </w:tc>
        <w:tc>
          <w:tcPr>
            <w:tcW w:w="74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E</w:t>
            </w:r>
          </w:p>
        </w:tc>
      </w:tr>
      <w:tr w:rsidR="00BD5820">
        <w:trPr>
          <w:trHeight w:val="308"/>
          <w:jc w:val="center"/>
        </w:trPr>
        <w:tc>
          <w:tcPr>
            <w:tcW w:w="570"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中文名</w:t>
            </w:r>
            <w:r>
              <w:rPr>
                <w:rFonts w:ascii="Times New Roman" w:cs="Times New Roman" w:hint="eastAsia"/>
                <w:bCs/>
                <w:kern w:val="2"/>
                <w:sz w:val="21"/>
                <w:szCs w:val="21"/>
              </w:rPr>
              <w:t>（</w:t>
            </w:r>
            <w:r>
              <w:rPr>
                <w:rFonts w:ascii="Times New Roman" w:cs="Times New Roman"/>
                <w:bCs/>
                <w:kern w:val="2"/>
                <w:sz w:val="21"/>
                <w:szCs w:val="21"/>
              </w:rPr>
              <w:t>拉丁名</w:t>
            </w:r>
            <w:r>
              <w:rPr>
                <w:rFonts w:ascii="Times New Roman" w:cs="Times New Roman" w:hint="eastAsia"/>
                <w:bCs/>
                <w:kern w:val="2"/>
                <w:sz w:val="21"/>
                <w:szCs w:val="21"/>
              </w:rPr>
              <w:t>）</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平均高度</w:t>
            </w:r>
            <w:r>
              <w:rPr>
                <w:rFonts w:ascii="Times New Roman" w:cs="Times New Roman"/>
                <w:bCs/>
                <w:kern w:val="2"/>
                <w:sz w:val="21"/>
                <w:szCs w:val="21"/>
              </w:rPr>
              <w:t>m</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株数</w:t>
            </w:r>
            <w:r>
              <w:rPr>
                <w:rFonts w:ascii="Times New Roman" w:cs="Times New Roman"/>
                <w:bCs/>
                <w:kern w:val="2"/>
                <w:sz w:val="21"/>
                <w:szCs w:val="21"/>
              </w:rPr>
              <w:t>/</w:t>
            </w:r>
            <w:r>
              <w:rPr>
                <w:rFonts w:ascii="Times New Roman" w:cs="Times New Roman"/>
                <w:bCs/>
                <w:kern w:val="2"/>
                <w:sz w:val="21"/>
                <w:szCs w:val="21"/>
              </w:rPr>
              <w:t>多度</w:t>
            </w:r>
          </w:p>
        </w:tc>
        <w:tc>
          <w:tcPr>
            <w:tcW w:w="1073" w:type="dxa"/>
            <w:gridSpan w:val="2"/>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平均胸径</w:t>
            </w:r>
            <w:r>
              <w:rPr>
                <w:rFonts w:ascii="Times New Roman" w:cs="Times New Roman"/>
                <w:bCs/>
                <w:kern w:val="2"/>
                <w:sz w:val="21"/>
                <w:szCs w:val="21"/>
              </w:rPr>
              <w:t>cm</w:t>
            </w:r>
          </w:p>
        </w:tc>
        <w:tc>
          <w:tcPr>
            <w:tcW w:w="659"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平均</w:t>
            </w:r>
          </w:p>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冠幅</w:t>
            </w:r>
          </w:p>
        </w:tc>
        <w:tc>
          <w:tcPr>
            <w:tcW w:w="74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茂盛</w:t>
            </w:r>
          </w:p>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度</w:t>
            </w:r>
          </w:p>
        </w:tc>
      </w:tr>
      <w:tr w:rsidR="00BD5820">
        <w:trPr>
          <w:trHeight w:val="308"/>
          <w:jc w:val="center"/>
        </w:trPr>
        <w:tc>
          <w:tcPr>
            <w:tcW w:w="570" w:type="dxa"/>
            <w:vMerge w:val="restart"/>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灌木层</w:t>
            </w: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
                <w:kern w:val="2"/>
                <w:sz w:val="21"/>
                <w:szCs w:val="21"/>
              </w:rPr>
            </w:pPr>
            <w:r>
              <w:rPr>
                <w:rFonts w:ascii="Times New Roman" w:cs="Times New Roman"/>
                <w:kern w:val="2"/>
                <w:sz w:val="21"/>
                <w:szCs w:val="21"/>
              </w:rPr>
              <w:t>槲栎（</w:t>
            </w:r>
            <w:r>
              <w:rPr>
                <w:rFonts w:ascii="Times New Roman" w:cs="Times New Roman"/>
                <w:i/>
                <w:iCs/>
                <w:kern w:val="2"/>
                <w:sz w:val="21"/>
                <w:szCs w:val="21"/>
              </w:rPr>
              <w:t>Quercus aliena</w:t>
            </w:r>
            <w:r>
              <w:rPr>
                <w:rFonts w:ascii="Times New Roman" w:cs="Times New Roman"/>
                <w:kern w:val="2"/>
                <w:sz w:val="21"/>
                <w:szCs w:val="21"/>
              </w:rPr>
              <w:t>）</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1</w:t>
            </w:r>
            <w:r>
              <w:rPr>
                <w:rFonts w:ascii="Times New Roman" w:cs="Times New Roman" w:hint="eastAsia"/>
                <w:bCs/>
                <w:kern w:val="2"/>
                <w:sz w:val="21"/>
                <w:szCs w:val="21"/>
              </w:rPr>
              <w:t>.5</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14</w:t>
            </w:r>
          </w:p>
        </w:tc>
        <w:tc>
          <w:tcPr>
            <w:tcW w:w="1073" w:type="dxa"/>
            <w:gridSpan w:val="2"/>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2</w:t>
            </w:r>
            <w:r>
              <w:rPr>
                <w:rFonts w:ascii="Times New Roman" w:cs="Times New Roman"/>
                <w:bCs/>
                <w:kern w:val="2"/>
                <w:sz w:val="21"/>
                <w:szCs w:val="21"/>
              </w:rPr>
              <w:t>.</w:t>
            </w:r>
            <w:r>
              <w:rPr>
                <w:rFonts w:ascii="Times New Roman" w:cs="Times New Roman" w:hint="eastAsia"/>
                <w:bCs/>
                <w:kern w:val="2"/>
                <w:sz w:val="21"/>
                <w:szCs w:val="21"/>
              </w:rPr>
              <w:t>9</w:t>
            </w: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盛</w:t>
            </w:r>
          </w:p>
        </w:tc>
      </w:tr>
      <w:tr w:rsidR="00BD5820">
        <w:trPr>
          <w:trHeight w:val="308"/>
          <w:jc w:val="center"/>
        </w:trPr>
        <w:tc>
          <w:tcPr>
            <w:tcW w:w="570" w:type="dxa"/>
            <w:vMerge/>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毛黄栌（</w:t>
            </w:r>
            <w:r>
              <w:rPr>
                <w:rFonts w:ascii="Times New Roman" w:cs="Times New Roman"/>
                <w:i/>
                <w:iCs/>
                <w:kern w:val="2"/>
                <w:sz w:val="21"/>
                <w:szCs w:val="21"/>
              </w:rPr>
              <w:t>Cotinus coggygria var.pubescens</w:t>
            </w:r>
            <w:r>
              <w:rPr>
                <w:rFonts w:ascii="Times New Roman" w:cs="Times New Roman"/>
                <w:kern w:val="2"/>
                <w:sz w:val="21"/>
                <w:szCs w:val="21"/>
              </w:rPr>
              <w:t>）</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2.0</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8</w:t>
            </w:r>
          </w:p>
        </w:tc>
        <w:tc>
          <w:tcPr>
            <w:tcW w:w="1073" w:type="dxa"/>
            <w:gridSpan w:val="2"/>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1.</w:t>
            </w:r>
            <w:r>
              <w:rPr>
                <w:rFonts w:ascii="Times New Roman" w:cs="Times New Roman" w:hint="eastAsia"/>
                <w:bCs/>
                <w:kern w:val="2"/>
                <w:sz w:val="21"/>
                <w:szCs w:val="21"/>
              </w:rPr>
              <w:t>9</w:t>
            </w: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中</w:t>
            </w:r>
          </w:p>
        </w:tc>
      </w:tr>
      <w:tr w:rsidR="00BD5820">
        <w:trPr>
          <w:trHeight w:val="308"/>
          <w:jc w:val="center"/>
        </w:trPr>
        <w:tc>
          <w:tcPr>
            <w:tcW w:w="570" w:type="dxa"/>
            <w:vMerge w:val="restart"/>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草本层</w:t>
            </w: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栗褐苔草（</w:t>
            </w:r>
            <w:r>
              <w:rPr>
                <w:rFonts w:ascii="Times New Roman" w:cs="Times New Roman"/>
                <w:i/>
                <w:iCs/>
                <w:kern w:val="2"/>
                <w:sz w:val="21"/>
                <w:szCs w:val="21"/>
              </w:rPr>
              <w:t>Carex brunnea Thunb.</w:t>
            </w:r>
            <w:r>
              <w:rPr>
                <w:rFonts w:ascii="Times New Roman" w:cs="Times New Roman"/>
                <w:kern w:val="2"/>
                <w:sz w:val="21"/>
                <w:szCs w:val="21"/>
              </w:rPr>
              <w:t>）</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0.95</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Soc</w:t>
            </w:r>
          </w:p>
        </w:tc>
        <w:tc>
          <w:tcPr>
            <w:tcW w:w="1073" w:type="dxa"/>
            <w:gridSpan w:val="2"/>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r>
      <w:tr w:rsidR="00BD5820">
        <w:trPr>
          <w:trHeight w:val="308"/>
          <w:jc w:val="center"/>
        </w:trPr>
        <w:tc>
          <w:tcPr>
            <w:tcW w:w="570" w:type="dxa"/>
            <w:vMerge/>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披针叶苔草（</w:t>
            </w:r>
            <w:r>
              <w:rPr>
                <w:rFonts w:ascii="Times New Roman" w:cs="Times New Roman"/>
                <w:i/>
                <w:iCs/>
                <w:kern w:val="2"/>
                <w:sz w:val="21"/>
                <w:szCs w:val="21"/>
              </w:rPr>
              <w:t>Carex lanceolata</w:t>
            </w:r>
            <w:r>
              <w:rPr>
                <w:rFonts w:ascii="Times New Roman" w:cs="Times New Roman"/>
                <w:i/>
                <w:iCs/>
                <w:kern w:val="2"/>
                <w:sz w:val="21"/>
                <w:szCs w:val="21"/>
              </w:rPr>
              <w:tab/>
              <w:t>Boott</w:t>
            </w:r>
            <w:r>
              <w:rPr>
                <w:rFonts w:ascii="Times New Roman" w:cs="Times New Roman"/>
                <w:kern w:val="2"/>
                <w:sz w:val="21"/>
                <w:szCs w:val="21"/>
              </w:rPr>
              <w:t>）</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0.85</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Cop</w:t>
            </w:r>
            <w:r>
              <w:rPr>
                <w:rFonts w:ascii="Times New Roman" w:cs="Times New Roman" w:hint="eastAsia"/>
                <w:bCs/>
                <w:kern w:val="2"/>
                <w:sz w:val="21"/>
                <w:szCs w:val="21"/>
                <w:vertAlign w:val="subscript"/>
              </w:rPr>
              <w:t>2</w:t>
            </w:r>
          </w:p>
        </w:tc>
        <w:tc>
          <w:tcPr>
            <w:tcW w:w="1073" w:type="dxa"/>
            <w:gridSpan w:val="2"/>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r>
      <w:tr w:rsidR="00BD5820">
        <w:trPr>
          <w:trHeight w:val="90"/>
          <w:jc w:val="center"/>
        </w:trPr>
        <w:tc>
          <w:tcPr>
            <w:tcW w:w="570" w:type="dxa"/>
            <w:vMerge/>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黄茅（</w:t>
            </w:r>
            <w:r>
              <w:rPr>
                <w:rFonts w:ascii="Times New Roman" w:cs="Times New Roman"/>
                <w:i/>
                <w:iCs/>
                <w:kern w:val="2"/>
                <w:sz w:val="21"/>
                <w:szCs w:val="21"/>
              </w:rPr>
              <w:t>Heteropogon</w:t>
            </w:r>
            <w:r>
              <w:rPr>
                <w:rFonts w:ascii="Times New Roman" w:cs="Times New Roman"/>
                <w:i/>
                <w:iCs/>
                <w:kern w:val="2"/>
                <w:sz w:val="21"/>
                <w:szCs w:val="21"/>
              </w:rPr>
              <w:tab/>
              <w:t>contortus</w:t>
            </w:r>
            <w:r>
              <w:rPr>
                <w:rFonts w:ascii="Times New Roman" w:cs="Times New Roman"/>
                <w:kern w:val="2"/>
                <w:sz w:val="21"/>
                <w:szCs w:val="21"/>
              </w:rPr>
              <w:t>）</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1.2</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S</w:t>
            </w:r>
            <w:r>
              <w:rPr>
                <w:rFonts w:ascii="Times New Roman" w:cs="Times New Roman" w:hint="eastAsia"/>
                <w:bCs/>
                <w:kern w:val="2"/>
                <w:sz w:val="21"/>
                <w:szCs w:val="21"/>
              </w:rPr>
              <w:t>p</w:t>
            </w:r>
          </w:p>
        </w:tc>
        <w:tc>
          <w:tcPr>
            <w:tcW w:w="1073" w:type="dxa"/>
            <w:gridSpan w:val="2"/>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r>
      <w:tr w:rsidR="00BD5820">
        <w:trPr>
          <w:trHeight w:val="308"/>
          <w:jc w:val="center"/>
        </w:trPr>
        <w:tc>
          <w:tcPr>
            <w:tcW w:w="570" w:type="dxa"/>
            <w:vMerge/>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画眉草（</w:t>
            </w:r>
            <w:r>
              <w:rPr>
                <w:rFonts w:ascii="Times New Roman" w:cs="Times New Roman"/>
                <w:i/>
                <w:iCs/>
                <w:kern w:val="2"/>
                <w:sz w:val="21"/>
                <w:szCs w:val="21"/>
              </w:rPr>
              <w:t>Eragrostis pilosa(L.)Beauv.</w:t>
            </w:r>
            <w:r>
              <w:rPr>
                <w:rFonts w:ascii="Times New Roman" w:cs="Times New Roman"/>
                <w:kern w:val="2"/>
                <w:sz w:val="21"/>
                <w:szCs w:val="21"/>
              </w:rPr>
              <w:t>）</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0.5</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Sol.</w:t>
            </w:r>
          </w:p>
        </w:tc>
        <w:tc>
          <w:tcPr>
            <w:tcW w:w="1073" w:type="dxa"/>
            <w:gridSpan w:val="2"/>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r>
    </w:tbl>
    <w:p w:rsidR="00BD5820" w:rsidRDefault="00F64314">
      <w:pPr>
        <w:topLinePunct w:val="0"/>
        <w:adjustRightInd/>
        <w:spacing w:line="500" w:lineRule="exact"/>
        <w:ind w:left="60" w:right="100" w:firstLineChars="0" w:firstLine="482"/>
        <w:jc w:val="center"/>
        <w:rPr>
          <w:rFonts w:ascii="Times New Roman" w:cs="Times New Roman"/>
          <w:b/>
          <w:kern w:val="2"/>
          <w:sz w:val="21"/>
          <w:szCs w:val="20"/>
        </w:rPr>
      </w:pPr>
      <w:r>
        <w:rPr>
          <w:rFonts w:ascii="Times New Roman" w:cs="Times New Roman"/>
          <w:b/>
          <w:kern w:val="2"/>
          <w:sz w:val="21"/>
          <w:szCs w:val="20"/>
        </w:rPr>
        <w:t>样方</w:t>
      </w:r>
      <w:r>
        <w:rPr>
          <w:rFonts w:ascii="Times New Roman" w:cs="Times New Roman" w:hint="eastAsia"/>
          <w:b/>
          <w:kern w:val="2"/>
          <w:sz w:val="21"/>
          <w:szCs w:val="20"/>
        </w:rPr>
        <w:t xml:space="preserve">5  </w:t>
      </w:r>
      <w:r>
        <w:rPr>
          <w:rFonts w:ascii="Times New Roman" w:cs="Times New Roman" w:hint="eastAsia"/>
          <w:b/>
          <w:kern w:val="2"/>
          <w:sz w:val="21"/>
          <w:szCs w:val="20"/>
        </w:rPr>
        <w:t>马桑</w:t>
      </w:r>
      <w:r>
        <w:rPr>
          <w:rFonts w:ascii="Times New Roman" w:cs="Times New Roman"/>
          <w:b/>
          <w:kern w:val="2"/>
          <w:sz w:val="21"/>
          <w:szCs w:val="20"/>
        </w:rPr>
        <w:t>灌丛</w:t>
      </w:r>
      <w:r>
        <w:rPr>
          <w:rFonts w:ascii="Times New Roman" w:cs="Times New Roman" w:hint="eastAsia"/>
          <w:b/>
          <w:kern w:val="2"/>
          <w:sz w:val="21"/>
          <w:szCs w:val="20"/>
        </w:rPr>
        <w:t>群落样方表</w:t>
      </w:r>
    </w:p>
    <w:tbl>
      <w:tblPr>
        <w:tblW w:w="9426"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570"/>
        <w:gridCol w:w="3928"/>
        <w:gridCol w:w="703"/>
        <w:gridCol w:w="481"/>
        <w:gridCol w:w="621"/>
        <w:gridCol w:w="648"/>
        <w:gridCol w:w="550"/>
        <w:gridCol w:w="523"/>
        <w:gridCol w:w="659"/>
        <w:gridCol w:w="743"/>
      </w:tblGrid>
      <w:tr w:rsidR="00BD5820">
        <w:trPr>
          <w:trHeight w:val="755"/>
          <w:jc w:val="center"/>
        </w:trPr>
        <w:tc>
          <w:tcPr>
            <w:tcW w:w="570"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sz w:val="21"/>
                <w:szCs w:val="21"/>
              </w:rPr>
              <w:t>坐标</w:t>
            </w: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107.8018</w:t>
            </w:r>
            <w:r>
              <w:rPr>
                <w:rFonts w:ascii="Times New Roman" w:cs="Times New Roman" w:hint="eastAsia"/>
                <w:bCs/>
                <w:kern w:val="2"/>
                <w:sz w:val="21"/>
                <w:szCs w:val="21"/>
              </w:rPr>
              <w:t>，</w:t>
            </w:r>
            <w:r>
              <w:rPr>
                <w:rFonts w:ascii="Times New Roman" w:cs="Times New Roman" w:hint="eastAsia"/>
                <w:bCs/>
                <w:kern w:val="2"/>
                <w:sz w:val="21"/>
                <w:szCs w:val="21"/>
              </w:rPr>
              <w:t>31.5392</w:t>
            </w:r>
          </w:p>
        </w:tc>
        <w:tc>
          <w:tcPr>
            <w:tcW w:w="70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海拔</w:t>
            </w:r>
            <w:r>
              <w:rPr>
                <w:rFonts w:ascii="Times New Roman" w:cs="Times New Roman" w:hint="eastAsia"/>
                <w:bCs/>
                <w:kern w:val="2"/>
                <w:sz w:val="21"/>
                <w:szCs w:val="21"/>
              </w:rPr>
              <w:t>（</w:t>
            </w:r>
            <w:r>
              <w:rPr>
                <w:rFonts w:ascii="Times New Roman" w:cs="Times New Roman"/>
                <w:bCs/>
                <w:kern w:val="2"/>
                <w:sz w:val="21"/>
                <w:szCs w:val="21"/>
              </w:rPr>
              <w:t>m</w:t>
            </w:r>
            <w:r>
              <w:rPr>
                <w:rFonts w:ascii="Times New Roman" w:cs="Times New Roman" w:hint="eastAsia"/>
                <w:bCs/>
                <w:kern w:val="2"/>
                <w:sz w:val="21"/>
                <w:szCs w:val="21"/>
              </w:rPr>
              <w:t>）</w:t>
            </w:r>
          </w:p>
        </w:tc>
        <w:tc>
          <w:tcPr>
            <w:tcW w:w="481"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756</w:t>
            </w:r>
          </w:p>
        </w:tc>
        <w:tc>
          <w:tcPr>
            <w:tcW w:w="621" w:type="dxa"/>
            <w:vAlign w:val="center"/>
          </w:tcPr>
          <w:p w:rsidR="00BD5820" w:rsidRDefault="00F64314">
            <w:pPr>
              <w:topLinePunct w:val="0"/>
              <w:adjustRightInd/>
              <w:spacing w:line="240" w:lineRule="auto"/>
              <w:ind w:firstLineChars="0" w:firstLine="0"/>
              <w:jc w:val="center"/>
              <w:rPr>
                <w:rFonts w:ascii="Times New Roman" w:cs="Times New Roman"/>
                <w:bCs/>
                <w:sz w:val="21"/>
                <w:szCs w:val="21"/>
              </w:rPr>
            </w:pPr>
            <w:r>
              <w:rPr>
                <w:rFonts w:ascii="Times New Roman" w:cs="Times New Roman"/>
                <w:bCs/>
                <w:sz w:val="21"/>
                <w:szCs w:val="21"/>
              </w:rPr>
              <w:t>土壤类型</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碱性土</w:t>
            </w:r>
          </w:p>
        </w:tc>
        <w:tc>
          <w:tcPr>
            <w:tcW w:w="550"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sz w:val="21"/>
                <w:szCs w:val="21"/>
              </w:rPr>
              <w:t>坡度</w:t>
            </w:r>
          </w:p>
        </w:tc>
        <w:tc>
          <w:tcPr>
            <w:tcW w:w="52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15</w:t>
            </w:r>
          </w:p>
        </w:tc>
        <w:tc>
          <w:tcPr>
            <w:tcW w:w="659"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sz w:val="21"/>
                <w:szCs w:val="21"/>
              </w:rPr>
              <w:t>坡向</w:t>
            </w:r>
          </w:p>
        </w:tc>
        <w:tc>
          <w:tcPr>
            <w:tcW w:w="74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W</w:t>
            </w:r>
          </w:p>
        </w:tc>
      </w:tr>
      <w:tr w:rsidR="00BD5820">
        <w:trPr>
          <w:trHeight w:val="308"/>
          <w:jc w:val="center"/>
        </w:trPr>
        <w:tc>
          <w:tcPr>
            <w:tcW w:w="570"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中文名</w:t>
            </w:r>
            <w:r>
              <w:rPr>
                <w:rFonts w:ascii="Times New Roman" w:cs="Times New Roman" w:hint="eastAsia"/>
                <w:bCs/>
                <w:kern w:val="2"/>
                <w:sz w:val="21"/>
                <w:szCs w:val="21"/>
              </w:rPr>
              <w:t>（</w:t>
            </w:r>
            <w:r>
              <w:rPr>
                <w:rFonts w:ascii="Times New Roman" w:cs="Times New Roman"/>
                <w:bCs/>
                <w:kern w:val="2"/>
                <w:sz w:val="21"/>
                <w:szCs w:val="21"/>
              </w:rPr>
              <w:t>拉丁名</w:t>
            </w:r>
            <w:r>
              <w:rPr>
                <w:rFonts w:ascii="Times New Roman" w:cs="Times New Roman" w:hint="eastAsia"/>
                <w:bCs/>
                <w:kern w:val="2"/>
                <w:sz w:val="21"/>
                <w:szCs w:val="21"/>
              </w:rPr>
              <w:t>）</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平均高度</w:t>
            </w:r>
            <w:r>
              <w:rPr>
                <w:rFonts w:ascii="Times New Roman" w:cs="Times New Roman"/>
                <w:bCs/>
                <w:kern w:val="2"/>
                <w:sz w:val="21"/>
                <w:szCs w:val="21"/>
              </w:rPr>
              <w:t>m</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株数</w:t>
            </w:r>
            <w:r>
              <w:rPr>
                <w:rFonts w:ascii="Times New Roman" w:cs="Times New Roman"/>
                <w:bCs/>
                <w:kern w:val="2"/>
                <w:sz w:val="21"/>
                <w:szCs w:val="21"/>
              </w:rPr>
              <w:t>/</w:t>
            </w:r>
            <w:r>
              <w:rPr>
                <w:rFonts w:ascii="Times New Roman" w:cs="Times New Roman"/>
                <w:bCs/>
                <w:kern w:val="2"/>
                <w:sz w:val="21"/>
                <w:szCs w:val="21"/>
              </w:rPr>
              <w:t>多度</w:t>
            </w:r>
          </w:p>
        </w:tc>
        <w:tc>
          <w:tcPr>
            <w:tcW w:w="1073" w:type="dxa"/>
            <w:gridSpan w:val="2"/>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平均胸径</w:t>
            </w:r>
            <w:r>
              <w:rPr>
                <w:rFonts w:ascii="Times New Roman" w:cs="Times New Roman"/>
                <w:bCs/>
                <w:kern w:val="2"/>
                <w:sz w:val="21"/>
                <w:szCs w:val="21"/>
              </w:rPr>
              <w:t>cm</w:t>
            </w:r>
          </w:p>
        </w:tc>
        <w:tc>
          <w:tcPr>
            <w:tcW w:w="659"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平均</w:t>
            </w:r>
          </w:p>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冠幅</w:t>
            </w:r>
          </w:p>
        </w:tc>
        <w:tc>
          <w:tcPr>
            <w:tcW w:w="74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茂盛</w:t>
            </w:r>
          </w:p>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度</w:t>
            </w:r>
          </w:p>
        </w:tc>
      </w:tr>
      <w:tr w:rsidR="00BD5820">
        <w:trPr>
          <w:trHeight w:val="308"/>
          <w:jc w:val="center"/>
        </w:trPr>
        <w:tc>
          <w:tcPr>
            <w:tcW w:w="570" w:type="dxa"/>
            <w:vMerge w:val="restart"/>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灌木层</w:t>
            </w: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
                <w:kern w:val="2"/>
                <w:sz w:val="21"/>
                <w:szCs w:val="21"/>
              </w:rPr>
            </w:pPr>
            <w:r>
              <w:rPr>
                <w:rFonts w:ascii="Times New Roman" w:cs="Times New Roman"/>
                <w:kern w:val="2"/>
                <w:sz w:val="21"/>
                <w:szCs w:val="21"/>
              </w:rPr>
              <w:t>马桑（</w:t>
            </w:r>
            <w:r>
              <w:rPr>
                <w:rFonts w:ascii="Times New Roman" w:cs="Times New Roman"/>
                <w:i/>
                <w:iCs/>
                <w:kern w:val="2"/>
                <w:sz w:val="21"/>
                <w:szCs w:val="21"/>
              </w:rPr>
              <w:t>Coriaria nepalensis</w:t>
            </w:r>
            <w:r>
              <w:rPr>
                <w:rFonts w:ascii="Times New Roman" w:cs="Times New Roman"/>
                <w:kern w:val="2"/>
                <w:sz w:val="21"/>
                <w:szCs w:val="21"/>
              </w:rPr>
              <w:t>）</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1.4</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12</w:t>
            </w:r>
          </w:p>
        </w:tc>
        <w:tc>
          <w:tcPr>
            <w:tcW w:w="1073" w:type="dxa"/>
            <w:gridSpan w:val="2"/>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1.5</w:t>
            </w: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中</w:t>
            </w:r>
          </w:p>
        </w:tc>
      </w:tr>
      <w:tr w:rsidR="00BD5820">
        <w:trPr>
          <w:trHeight w:val="308"/>
          <w:jc w:val="center"/>
        </w:trPr>
        <w:tc>
          <w:tcPr>
            <w:tcW w:w="570" w:type="dxa"/>
            <w:vMerge/>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黄荆</w:t>
            </w:r>
            <w:r>
              <w:rPr>
                <w:rFonts w:ascii="Times New Roman" w:cs="Times New Roman" w:hint="eastAsia"/>
                <w:kern w:val="2"/>
                <w:sz w:val="21"/>
                <w:szCs w:val="21"/>
              </w:rPr>
              <w:t>（</w:t>
            </w:r>
            <w:r>
              <w:rPr>
                <w:rFonts w:ascii="Times New Roman" w:cs="Times New Roman"/>
                <w:i/>
                <w:iCs/>
                <w:kern w:val="2"/>
                <w:sz w:val="21"/>
                <w:szCs w:val="21"/>
              </w:rPr>
              <w:t>Vitex negundo L.</w:t>
            </w:r>
            <w:r>
              <w:rPr>
                <w:rFonts w:ascii="Times New Roman" w:cs="Times New Roman" w:hint="eastAsia"/>
                <w:kern w:val="2"/>
                <w:sz w:val="21"/>
                <w:szCs w:val="21"/>
              </w:rPr>
              <w:t>）</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1.3</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4</w:t>
            </w:r>
          </w:p>
        </w:tc>
        <w:tc>
          <w:tcPr>
            <w:tcW w:w="1073" w:type="dxa"/>
            <w:gridSpan w:val="2"/>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1.0</w:t>
            </w: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中</w:t>
            </w:r>
          </w:p>
        </w:tc>
      </w:tr>
      <w:tr w:rsidR="00BD5820">
        <w:trPr>
          <w:trHeight w:val="308"/>
          <w:jc w:val="center"/>
        </w:trPr>
        <w:tc>
          <w:tcPr>
            <w:tcW w:w="570" w:type="dxa"/>
            <w:vMerge/>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火棘</w:t>
            </w:r>
            <w:r>
              <w:rPr>
                <w:rFonts w:ascii="Times New Roman" w:cs="Times New Roman" w:hint="eastAsia"/>
                <w:kern w:val="2"/>
                <w:sz w:val="21"/>
                <w:szCs w:val="21"/>
              </w:rPr>
              <w:t>（</w:t>
            </w:r>
            <w:r>
              <w:rPr>
                <w:rFonts w:ascii="Times New Roman" w:cs="Times New Roman"/>
                <w:i/>
                <w:iCs/>
                <w:kern w:val="2"/>
                <w:sz w:val="21"/>
                <w:szCs w:val="21"/>
              </w:rPr>
              <w:t>Pyracantha fortuneana (Maxim.) Li</w:t>
            </w:r>
            <w:r>
              <w:rPr>
                <w:rFonts w:ascii="Times New Roman" w:cs="Times New Roman" w:hint="eastAsia"/>
                <w:kern w:val="2"/>
                <w:sz w:val="21"/>
                <w:szCs w:val="21"/>
              </w:rPr>
              <w:t>）</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1.2</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3</w:t>
            </w:r>
          </w:p>
        </w:tc>
        <w:tc>
          <w:tcPr>
            <w:tcW w:w="1073" w:type="dxa"/>
            <w:gridSpan w:val="2"/>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2.0</w:t>
            </w: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盛</w:t>
            </w:r>
          </w:p>
        </w:tc>
      </w:tr>
      <w:tr w:rsidR="00BD5820">
        <w:trPr>
          <w:trHeight w:val="308"/>
          <w:jc w:val="center"/>
        </w:trPr>
        <w:tc>
          <w:tcPr>
            <w:tcW w:w="570" w:type="dxa"/>
            <w:vMerge/>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盐肤木（</w:t>
            </w:r>
            <w:r>
              <w:rPr>
                <w:rFonts w:ascii="Times New Roman" w:cs="Times New Roman"/>
                <w:i/>
                <w:iCs/>
                <w:kern w:val="2"/>
                <w:sz w:val="21"/>
                <w:szCs w:val="21"/>
              </w:rPr>
              <w:t>Rhus chinensis</w:t>
            </w:r>
            <w:r>
              <w:rPr>
                <w:rFonts w:ascii="Times New Roman" w:cs="Times New Roman"/>
                <w:kern w:val="2"/>
                <w:sz w:val="21"/>
                <w:szCs w:val="21"/>
              </w:rPr>
              <w:t>）</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1.4</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2</w:t>
            </w:r>
          </w:p>
        </w:tc>
        <w:tc>
          <w:tcPr>
            <w:tcW w:w="1073" w:type="dxa"/>
            <w:gridSpan w:val="2"/>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1.5</w:t>
            </w: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中</w:t>
            </w:r>
          </w:p>
        </w:tc>
      </w:tr>
      <w:tr w:rsidR="00BD5820">
        <w:trPr>
          <w:trHeight w:val="308"/>
          <w:jc w:val="center"/>
        </w:trPr>
        <w:tc>
          <w:tcPr>
            <w:tcW w:w="570" w:type="dxa"/>
            <w:vMerge/>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金山荚蒾（</w:t>
            </w:r>
            <w:r>
              <w:rPr>
                <w:rFonts w:ascii="Times New Roman" w:cs="Times New Roman"/>
                <w:i/>
                <w:iCs/>
                <w:kern w:val="2"/>
                <w:sz w:val="21"/>
                <w:szCs w:val="21"/>
              </w:rPr>
              <w:t>Viburnum chinshanense</w:t>
            </w:r>
            <w:r>
              <w:rPr>
                <w:rFonts w:ascii="Times New Roman" w:cs="Times New Roman"/>
                <w:kern w:val="2"/>
                <w:sz w:val="21"/>
                <w:szCs w:val="21"/>
              </w:rPr>
              <w:t>）</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1.3</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4</w:t>
            </w:r>
          </w:p>
        </w:tc>
        <w:tc>
          <w:tcPr>
            <w:tcW w:w="1073" w:type="dxa"/>
            <w:gridSpan w:val="2"/>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1.0</w:t>
            </w: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中</w:t>
            </w:r>
          </w:p>
        </w:tc>
      </w:tr>
      <w:tr w:rsidR="00BD5820">
        <w:trPr>
          <w:trHeight w:val="308"/>
          <w:jc w:val="center"/>
        </w:trPr>
        <w:tc>
          <w:tcPr>
            <w:tcW w:w="570" w:type="dxa"/>
            <w:vMerge w:val="restart"/>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草本层</w:t>
            </w: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垂穗鹅观草（</w:t>
            </w:r>
            <w:r>
              <w:rPr>
                <w:rFonts w:ascii="Times New Roman" w:cs="Times New Roman"/>
                <w:i/>
                <w:iCs/>
                <w:kern w:val="2"/>
                <w:sz w:val="21"/>
                <w:szCs w:val="21"/>
              </w:rPr>
              <w:t>Roegneria nutans</w:t>
            </w:r>
            <w:r>
              <w:rPr>
                <w:rFonts w:ascii="Times New Roman" w:cs="Times New Roman"/>
                <w:kern w:val="2"/>
                <w:sz w:val="21"/>
                <w:szCs w:val="21"/>
              </w:rPr>
              <w:t>）</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0.95</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Soc</w:t>
            </w:r>
          </w:p>
        </w:tc>
        <w:tc>
          <w:tcPr>
            <w:tcW w:w="1073" w:type="dxa"/>
            <w:gridSpan w:val="2"/>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r>
      <w:tr w:rsidR="00BD5820">
        <w:trPr>
          <w:trHeight w:val="308"/>
          <w:jc w:val="center"/>
        </w:trPr>
        <w:tc>
          <w:tcPr>
            <w:tcW w:w="570" w:type="dxa"/>
            <w:vMerge/>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早熟禾（</w:t>
            </w:r>
            <w:r>
              <w:rPr>
                <w:rFonts w:ascii="Times New Roman" w:cs="Times New Roman"/>
                <w:i/>
                <w:iCs/>
                <w:kern w:val="2"/>
                <w:sz w:val="21"/>
                <w:szCs w:val="21"/>
              </w:rPr>
              <w:t>Poa annua</w:t>
            </w:r>
            <w:r>
              <w:rPr>
                <w:rFonts w:ascii="Times New Roman" w:cs="Times New Roman"/>
                <w:kern w:val="2"/>
                <w:sz w:val="21"/>
                <w:szCs w:val="21"/>
              </w:rPr>
              <w:t>）</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0.85</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S</w:t>
            </w:r>
            <w:r>
              <w:rPr>
                <w:rFonts w:ascii="Times New Roman" w:cs="Times New Roman" w:hint="eastAsia"/>
                <w:bCs/>
                <w:kern w:val="2"/>
                <w:sz w:val="21"/>
                <w:szCs w:val="21"/>
              </w:rPr>
              <w:t>p</w:t>
            </w:r>
          </w:p>
        </w:tc>
        <w:tc>
          <w:tcPr>
            <w:tcW w:w="1073" w:type="dxa"/>
            <w:gridSpan w:val="2"/>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r>
      <w:tr w:rsidR="00BD5820">
        <w:trPr>
          <w:trHeight w:val="308"/>
          <w:jc w:val="center"/>
        </w:trPr>
        <w:tc>
          <w:tcPr>
            <w:tcW w:w="570" w:type="dxa"/>
            <w:vMerge/>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芒草</w:t>
            </w:r>
            <w:r>
              <w:rPr>
                <w:rFonts w:ascii="Times New Roman" w:cs="Times New Roman" w:hint="eastAsia"/>
                <w:kern w:val="2"/>
                <w:sz w:val="21"/>
                <w:szCs w:val="21"/>
              </w:rPr>
              <w:t>（</w:t>
            </w:r>
            <w:r>
              <w:rPr>
                <w:rFonts w:ascii="Arial" w:hAnsi="Arial" w:cs="Arial"/>
                <w:kern w:val="2"/>
                <w:sz w:val="21"/>
                <w:szCs w:val="21"/>
                <w:shd w:val="clear" w:color="auto" w:fill="FFFFFF"/>
              </w:rPr>
              <w:t>Miscanthus</w:t>
            </w:r>
            <w:r>
              <w:rPr>
                <w:rFonts w:ascii="Times New Roman" w:cs="Times New Roman" w:hint="eastAsia"/>
                <w:kern w:val="2"/>
                <w:sz w:val="21"/>
                <w:szCs w:val="21"/>
              </w:rPr>
              <w:t>）</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0.4</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S</w:t>
            </w:r>
            <w:r>
              <w:rPr>
                <w:rFonts w:ascii="Times New Roman" w:cs="Times New Roman" w:hint="eastAsia"/>
                <w:bCs/>
                <w:kern w:val="2"/>
                <w:sz w:val="21"/>
                <w:szCs w:val="21"/>
              </w:rPr>
              <w:t>p</w:t>
            </w:r>
          </w:p>
        </w:tc>
        <w:tc>
          <w:tcPr>
            <w:tcW w:w="1073" w:type="dxa"/>
            <w:gridSpan w:val="2"/>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r>
    </w:tbl>
    <w:p w:rsidR="00BD5820" w:rsidRDefault="00F64314">
      <w:pPr>
        <w:topLinePunct w:val="0"/>
        <w:adjustRightInd/>
        <w:spacing w:line="500" w:lineRule="exact"/>
        <w:ind w:left="60" w:right="100" w:firstLineChars="0" w:firstLine="482"/>
        <w:jc w:val="center"/>
        <w:rPr>
          <w:rFonts w:ascii="Times New Roman" w:cs="Times New Roman"/>
          <w:b/>
          <w:kern w:val="2"/>
          <w:sz w:val="21"/>
          <w:szCs w:val="20"/>
        </w:rPr>
      </w:pPr>
      <w:r>
        <w:rPr>
          <w:rFonts w:ascii="Times New Roman" w:cs="Times New Roman"/>
          <w:b/>
          <w:kern w:val="2"/>
          <w:sz w:val="21"/>
          <w:szCs w:val="20"/>
        </w:rPr>
        <w:t>样方</w:t>
      </w:r>
      <w:r>
        <w:rPr>
          <w:rFonts w:ascii="Times New Roman" w:cs="Times New Roman" w:hint="eastAsia"/>
          <w:b/>
          <w:kern w:val="2"/>
          <w:sz w:val="21"/>
          <w:szCs w:val="20"/>
        </w:rPr>
        <w:t xml:space="preserve">6 </w:t>
      </w:r>
      <w:r>
        <w:rPr>
          <w:rFonts w:ascii="Times New Roman" w:cs="Times New Roman"/>
          <w:b/>
          <w:kern w:val="2"/>
          <w:sz w:val="21"/>
          <w:szCs w:val="20"/>
        </w:rPr>
        <w:t>马桑、黄荆、火棘</w:t>
      </w:r>
      <w:r>
        <w:rPr>
          <w:rFonts w:ascii="Times New Roman" w:cs="Times New Roman" w:hint="eastAsia"/>
          <w:b/>
          <w:kern w:val="2"/>
          <w:sz w:val="21"/>
          <w:szCs w:val="20"/>
        </w:rPr>
        <w:t>群落样方表</w:t>
      </w:r>
    </w:p>
    <w:tbl>
      <w:tblPr>
        <w:tblW w:w="9426"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570"/>
        <w:gridCol w:w="3928"/>
        <w:gridCol w:w="703"/>
        <w:gridCol w:w="481"/>
        <w:gridCol w:w="621"/>
        <w:gridCol w:w="648"/>
        <w:gridCol w:w="550"/>
        <w:gridCol w:w="523"/>
        <w:gridCol w:w="659"/>
        <w:gridCol w:w="743"/>
      </w:tblGrid>
      <w:tr w:rsidR="00BD5820">
        <w:trPr>
          <w:trHeight w:val="755"/>
          <w:jc w:val="center"/>
        </w:trPr>
        <w:tc>
          <w:tcPr>
            <w:tcW w:w="570"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sz w:val="21"/>
                <w:szCs w:val="21"/>
              </w:rPr>
              <w:t>坐标</w:t>
            </w: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107.8009</w:t>
            </w:r>
            <w:r>
              <w:rPr>
                <w:rFonts w:ascii="Times New Roman" w:cs="Times New Roman" w:hint="eastAsia"/>
                <w:bCs/>
                <w:kern w:val="2"/>
                <w:sz w:val="21"/>
                <w:szCs w:val="21"/>
              </w:rPr>
              <w:t>，</w:t>
            </w:r>
            <w:r>
              <w:rPr>
                <w:rFonts w:ascii="Times New Roman" w:cs="Times New Roman" w:hint="eastAsia"/>
                <w:bCs/>
                <w:kern w:val="2"/>
                <w:sz w:val="21"/>
                <w:szCs w:val="21"/>
              </w:rPr>
              <w:t>31.5386</w:t>
            </w:r>
          </w:p>
        </w:tc>
        <w:tc>
          <w:tcPr>
            <w:tcW w:w="70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海拔</w:t>
            </w:r>
            <w:r>
              <w:rPr>
                <w:rFonts w:ascii="Times New Roman" w:cs="Times New Roman" w:hint="eastAsia"/>
                <w:bCs/>
                <w:kern w:val="2"/>
                <w:sz w:val="21"/>
                <w:szCs w:val="21"/>
              </w:rPr>
              <w:t>（</w:t>
            </w:r>
            <w:r>
              <w:rPr>
                <w:rFonts w:ascii="Times New Roman" w:cs="Times New Roman"/>
                <w:bCs/>
                <w:kern w:val="2"/>
                <w:sz w:val="21"/>
                <w:szCs w:val="21"/>
              </w:rPr>
              <w:t>m</w:t>
            </w:r>
            <w:r>
              <w:rPr>
                <w:rFonts w:ascii="Times New Roman" w:cs="Times New Roman" w:hint="eastAsia"/>
                <w:bCs/>
                <w:kern w:val="2"/>
                <w:sz w:val="21"/>
                <w:szCs w:val="21"/>
              </w:rPr>
              <w:t>）</w:t>
            </w:r>
          </w:p>
        </w:tc>
        <w:tc>
          <w:tcPr>
            <w:tcW w:w="481"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750</w:t>
            </w:r>
          </w:p>
        </w:tc>
        <w:tc>
          <w:tcPr>
            <w:tcW w:w="621"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sz w:val="21"/>
                <w:szCs w:val="21"/>
              </w:rPr>
              <w:t>土壤</w:t>
            </w:r>
            <w:r>
              <w:rPr>
                <w:rFonts w:ascii="Times New Roman" w:cs="Times New Roman"/>
                <w:bCs/>
                <w:sz w:val="21"/>
                <w:szCs w:val="21"/>
              </w:rPr>
              <w:lastRenderedPageBreak/>
              <w:t>类型</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lastRenderedPageBreak/>
              <w:t>壤土</w:t>
            </w:r>
          </w:p>
        </w:tc>
        <w:tc>
          <w:tcPr>
            <w:tcW w:w="550"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sz w:val="21"/>
                <w:szCs w:val="21"/>
              </w:rPr>
              <w:t>坡度</w:t>
            </w:r>
          </w:p>
        </w:tc>
        <w:tc>
          <w:tcPr>
            <w:tcW w:w="52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5</w:t>
            </w:r>
          </w:p>
        </w:tc>
        <w:tc>
          <w:tcPr>
            <w:tcW w:w="659"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sz w:val="21"/>
                <w:szCs w:val="21"/>
              </w:rPr>
              <w:t>坡向</w:t>
            </w:r>
          </w:p>
        </w:tc>
        <w:tc>
          <w:tcPr>
            <w:tcW w:w="74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W</w:t>
            </w:r>
          </w:p>
        </w:tc>
      </w:tr>
      <w:tr w:rsidR="00BD5820">
        <w:trPr>
          <w:trHeight w:val="308"/>
          <w:jc w:val="center"/>
        </w:trPr>
        <w:tc>
          <w:tcPr>
            <w:tcW w:w="570"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中文名</w:t>
            </w:r>
            <w:r>
              <w:rPr>
                <w:rFonts w:ascii="Times New Roman" w:cs="Times New Roman" w:hint="eastAsia"/>
                <w:bCs/>
                <w:kern w:val="2"/>
                <w:sz w:val="21"/>
                <w:szCs w:val="21"/>
              </w:rPr>
              <w:t>（</w:t>
            </w:r>
            <w:r>
              <w:rPr>
                <w:rFonts w:ascii="Times New Roman" w:cs="Times New Roman"/>
                <w:bCs/>
                <w:kern w:val="2"/>
                <w:sz w:val="21"/>
                <w:szCs w:val="21"/>
              </w:rPr>
              <w:t>拉丁名</w:t>
            </w:r>
            <w:r>
              <w:rPr>
                <w:rFonts w:ascii="Times New Roman" w:cs="Times New Roman" w:hint="eastAsia"/>
                <w:bCs/>
                <w:kern w:val="2"/>
                <w:sz w:val="21"/>
                <w:szCs w:val="21"/>
              </w:rPr>
              <w:t>）</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平均高度</w:t>
            </w:r>
            <w:r>
              <w:rPr>
                <w:rFonts w:ascii="Times New Roman" w:cs="Times New Roman"/>
                <w:bCs/>
                <w:kern w:val="2"/>
                <w:sz w:val="21"/>
                <w:szCs w:val="21"/>
              </w:rPr>
              <w:t>m</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株数</w:t>
            </w:r>
            <w:r>
              <w:rPr>
                <w:rFonts w:ascii="Times New Roman" w:cs="Times New Roman"/>
                <w:bCs/>
                <w:kern w:val="2"/>
                <w:sz w:val="21"/>
                <w:szCs w:val="21"/>
              </w:rPr>
              <w:t>/</w:t>
            </w:r>
            <w:r>
              <w:rPr>
                <w:rFonts w:ascii="Times New Roman" w:cs="Times New Roman"/>
                <w:bCs/>
                <w:kern w:val="2"/>
                <w:sz w:val="21"/>
                <w:szCs w:val="21"/>
              </w:rPr>
              <w:t>多度</w:t>
            </w:r>
          </w:p>
        </w:tc>
        <w:tc>
          <w:tcPr>
            <w:tcW w:w="1073" w:type="dxa"/>
            <w:gridSpan w:val="2"/>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平均胸径</w:t>
            </w:r>
            <w:r>
              <w:rPr>
                <w:rFonts w:ascii="Times New Roman" w:cs="Times New Roman"/>
                <w:bCs/>
                <w:kern w:val="2"/>
                <w:sz w:val="21"/>
                <w:szCs w:val="21"/>
              </w:rPr>
              <w:t>cm</w:t>
            </w:r>
          </w:p>
        </w:tc>
        <w:tc>
          <w:tcPr>
            <w:tcW w:w="659"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平均</w:t>
            </w:r>
          </w:p>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冠幅</w:t>
            </w:r>
          </w:p>
        </w:tc>
        <w:tc>
          <w:tcPr>
            <w:tcW w:w="74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茂盛</w:t>
            </w:r>
          </w:p>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度</w:t>
            </w:r>
          </w:p>
        </w:tc>
      </w:tr>
      <w:tr w:rsidR="00BD5820">
        <w:trPr>
          <w:trHeight w:val="308"/>
          <w:jc w:val="center"/>
        </w:trPr>
        <w:tc>
          <w:tcPr>
            <w:tcW w:w="570" w:type="dxa"/>
            <w:vMerge w:val="restart"/>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灌木层</w:t>
            </w: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sz w:val="21"/>
                <w:szCs w:val="21"/>
              </w:rPr>
              <w:t>火棘</w:t>
            </w:r>
            <w:r>
              <w:rPr>
                <w:rFonts w:ascii="Times New Roman" w:cs="Times New Roman"/>
                <w:i/>
                <w:iCs/>
                <w:kern w:val="2"/>
                <w:sz w:val="21"/>
                <w:szCs w:val="21"/>
              </w:rPr>
              <w:t>Pyracantha fortuneana</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1.3</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8</w:t>
            </w:r>
          </w:p>
        </w:tc>
        <w:tc>
          <w:tcPr>
            <w:tcW w:w="1073" w:type="dxa"/>
            <w:gridSpan w:val="2"/>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1.5</w:t>
            </w: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盛</w:t>
            </w:r>
          </w:p>
        </w:tc>
      </w:tr>
      <w:tr w:rsidR="00BD5820">
        <w:trPr>
          <w:trHeight w:val="308"/>
          <w:jc w:val="center"/>
        </w:trPr>
        <w:tc>
          <w:tcPr>
            <w:tcW w:w="570" w:type="dxa"/>
            <w:vMerge/>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sz w:val="21"/>
                <w:szCs w:val="21"/>
              </w:rPr>
              <w:t>黄荆</w:t>
            </w:r>
            <w:r>
              <w:rPr>
                <w:rFonts w:ascii="Times New Roman" w:cs="Times New Roman"/>
                <w:i/>
                <w:iCs/>
                <w:kern w:val="2"/>
                <w:sz w:val="21"/>
                <w:szCs w:val="21"/>
              </w:rPr>
              <w:t>Vitex negundo</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1.5</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10</w:t>
            </w:r>
          </w:p>
        </w:tc>
        <w:tc>
          <w:tcPr>
            <w:tcW w:w="1073" w:type="dxa"/>
            <w:gridSpan w:val="2"/>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1.0</w:t>
            </w: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r>
      <w:tr w:rsidR="00BD5820">
        <w:trPr>
          <w:trHeight w:val="308"/>
          <w:jc w:val="center"/>
        </w:trPr>
        <w:tc>
          <w:tcPr>
            <w:tcW w:w="570" w:type="dxa"/>
            <w:vMerge/>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马桑</w:t>
            </w:r>
            <w:r>
              <w:rPr>
                <w:rFonts w:ascii="Times New Roman" w:cs="Times New Roman"/>
                <w:i/>
                <w:iCs/>
                <w:kern w:val="2"/>
                <w:sz w:val="21"/>
                <w:szCs w:val="21"/>
              </w:rPr>
              <w:t>Coriaria nepalensis</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1.2</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19</w:t>
            </w:r>
          </w:p>
        </w:tc>
        <w:tc>
          <w:tcPr>
            <w:tcW w:w="1073" w:type="dxa"/>
            <w:gridSpan w:val="2"/>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1.0</w:t>
            </w: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中</w:t>
            </w:r>
          </w:p>
        </w:tc>
      </w:tr>
      <w:tr w:rsidR="00BD5820">
        <w:trPr>
          <w:trHeight w:val="308"/>
          <w:jc w:val="center"/>
        </w:trPr>
        <w:tc>
          <w:tcPr>
            <w:tcW w:w="570" w:type="dxa"/>
            <w:vMerge/>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美丽胡枝子</w:t>
            </w:r>
            <w:r>
              <w:rPr>
                <w:rFonts w:ascii="Times New Roman" w:cs="Times New Roman"/>
                <w:i/>
                <w:iCs/>
                <w:kern w:val="2"/>
                <w:sz w:val="21"/>
                <w:szCs w:val="21"/>
              </w:rPr>
              <w:t>Lespedeza formosa</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1.2</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3</w:t>
            </w:r>
          </w:p>
        </w:tc>
        <w:tc>
          <w:tcPr>
            <w:tcW w:w="1073" w:type="dxa"/>
            <w:gridSpan w:val="2"/>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2.0</w:t>
            </w: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盛</w:t>
            </w:r>
          </w:p>
        </w:tc>
      </w:tr>
      <w:tr w:rsidR="00BD5820">
        <w:trPr>
          <w:trHeight w:val="308"/>
          <w:jc w:val="center"/>
        </w:trPr>
        <w:tc>
          <w:tcPr>
            <w:tcW w:w="570" w:type="dxa"/>
            <w:vMerge/>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山胡椒</w:t>
            </w:r>
            <w:r>
              <w:rPr>
                <w:rFonts w:ascii="Times New Roman" w:cs="Times New Roman"/>
                <w:i/>
                <w:iCs/>
                <w:kern w:val="2"/>
                <w:sz w:val="21"/>
                <w:szCs w:val="21"/>
              </w:rPr>
              <w:t>Lindera sp.</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1.1</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4</w:t>
            </w:r>
          </w:p>
        </w:tc>
        <w:tc>
          <w:tcPr>
            <w:tcW w:w="1073" w:type="dxa"/>
            <w:gridSpan w:val="2"/>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1.0</w:t>
            </w: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中</w:t>
            </w:r>
          </w:p>
        </w:tc>
      </w:tr>
      <w:tr w:rsidR="00BD5820">
        <w:trPr>
          <w:trHeight w:val="308"/>
          <w:jc w:val="center"/>
        </w:trPr>
        <w:tc>
          <w:tcPr>
            <w:tcW w:w="570" w:type="dxa"/>
            <w:vMerge w:val="restart"/>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草本层</w:t>
            </w: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聚花过路黄</w:t>
            </w:r>
            <w:r>
              <w:rPr>
                <w:rFonts w:ascii="Times New Roman" w:cs="Times New Roman"/>
                <w:i/>
                <w:iCs/>
                <w:kern w:val="2"/>
                <w:sz w:val="21"/>
                <w:szCs w:val="21"/>
              </w:rPr>
              <w:t>Lysimachia congestiflora Hemsl.</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0.25</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Sol.</w:t>
            </w:r>
          </w:p>
        </w:tc>
        <w:tc>
          <w:tcPr>
            <w:tcW w:w="1073" w:type="dxa"/>
            <w:gridSpan w:val="2"/>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r>
      <w:tr w:rsidR="00BD5820">
        <w:trPr>
          <w:trHeight w:val="308"/>
          <w:jc w:val="center"/>
        </w:trPr>
        <w:tc>
          <w:tcPr>
            <w:tcW w:w="570" w:type="dxa"/>
            <w:vMerge/>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蕺菜</w:t>
            </w:r>
            <w:r>
              <w:rPr>
                <w:rFonts w:ascii="Times New Roman" w:cs="Times New Roman"/>
                <w:i/>
                <w:iCs/>
                <w:kern w:val="2"/>
                <w:sz w:val="21"/>
                <w:szCs w:val="21"/>
              </w:rPr>
              <w:t>Houttuynia cordata Thunb</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0.6</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Un.</w:t>
            </w:r>
          </w:p>
        </w:tc>
        <w:tc>
          <w:tcPr>
            <w:tcW w:w="1073" w:type="dxa"/>
            <w:gridSpan w:val="2"/>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r>
      <w:tr w:rsidR="00BD5820">
        <w:trPr>
          <w:trHeight w:val="308"/>
          <w:jc w:val="center"/>
        </w:trPr>
        <w:tc>
          <w:tcPr>
            <w:tcW w:w="570" w:type="dxa"/>
            <w:vMerge/>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草莓</w:t>
            </w:r>
            <w:r>
              <w:rPr>
                <w:rFonts w:ascii="Times New Roman" w:cs="Times New Roman"/>
                <w:i/>
                <w:iCs/>
                <w:kern w:val="2"/>
                <w:sz w:val="21"/>
                <w:szCs w:val="21"/>
              </w:rPr>
              <w:t>Fragaria ananassa Duch.</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0.4</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Un.</w:t>
            </w:r>
          </w:p>
        </w:tc>
        <w:tc>
          <w:tcPr>
            <w:tcW w:w="1073" w:type="dxa"/>
            <w:gridSpan w:val="2"/>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r>
      <w:tr w:rsidR="00BD5820">
        <w:trPr>
          <w:trHeight w:val="308"/>
          <w:jc w:val="center"/>
        </w:trPr>
        <w:tc>
          <w:tcPr>
            <w:tcW w:w="570" w:type="dxa"/>
            <w:vMerge/>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葎草</w:t>
            </w:r>
            <w:r>
              <w:rPr>
                <w:rFonts w:ascii="Times New Roman" w:cs="Times New Roman"/>
                <w:i/>
                <w:iCs/>
                <w:kern w:val="2"/>
                <w:sz w:val="21"/>
                <w:szCs w:val="21"/>
              </w:rPr>
              <w:t>Humulus scandens</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0.4</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Un.</w:t>
            </w:r>
          </w:p>
        </w:tc>
        <w:tc>
          <w:tcPr>
            <w:tcW w:w="1073" w:type="dxa"/>
            <w:gridSpan w:val="2"/>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r>
      <w:tr w:rsidR="00BD5820">
        <w:trPr>
          <w:trHeight w:val="308"/>
          <w:jc w:val="center"/>
        </w:trPr>
        <w:tc>
          <w:tcPr>
            <w:tcW w:w="570" w:type="dxa"/>
            <w:vMerge/>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毛蕨</w:t>
            </w:r>
            <w:r>
              <w:rPr>
                <w:rFonts w:ascii="Times New Roman" w:cs="Times New Roman"/>
                <w:i/>
                <w:iCs/>
                <w:kern w:val="2"/>
                <w:sz w:val="21"/>
                <w:szCs w:val="21"/>
              </w:rPr>
              <w:t>Cyclosorus interruptus (Willd.) H. Ito</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0.25</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Un.</w:t>
            </w:r>
          </w:p>
        </w:tc>
        <w:tc>
          <w:tcPr>
            <w:tcW w:w="1073" w:type="dxa"/>
            <w:gridSpan w:val="2"/>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r>
      <w:tr w:rsidR="00BD5820">
        <w:trPr>
          <w:trHeight w:val="308"/>
          <w:jc w:val="center"/>
        </w:trPr>
        <w:tc>
          <w:tcPr>
            <w:tcW w:w="570" w:type="dxa"/>
            <w:vMerge/>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铁角蕨</w:t>
            </w:r>
            <w:r>
              <w:rPr>
                <w:rFonts w:ascii="Times New Roman" w:cs="Times New Roman"/>
                <w:i/>
                <w:iCs/>
                <w:kern w:val="2"/>
                <w:sz w:val="21"/>
                <w:szCs w:val="21"/>
              </w:rPr>
              <w:t>Asplenium trichomanes</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0.6</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Un.</w:t>
            </w:r>
          </w:p>
        </w:tc>
        <w:tc>
          <w:tcPr>
            <w:tcW w:w="1073" w:type="dxa"/>
            <w:gridSpan w:val="2"/>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r>
    </w:tbl>
    <w:p w:rsidR="00BD5820" w:rsidRDefault="00F64314">
      <w:pPr>
        <w:topLinePunct w:val="0"/>
        <w:adjustRightInd/>
        <w:spacing w:line="500" w:lineRule="exact"/>
        <w:ind w:left="60" w:right="100" w:firstLineChars="0" w:firstLine="482"/>
        <w:jc w:val="center"/>
        <w:rPr>
          <w:rFonts w:ascii="Times New Roman" w:cs="Times New Roman"/>
          <w:b/>
          <w:kern w:val="2"/>
          <w:sz w:val="21"/>
          <w:szCs w:val="20"/>
        </w:rPr>
      </w:pPr>
      <w:r>
        <w:rPr>
          <w:rFonts w:ascii="Times New Roman" w:cs="Times New Roman"/>
          <w:b/>
          <w:kern w:val="2"/>
          <w:sz w:val="21"/>
          <w:szCs w:val="20"/>
        </w:rPr>
        <w:t>样方</w:t>
      </w:r>
      <w:r>
        <w:rPr>
          <w:rFonts w:ascii="Times New Roman" w:cs="Times New Roman" w:hint="eastAsia"/>
          <w:b/>
          <w:kern w:val="2"/>
          <w:sz w:val="21"/>
          <w:szCs w:val="20"/>
        </w:rPr>
        <w:t>7</w:t>
      </w:r>
      <w:r>
        <w:rPr>
          <w:rFonts w:ascii="Times New Roman" w:cs="Times New Roman"/>
          <w:b/>
          <w:kern w:val="2"/>
          <w:sz w:val="21"/>
          <w:szCs w:val="20"/>
        </w:rPr>
        <w:t xml:space="preserve"> </w:t>
      </w:r>
      <w:r>
        <w:rPr>
          <w:rFonts w:ascii="Times New Roman" w:cs="Times New Roman"/>
          <w:b/>
          <w:kern w:val="2"/>
          <w:sz w:val="21"/>
          <w:szCs w:val="20"/>
        </w:rPr>
        <w:t>白茅</w:t>
      </w:r>
      <w:r>
        <w:rPr>
          <w:rFonts w:ascii="Times New Roman" w:cs="Times New Roman" w:hint="eastAsia"/>
          <w:b/>
          <w:kern w:val="2"/>
          <w:sz w:val="21"/>
          <w:szCs w:val="20"/>
        </w:rPr>
        <w:t>草丛群落样方表</w:t>
      </w:r>
    </w:p>
    <w:tbl>
      <w:tblPr>
        <w:tblW w:w="9426"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570"/>
        <w:gridCol w:w="3928"/>
        <w:gridCol w:w="703"/>
        <w:gridCol w:w="481"/>
        <w:gridCol w:w="621"/>
        <w:gridCol w:w="648"/>
        <w:gridCol w:w="550"/>
        <w:gridCol w:w="523"/>
        <w:gridCol w:w="659"/>
        <w:gridCol w:w="743"/>
      </w:tblGrid>
      <w:tr w:rsidR="00BD5820">
        <w:trPr>
          <w:trHeight w:val="755"/>
          <w:jc w:val="center"/>
        </w:trPr>
        <w:tc>
          <w:tcPr>
            <w:tcW w:w="570"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sz w:val="21"/>
                <w:szCs w:val="21"/>
              </w:rPr>
              <w:t>坐标</w:t>
            </w: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
                <w:kern w:val="2"/>
                <w:sz w:val="21"/>
                <w:szCs w:val="21"/>
              </w:rPr>
            </w:pPr>
            <w:r>
              <w:rPr>
                <w:rFonts w:ascii="Times New Roman" w:cs="Times New Roman" w:hint="eastAsia"/>
                <w:bCs/>
                <w:kern w:val="2"/>
                <w:sz w:val="21"/>
                <w:szCs w:val="21"/>
              </w:rPr>
              <w:t>107.7865</w:t>
            </w:r>
            <w:r>
              <w:rPr>
                <w:rFonts w:ascii="Times New Roman" w:cs="Times New Roman" w:hint="eastAsia"/>
                <w:bCs/>
                <w:kern w:val="2"/>
                <w:sz w:val="21"/>
                <w:szCs w:val="21"/>
              </w:rPr>
              <w:t>，</w:t>
            </w:r>
            <w:r>
              <w:rPr>
                <w:rFonts w:ascii="Times New Roman" w:cs="Times New Roman" w:hint="eastAsia"/>
                <w:bCs/>
                <w:kern w:val="2"/>
                <w:sz w:val="21"/>
                <w:szCs w:val="21"/>
              </w:rPr>
              <w:t>31.5346</w:t>
            </w:r>
          </w:p>
        </w:tc>
        <w:tc>
          <w:tcPr>
            <w:tcW w:w="70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海拔</w:t>
            </w:r>
            <w:r>
              <w:rPr>
                <w:rFonts w:ascii="Times New Roman" w:cs="Times New Roman" w:hint="eastAsia"/>
                <w:bCs/>
                <w:kern w:val="2"/>
                <w:sz w:val="21"/>
                <w:szCs w:val="21"/>
              </w:rPr>
              <w:t>（</w:t>
            </w:r>
            <w:r>
              <w:rPr>
                <w:rFonts w:ascii="Times New Roman" w:cs="Times New Roman"/>
                <w:bCs/>
                <w:kern w:val="2"/>
                <w:sz w:val="21"/>
                <w:szCs w:val="21"/>
              </w:rPr>
              <w:t>m</w:t>
            </w:r>
            <w:r>
              <w:rPr>
                <w:rFonts w:ascii="Times New Roman" w:cs="Times New Roman" w:hint="eastAsia"/>
                <w:bCs/>
                <w:kern w:val="2"/>
                <w:sz w:val="21"/>
                <w:szCs w:val="21"/>
              </w:rPr>
              <w:t>）</w:t>
            </w:r>
          </w:p>
        </w:tc>
        <w:tc>
          <w:tcPr>
            <w:tcW w:w="481"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767</w:t>
            </w:r>
          </w:p>
        </w:tc>
        <w:tc>
          <w:tcPr>
            <w:tcW w:w="621"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sz w:val="21"/>
                <w:szCs w:val="21"/>
              </w:rPr>
              <w:t>土壤类型</w:t>
            </w:r>
          </w:p>
        </w:tc>
        <w:tc>
          <w:tcPr>
            <w:tcW w:w="648" w:type="dxa"/>
            <w:vAlign w:val="center"/>
          </w:tcPr>
          <w:p w:rsidR="00BD5820" w:rsidRDefault="00F64314">
            <w:pPr>
              <w:topLinePunct w:val="0"/>
              <w:adjustRightInd/>
              <w:spacing w:line="240" w:lineRule="auto"/>
              <w:ind w:firstLineChars="0" w:firstLine="0"/>
              <w:rPr>
                <w:rFonts w:ascii="Times New Roman" w:cs="Times New Roman"/>
                <w:bCs/>
                <w:kern w:val="2"/>
                <w:sz w:val="21"/>
                <w:szCs w:val="21"/>
              </w:rPr>
            </w:pPr>
            <w:r>
              <w:rPr>
                <w:rFonts w:ascii="Times New Roman" w:cs="Times New Roman" w:hint="eastAsia"/>
                <w:bCs/>
                <w:kern w:val="2"/>
                <w:sz w:val="21"/>
                <w:szCs w:val="21"/>
              </w:rPr>
              <w:t>酸性土</w:t>
            </w:r>
          </w:p>
        </w:tc>
        <w:tc>
          <w:tcPr>
            <w:tcW w:w="550"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sz w:val="21"/>
                <w:szCs w:val="21"/>
              </w:rPr>
              <w:t>坡度</w:t>
            </w:r>
          </w:p>
        </w:tc>
        <w:tc>
          <w:tcPr>
            <w:tcW w:w="52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10</w:t>
            </w:r>
          </w:p>
        </w:tc>
        <w:tc>
          <w:tcPr>
            <w:tcW w:w="659"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sz w:val="21"/>
                <w:szCs w:val="21"/>
              </w:rPr>
              <w:t>坡向</w:t>
            </w:r>
          </w:p>
        </w:tc>
        <w:tc>
          <w:tcPr>
            <w:tcW w:w="74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NE</w:t>
            </w:r>
          </w:p>
        </w:tc>
      </w:tr>
      <w:tr w:rsidR="00BD5820">
        <w:trPr>
          <w:trHeight w:val="308"/>
          <w:jc w:val="center"/>
        </w:trPr>
        <w:tc>
          <w:tcPr>
            <w:tcW w:w="570"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中文名</w:t>
            </w:r>
            <w:r>
              <w:rPr>
                <w:rFonts w:ascii="Times New Roman" w:cs="Times New Roman" w:hint="eastAsia"/>
                <w:bCs/>
                <w:kern w:val="2"/>
                <w:sz w:val="21"/>
                <w:szCs w:val="21"/>
              </w:rPr>
              <w:t>（</w:t>
            </w:r>
            <w:r>
              <w:rPr>
                <w:rFonts w:ascii="Times New Roman" w:cs="Times New Roman"/>
                <w:bCs/>
                <w:kern w:val="2"/>
                <w:sz w:val="21"/>
                <w:szCs w:val="21"/>
              </w:rPr>
              <w:t>拉丁名</w:t>
            </w:r>
            <w:r>
              <w:rPr>
                <w:rFonts w:ascii="Times New Roman" w:cs="Times New Roman" w:hint="eastAsia"/>
                <w:bCs/>
                <w:kern w:val="2"/>
                <w:sz w:val="21"/>
                <w:szCs w:val="21"/>
              </w:rPr>
              <w:t>）</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平均高度</w:t>
            </w:r>
            <w:r>
              <w:rPr>
                <w:rFonts w:ascii="Times New Roman" w:cs="Times New Roman"/>
                <w:bCs/>
                <w:kern w:val="2"/>
                <w:sz w:val="21"/>
                <w:szCs w:val="21"/>
              </w:rPr>
              <w:t>m</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株数</w:t>
            </w:r>
            <w:r>
              <w:rPr>
                <w:rFonts w:ascii="Times New Roman" w:cs="Times New Roman"/>
                <w:bCs/>
                <w:kern w:val="2"/>
                <w:sz w:val="21"/>
                <w:szCs w:val="21"/>
              </w:rPr>
              <w:t>/</w:t>
            </w:r>
            <w:r>
              <w:rPr>
                <w:rFonts w:ascii="Times New Roman" w:cs="Times New Roman"/>
                <w:bCs/>
                <w:kern w:val="2"/>
                <w:sz w:val="21"/>
                <w:szCs w:val="21"/>
              </w:rPr>
              <w:t>多度</w:t>
            </w:r>
          </w:p>
        </w:tc>
        <w:tc>
          <w:tcPr>
            <w:tcW w:w="1073" w:type="dxa"/>
            <w:gridSpan w:val="2"/>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平均胸径</w:t>
            </w:r>
            <w:r>
              <w:rPr>
                <w:rFonts w:ascii="Times New Roman" w:cs="Times New Roman"/>
                <w:bCs/>
                <w:kern w:val="2"/>
                <w:sz w:val="21"/>
                <w:szCs w:val="21"/>
              </w:rPr>
              <w:t>cm</w:t>
            </w:r>
          </w:p>
        </w:tc>
        <w:tc>
          <w:tcPr>
            <w:tcW w:w="659"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平均</w:t>
            </w:r>
          </w:p>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冠幅</w:t>
            </w:r>
          </w:p>
        </w:tc>
        <w:tc>
          <w:tcPr>
            <w:tcW w:w="74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茂盛</w:t>
            </w:r>
          </w:p>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度</w:t>
            </w:r>
          </w:p>
        </w:tc>
      </w:tr>
      <w:tr w:rsidR="00BD5820">
        <w:trPr>
          <w:trHeight w:val="436"/>
          <w:jc w:val="center"/>
        </w:trPr>
        <w:tc>
          <w:tcPr>
            <w:tcW w:w="570" w:type="dxa"/>
            <w:vMerge w:val="restart"/>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草本层</w:t>
            </w:r>
          </w:p>
        </w:tc>
        <w:tc>
          <w:tcPr>
            <w:tcW w:w="3928" w:type="dxa"/>
            <w:vAlign w:val="center"/>
          </w:tcPr>
          <w:p w:rsidR="00BD5820" w:rsidRDefault="00F64314">
            <w:pPr>
              <w:topLinePunct w:val="0"/>
              <w:adjustRightInd/>
              <w:spacing w:line="500" w:lineRule="exact"/>
              <w:ind w:right="100" w:firstLineChars="0" w:firstLine="0"/>
              <w:rPr>
                <w:rFonts w:ascii="Times New Roman" w:cs="Times New Roman"/>
                <w:bCs/>
                <w:kern w:val="2"/>
                <w:sz w:val="21"/>
                <w:szCs w:val="21"/>
              </w:rPr>
            </w:pPr>
            <w:r>
              <w:rPr>
                <w:rFonts w:ascii="Times New Roman" w:cs="Times New Roman"/>
                <w:kern w:val="2"/>
                <w:sz w:val="21"/>
                <w:szCs w:val="21"/>
              </w:rPr>
              <w:t>白茅（</w:t>
            </w:r>
            <w:r>
              <w:rPr>
                <w:rFonts w:ascii="Times New Roman" w:cs="Times New Roman"/>
                <w:i/>
                <w:iCs/>
                <w:kern w:val="2"/>
                <w:sz w:val="21"/>
                <w:szCs w:val="21"/>
              </w:rPr>
              <w:t>Imperata cylindrical var. major</w:t>
            </w:r>
            <w:r>
              <w:rPr>
                <w:rFonts w:ascii="Times New Roman" w:cs="Times New Roman"/>
                <w:kern w:val="2"/>
                <w:sz w:val="21"/>
                <w:szCs w:val="21"/>
              </w:rPr>
              <w:t>）</w:t>
            </w:r>
          </w:p>
        </w:tc>
        <w:tc>
          <w:tcPr>
            <w:tcW w:w="1805" w:type="dxa"/>
            <w:gridSpan w:val="3"/>
            <w:vAlign w:val="center"/>
          </w:tcPr>
          <w:p w:rsidR="00BD5820" w:rsidRDefault="00F64314">
            <w:pPr>
              <w:topLinePunct w:val="0"/>
              <w:adjustRightInd/>
              <w:spacing w:line="240" w:lineRule="auto"/>
              <w:ind w:firstLineChars="0" w:firstLine="360"/>
              <w:rPr>
                <w:rFonts w:ascii="Times New Roman" w:cs="Times New Roman"/>
                <w:bCs/>
                <w:kern w:val="2"/>
                <w:sz w:val="21"/>
                <w:szCs w:val="21"/>
              </w:rPr>
            </w:pPr>
            <w:r>
              <w:rPr>
                <w:rFonts w:ascii="Times New Roman" w:cs="Times New Roman"/>
                <w:bCs/>
                <w:kern w:val="2"/>
                <w:sz w:val="21"/>
                <w:szCs w:val="21"/>
              </w:rPr>
              <w:t>0.95</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Soc</w:t>
            </w:r>
          </w:p>
        </w:tc>
        <w:tc>
          <w:tcPr>
            <w:tcW w:w="1073" w:type="dxa"/>
            <w:gridSpan w:val="2"/>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r>
      <w:tr w:rsidR="00BD5820">
        <w:trPr>
          <w:trHeight w:val="308"/>
          <w:jc w:val="center"/>
        </w:trPr>
        <w:tc>
          <w:tcPr>
            <w:tcW w:w="570" w:type="dxa"/>
            <w:vMerge/>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蜈蚣草</w:t>
            </w:r>
            <w:r>
              <w:rPr>
                <w:rFonts w:ascii="Times New Roman" w:cs="Times New Roman" w:hint="eastAsia"/>
                <w:kern w:val="2"/>
                <w:sz w:val="21"/>
                <w:szCs w:val="21"/>
              </w:rPr>
              <w:t>（</w:t>
            </w:r>
            <w:r>
              <w:rPr>
                <w:rFonts w:ascii="Times New Roman" w:cs="Times New Roman"/>
                <w:i/>
                <w:iCs/>
                <w:kern w:val="2"/>
                <w:sz w:val="21"/>
                <w:szCs w:val="21"/>
              </w:rPr>
              <w:t>Eremochloa ciliaris (Linn. ) Merr.</w:t>
            </w:r>
            <w:r>
              <w:rPr>
                <w:rFonts w:ascii="Times New Roman" w:cs="Times New Roman" w:hint="eastAsia"/>
                <w:kern w:val="2"/>
                <w:sz w:val="21"/>
                <w:szCs w:val="21"/>
              </w:rPr>
              <w:t>）</w:t>
            </w:r>
          </w:p>
        </w:tc>
        <w:tc>
          <w:tcPr>
            <w:tcW w:w="1805" w:type="dxa"/>
            <w:gridSpan w:val="3"/>
            <w:vAlign w:val="center"/>
          </w:tcPr>
          <w:p w:rsidR="00BD5820" w:rsidRDefault="00F64314">
            <w:pPr>
              <w:topLinePunct w:val="0"/>
              <w:adjustRightInd/>
              <w:spacing w:line="240" w:lineRule="auto"/>
              <w:ind w:firstLineChars="0" w:firstLine="360"/>
              <w:rPr>
                <w:rFonts w:ascii="Times New Roman" w:cs="Times New Roman"/>
                <w:bCs/>
                <w:kern w:val="2"/>
                <w:sz w:val="21"/>
                <w:szCs w:val="21"/>
              </w:rPr>
            </w:pPr>
            <w:r>
              <w:rPr>
                <w:rFonts w:ascii="Times New Roman" w:cs="Times New Roman"/>
                <w:bCs/>
                <w:kern w:val="2"/>
                <w:sz w:val="21"/>
                <w:szCs w:val="21"/>
              </w:rPr>
              <w:t>0.85</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Cop</w:t>
            </w:r>
            <w:r>
              <w:rPr>
                <w:rFonts w:ascii="Times New Roman" w:cs="Times New Roman"/>
                <w:bCs/>
                <w:kern w:val="2"/>
                <w:sz w:val="21"/>
                <w:szCs w:val="21"/>
                <w:vertAlign w:val="subscript"/>
              </w:rPr>
              <w:t>1</w:t>
            </w:r>
          </w:p>
        </w:tc>
        <w:tc>
          <w:tcPr>
            <w:tcW w:w="1073" w:type="dxa"/>
            <w:gridSpan w:val="2"/>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r>
      <w:tr w:rsidR="00BD5820">
        <w:trPr>
          <w:trHeight w:val="308"/>
          <w:jc w:val="center"/>
        </w:trPr>
        <w:tc>
          <w:tcPr>
            <w:tcW w:w="570" w:type="dxa"/>
            <w:vMerge/>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凤尾蕨</w:t>
            </w:r>
            <w:r>
              <w:rPr>
                <w:rFonts w:ascii="Times New Roman" w:cs="Times New Roman" w:hint="eastAsia"/>
                <w:kern w:val="2"/>
                <w:sz w:val="21"/>
                <w:szCs w:val="21"/>
              </w:rPr>
              <w:t>（</w:t>
            </w:r>
            <w:r>
              <w:rPr>
                <w:rFonts w:ascii="Times New Roman" w:cs="Times New Roman"/>
                <w:i/>
                <w:iCs/>
                <w:kern w:val="2"/>
                <w:sz w:val="21"/>
                <w:szCs w:val="21"/>
              </w:rPr>
              <w:t>Pteris cretica L. var. nervosa (Thunb.) Ching et S. H. Wu</w:t>
            </w:r>
            <w:r>
              <w:rPr>
                <w:rFonts w:ascii="Arial" w:hAnsi="Arial" w:cs="Arial"/>
                <w:i/>
                <w:iCs/>
                <w:kern w:val="2"/>
                <w:sz w:val="21"/>
              </w:rPr>
              <w:t> </w:t>
            </w:r>
            <w:r>
              <w:rPr>
                <w:rFonts w:ascii="Times New Roman" w:cs="Times New Roman" w:hint="eastAsia"/>
                <w:kern w:val="2"/>
                <w:sz w:val="21"/>
                <w:szCs w:val="21"/>
              </w:rPr>
              <w:t>）</w:t>
            </w:r>
          </w:p>
        </w:tc>
        <w:tc>
          <w:tcPr>
            <w:tcW w:w="1805" w:type="dxa"/>
            <w:gridSpan w:val="3"/>
            <w:vAlign w:val="center"/>
          </w:tcPr>
          <w:p w:rsidR="00BD5820" w:rsidRDefault="00F64314">
            <w:pPr>
              <w:topLinePunct w:val="0"/>
              <w:adjustRightInd/>
              <w:spacing w:line="240" w:lineRule="auto"/>
              <w:ind w:firstLineChars="0" w:firstLine="360"/>
              <w:rPr>
                <w:rFonts w:ascii="Times New Roman" w:cs="Times New Roman"/>
                <w:bCs/>
                <w:kern w:val="2"/>
                <w:sz w:val="21"/>
                <w:szCs w:val="21"/>
              </w:rPr>
            </w:pPr>
            <w:r>
              <w:rPr>
                <w:rFonts w:ascii="Times New Roman" w:cs="Times New Roman"/>
                <w:bCs/>
                <w:kern w:val="2"/>
                <w:sz w:val="21"/>
                <w:szCs w:val="21"/>
              </w:rPr>
              <w:t>0.4</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S</w:t>
            </w:r>
            <w:r>
              <w:rPr>
                <w:rFonts w:ascii="Times New Roman" w:cs="Times New Roman" w:hint="eastAsia"/>
                <w:bCs/>
                <w:kern w:val="2"/>
                <w:sz w:val="21"/>
                <w:szCs w:val="21"/>
              </w:rPr>
              <w:t>p</w:t>
            </w:r>
          </w:p>
        </w:tc>
        <w:tc>
          <w:tcPr>
            <w:tcW w:w="1073" w:type="dxa"/>
            <w:gridSpan w:val="2"/>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r>
      <w:tr w:rsidR="00BD5820">
        <w:trPr>
          <w:trHeight w:val="308"/>
          <w:jc w:val="center"/>
        </w:trPr>
        <w:tc>
          <w:tcPr>
            <w:tcW w:w="570" w:type="dxa"/>
            <w:vMerge/>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看麦娘</w:t>
            </w:r>
            <w:r>
              <w:rPr>
                <w:rFonts w:ascii="Times New Roman" w:cs="Times New Roman" w:hint="eastAsia"/>
                <w:kern w:val="2"/>
                <w:sz w:val="21"/>
                <w:szCs w:val="21"/>
              </w:rPr>
              <w:t>（</w:t>
            </w:r>
            <w:r>
              <w:rPr>
                <w:rFonts w:ascii="Times New Roman" w:cs="Times New Roman"/>
                <w:i/>
                <w:iCs/>
                <w:kern w:val="2"/>
                <w:sz w:val="21"/>
                <w:szCs w:val="21"/>
              </w:rPr>
              <w:t>Alopecurus aequalis Sobol.</w:t>
            </w:r>
            <w:r>
              <w:rPr>
                <w:rFonts w:ascii="Times New Roman" w:cs="Times New Roman" w:hint="eastAsia"/>
                <w:kern w:val="2"/>
                <w:sz w:val="21"/>
                <w:szCs w:val="21"/>
              </w:rPr>
              <w:t>）</w:t>
            </w:r>
          </w:p>
        </w:tc>
        <w:tc>
          <w:tcPr>
            <w:tcW w:w="1805" w:type="dxa"/>
            <w:gridSpan w:val="3"/>
            <w:vAlign w:val="center"/>
          </w:tcPr>
          <w:p w:rsidR="00BD5820" w:rsidRDefault="00F64314">
            <w:pPr>
              <w:topLinePunct w:val="0"/>
              <w:adjustRightInd/>
              <w:spacing w:line="240" w:lineRule="auto"/>
              <w:ind w:firstLineChars="0" w:firstLine="360"/>
              <w:rPr>
                <w:rFonts w:ascii="Times New Roman" w:cs="Times New Roman"/>
                <w:bCs/>
                <w:kern w:val="2"/>
                <w:sz w:val="21"/>
                <w:szCs w:val="21"/>
              </w:rPr>
            </w:pPr>
            <w:r>
              <w:rPr>
                <w:rFonts w:ascii="Times New Roman" w:cs="Times New Roman"/>
                <w:bCs/>
                <w:kern w:val="2"/>
                <w:sz w:val="21"/>
                <w:szCs w:val="21"/>
              </w:rPr>
              <w:t>0.8</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S</w:t>
            </w:r>
            <w:r>
              <w:rPr>
                <w:rFonts w:ascii="Times New Roman" w:cs="Times New Roman" w:hint="eastAsia"/>
                <w:bCs/>
                <w:kern w:val="2"/>
                <w:sz w:val="21"/>
                <w:szCs w:val="21"/>
              </w:rPr>
              <w:t>p</w:t>
            </w:r>
          </w:p>
        </w:tc>
        <w:tc>
          <w:tcPr>
            <w:tcW w:w="1073" w:type="dxa"/>
            <w:gridSpan w:val="2"/>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r>
      <w:tr w:rsidR="00BD5820">
        <w:trPr>
          <w:trHeight w:val="308"/>
          <w:jc w:val="center"/>
        </w:trPr>
        <w:tc>
          <w:tcPr>
            <w:tcW w:w="570" w:type="dxa"/>
            <w:vMerge/>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rPr>
                <w:rFonts w:ascii="Times New Roman" w:cs="Times New Roman"/>
                <w:bCs/>
                <w:kern w:val="2"/>
                <w:sz w:val="21"/>
                <w:szCs w:val="21"/>
              </w:rPr>
            </w:pPr>
            <w:r>
              <w:rPr>
                <w:rFonts w:ascii="Times New Roman" w:cs="Times New Roman"/>
                <w:kern w:val="2"/>
                <w:sz w:val="21"/>
                <w:szCs w:val="21"/>
              </w:rPr>
              <w:t>问荆</w:t>
            </w:r>
            <w:r>
              <w:rPr>
                <w:rFonts w:ascii="Times New Roman" w:cs="Times New Roman" w:hint="eastAsia"/>
                <w:kern w:val="2"/>
                <w:sz w:val="21"/>
                <w:szCs w:val="21"/>
              </w:rPr>
              <w:t>（</w:t>
            </w:r>
            <w:r>
              <w:rPr>
                <w:rFonts w:ascii="Times New Roman" w:cs="Times New Roman"/>
                <w:i/>
                <w:iCs/>
                <w:kern w:val="2"/>
                <w:sz w:val="21"/>
                <w:szCs w:val="21"/>
              </w:rPr>
              <w:t>Equisetum arvense L.</w:t>
            </w:r>
            <w:r>
              <w:rPr>
                <w:rFonts w:ascii="Times New Roman" w:cs="Times New Roman" w:hint="eastAsia"/>
                <w:kern w:val="2"/>
                <w:sz w:val="21"/>
                <w:szCs w:val="21"/>
              </w:rPr>
              <w:t>）</w:t>
            </w:r>
          </w:p>
        </w:tc>
        <w:tc>
          <w:tcPr>
            <w:tcW w:w="1805" w:type="dxa"/>
            <w:gridSpan w:val="3"/>
            <w:vAlign w:val="center"/>
          </w:tcPr>
          <w:p w:rsidR="00BD5820" w:rsidRDefault="00F64314">
            <w:pPr>
              <w:topLinePunct w:val="0"/>
              <w:adjustRightInd/>
              <w:spacing w:line="240" w:lineRule="auto"/>
              <w:ind w:firstLineChars="0" w:firstLine="360"/>
              <w:rPr>
                <w:rFonts w:ascii="Times New Roman" w:cs="Times New Roman"/>
                <w:bCs/>
                <w:kern w:val="2"/>
                <w:sz w:val="21"/>
                <w:szCs w:val="21"/>
              </w:rPr>
            </w:pPr>
            <w:r>
              <w:rPr>
                <w:rFonts w:ascii="Times New Roman" w:cs="Times New Roman"/>
                <w:bCs/>
                <w:kern w:val="2"/>
                <w:sz w:val="21"/>
                <w:szCs w:val="21"/>
              </w:rPr>
              <w:t>0.6</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S</w:t>
            </w:r>
            <w:r>
              <w:rPr>
                <w:rFonts w:ascii="Times New Roman" w:cs="Times New Roman" w:hint="eastAsia"/>
                <w:bCs/>
                <w:kern w:val="2"/>
                <w:sz w:val="21"/>
                <w:szCs w:val="21"/>
              </w:rPr>
              <w:t>p</w:t>
            </w:r>
          </w:p>
        </w:tc>
        <w:tc>
          <w:tcPr>
            <w:tcW w:w="1073" w:type="dxa"/>
            <w:gridSpan w:val="2"/>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r>
    </w:tbl>
    <w:p w:rsidR="00BD5820" w:rsidRDefault="00F64314">
      <w:pPr>
        <w:topLinePunct w:val="0"/>
        <w:adjustRightInd/>
        <w:spacing w:line="500" w:lineRule="exact"/>
        <w:ind w:left="60" w:right="100" w:firstLineChars="0" w:firstLine="482"/>
        <w:jc w:val="center"/>
        <w:rPr>
          <w:rFonts w:ascii="Times New Roman" w:cs="Times New Roman"/>
          <w:b/>
          <w:kern w:val="2"/>
          <w:sz w:val="21"/>
          <w:szCs w:val="20"/>
        </w:rPr>
      </w:pPr>
      <w:r>
        <w:rPr>
          <w:rFonts w:ascii="Times New Roman" w:cs="Times New Roman"/>
          <w:b/>
          <w:kern w:val="2"/>
          <w:sz w:val="21"/>
          <w:szCs w:val="20"/>
        </w:rPr>
        <w:t>样方</w:t>
      </w:r>
      <w:r>
        <w:rPr>
          <w:rFonts w:ascii="Times New Roman" w:cs="Times New Roman" w:hint="eastAsia"/>
          <w:b/>
          <w:kern w:val="2"/>
          <w:sz w:val="21"/>
          <w:szCs w:val="20"/>
        </w:rPr>
        <w:t>8</w:t>
      </w:r>
      <w:r>
        <w:rPr>
          <w:rFonts w:ascii="Times New Roman" w:cs="Times New Roman"/>
          <w:b/>
          <w:kern w:val="2"/>
          <w:sz w:val="21"/>
          <w:szCs w:val="20"/>
        </w:rPr>
        <w:t xml:space="preserve"> </w:t>
      </w:r>
      <w:r>
        <w:rPr>
          <w:rFonts w:ascii="Times New Roman" w:cs="Times New Roman"/>
          <w:b/>
          <w:kern w:val="2"/>
          <w:sz w:val="21"/>
          <w:szCs w:val="20"/>
        </w:rPr>
        <w:t>白茅、五节芒、野古草、斑茅</w:t>
      </w:r>
      <w:r>
        <w:rPr>
          <w:rFonts w:ascii="Times New Roman" w:cs="Times New Roman" w:hint="eastAsia"/>
          <w:b/>
          <w:kern w:val="2"/>
          <w:sz w:val="21"/>
          <w:szCs w:val="20"/>
        </w:rPr>
        <w:t>群落样方表</w:t>
      </w:r>
    </w:p>
    <w:tbl>
      <w:tblPr>
        <w:tblW w:w="9426"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570"/>
        <w:gridCol w:w="3928"/>
        <w:gridCol w:w="703"/>
        <w:gridCol w:w="481"/>
        <w:gridCol w:w="621"/>
        <w:gridCol w:w="648"/>
        <w:gridCol w:w="550"/>
        <w:gridCol w:w="523"/>
        <w:gridCol w:w="659"/>
        <w:gridCol w:w="743"/>
      </w:tblGrid>
      <w:tr w:rsidR="00BD5820">
        <w:trPr>
          <w:trHeight w:val="755"/>
          <w:jc w:val="center"/>
        </w:trPr>
        <w:tc>
          <w:tcPr>
            <w:tcW w:w="570"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sz w:val="21"/>
                <w:szCs w:val="21"/>
              </w:rPr>
              <w:t>坐标</w:t>
            </w: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107.7861</w:t>
            </w:r>
            <w:r>
              <w:rPr>
                <w:rFonts w:ascii="Times New Roman" w:cs="Times New Roman" w:hint="eastAsia"/>
                <w:bCs/>
                <w:kern w:val="2"/>
                <w:sz w:val="21"/>
                <w:szCs w:val="21"/>
              </w:rPr>
              <w:t>，</w:t>
            </w:r>
            <w:r>
              <w:rPr>
                <w:rFonts w:ascii="Times New Roman" w:cs="Times New Roman" w:hint="eastAsia"/>
                <w:bCs/>
                <w:kern w:val="2"/>
                <w:sz w:val="21"/>
                <w:szCs w:val="21"/>
              </w:rPr>
              <w:t>31.5355</w:t>
            </w:r>
          </w:p>
        </w:tc>
        <w:tc>
          <w:tcPr>
            <w:tcW w:w="70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海拔</w:t>
            </w:r>
            <w:r>
              <w:rPr>
                <w:rFonts w:ascii="Times New Roman" w:cs="Times New Roman" w:hint="eastAsia"/>
                <w:bCs/>
                <w:kern w:val="2"/>
                <w:sz w:val="21"/>
                <w:szCs w:val="21"/>
              </w:rPr>
              <w:t>（</w:t>
            </w:r>
            <w:r>
              <w:rPr>
                <w:rFonts w:ascii="Times New Roman" w:cs="Times New Roman"/>
                <w:bCs/>
                <w:kern w:val="2"/>
                <w:sz w:val="21"/>
                <w:szCs w:val="21"/>
              </w:rPr>
              <w:t>m</w:t>
            </w:r>
            <w:r>
              <w:rPr>
                <w:rFonts w:ascii="Times New Roman" w:cs="Times New Roman" w:hint="eastAsia"/>
                <w:bCs/>
                <w:kern w:val="2"/>
                <w:sz w:val="21"/>
                <w:szCs w:val="21"/>
              </w:rPr>
              <w:t>）</w:t>
            </w:r>
          </w:p>
        </w:tc>
        <w:tc>
          <w:tcPr>
            <w:tcW w:w="481"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798</w:t>
            </w:r>
          </w:p>
        </w:tc>
        <w:tc>
          <w:tcPr>
            <w:tcW w:w="621"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sz w:val="21"/>
                <w:szCs w:val="21"/>
              </w:rPr>
              <w:t>土壤类型</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壤土</w:t>
            </w:r>
          </w:p>
        </w:tc>
        <w:tc>
          <w:tcPr>
            <w:tcW w:w="550"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sz w:val="21"/>
                <w:szCs w:val="21"/>
              </w:rPr>
              <w:t>坡度</w:t>
            </w:r>
          </w:p>
        </w:tc>
        <w:tc>
          <w:tcPr>
            <w:tcW w:w="52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25</w:t>
            </w:r>
          </w:p>
        </w:tc>
        <w:tc>
          <w:tcPr>
            <w:tcW w:w="659"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sz w:val="21"/>
                <w:szCs w:val="21"/>
              </w:rPr>
              <w:t>坡向</w:t>
            </w:r>
          </w:p>
        </w:tc>
        <w:tc>
          <w:tcPr>
            <w:tcW w:w="74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SE</w:t>
            </w:r>
          </w:p>
        </w:tc>
      </w:tr>
      <w:tr w:rsidR="00BD5820">
        <w:trPr>
          <w:trHeight w:val="308"/>
          <w:jc w:val="center"/>
        </w:trPr>
        <w:tc>
          <w:tcPr>
            <w:tcW w:w="570"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中文名</w:t>
            </w:r>
            <w:r>
              <w:rPr>
                <w:rFonts w:ascii="Times New Roman" w:cs="Times New Roman" w:hint="eastAsia"/>
                <w:bCs/>
                <w:kern w:val="2"/>
                <w:sz w:val="21"/>
                <w:szCs w:val="21"/>
              </w:rPr>
              <w:t>（</w:t>
            </w:r>
            <w:r>
              <w:rPr>
                <w:rFonts w:ascii="Times New Roman" w:cs="Times New Roman"/>
                <w:bCs/>
                <w:kern w:val="2"/>
                <w:sz w:val="21"/>
                <w:szCs w:val="21"/>
              </w:rPr>
              <w:t>拉丁名</w:t>
            </w:r>
            <w:r>
              <w:rPr>
                <w:rFonts w:ascii="Times New Roman" w:cs="Times New Roman" w:hint="eastAsia"/>
                <w:bCs/>
                <w:kern w:val="2"/>
                <w:sz w:val="21"/>
                <w:szCs w:val="21"/>
              </w:rPr>
              <w:t>）</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平均高度</w:t>
            </w:r>
            <w:r>
              <w:rPr>
                <w:rFonts w:ascii="Times New Roman" w:cs="Times New Roman"/>
                <w:bCs/>
                <w:kern w:val="2"/>
                <w:sz w:val="21"/>
                <w:szCs w:val="21"/>
              </w:rPr>
              <w:t>m</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株数</w:t>
            </w:r>
            <w:r>
              <w:rPr>
                <w:rFonts w:ascii="Times New Roman" w:cs="Times New Roman"/>
                <w:bCs/>
                <w:kern w:val="2"/>
                <w:sz w:val="21"/>
                <w:szCs w:val="21"/>
              </w:rPr>
              <w:t>/</w:t>
            </w:r>
            <w:r>
              <w:rPr>
                <w:rFonts w:ascii="Times New Roman" w:cs="Times New Roman"/>
                <w:bCs/>
                <w:kern w:val="2"/>
                <w:sz w:val="21"/>
                <w:szCs w:val="21"/>
              </w:rPr>
              <w:t>多度</w:t>
            </w:r>
          </w:p>
        </w:tc>
        <w:tc>
          <w:tcPr>
            <w:tcW w:w="1073" w:type="dxa"/>
            <w:gridSpan w:val="2"/>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平均胸径</w:t>
            </w:r>
            <w:r>
              <w:rPr>
                <w:rFonts w:ascii="Times New Roman" w:cs="Times New Roman"/>
                <w:bCs/>
                <w:kern w:val="2"/>
                <w:sz w:val="21"/>
                <w:szCs w:val="21"/>
              </w:rPr>
              <w:t>cm</w:t>
            </w:r>
          </w:p>
        </w:tc>
        <w:tc>
          <w:tcPr>
            <w:tcW w:w="659"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平均</w:t>
            </w:r>
          </w:p>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冠幅</w:t>
            </w:r>
          </w:p>
        </w:tc>
        <w:tc>
          <w:tcPr>
            <w:tcW w:w="74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茂盛</w:t>
            </w:r>
          </w:p>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度</w:t>
            </w:r>
          </w:p>
        </w:tc>
      </w:tr>
      <w:tr w:rsidR="00BD5820">
        <w:trPr>
          <w:trHeight w:val="308"/>
          <w:jc w:val="center"/>
        </w:trPr>
        <w:tc>
          <w:tcPr>
            <w:tcW w:w="570" w:type="dxa"/>
            <w:vMerge w:val="restart"/>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草本</w:t>
            </w:r>
            <w:r>
              <w:rPr>
                <w:rFonts w:ascii="Times New Roman" w:cs="Times New Roman"/>
                <w:bCs/>
                <w:kern w:val="2"/>
                <w:sz w:val="21"/>
                <w:szCs w:val="21"/>
              </w:rPr>
              <w:lastRenderedPageBreak/>
              <w:t>层</w:t>
            </w: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lastRenderedPageBreak/>
              <w:t>白茅</w:t>
            </w:r>
            <w:r>
              <w:rPr>
                <w:rFonts w:ascii="Times New Roman" w:cs="Times New Roman"/>
                <w:bCs/>
                <w:i/>
                <w:iCs/>
                <w:kern w:val="2"/>
                <w:sz w:val="21"/>
                <w:szCs w:val="21"/>
              </w:rPr>
              <w:t>Imperata cylindrica.</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0.55</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Soc</w:t>
            </w:r>
          </w:p>
        </w:tc>
        <w:tc>
          <w:tcPr>
            <w:tcW w:w="1073" w:type="dxa"/>
            <w:gridSpan w:val="2"/>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r>
      <w:tr w:rsidR="00BD5820">
        <w:trPr>
          <w:trHeight w:val="308"/>
          <w:jc w:val="center"/>
        </w:trPr>
        <w:tc>
          <w:tcPr>
            <w:tcW w:w="570" w:type="dxa"/>
            <w:vMerge/>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五节芒</w:t>
            </w:r>
            <w:r>
              <w:rPr>
                <w:rFonts w:ascii="Times New Roman" w:cs="Times New Roman"/>
                <w:bCs/>
                <w:i/>
                <w:iCs/>
                <w:kern w:val="2"/>
                <w:sz w:val="21"/>
                <w:szCs w:val="21"/>
              </w:rPr>
              <w:t>Miscanthus floridulus</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0.45</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Cop</w:t>
            </w:r>
            <w:r>
              <w:rPr>
                <w:rFonts w:ascii="Times New Roman" w:cs="Times New Roman"/>
                <w:bCs/>
                <w:kern w:val="2"/>
                <w:sz w:val="21"/>
                <w:szCs w:val="21"/>
                <w:vertAlign w:val="subscript"/>
              </w:rPr>
              <w:t>1</w:t>
            </w:r>
          </w:p>
        </w:tc>
        <w:tc>
          <w:tcPr>
            <w:tcW w:w="1073" w:type="dxa"/>
            <w:gridSpan w:val="2"/>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r>
      <w:tr w:rsidR="00BD5820">
        <w:trPr>
          <w:trHeight w:val="308"/>
          <w:jc w:val="center"/>
        </w:trPr>
        <w:tc>
          <w:tcPr>
            <w:tcW w:w="570" w:type="dxa"/>
            <w:vMerge/>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芒</w:t>
            </w:r>
            <w:r>
              <w:rPr>
                <w:rFonts w:ascii="Times New Roman" w:cs="Times New Roman"/>
                <w:bCs/>
                <w:i/>
                <w:iCs/>
                <w:kern w:val="2"/>
                <w:sz w:val="21"/>
                <w:szCs w:val="21"/>
              </w:rPr>
              <w:t>Miscanthus sinensis</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0.25</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Sp.</w:t>
            </w:r>
          </w:p>
        </w:tc>
        <w:tc>
          <w:tcPr>
            <w:tcW w:w="1073" w:type="dxa"/>
            <w:gridSpan w:val="2"/>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r>
      <w:tr w:rsidR="00BD5820">
        <w:trPr>
          <w:trHeight w:val="308"/>
          <w:jc w:val="center"/>
        </w:trPr>
        <w:tc>
          <w:tcPr>
            <w:tcW w:w="570" w:type="dxa"/>
            <w:vMerge/>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黄背草</w:t>
            </w:r>
            <w:r>
              <w:rPr>
                <w:rFonts w:ascii="Times New Roman" w:cs="Times New Roman"/>
                <w:bCs/>
                <w:i/>
                <w:iCs/>
                <w:kern w:val="2"/>
                <w:sz w:val="21"/>
                <w:szCs w:val="21"/>
              </w:rPr>
              <w:t>Themeda triandra Forsk. Var. Japonica</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0.25</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Sol.</w:t>
            </w:r>
          </w:p>
        </w:tc>
        <w:tc>
          <w:tcPr>
            <w:tcW w:w="1073" w:type="dxa"/>
            <w:gridSpan w:val="2"/>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r>
      <w:tr w:rsidR="00BD5820">
        <w:trPr>
          <w:trHeight w:val="268"/>
          <w:jc w:val="center"/>
        </w:trPr>
        <w:tc>
          <w:tcPr>
            <w:tcW w:w="570" w:type="dxa"/>
            <w:vMerge/>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聚花过路黄</w:t>
            </w:r>
            <w:r>
              <w:rPr>
                <w:rFonts w:ascii="Times New Roman" w:cs="Times New Roman"/>
                <w:i/>
                <w:iCs/>
                <w:kern w:val="2"/>
                <w:sz w:val="21"/>
                <w:szCs w:val="21"/>
              </w:rPr>
              <w:t>Lysimachia congestiflora Hemsl.</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0.25</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Sol.</w:t>
            </w:r>
          </w:p>
        </w:tc>
        <w:tc>
          <w:tcPr>
            <w:tcW w:w="1073" w:type="dxa"/>
            <w:gridSpan w:val="2"/>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r>
      <w:tr w:rsidR="00BD5820">
        <w:trPr>
          <w:trHeight w:val="308"/>
          <w:jc w:val="center"/>
        </w:trPr>
        <w:tc>
          <w:tcPr>
            <w:tcW w:w="570" w:type="dxa"/>
            <w:vMerge/>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蕺菜</w:t>
            </w:r>
            <w:r>
              <w:rPr>
                <w:rFonts w:ascii="Times New Roman" w:cs="Times New Roman"/>
                <w:i/>
                <w:iCs/>
                <w:kern w:val="2"/>
                <w:sz w:val="21"/>
                <w:szCs w:val="21"/>
              </w:rPr>
              <w:t>Houttuynia cordata Thunb</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0.6</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Un.</w:t>
            </w:r>
          </w:p>
        </w:tc>
        <w:tc>
          <w:tcPr>
            <w:tcW w:w="1073" w:type="dxa"/>
            <w:gridSpan w:val="2"/>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r>
      <w:tr w:rsidR="00BD5820">
        <w:trPr>
          <w:trHeight w:val="308"/>
          <w:jc w:val="center"/>
        </w:trPr>
        <w:tc>
          <w:tcPr>
            <w:tcW w:w="570" w:type="dxa"/>
            <w:vMerge/>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bCs/>
                <w:kern w:val="2"/>
                <w:sz w:val="21"/>
                <w:szCs w:val="21"/>
              </w:rPr>
              <w:t>野古草</w:t>
            </w:r>
            <w:r>
              <w:rPr>
                <w:rFonts w:ascii="Times New Roman" w:cs="Times New Roman"/>
                <w:bCs/>
                <w:i/>
                <w:iCs/>
                <w:kern w:val="2"/>
                <w:sz w:val="21"/>
                <w:szCs w:val="21"/>
              </w:rPr>
              <w:t>Arundinella anomala</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0.</w:t>
            </w:r>
            <w:r>
              <w:rPr>
                <w:rFonts w:ascii="Times New Roman" w:cs="Times New Roman" w:hint="eastAsia"/>
                <w:bCs/>
                <w:kern w:val="2"/>
                <w:sz w:val="21"/>
                <w:szCs w:val="21"/>
              </w:rPr>
              <w:t>6</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Un.</w:t>
            </w:r>
          </w:p>
        </w:tc>
        <w:tc>
          <w:tcPr>
            <w:tcW w:w="1073" w:type="dxa"/>
            <w:gridSpan w:val="2"/>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r>
      <w:tr w:rsidR="00BD5820">
        <w:trPr>
          <w:trHeight w:val="308"/>
          <w:jc w:val="center"/>
        </w:trPr>
        <w:tc>
          <w:tcPr>
            <w:tcW w:w="570" w:type="dxa"/>
            <w:vMerge/>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bCs/>
                <w:kern w:val="2"/>
                <w:sz w:val="21"/>
                <w:szCs w:val="21"/>
              </w:rPr>
              <w:t>斑茅</w:t>
            </w:r>
            <w:r>
              <w:rPr>
                <w:rFonts w:ascii="Times New Roman" w:cs="Times New Roman"/>
                <w:bCs/>
                <w:i/>
                <w:iCs/>
                <w:kern w:val="2"/>
                <w:sz w:val="21"/>
                <w:szCs w:val="21"/>
              </w:rPr>
              <w:t>Saccharum arundinaceum</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0.45</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Un.</w:t>
            </w:r>
          </w:p>
        </w:tc>
        <w:tc>
          <w:tcPr>
            <w:tcW w:w="1073" w:type="dxa"/>
            <w:gridSpan w:val="2"/>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r>
    </w:tbl>
    <w:p w:rsidR="00BD5820" w:rsidRDefault="00F64314">
      <w:pPr>
        <w:topLinePunct w:val="0"/>
        <w:adjustRightInd/>
        <w:ind w:firstLine="422"/>
        <w:jc w:val="center"/>
        <w:rPr>
          <w:rFonts w:ascii="Times New Roman" w:cs="Times New Roman"/>
          <w:b/>
          <w:bCs/>
          <w:kern w:val="2"/>
          <w:sz w:val="21"/>
          <w:szCs w:val="21"/>
        </w:rPr>
      </w:pPr>
      <w:r>
        <w:rPr>
          <w:rFonts w:ascii="Times New Roman" w:cs="Times New Roman"/>
          <w:b/>
          <w:kern w:val="2"/>
          <w:sz w:val="21"/>
          <w:szCs w:val="20"/>
        </w:rPr>
        <w:t>样方</w:t>
      </w:r>
      <w:r>
        <w:rPr>
          <w:rFonts w:ascii="Times New Roman" w:cs="Times New Roman" w:hint="eastAsia"/>
          <w:b/>
          <w:kern w:val="2"/>
          <w:sz w:val="21"/>
          <w:szCs w:val="20"/>
        </w:rPr>
        <w:t>9</w:t>
      </w:r>
      <w:r>
        <w:rPr>
          <w:rFonts w:ascii="Times New Roman" w:cs="Times New Roman"/>
          <w:b/>
          <w:bCs/>
          <w:kern w:val="2"/>
          <w:sz w:val="21"/>
          <w:szCs w:val="21"/>
        </w:rPr>
        <w:t xml:space="preserve"> </w:t>
      </w:r>
      <w:r>
        <w:rPr>
          <w:rFonts w:ascii="Times New Roman" w:cs="Times New Roman"/>
          <w:b/>
          <w:bCs/>
          <w:kern w:val="2"/>
          <w:sz w:val="21"/>
          <w:szCs w:val="21"/>
        </w:rPr>
        <w:t>芒、蕨、芒萁</w:t>
      </w:r>
      <w:r>
        <w:rPr>
          <w:rFonts w:ascii="Times New Roman" w:cs="Times New Roman" w:hint="eastAsia"/>
          <w:b/>
          <w:bCs/>
          <w:kern w:val="2"/>
          <w:sz w:val="21"/>
          <w:szCs w:val="21"/>
        </w:rPr>
        <w:t>群落样方表</w:t>
      </w:r>
    </w:p>
    <w:tbl>
      <w:tblPr>
        <w:tblW w:w="9426"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570"/>
        <w:gridCol w:w="3928"/>
        <w:gridCol w:w="703"/>
        <w:gridCol w:w="481"/>
        <w:gridCol w:w="621"/>
        <w:gridCol w:w="648"/>
        <w:gridCol w:w="550"/>
        <w:gridCol w:w="523"/>
        <w:gridCol w:w="659"/>
        <w:gridCol w:w="743"/>
      </w:tblGrid>
      <w:tr w:rsidR="00BD5820">
        <w:trPr>
          <w:trHeight w:val="755"/>
          <w:jc w:val="center"/>
        </w:trPr>
        <w:tc>
          <w:tcPr>
            <w:tcW w:w="570"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sz w:val="21"/>
                <w:szCs w:val="21"/>
              </w:rPr>
              <w:t>坐标</w:t>
            </w: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107.7855</w:t>
            </w:r>
            <w:r>
              <w:rPr>
                <w:rFonts w:ascii="Times New Roman" w:cs="Times New Roman" w:hint="eastAsia"/>
                <w:bCs/>
                <w:kern w:val="2"/>
                <w:sz w:val="21"/>
                <w:szCs w:val="21"/>
              </w:rPr>
              <w:t>，</w:t>
            </w:r>
            <w:r>
              <w:rPr>
                <w:rFonts w:ascii="Times New Roman" w:cs="Times New Roman" w:hint="eastAsia"/>
                <w:bCs/>
                <w:kern w:val="2"/>
                <w:sz w:val="21"/>
                <w:szCs w:val="21"/>
              </w:rPr>
              <w:t>31.5360</w:t>
            </w:r>
          </w:p>
        </w:tc>
        <w:tc>
          <w:tcPr>
            <w:tcW w:w="70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海拔</w:t>
            </w:r>
            <w:r>
              <w:rPr>
                <w:rFonts w:ascii="Times New Roman" w:cs="Times New Roman" w:hint="eastAsia"/>
                <w:bCs/>
                <w:kern w:val="2"/>
                <w:sz w:val="21"/>
                <w:szCs w:val="21"/>
              </w:rPr>
              <w:t>（</w:t>
            </w:r>
            <w:r>
              <w:rPr>
                <w:rFonts w:ascii="Times New Roman" w:cs="Times New Roman"/>
                <w:bCs/>
                <w:kern w:val="2"/>
                <w:sz w:val="21"/>
                <w:szCs w:val="21"/>
              </w:rPr>
              <w:t>m</w:t>
            </w:r>
            <w:r>
              <w:rPr>
                <w:rFonts w:ascii="Times New Roman" w:cs="Times New Roman" w:hint="eastAsia"/>
                <w:bCs/>
                <w:kern w:val="2"/>
                <w:sz w:val="21"/>
                <w:szCs w:val="21"/>
              </w:rPr>
              <w:t>）</w:t>
            </w:r>
          </w:p>
        </w:tc>
        <w:tc>
          <w:tcPr>
            <w:tcW w:w="481"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805</w:t>
            </w:r>
          </w:p>
        </w:tc>
        <w:tc>
          <w:tcPr>
            <w:tcW w:w="621"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sz w:val="21"/>
                <w:szCs w:val="21"/>
              </w:rPr>
              <w:t>土壤类型</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sz w:val="21"/>
                <w:szCs w:val="21"/>
              </w:rPr>
            </w:pPr>
            <w:r>
              <w:rPr>
                <w:rFonts w:ascii="Times New Roman" w:cs="Times New Roman" w:hint="eastAsia"/>
                <w:bCs/>
                <w:sz w:val="21"/>
                <w:szCs w:val="21"/>
              </w:rPr>
              <w:t>壤土</w:t>
            </w:r>
          </w:p>
        </w:tc>
        <w:tc>
          <w:tcPr>
            <w:tcW w:w="550"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sz w:val="21"/>
                <w:szCs w:val="21"/>
              </w:rPr>
              <w:t>坡度</w:t>
            </w:r>
          </w:p>
        </w:tc>
        <w:tc>
          <w:tcPr>
            <w:tcW w:w="52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5</w:t>
            </w:r>
          </w:p>
        </w:tc>
        <w:tc>
          <w:tcPr>
            <w:tcW w:w="659"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sz w:val="21"/>
                <w:szCs w:val="21"/>
              </w:rPr>
              <w:t>坡向</w:t>
            </w:r>
          </w:p>
        </w:tc>
        <w:tc>
          <w:tcPr>
            <w:tcW w:w="74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SE</w:t>
            </w:r>
          </w:p>
        </w:tc>
      </w:tr>
      <w:tr w:rsidR="00BD5820">
        <w:trPr>
          <w:trHeight w:val="308"/>
          <w:jc w:val="center"/>
        </w:trPr>
        <w:tc>
          <w:tcPr>
            <w:tcW w:w="570"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中文名</w:t>
            </w:r>
            <w:r>
              <w:rPr>
                <w:rFonts w:ascii="Times New Roman" w:cs="Times New Roman" w:hint="eastAsia"/>
                <w:bCs/>
                <w:kern w:val="2"/>
                <w:sz w:val="21"/>
                <w:szCs w:val="21"/>
              </w:rPr>
              <w:t>（</w:t>
            </w:r>
            <w:r>
              <w:rPr>
                <w:rFonts w:ascii="Times New Roman" w:cs="Times New Roman"/>
                <w:bCs/>
                <w:kern w:val="2"/>
                <w:sz w:val="21"/>
                <w:szCs w:val="21"/>
              </w:rPr>
              <w:t>拉丁名</w:t>
            </w:r>
            <w:r>
              <w:rPr>
                <w:rFonts w:ascii="Times New Roman" w:cs="Times New Roman" w:hint="eastAsia"/>
                <w:bCs/>
                <w:kern w:val="2"/>
                <w:sz w:val="21"/>
                <w:szCs w:val="21"/>
              </w:rPr>
              <w:t>）</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平均高度</w:t>
            </w:r>
            <w:r>
              <w:rPr>
                <w:rFonts w:ascii="Times New Roman" w:cs="Times New Roman"/>
                <w:bCs/>
                <w:kern w:val="2"/>
                <w:sz w:val="21"/>
                <w:szCs w:val="21"/>
              </w:rPr>
              <w:t>m</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株数</w:t>
            </w:r>
            <w:r>
              <w:rPr>
                <w:rFonts w:ascii="Times New Roman" w:cs="Times New Roman"/>
                <w:bCs/>
                <w:kern w:val="2"/>
                <w:sz w:val="21"/>
                <w:szCs w:val="21"/>
              </w:rPr>
              <w:t>/</w:t>
            </w:r>
            <w:r>
              <w:rPr>
                <w:rFonts w:ascii="Times New Roman" w:cs="Times New Roman"/>
                <w:bCs/>
                <w:kern w:val="2"/>
                <w:sz w:val="21"/>
                <w:szCs w:val="21"/>
              </w:rPr>
              <w:t>多度</w:t>
            </w:r>
          </w:p>
        </w:tc>
        <w:tc>
          <w:tcPr>
            <w:tcW w:w="1073" w:type="dxa"/>
            <w:gridSpan w:val="2"/>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平均胸径</w:t>
            </w:r>
            <w:r>
              <w:rPr>
                <w:rFonts w:ascii="Times New Roman" w:cs="Times New Roman"/>
                <w:bCs/>
                <w:kern w:val="2"/>
                <w:sz w:val="21"/>
                <w:szCs w:val="21"/>
              </w:rPr>
              <w:t>cm</w:t>
            </w:r>
          </w:p>
        </w:tc>
        <w:tc>
          <w:tcPr>
            <w:tcW w:w="659"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平均</w:t>
            </w:r>
          </w:p>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冠幅</w:t>
            </w:r>
          </w:p>
        </w:tc>
        <w:tc>
          <w:tcPr>
            <w:tcW w:w="743"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茂盛</w:t>
            </w:r>
          </w:p>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度</w:t>
            </w:r>
          </w:p>
        </w:tc>
      </w:tr>
      <w:tr w:rsidR="00BD5820">
        <w:trPr>
          <w:trHeight w:val="308"/>
          <w:jc w:val="center"/>
        </w:trPr>
        <w:tc>
          <w:tcPr>
            <w:tcW w:w="570" w:type="dxa"/>
            <w:vMerge w:val="restart"/>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草本层</w:t>
            </w: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芒</w:t>
            </w:r>
            <w:r>
              <w:rPr>
                <w:rFonts w:ascii="Times New Roman" w:cs="Times New Roman"/>
                <w:i/>
                <w:kern w:val="2"/>
                <w:sz w:val="21"/>
                <w:szCs w:val="21"/>
              </w:rPr>
              <w:t>Miscanthus sinensis</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0.85</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Cop</w:t>
            </w:r>
            <w:r>
              <w:rPr>
                <w:rFonts w:ascii="Times New Roman" w:cs="Times New Roman"/>
                <w:kern w:val="2"/>
                <w:sz w:val="21"/>
                <w:szCs w:val="21"/>
                <w:vertAlign w:val="subscript"/>
              </w:rPr>
              <w:t>1</w:t>
            </w:r>
          </w:p>
        </w:tc>
        <w:tc>
          <w:tcPr>
            <w:tcW w:w="1073" w:type="dxa"/>
            <w:gridSpan w:val="2"/>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r>
      <w:tr w:rsidR="00BD5820">
        <w:trPr>
          <w:trHeight w:val="308"/>
          <w:jc w:val="center"/>
        </w:trPr>
        <w:tc>
          <w:tcPr>
            <w:tcW w:w="570" w:type="dxa"/>
            <w:vMerge/>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蕨</w:t>
            </w:r>
            <w:r>
              <w:rPr>
                <w:rFonts w:ascii="Times New Roman" w:cs="Times New Roman"/>
                <w:i/>
                <w:iCs/>
                <w:kern w:val="2"/>
                <w:sz w:val="21"/>
                <w:szCs w:val="21"/>
              </w:rPr>
              <w:t>P.Aquilinum</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0.55</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Sp.</w:t>
            </w:r>
          </w:p>
        </w:tc>
        <w:tc>
          <w:tcPr>
            <w:tcW w:w="1073" w:type="dxa"/>
            <w:gridSpan w:val="2"/>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r>
      <w:tr w:rsidR="00BD5820">
        <w:trPr>
          <w:trHeight w:val="308"/>
          <w:jc w:val="center"/>
        </w:trPr>
        <w:tc>
          <w:tcPr>
            <w:tcW w:w="570" w:type="dxa"/>
            <w:vMerge/>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牛尾蒿</w:t>
            </w:r>
            <w:r>
              <w:rPr>
                <w:rFonts w:ascii="Times New Roman" w:cs="Times New Roman"/>
                <w:i/>
                <w:iCs/>
                <w:kern w:val="2"/>
                <w:sz w:val="21"/>
                <w:szCs w:val="21"/>
              </w:rPr>
              <w:t>Artemisia dubia Wall. ex Bess.</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0.4</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Sol.</w:t>
            </w:r>
          </w:p>
        </w:tc>
        <w:tc>
          <w:tcPr>
            <w:tcW w:w="1073" w:type="dxa"/>
            <w:gridSpan w:val="2"/>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r>
      <w:tr w:rsidR="00BD5820">
        <w:trPr>
          <w:trHeight w:val="308"/>
          <w:jc w:val="center"/>
        </w:trPr>
        <w:tc>
          <w:tcPr>
            <w:tcW w:w="570" w:type="dxa"/>
            <w:vMerge/>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芒萁</w:t>
            </w:r>
            <w:r>
              <w:rPr>
                <w:rFonts w:ascii="Times New Roman" w:cs="Times New Roman"/>
                <w:i/>
                <w:iCs/>
                <w:kern w:val="2"/>
                <w:sz w:val="21"/>
                <w:szCs w:val="21"/>
              </w:rPr>
              <w:t>Dicranopteris dichotoma(Thunb.)Bernh.</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0.4</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Sol.</w:t>
            </w:r>
          </w:p>
        </w:tc>
        <w:tc>
          <w:tcPr>
            <w:tcW w:w="1073" w:type="dxa"/>
            <w:gridSpan w:val="2"/>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r>
      <w:tr w:rsidR="00BD5820">
        <w:trPr>
          <w:trHeight w:val="308"/>
          <w:jc w:val="center"/>
        </w:trPr>
        <w:tc>
          <w:tcPr>
            <w:tcW w:w="570" w:type="dxa"/>
            <w:vMerge/>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392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荩草</w:t>
            </w:r>
            <w:r>
              <w:rPr>
                <w:rFonts w:ascii="Times New Roman" w:cs="Times New Roman"/>
                <w:i/>
                <w:iCs/>
                <w:kern w:val="2"/>
                <w:sz w:val="21"/>
                <w:szCs w:val="21"/>
              </w:rPr>
              <w:t>Arthraxon hispidus (Thunb.) Makino</w:t>
            </w:r>
          </w:p>
        </w:tc>
        <w:tc>
          <w:tcPr>
            <w:tcW w:w="1805" w:type="dxa"/>
            <w:gridSpan w:val="3"/>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0.25</w:t>
            </w:r>
          </w:p>
        </w:tc>
        <w:tc>
          <w:tcPr>
            <w:tcW w:w="648" w:type="dxa"/>
            <w:vAlign w:val="center"/>
          </w:tcPr>
          <w:p w:rsidR="00BD5820" w:rsidRDefault="00F64314">
            <w:pPr>
              <w:topLinePunct w:val="0"/>
              <w:adjustRightInd/>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Sol.</w:t>
            </w:r>
          </w:p>
        </w:tc>
        <w:tc>
          <w:tcPr>
            <w:tcW w:w="1073" w:type="dxa"/>
            <w:gridSpan w:val="2"/>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659"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c>
          <w:tcPr>
            <w:tcW w:w="743" w:type="dxa"/>
            <w:vAlign w:val="center"/>
          </w:tcPr>
          <w:p w:rsidR="00BD5820" w:rsidRDefault="00BD5820">
            <w:pPr>
              <w:topLinePunct w:val="0"/>
              <w:adjustRightInd/>
              <w:spacing w:line="240" w:lineRule="auto"/>
              <w:ind w:firstLineChars="0" w:firstLine="0"/>
              <w:jc w:val="center"/>
              <w:rPr>
                <w:rFonts w:ascii="Times New Roman" w:cs="Times New Roman"/>
                <w:bCs/>
                <w:kern w:val="2"/>
                <w:sz w:val="21"/>
                <w:szCs w:val="21"/>
              </w:rPr>
            </w:pPr>
          </w:p>
        </w:tc>
      </w:tr>
    </w:tbl>
    <w:p w:rsidR="00BD5820" w:rsidRDefault="00F64314" w:rsidP="00511129">
      <w:pPr>
        <w:topLinePunct w:val="0"/>
        <w:snapToGrid w:val="0"/>
        <w:spacing w:beforeLines="50"/>
        <w:ind w:firstLine="482"/>
        <w:rPr>
          <w:rFonts w:ascii="Times New Roman" w:cs="Times New Roman"/>
          <w:b/>
          <w:bCs/>
          <w:kern w:val="2"/>
          <w:lang w:val="de-DE"/>
        </w:rPr>
      </w:pPr>
      <w:r>
        <w:rPr>
          <w:rFonts w:ascii="Times New Roman" w:cs="Times New Roman" w:hint="eastAsia"/>
          <w:b/>
          <w:bCs/>
          <w:kern w:val="2"/>
        </w:rPr>
        <w:t>4</w:t>
      </w:r>
      <w:r>
        <w:rPr>
          <w:rFonts w:ascii="Times New Roman" w:cs="Times New Roman"/>
          <w:b/>
          <w:bCs/>
          <w:kern w:val="2"/>
        </w:rPr>
        <w:t>、项目评价范围</w:t>
      </w:r>
      <w:r>
        <w:rPr>
          <w:rFonts w:ascii="Times New Roman" w:cs="Times New Roman"/>
          <w:b/>
          <w:bCs/>
          <w:kern w:val="2"/>
          <w:lang w:val="de-DE"/>
        </w:rPr>
        <w:t>植被的基本特征</w:t>
      </w:r>
    </w:p>
    <w:p w:rsidR="00BD5820" w:rsidRDefault="00F64314">
      <w:pPr>
        <w:topLinePunct w:val="0"/>
        <w:adjustRightInd/>
        <w:spacing w:line="480" w:lineRule="exact"/>
        <w:ind w:firstLine="480"/>
        <w:rPr>
          <w:rFonts w:ascii="Times New Roman" w:cs="Times New Roman"/>
          <w:kern w:val="2"/>
          <w:lang w:val="de-DE"/>
        </w:rPr>
      </w:pPr>
      <w:r>
        <w:rPr>
          <w:rFonts w:ascii="Times New Roman" w:cs="Times New Roman"/>
          <w:kern w:val="2"/>
          <w:lang w:val="de-DE"/>
        </w:rPr>
        <w:t>根据对评价范围进行的植被考察和若干重点地区代表类型的样方调查，可知区域内植被具有以下特征：</w:t>
      </w:r>
    </w:p>
    <w:p w:rsidR="00BD5820" w:rsidRDefault="00F64314">
      <w:pPr>
        <w:topLinePunct w:val="0"/>
        <w:adjustRightInd/>
        <w:spacing w:line="480" w:lineRule="exact"/>
        <w:ind w:firstLine="480"/>
        <w:rPr>
          <w:rFonts w:ascii="Times New Roman" w:cs="Times New Roman"/>
          <w:kern w:val="2"/>
        </w:rPr>
      </w:pPr>
      <w:r>
        <w:rPr>
          <w:rFonts w:ascii="Times New Roman" w:cs="Times New Roman" w:hint="eastAsia"/>
          <w:kern w:val="2"/>
        </w:rPr>
        <w:t>（</w:t>
      </w:r>
      <w:r>
        <w:rPr>
          <w:rFonts w:ascii="Times New Roman" w:cs="Times New Roman" w:hint="eastAsia"/>
          <w:kern w:val="2"/>
        </w:rPr>
        <w:t>1</w:t>
      </w:r>
      <w:r>
        <w:rPr>
          <w:rFonts w:ascii="Times New Roman" w:cs="Times New Roman" w:hint="eastAsia"/>
          <w:kern w:val="2"/>
        </w:rPr>
        <w:t>）</w:t>
      </w:r>
      <w:r>
        <w:rPr>
          <w:rFonts w:ascii="Times New Roman" w:cs="Times New Roman"/>
          <w:kern w:val="2"/>
        </w:rPr>
        <w:t>植被次生性明显</w:t>
      </w:r>
    </w:p>
    <w:p w:rsidR="00BD5820" w:rsidRDefault="00F64314">
      <w:pPr>
        <w:topLinePunct w:val="0"/>
        <w:adjustRightInd/>
        <w:spacing w:line="480" w:lineRule="exact"/>
        <w:ind w:firstLine="480"/>
        <w:rPr>
          <w:rFonts w:ascii="Times New Roman" w:cs="Times New Roman"/>
          <w:kern w:val="2"/>
        </w:rPr>
      </w:pPr>
      <w:r>
        <w:rPr>
          <w:rFonts w:ascii="Times New Roman" w:cs="Times New Roman"/>
          <w:kern w:val="2"/>
        </w:rPr>
        <w:t>评价范围在植被带谱上应为常绿阔叶林类型，但现有的常绿阔叶林面积很少，只有在人烟稀少、田头地角有残存的常绿阔叶林。评价区山体中上部经过近年来的人工造林和封山育林等工程，许多地方已经蔚然成林，多为山地针叶林带或者针叶阔叶混交林带，主要是</w:t>
      </w:r>
      <w:r>
        <w:rPr>
          <w:rFonts w:ascii="Times New Roman" w:cs="Times New Roman" w:hint="eastAsia"/>
          <w:kern w:val="2"/>
        </w:rPr>
        <w:t>以马尾松、杉木、柏木为主的</w:t>
      </w:r>
      <w:r>
        <w:rPr>
          <w:rFonts w:ascii="Times New Roman" w:cs="Times New Roman"/>
          <w:kern w:val="2"/>
        </w:rPr>
        <w:t>针叶林植被，</w:t>
      </w:r>
      <w:r>
        <w:rPr>
          <w:rFonts w:ascii="Times New Roman" w:cs="Times New Roman" w:hint="eastAsia"/>
          <w:kern w:val="2"/>
        </w:rPr>
        <w:t>以麻栎、青冈、栓皮栎、枫香、桤木、响叶杨等为主的</w:t>
      </w:r>
      <w:r>
        <w:rPr>
          <w:rFonts w:ascii="Times New Roman" w:cs="Times New Roman"/>
          <w:kern w:val="2"/>
        </w:rPr>
        <w:t>阔叶林植被带，其群落结构大多具备有乔木、灌木、草本、地衣层，覆盖度基本保持在</w:t>
      </w:r>
      <w:r>
        <w:rPr>
          <w:rFonts w:ascii="Times New Roman" w:cs="Times New Roman"/>
          <w:kern w:val="2"/>
        </w:rPr>
        <w:t>70%</w:t>
      </w:r>
      <w:r>
        <w:rPr>
          <w:rFonts w:ascii="Times New Roman" w:cs="Times New Roman"/>
          <w:kern w:val="2"/>
        </w:rPr>
        <w:t>左右。次生灌丛则以盐肤木、黄荆、火棘、马桑、胡枝子、荚蒾、杨桐、蛇莓、算盘子、南天竹为主要的优势群落，草本优势种群主要是白茅、五节芒、野古草、</w:t>
      </w:r>
      <w:r>
        <w:rPr>
          <w:rFonts w:ascii="Times New Roman" w:cs="Times New Roman" w:hint="eastAsia"/>
          <w:kern w:val="2"/>
        </w:rPr>
        <w:t>斑茅、婆婆针、飞蓬、蛇莓、夏枯草、蛇含委陵草、鸡眼草</w:t>
      </w:r>
      <w:r>
        <w:rPr>
          <w:rFonts w:ascii="Times New Roman" w:cs="Times New Roman"/>
          <w:kern w:val="2"/>
        </w:rPr>
        <w:t>、芒萁、车轴草。在评价区海拔</w:t>
      </w:r>
      <w:r>
        <w:rPr>
          <w:rFonts w:ascii="Times New Roman" w:cs="Times New Roman"/>
          <w:kern w:val="2"/>
        </w:rPr>
        <w:t>400m</w:t>
      </w:r>
      <w:r>
        <w:rPr>
          <w:rFonts w:ascii="Times New Roman" w:cs="Times New Roman"/>
          <w:kern w:val="2"/>
        </w:rPr>
        <w:t>以下、</w:t>
      </w:r>
      <w:r>
        <w:rPr>
          <w:rFonts w:ascii="Times New Roman" w:cs="Times New Roman"/>
          <w:kern w:val="2"/>
        </w:rPr>
        <w:lastRenderedPageBreak/>
        <w:t>坡度较缓的地带均已毁林开荒种植粮食作物，导致水土流失，自然条件发生变化，农业植被或者荒芜逐渐代替自然植被。</w:t>
      </w:r>
    </w:p>
    <w:p w:rsidR="00BD5820" w:rsidRDefault="00F64314">
      <w:pPr>
        <w:topLinePunct w:val="0"/>
        <w:adjustRightInd/>
        <w:spacing w:line="480" w:lineRule="exact"/>
        <w:ind w:firstLine="480"/>
        <w:rPr>
          <w:rFonts w:ascii="Times New Roman" w:cs="Times New Roman"/>
          <w:kern w:val="2"/>
          <w:lang w:val="de-DE"/>
        </w:rPr>
      </w:pPr>
      <w:r>
        <w:rPr>
          <w:rFonts w:ascii="Times New Roman" w:cs="Times New Roman"/>
          <w:kern w:val="2"/>
          <w:lang w:val="de-DE"/>
        </w:rPr>
        <w:t>地带性常绿阔叶林的消失，使蕴藏其中的大部分珍稀动植物失去生存繁衍的环境，同时，植被的明显次生性，大面积人工种植的针叶林、落叶阔叶林以及次生的灌丛及灌草丛在评价区域的广泛分布，致使区内植被的生态效应的有效性、生物物种的多样性及植被生物量的丰富程度都受到一定的影响。</w:t>
      </w:r>
    </w:p>
    <w:p w:rsidR="00BD5820" w:rsidRDefault="00F64314">
      <w:pPr>
        <w:topLinePunct w:val="0"/>
        <w:adjustRightInd/>
        <w:spacing w:line="480" w:lineRule="exact"/>
        <w:ind w:firstLine="480"/>
        <w:rPr>
          <w:rFonts w:ascii="Times New Roman" w:cs="Times New Roman"/>
          <w:kern w:val="2"/>
          <w:lang w:val="de-DE"/>
        </w:rPr>
      </w:pPr>
      <w:r>
        <w:rPr>
          <w:rFonts w:ascii="Times New Roman" w:cs="Times New Roman"/>
          <w:kern w:val="2"/>
          <w:lang w:val="de-DE"/>
        </w:rPr>
        <w:t>（</w:t>
      </w:r>
      <w:r>
        <w:rPr>
          <w:rFonts w:ascii="Times New Roman" w:cs="Times New Roman"/>
          <w:kern w:val="2"/>
        </w:rPr>
        <w:t>2</w:t>
      </w:r>
      <w:r>
        <w:rPr>
          <w:rFonts w:ascii="Times New Roman" w:cs="Times New Roman"/>
          <w:kern w:val="2"/>
          <w:lang w:val="de-DE"/>
        </w:rPr>
        <w:t>）森林植被覆盖率较低，质量欠佳且分布不均</w:t>
      </w:r>
    </w:p>
    <w:p w:rsidR="00BD5820" w:rsidRDefault="00F64314">
      <w:pPr>
        <w:topLinePunct w:val="0"/>
        <w:adjustRightInd/>
        <w:spacing w:line="480" w:lineRule="exact"/>
        <w:ind w:firstLine="480"/>
        <w:rPr>
          <w:rFonts w:ascii="Times New Roman" w:cs="Times New Roman"/>
          <w:kern w:val="2"/>
          <w:lang w:val="de-DE"/>
        </w:rPr>
      </w:pPr>
      <w:r>
        <w:rPr>
          <w:rFonts w:ascii="Times New Roman" w:cs="Times New Roman"/>
          <w:kern w:val="2"/>
          <w:lang w:val="de-DE"/>
        </w:rPr>
        <w:t>评价范围的森林植被分布较为广泛，但多为</w:t>
      </w:r>
      <w:r>
        <w:rPr>
          <w:rFonts w:ascii="Times New Roman" w:cs="Times New Roman" w:hint="eastAsia"/>
          <w:kern w:val="2"/>
          <w:lang w:val="de-DE"/>
        </w:rPr>
        <w:t>人工培育</w:t>
      </w:r>
      <w:r>
        <w:rPr>
          <w:rFonts w:ascii="Times New Roman" w:cs="Times New Roman"/>
          <w:kern w:val="2"/>
          <w:lang w:val="de-DE"/>
        </w:rPr>
        <w:t>中幼龄林，因此森林蓄积量较低，森林群落的结构简单，郁闭度相对较低，生物量及生产力亦较低，因此，森林植被的生态效应较差。项目建设过程中，施工方应千方百计注意保护现有森林植被，并在项目开发的同时，采取有效措施促进森林植被的恢复，加强人工封闭或人工促进措施，做好封山育林工作，使灌丛植被尽快地向森林植被演替。</w:t>
      </w:r>
    </w:p>
    <w:p w:rsidR="00BD5820" w:rsidRDefault="00F64314">
      <w:pPr>
        <w:topLinePunct w:val="0"/>
        <w:adjustRightInd/>
        <w:spacing w:line="480" w:lineRule="exact"/>
        <w:ind w:firstLine="480"/>
        <w:rPr>
          <w:rFonts w:ascii="Times New Roman" w:cs="Times New Roman"/>
          <w:kern w:val="2"/>
          <w:lang w:val="de-DE"/>
        </w:rPr>
      </w:pPr>
      <w:r>
        <w:rPr>
          <w:rFonts w:ascii="Times New Roman" w:cs="Times New Roman"/>
          <w:kern w:val="2"/>
          <w:lang w:val="de-DE"/>
        </w:rPr>
        <w:t>（</w:t>
      </w:r>
      <w:r>
        <w:rPr>
          <w:rFonts w:ascii="Times New Roman" w:cs="Times New Roman"/>
          <w:kern w:val="2"/>
        </w:rPr>
        <w:t>3</w:t>
      </w:r>
      <w:r>
        <w:rPr>
          <w:rFonts w:ascii="Times New Roman" w:cs="Times New Roman"/>
          <w:kern w:val="2"/>
          <w:lang w:val="de-DE"/>
        </w:rPr>
        <w:t>）人工植被分布广泛，尤其旱地植被占明显优势</w:t>
      </w:r>
    </w:p>
    <w:p w:rsidR="00BD5820" w:rsidRDefault="00F64314">
      <w:pPr>
        <w:pStyle w:val="affa"/>
        <w:ind w:firstLine="480"/>
        <w:rPr>
          <w:kern w:val="2"/>
          <w:szCs w:val="24"/>
        </w:rPr>
      </w:pPr>
      <w:r w:rsidRPr="003C7A6E">
        <w:rPr>
          <w:color w:val="FF0000"/>
          <w:kern w:val="2"/>
          <w:szCs w:val="24"/>
          <w:lang w:val="de-DE"/>
        </w:rPr>
        <w:t>评价范围地处</w:t>
      </w:r>
      <w:r w:rsidR="003C7A6E" w:rsidRPr="003C7A6E">
        <w:rPr>
          <w:rFonts w:hint="eastAsia"/>
          <w:color w:val="FF0000"/>
          <w:kern w:val="2"/>
          <w:szCs w:val="24"/>
          <w:lang w:val="de-DE"/>
        </w:rPr>
        <w:t>川东北</w:t>
      </w:r>
      <w:r w:rsidRPr="003C7A6E">
        <w:rPr>
          <w:color w:val="FF0000"/>
          <w:kern w:val="2"/>
          <w:szCs w:val="24"/>
          <w:lang w:val="de-DE"/>
        </w:rPr>
        <w:t>中低山区域</w:t>
      </w:r>
      <w:r>
        <w:rPr>
          <w:kern w:val="2"/>
          <w:szCs w:val="24"/>
          <w:lang w:val="de-DE"/>
        </w:rPr>
        <w:t>，土地负荷极大。目前评价范围内有农田植被</w:t>
      </w:r>
      <w:r>
        <w:rPr>
          <w:rFonts w:hint="eastAsia"/>
          <w:kern w:val="2"/>
          <w:szCs w:val="24"/>
        </w:rPr>
        <w:t>132.7</w:t>
      </w:r>
      <w:r>
        <w:rPr>
          <w:kern w:val="2"/>
          <w:szCs w:val="24"/>
          <w:lang w:val="de-DE"/>
        </w:rPr>
        <w:t>hm²</w:t>
      </w:r>
      <w:r>
        <w:rPr>
          <w:kern w:val="2"/>
          <w:szCs w:val="24"/>
          <w:lang w:val="de-DE"/>
        </w:rPr>
        <w:t>，约占评价区内土地总面积的</w:t>
      </w:r>
      <w:r>
        <w:rPr>
          <w:rFonts w:hint="eastAsia"/>
          <w:kern w:val="2"/>
          <w:szCs w:val="24"/>
        </w:rPr>
        <w:t>10.56</w:t>
      </w:r>
      <w:r>
        <w:rPr>
          <w:kern w:val="2"/>
          <w:szCs w:val="24"/>
          <w:lang w:val="de-DE"/>
        </w:rPr>
        <w:t>%</w:t>
      </w:r>
      <w:r>
        <w:rPr>
          <w:kern w:val="2"/>
          <w:szCs w:val="24"/>
          <w:lang w:val="de-DE"/>
        </w:rPr>
        <w:t>，即垦殖指数达</w:t>
      </w:r>
      <w:r>
        <w:rPr>
          <w:rFonts w:hint="eastAsia"/>
          <w:kern w:val="2"/>
          <w:szCs w:val="24"/>
        </w:rPr>
        <w:t>10.56</w:t>
      </w:r>
      <w:r>
        <w:rPr>
          <w:kern w:val="2"/>
          <w:szCs w:val="24"/>
          <w:lang w:val="de-DE"/>
        </w:rPr>
        <w:t>%</w:t>
      </w:r>
      <w:r>
        <w:rPr>
          <w:kern w:val="2"/>
          <w:szCs w:val="24"/>
          <w:lang w:val="de-DE"/>
        </w:rPr>
        <w:t>。大面积的农田植被对于解决区内人口的粮食、蔬菜等起到了重要作用，但是由于不少旱地是在河谷斜坡和丘陵山地的斜坡面上开垦出来的，这种坡耕旱地在人类长期的翻耕种植下，会加速土壤的侵蚀，使山区生态环境进一步退化。</w:t>
      </w:r>
    </w:p>
    <w:p w:rsidR="00BD5820" w:rsidRDefault="00F64314">
      <w:pPr>
        <w:pStyle w:val="3"/>
        <w:rPr>
          <w:rFonts w:eastAsia="宋体"/>
        </w:rPr>
      </w:pPr>
      <w:r>
        <w:rPr>
          <w:rFonts w:eastAsia="宋体"/>
        </w:rPr>
        <w:t>5.2.5</w:t>
      </w:r>
      <w:r>
        <w:rPr>
          <w:rFonts w:eastAsia="宋体"/>
          <w:bCs/>
        </w:rPr>
        <w:t>评价范围植被生产力和</w:t>
      </w:r>
      <w:r>
        <w:rPr>
          <w:rFonts w:eastAsia="宋体"/>
          <w:bCs/>
          <w:lang w:val="de-DE"/>
        </w:rPr>
        <w:t>生物量分析</w:t>
      </w:r>
    </w:p>
    <w:p w:rsidR="00BD5820" w:rsidRDefault="00F64314">
      <w:pPr>
        <w:topLinePunct w:val="0"/>
        <w:adjustRightInd/>
        <w:spacing w:line="480" w:lineRule="exact"/>
        <w:ind w:firstLine="482"/>
        <w:rPr>
          <w:rFonts w:ascii="Times New Roman" w:cs="Times New Roman"/>
          <w:b/>
          <w:bCs/>
          <w:kern w:val="2"/>
          <w:lang w:val="de-DE"/>
        </w:rPr>
      </w:pPr>
      <w:r>
        <w:rPr>
          <w:rFonts w:ascii="Times New Roman" w:cs="Times New Roman"/>
          <w:b/>
          <w:bCs/>
          <w:kern w:val="2"/>
          <w:lang w:val="de-DE"/>
        </w:rPr>
        <w:t>（</w:t>
      </w:r>
      <w:r>
        <w:rPr>
          <w:rFonts w:ascii="Times New Roman" w:cs="Times New Roman"/>
          <w:b/>
          <w:bCs/>
          <w:kern w:val="2"/>
        </w:rPr>
        <w:t>1</w:t>
      </w:r>
      <w:r>
        <w:rPr>
          <w:rFonts w:ascii="Times New Roman" w:cs="Times New Roman"/>
          <w:b/>
          <w:bCs/>
          <w:kern w:val="2"/>
          <w:lang w:val="de-DE"/>
        </w:rPr>
        <w:t>）土地自然生产力估算</w:t>
      </w:r>
    </w:p>
    <w:p w:rsidR="00BD5820" w:rsidRDefault="00F64314">
      <w:pPr>
        <w:topLinePunct w:val="0"/>
        <w:adjustRightInd/>
        <w:spacing w:line="480" w:lineRule="exact"/>
        <w:ind w:firstLine="480"/>
        <w:rPr>
          <w:rFonts w:ascii="Times New Roman" w:cs="Times New Roman"/>
          <w:kern w:val="2"/>
          <w:lang w:val="de-DE"/>
        </w:rPr>
      </w:pPr>
      <w:r>
        <w:rPr>
          <w:rFonts w:ascii="Times New Roman" w:cs="Times New Roman"/>
          <w:kern w:val="2"/>
          <w:lang w:val="de-DE"/>
        </w:rPr>
        <w:t>采用</w:t>
      </w:r>
      <w:r>
        <w:rPr>
          <w:rFonts w:ascii="Times New Roman" w:cs="Times New Roman"/>
          <w:kern w:val="2"/>
          <w:lang w:val="de-DE"/>
        </w:rPr>
        <w:t>H.lieth</w:t>
      </w:r>
      <w:r>
        <w:rPr>
          <w:rFonts w:ascii="Times New Roman" w:cs="Times New Roman"/>
          <w:kern w:val="2"/>
          <w:lang w:val="de-DE"/>
        </w:rPr>
        <w:t>生物生产力经验公式计算项目区域土地自然生产力：</w:t>
      </w:r>
    </w:p>
    <w:p w:rsidR="00BD5820" w:rsidRDefault="00BD5820">
      <w:pPr>
        <w:topLinePunct w:val="0"/>
        <w:adjustRightInd/>
        <w:spacing w:line="240" w:lineRule="auto"/>
        <w:ind w:firstLineChars="0" w:firstLine="0"/>
        <w:rPr>
          <w:rFonts w:ascii="Times New Roman" w:cs="Times New Roman"/>
          <w:kern w:val="2"/>
          <w:sz w:val="21"/>
        </w:rPr>
      </w:pPr>
      <w:r w:rsidRPr="00BD5820">
        <w:rPr>
          <w:rFonts w:ascii="Times New Roman" w:cs="Times New Roman"/>
          <w:kern w:val="2"/>
          <w:position w:val="-26"/>
          <w:sz w:val="21"/>
        </w:rPr>
        <w:object w:dxaOrig="214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0.4pt;height:36pt" o:ole="">
            <v:imagedata r:id="rId66" o:title=""/>
          </v:shape>
          <o:OLEObject Type="Embed" ProgID="Equation.3" ShapeID="_x0000_i1025" DrawAspect="Content" ObjectID="_1753101006" r:id="rId67"/>
        </w:object>
      </w:r>
    </w:p>
    <w:p w:rsidR="00BD5820" w:rsidRDefault="00BD5820">
      <w:pPr>
        <w:topLinePunct w:val="0"/>
        <w:adjustRightInd/>
        <w:spacing w:line="240" w:lineRule="auto"/>
        <w:ind w:firstLineChars="0" w:firstLine="0"/>
        <w:rPr>
          <w:rFonts w:ascii="Times New Roman" w:cs="Times New Roman"/>
          <w:kern w:val="2"/>
          <w:sz w:val="21"/>
        </w:rPr>
      </w:pPr>
      <w:r w:rsidRPr="00BD5820">
        <w:rPr>
          <w:rFonts w:ascii="Times New Roman" w:cs="Times New Roman"/>
          <w:kern w:val="2"/>
          <w:position w:val="-10"/>
          <w:sz w:val="21"/>
        </w:rPr>
        <w:object w:dxaOrig="2360" w:dyaOrig="360">
          <v:shape id="_x0000_i1026" type="#_x0000_t75" style="width:148.75pt;height:21.05pt" o:ole="">
            <v:imagedata r:id="rId68" o:title=""/>
          </v:shape>
          <o:OLEObject Type="Embed" ProgID="Equation.3" ShapeID="_x0000_i1026" DrawAspect="Content" ObjectID="_1753101007" r:id="rId69"/>
        </w:object>
      </w:r>
    </w:p>
    <w:p w:rsidR="00BD5820" w:rsidRDefault="00F64314">
      <w:pPr>
        <w:topLinePunct w:val="0"/>
        <w:adjustRightInd/>
        <w:spacing w:line="480" w:lineRule="exact"/>
        <w:ind w:firstLineChars="0" w:firstLine="0"/>
        <w:rPr>
          <w:rFonts w:ascii="Times New Roman" w:cs="Times New Roman"/>
          <w:kern w:val="2"/>
        </w:rPr>
      </w:pPr>
      <w:r>
        <w:rPr>
          <w:rFonts w:ascii="Times New Roman" w:cs="Times New Roman"/>
          <w:kern w:val="2"/>
          <w:lang w:val="de-DE"/>
        </w:rPr>
        <w:t>式中：</w:t>
      </w:r>
      <w:r>
        <w:rPr>
          <w:rFonts w:ascii="Times New Roman" w:cs="Times New Roman"/>
          <w:kern w:val="2"/>
          <w:lang w:val="de-DE"/>
        </w:rPr>
        <w:t>Y1——</w:t>
      </w:r>
      <w:r>
        <w:rPr>
          <w:rFonts w:ascii="Times New Roman" w:cs="Times New Roman"/>
          <w:kern w:val="2"/>
          <w:lang w:val="de-DE"/>
        </w:rPr>
        <w:t>根据年均温度（</w:t>
      </w:r>
      <w:r>
        <w:rPr>
          <w:rFonts w:ascii="Times New Roman" w:cs="Times New Roman"/>
          <w:kern w:val="2"/>
          <w:lang w:val="de-DE"/>
        </w:rPr>
        <w:t>t</w:t>
      </w:r>
      <w:r>
        <w:rPr>
          <w:rFonts w:ascii="Times New Roman" w:cs="Times New Roman"/>
          <w:kern w:val="2"/>
          <w:lang w:val="de-DE"/>
        </w:rPr>
        <w:t>）估算的热量</w:t>
      </w:r>
      <w:r>
        <w:rPr>
          <w:rFonts w:ascii="Times New Roman" w:cs="Times New Roman"/>
          <w:kern w:val="2"/>
        </w:rPr>
        <w:t>生产力（</w:t>
      </w:r>
      <w:r>
        <w:rPr>
          <w:rFonts w:ascii="Times New Roman" w:cs="Times New Roman"/>
          <w:kern w:val="2"/>
        </w:rPr>
        <w:t>g/m</w:t>
      </w:r>
      <w:r>
        <w:rPr>
          <w:rFonts w:ascii="Times New Roman" w:cs="Times New Roman"/>
          <w:kern w:val="2"/>
          <w:vertAlign w:val="superscript"/>
        </w:rPr>
        <w:t>2</w:t>
      </w:r>
      <w:r>
        <w:rPr>
          <w:rFonts w:ascii="Times New Roman" w:cs="Times New Roman"/>
          <w:kern w:val="2"/>
        </w:rPr>
        <w:t>·a</w:t>
      </w:r>
      <w:r>
        <w:rPr>
          <w:rFonts w:ascii="Times New Roman" w:cs="Times New Roman"/>
          <w:kern w:val="2"/>
        </w:rPr>
        <w:t>）；</w:t>
      </w:r>
    </w:p>
    <w:p w:rsidR="00BD5820" w:rsidRDefault="00F64314">
      <w:pPr>
        <w:topLinePunct w:val="0"/>
        <w:adjustRightInd/>
        <w:spacing w:line="480" w:lineRule="exact"/>
        <w:ind w:firstLineChars="300" w:firstLine="720"/>
        <w:rPr>
          <w:rFonts w:ascii="Times New Roman" w:cs="Times New Roman"/>
          <w:kern w:val="2"/>
        </w:rPr>
      </w:pPr>
      <w:bookmarkStart w:id="337" w:name="_Toc295312489"/>
      <w:r>
        <w:rPr>
          <w:rFonts w:ascii="Times New Roman" w:cs="Times New Roman"/>
          <w:i/>
          <w:kern w:val="2"/>
        </w:rPr>
        <w:t>Y</w:t>
      </w:r>
      <w:r>
        <w:rPr>
          <w:rFonts w:ascii="Times New Roman" w:cs="Times New Roman"/>
          <w:kern w:val="2"/>
          <w:vertAlign w:val="subscript"/>
        </w:rPr>
        <w:t>2</w:t>
      </w:r>
      <w:r>
        <w:rPr>
          <w:rFonts w:ascii="Times New Roman" w:cs="Times New Roman"/>
          <w:kern w:val="2"/>
        </w:rPr>
        <w:t>——</w:t>
      </w:r>
      <w:r>
        <w:rPr>
          <w:rFonts w:ascii="Times New Roman" w:cs="Times New Roman"/>
          <w:kern w:val="2"/>
        </w:rPr>
        <w:t>根据年降水量（</w:t>
      </w:r>
      <w:r>
        <w:rPr>
          <w:rFonts w:ascii="Times New Roman" w:cs="Times New Roman"/>
          <w:i/>
          <w:kern w:val="2"/>
        </w:rPr>
        <w:t>p</w:t>
      </w:r>
      <w:r>
        <w:rPr>
          <w:rFonts w:ascii="Times New Roman" w:cs="Times New Roman"/>
          <w:kern w:val="2"/>
        </w:rPr>
        <w:t>，</w:t>
      </w:r>
      <w:r>
        <w:rPr>
          <w:rFonts w:ascii="Times New Roman" w:cs="Times New Roman"/>
          <w:kern w:val="2"/>
        </w:rPr>
        <w:t>mm</w:t>
      </w:r>
      <w:r>
        <w:rPr>
          <w:rFonts w:ascii="Times New Roman" w:cs="Times New Roman"/>
          <w:kern w:val="2"/>
        </w:rPr>
        <w:t>）估算的水分生产力（</w:t>
      </w:r>
      <w:r>
        <w:rPr>
          <w:rFonts w:ascii="Times New Roman" w:cs="Times New Roman"/>
          <w:kern w:val="2"/>
        </w:rPr>
        <w:t>g/m</w:t>
      </w:r>
      <w:r>
        <w:rPr>
          <w:rFonts w:ascii="Times New Roman" w:cs="Times New Roman"/>
          <w:kern w:val="2"/>
          <w:vertAlign w:val="superscript"/>
        </w:rPr>
        <w:t>2</w:t>
      </w:r>
      <w:r>
        <w:rPr>
          <w:rFonts w:ascii="Times New Roman" w:cs="Times New Roman"/>
          <w:kern w:val="2"/>
        </w:rPr>
        <w:t>·a</w:t>
      </w:r>
      <w:r>
        <w:rPr>
          <w:rFonts w:ascii="Times New Roman" w:cs="Times New Roman"/>
          <w:kern w:val="2"/>
        </w:rPr>
        <w:t>）。</w:t>
      </w:r>
      <w:bookmarkEnd w:id="337"/>
    </w:p>
    <w:p w:rsidR="00BD5820" w:rsidRDefault="00F64314">
      <w:pPr>
        <w:pStyle w:val="affa"/>
        <w:ind w:firstLine="480"/>
        <w:rPr>
          <w:kern w:val="2"/>
          <w:szCs w:val="24"/>
          <w:lang w:val="de-DE"/>
        </w:rPr>
      </w:pPr>
      <w:r>
        <w:rPr>
          <w:kern w:val="2"/>
          <w:szCs w:val="24"/>
          <w:lang w:val="de-DE"/>
        </w:rPr>
        <w:t>评价范围地貌类型以中低山为主，区内气候在垂直及水平方向的变化都较小，土地自然生产力计算结果如下表所示：</w:t>
      </w:r>
    </w:p>
    <w:p w:rsidR="003C7A6E" w:rsidRDefault="003C7A6E">
      <w:pPr>
        <w:pStyle w:val="affa"/>
        <w:ind w:firstLine="480"/>
        <w:rPr>
          <w:kern w:val="2"/>
          <w:szCs w:val="24"/>
          <w:lang w:val="de-DE"/>
        </w:rPr>
      </w:pPr>
    </w:p>
    <w:p w:rsidR="00BD5820" w:rsidRDefault="00F64314" w:rsidP="00511129">
      <w:pPr>
        <w:topLinePunct w:val="0"/>
        <w:autoSpaceDE w:val="0"/>
        <w:autoSpaceDN w:val="0"/>
        <w:spacing w:beforeLines="50" w:line="240" w:lineRule="auto"/>
        <w:ind w:firstLineChars="0" w:firstLine="0"/>
        <w:jc w:val="center"/>
        <w:rPr>
          <w:rFonts w:ascii="Times New Roman" w:cs="Times New Roman"/>
          <w:b/>
          <w:sz w:val="21"/>
        </w:rPr>
      </w:pPr>
      <w:r>
        <w:rPr>
          <w:rFonts w:ascii="Times New Roman" w:cs="Times New Roman"/>
          <w:b/>
          <w:sz w:val="21"/>
        </w:rPr>
        <w:lastRenderedPageBreak/>
        <w:t>表</w:t>
      </w:r>
      <w:r>
        <w:rPr>
          <w:rFonts w:ascii="Times New Roman" w:cs="Times New Roman" w:hint="eastAsia"/>
          <w:b/>
          <w:sz w:val="21"/>
        </w:rPr>
        <w:t>5.2</w:t>
      </w:r>
      <w:r>
        <w:rPr>
          <w:rFonts w:ascii="Times New Roman" w:cs="Times New Roman"/>
          <w:b/>
          <w:sz w:val="21"/>
        </w:rPr>
        <w:t>-</w:t>
      </w:r>
      <w:r>
        <w:rPr>
          <w:rFonts w:ascii="Times New Roman" w:cs="Times New Roman" w:hint="eastAsia"/>
          <w:b/>
          <w:sz w:val="21"/>
        </w:rPr>
        <w:t>11</w:t>
      </w:r>
      <w:r>
        <w:rPr>
          <w:rFonts w:ascii="Times New Roman" w:cs="Times New Roman"/>
          <w:b/>
          <w:sz w:val="21"/>
        </w:rPr>
        <w:t xml:space="preserve"> </w:t>
      </w:r>
      <w:r>
        <w:rPr>
          <w:rFonts w:ascii="Times New Roman" w:cs="Times New Roman"/>
          <w:b/>
          <w:sz w:val="21"/>
        </w:rPr>
        <w:t>评价范围土地自然生产力计算表</w:t>
      </w:r>
    </w:p>
    <w:tbl>
      <w:tblPr>
        <w:tblW w:w="5000" w:type="pct"/>
        <w:jc w:val="center"/>
        <w:tblBorders>
          <w:top w:val="single" w:sz="12" w:space="0" w:color="auto"/>
          <w:bottom w:val="single" w:sz="12" w:space="0" w:color="auto"/>
          <w:insideH w:val="single" w:sz="4" w:space="0" w:color="auto"/>
          <w:insideV w:val="single" w:sz="4" w:space="0" w:color="auto"/>
        </w:tblBorders>
        <w:tblCellMar>
          <w:left w:w="30" w:type="dxa"/>
          <w:right w:w="30" w:type="dxa"/>
        </w:tblCellMar>
        <w:tblLook w:val="04A0"/>
      </w:tblPr>
      <w:tblGrid>
        <w:gridCol w:w="1144"/>
        <w:gridCol w:w="1806"/>
        <w:gridCol w:w="1806"/>
        <w:gridCol w:w="1805"/>
        <w:gridCol w:w="1805"/>
      </w:tblGrid>
      <w:tr w:rsidR="00BD5820">
        <w:trPr>
          <w:trHeight w:val="855"/>
          <w:jc w:val="center"/>
        </w:trPr>
        <w:tc>
          <w:tcPr>
            <w:tcW w:w="683" w:type="pct"/>
            <w:vAlign w:val="center"/>
          </w:tcPr>
          <w:p w:rsidR="00BD5820" w:rsidRDefault="00F64314">
            <w:pPr>
              <w:topLinePunct w:val="0"/>
              <w:adjustRightInd/>
              <w:spacing w:before="20" w:line="240" w:lineRule="auto"/>
              <w:ind w:firstLineChars="0" w:firstLine="0"/>
              <w:jc w:val="center"/>
              <w:rPr>
                <w:rFonts w:ascii="Times New Roman" w:cs="Times New Roman"/>
                <w:kern w:val="2"/>
                <w:sz w:val="21"/>
                <w:szCs w:val="21"/>
              </w:rPr>
            </w:pPr>
            <w:r>
              <w:rPr>
                <w:rFonts w:ascii="Times New Roman" w:cs="Times New Roman"/>
                <w:kern w:val="2"/>
                <w:sz w:val="21"/>
                <w:szCs w:val="21"/>
              </w:rPr>
              <w:t>区域</w:t>
            </w:r>
          </w:p>
        </w:tc>
        <w:tc>
          <w:tcPr>
            <w:tcW w:w="1079" w:type="pct"/>
            <w:vAlign w:val="center"/>
          </w:tcPr>
          <w:p w:rsidR="00BD5820" w:rsidRDefault="00F64314">
            <w:pPr>
              <w:topLinePunct w:val="0"/>
              <w:adjustRightInd/>
              <w:spacing w:before="20" w:line="240" w:lineRule="auto"/>
              <w:ind w:firstLineChars="0" w:firstLine="0"/>
              <w:jc w:val="center"/>
              <w:rPr>
                <w:rFonts w:ascii="Times New Roman" w:cs="Times New Roman"/>
                <w:kern w:val="2"/>
                <w:sz w:val="21"/>
                <w:szCs w:val="21"/>
              </w:rPr>
            </w:pPr>
            <w:r>
              <w:rPr>
                <w:rFonts w:ascii="Times New Roman" w:cs="Times New Roman"/>
                <w:kern w:val="2"/>
                <w:sz w:val="21"/>
                <w:szCs w:val="21"/>
              </w:rPr>
              <w:t>多年平均气温</w:t>
            </w:r>
          </w:p>
          <w:p w:rsidR="00BD5820" w:rsidRDefault="00F64314">
            <w:pPr>
              <w:topLinePunct w:val="0"/>
              <w:adjustRightInd/>
              <w:spacing w:before="20" w:line="240" w:lineRule="auto"/>
              <w:ind w:firstLineChars="0" w:firstLine="0"/>
              <w:jc w:val="center"/>
              <w:rPr>
                <w:rFonts w:ascii="Times New Roman" w:cs="Times New Roman"/>
                <w:kern w:val="2"/>
                <w:sz w:val="21"/>
                <w:szCs w:val="21"/>
              </w:rPr>
            </w:pPr>
            <w:r>
              <w:rPr>
                <w:rFonts w:ascii="Times New Roman" w:cs="Times New Roman"/>
                <w:kern w:val="2"/>
                <w:sz w:val="21"/>
                <w:szCs w:val="21"/>
              </w:rPr>
              <w:t>（</w:t>
            </w:r>
            <w:r>
              <w:rPr>
                <w:rFonts w:ascii="Times New Roman" w:cs="Times New Roman"/>
                <w:kern w:val="2"/>
                <w:sz w:val="21"/>
                <w:szCs w:val="21"/>
              </w:rPr>
              <w:t>℃</w:t>
            </w:r>
            <w:r>
              <w:rPr>
                <w:rFonts w:ascii="Times New Roman" w:cs="Times New Roman"/>
                <w:kern w:val="2"/>
                <w:sz w:val="21"/>
                <w:szCs w:val="21"/>
              </w:rPr>
              <w:t>）</w:t>
            </w:r>
          </w:p>
        </w:tc>
        <w:tc>
          <w:tcPr>
            <w:tcW w:w="1079" w:type="pct"/>
            <w:vAlign w:val="center"/>
          </w:tcPr>
          <w:p w:rsidR="00BD5820" w:rsidRDefault="00F64314">
            <w:pPr>
              <w:topLinePunct w:val="0"/>
              <w:adjustRightInd/>
              <w:spacing w:before="20" w:line="240" w:lineRule="auto"/>
              <w:ind w:firstLineChars="0" w:firstLine="0"/>
              <w:jc w:val="center"/>
              <w:rPr>
                <w:rFonts w:ascii="Times New Roman" w:cs="Times New Roman"/>
                <w:kern w:val="2"/>
                <w:sz w:val="21"/>
                <w:szCs w:val="21"/>
              </w:rPr>
            </w:pPr>
            <w:r>
              <w:rPr>
                <w:rFonts w:ascii="Times New Roman" w:cs="Times New Roman"/>
                <w:kern w:val="2"/>
                <w:sz w:val="21"/>
                <w:szCs w:val="21"/>
              </w:rPr>
              <w:t>多年平均降水量</w:t>
            </w:r>
          </w:p>
          <w:p w:rsidR="00BD5820" w:rsidRDefault="00F64314">
            <w:pPr>
              <w:topLinePunct w:val="0"/>
              <w:adjustRightInd/>
              <w:spacing w:before="20" w:line="240" w:lineRule="auto"/>
              <w:ind w:firstLineChars="0" w:firstLine="0"/>
              <w:jc w:val="center"/>
              <w:rPr>
                <w:rFonts w:ascii="Times New Roman" w:cs="Times New Roman"/>
                <w:kern w:val="2"/>
                <w:sz w:val="21"/>
                <w:szCs w:val="21"/>
              </w:rPr>
            </w:pPr>
            <w:r>
              <w:rPr>
                <w:rFonts w:ascii="Times New Roman" w:cs="Times New Roman"/>
                <w:kern w:val="2"/>
                <w:sz w:val="21"/>
                <w:szCs w:val="21"/>
              </w:rPr>
              <w:t>（</w:t>
            </w:r>
            <w:r>
              <w:rPr>
                <w:rFonts w:ascii="Times New Roman" w:cs="Times New Roman"/>
                <w:kern w:val="2"/>
                <w:sz w:val="21"/>
                <w:szCs w:val="21"/>
              </w:rPr>
              <w:t>mm</w:t>
            </w:r>
            <w:r>
              <w:rPr>
                <w:rFonts w:ascii="Times New Roman" w:cs="Times New Roman"/>
                <w:kern w:val="2"/>
                <w:sz w:val="21"/>
                <w:szCs w:val="21"/>
              </w:rPr>
              <w:t>）</w:t>
            </w:r>
          </w:p>
        </w:tc>
        <w:tc>
          <w:tcPr>
            <w:tcW w:w="1079" w:type="pct"/>
            <w:vAlign w:val="center"/>
          </w:tcPr>
          <w:p w:rsidR="00BD5820" w:rsidRDefault="00F64314">
            <w:pPr>
              <w:topLinePunct w:val="0"/>
              <w:adjustRightInd/>
              <w:spacing w:before="20" w:line="240" w:lineRule="auto"/>
              <w:ind w:firstLineChars="0" w:firstLine="0"/>
              <w:jc w:val="center"/>
              <w:rPr>
                <w:rFonts w:ascii="Times New Roman" w:cs="Times New Roman"/>
                <w:kern w:val="2"/>
                <w:sz w:val="21"/>
                <w:szCs w:val="21"/>
              </w:rPr>
            </w:pPr>
            <w:r>
              <w:rPr>
                <w:rFonts w:ascii="Times New Roman" w:cs="Times New Roman"/>
                <w:kern w:val="2"/>
                <w:sz w:val="21"/>
                <w:szCs w:val="21"/>
              </w:rPr>
              <w:t>热量生产力</w:t>
            </w:r>
          </w:p>
          <w:p w:rsidR="00BD5820" w:rsidRDefault="00F64314">
            <w:pPr>
              <w:topLinePunct w:val="0"/>
              <w:adjustRightInd/>
              <w:spacing w:before="20" w:line="240" w:lineRule="auto"/>
              <w:ind w:firstLineChars="0" w:firstLine="0"/>
              <w:jc w:val="center"/>
              <w:rPr>
                <w:rFonts w:ascii="Times New Roman" w:cs="Times New Roman"/>
                <w:kern w:val="2"/>
                <w:sz w:val="21"/>
                <w:szCs w:val="21"/>
              </w:rPr>
            </w:pPr>
            <w:r>
              <w:rPr>
                <w:rFonts w:ascii="Times New Roman" w:cs="Times New Roman"/>
                <w:kern w:val="2"/>
                <w:sz w:val="21"/>
                <w:szCs w:val="21"/>
              </w:rPr>
              <w:t>（</w:t>
            </w:r>
            <w:r>
              <w:rPr>
                <w:rFonts w:ascii="Times New Roman" w:cs="Times New Roman"/>
                <w:kern w:val="2"/>
                <w:sz w:val="21"/>
                <w:szCs w:val="21"/>
              </w:rPr>
              <w:t>g/m</w:t>
            </w:r>
            <w:r>
              <w:rPr>
                <w:rFonts w:ascii="Times New Roman" w:cs="Times New Roman"/>
                <w:kern w:val="2"/>
                <w:sz w:val="21"/>
                <w:szCs w:val="21"/>
                <w:vertAlign w:val="superscript"/>
              </w:rPr>
              <w:t>2</w:t>
            </w:r>
            <w:r>
              <w:rPr>
                <w:rFonts w:ascii="Times New Roman" w:cs="Times New Roman"/>
                <w:kern w:val="2"/>
                <w:sz w:val="21"/>
                <w:szCs w:val="21"/>
              </w:rPr>
              <w:t>·a</w:t>
            </w:r>
            <w:r>
              <w:rPr>
                <w:rFonts w:ascii="Times New Roman" w:cs="Times New Roman"/>
                <w:kern w:val="2"/>
                <w:sz w:val="21"/>
                <w:szCs w:val="21"/>
              </w:rPr>
              <w:t>）</w:t>
            </w:r>
          </w:p>
        </w:tc>
        <w:tc>
          <w:tcPr>
            <w:tcW w:w="1079" w:type="pct"/>
            <w:vAlign w:val="center"/>
          </w:tcPr>
          <w:p w:rsidR="00BD5820" w:rsidRDefault="00F64314">
            <w:pPr>
              <w:topLinePunct w:val="0"/>
              <w:adjustRightInd/>
              <w:spacing w:before="20" w:line="240" w:lineRule="auto"/>
              <w:ind w:firstLineChars="0" w:firstLine="0"/>
              <w:jc w:val="center"/>
              <w:rPr>
                <w:rFonts w:ascii="Times New Roman" w:cs="Times New Roman"/>
                <w:kern w:val="2"/>
                <w:sz w:val="21"/>
                <w:szCs w:val="21"/>
              </w:rPr>
            </w:pPr>
            <w:r>
              <w:rPr>
                <w:rFonts w:ascii="Times New Roman" w:cs="Times New Roman"/>
                <w:kern w:val="2"/>
                <w:sz w:val="21"/>
                <w:szCs w:val="21"/>
              </w:rPr>
              <w:t>水分生产力</w:t>
            </w:r>
          </w:p>
          <w:p w:rsidR="00BD5820" w:rsidRDefault="00F64314">
            <w:pPr>
              <w:topLinePunct w:val="0"/>
              <w:adjustRightInd/>
              <w:spacing w:before="20" w:line="240" w:lineRule="auto"/>
              <w:ind w:firstLineChars="0" w:firstLine="0"/>
              <w:jc w:val="center"/>
              <w:rPr>
                <w:rFonts w:ascii="Times New Roman" w:cs="Times New Roman"/>
                <w:kern w:val="2"/>
                <w:sz w:val="21"/>
                <w:szCs w:val="21"/>
              </w:rPr>
            </w:pPr>
            <w:r>
              <w:rPr>
                <w:rFonts w:ascii="Times New Roman" w:cs="Times New Roman"/>
                <w:kern w:val="2"/>
                <w:sz w:val="21"/>
                <w:szCs w:val="21"/>
              </w:rPr>
              <w:t>（</w:t>
            </w:r>
            <w:r>
              <w:rPr>
                <w:rFonts w:ascii="Times New Roman" w:cs="Times New Roman"/>
                <w:kern w:val="2"/>
                <w:sz w:val="21"/>
                <w:szCs w:val="21"/>
              </w:rPr>
              <w:t>g/m</w:t>
            </w:r>
            <w:r>
              <w:rPr>
                <w:rFonts w:ascii="Times New Roman" w:cs="Times New Roman"/>
                <w:kern w:val="2"/>
                <w:sz w:val="21"/>
                <w:szCs w:val="21"/>
                <w:vertAlign w:val="superscript"/>
              </w:rPr>
              <w:t>2</w:t>
            </w:r>
            <w:r>
              <w:rPr>
                <w:rFonts w:ascii="Times New Roman" w:cs="Times New Roman"/>
                <w:kern w:val="2"/>
                <w:sz w:val="21"/>
                <w:szCs w:val="21"/>
              </w:rPr>
              <w:t>·a</w:t>
            </w:r>
            <w:r>
              <w:rPr>
                <w:rFonts w:ascii="Times New Roman" w:cs="Times New Roman"/>
                <w:kern w:val="2"/>
                <w:sz w:val="21"/>
                <w:szCs w:val="21"/>
              </w:rPr>
              <w:t>）</w:t>
            </w:r>
          </w:p>
        </w:tc>
      </w:tr>
      <w:tr w:rsidR="00BD5820">
        <w:trPr>
          <w:trHeight w:val="476"/>
          <w:jc w:val="center"/>
        </w:trPr>
        <w:tc>
          <w:tcPr>
            <w:tcW w:w="683" w:type="pct"/>
            <w:vAlign w:val="center"/>
          </w:tcPr>
          <w:p w:rsidR="00BD5820" w:rsidRDefault="00F64314">
            <w:pPr>
              <w:topLinePunct w:val="0"/>
              <w:adjustRightInd/>
              <w:spacing w:before="20"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宣汉县</w:t>
            </w:r>
          </w:p>
        </w:tc>
        <w:tc>
          <w:tcPr>
            <w:tcW w:w="1079" w:type="pct"/>
            <w:vAlign w:val="center"/>
          </w:tcPr>
          <w:p w:rsidR="00BD5820" w:rsidRDefault="00F64314">
            <w:pPr>
              <w:topLinePunct w:val="0"/>
              <w:adjustRightInd/>
              <w:spacing w:before="20"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16.8</w:t>
            </w:r>
          </w:p>
        </w:tc>
        <w:tc>
          <w:tcPr>
            <w:tcW w:w="1079" w:type="pct"/>
            <w:vAlign w:val="center"/>
          </w:tcPr>
          <w:p w:rsidR="00BD5820" w:rsidRDefault="00F64314">
            <w:pPr>
              <w:topLinePunct w:val="0"/>
              <w:adjustRightInd/>
              <w:spacing w:before="20"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1132.69</w:t>
            </w:r>
          </w:p>
        </w:tc>
        <w:tc>
          <w:tcPr>
            <w:tcW w:w="1079" w:type="pct"/>
            <w:vAlign w:val="center"/>
          </w:tcPr>
          <w:p w:rsidR="00BD5820" w:rsidRDefault="00F64314">
            <w:pPr>
              <w:topLinePunct w:val="0"/>
              <w:adjustRightInd/>
              <w:spacing w:before="20"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1994.03</w:t>
            </w:r>
          </w:p>
        </w:tc>
        <w:tc>
          <w:tcPr>
            <w:tcW w:w="1079" w:type="pct"/>
            <w:vAlign w:val="center"/>
          </w:tcPr>
          <w:p w:rsidR="00BD5820" w:rsidRDefault="00F64314">
            <w:pPr>
              <w:topLinePunct w:val="0"/>
              <w:adjustRightInd/>
              <w:spacing w:before="20"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1585.88</w:t>
            </w:r>
          </w:p>
        </w:tc>
      </w:tr>
    </w:tbl>
    <w:p w:rsidR="00BD5820" w:rsidRDefault="00F64314">
      <w:pPr>
        <w:topLinePunct w:val="0"/>
        <w:adjustRightInd/>
        <w:spacing w:line="480" w:lineRule="exact"/>
        <w:ind w:firstLineChars="300" w:firstLine="720"/>
        <w:rPr>
          <w:rFonts w:ascii="Times New Roman" w:cs="Times New Roman"/>
          <w:kern w:val="2"/>
        </w:rPr>
      </w:pPr>
      <w:r>
        <w:rPr>
          <w:rFonts w:ascii="Times New Roman" w:cs="Times New Roman"/>
          <w:kern w:val="2"/>
        </w:rPr>
        <w:t>从表</w:t>
      </w:r>
      <w:r>
        <w:rPr>
          <w:rFonts w:ascii="Times New Roman" w:cs="Times New Roman" w:hint="eastAsia"/>
          <w:kern w:val="2"/>
        </w:rPr>
        <w:t>5.2</w:t>
      </w:r>
      <w:r>
        <w:rPr>
          <w:rFonts w:ascii="Times New Roman" w:cs="Times New Roman"/>
          <w:kern w:val="2"/>
        </w:rPr>
        <w:t>-1</w:t>
      </w:r>
      <w:r>
        <w:rPr>
          <w:rFonts w:ascii="Times New Roman" w:cs="Times New Roman" w:hint="eastAsia"/>
          <w:kern w:val="2"/>
        </w:rPr>
        <w:t>1</w:t>
      </w:r>
      <w:r>
        <w:rPr>
          <w:rFonts w:ascii="Times New Roman" w:cs="Times New Roman"/>
          <w:kern w:val="2"/>
        </w:rPr>
        <w:t>可以看出，项目区域热量条件充足，水分条件不足，土地自然生产力受水分条件限制，根据项目区域降水量计算得出土地自然生产力为</w:t>
      </w:r>
      <w:r>
        <w:rPr>
          <w:rFonts w:ascii="Times New Roman" w:cs="Times New Roman" w:hint="eastAsia"/>
          <w:kern w:val="2"/>
        </w:rPr>
        <w:t>1585.88</w:t>
      </w:r>
      <w:r>
        <w:rPr>
          <w:rFonts w:ascii="Times New Roman" w:cs="Times New Roman"/>
          <w:kern w:val="2"/>
        </w:rPr>
        <w:t>gc/m</w:t>
      </w:r>
      <w:r>
        <w:rPr>
          <w:rFonts w:ascii="Times New Roman" w:cs="Times New Roman"/>
          <w:kern w:val="2"/>
          <w:vertAlign w:val="superscript"/>
        </w:rPr>
        <w:t>2</w:t>
      </w:r>
      <w:r>
        <w:rPr>
          <w:rFonts w:ascii="Times New Roman" w:cs="Times New Roman"/>
          <w:kern w:val="2"/>
        </w:rPr>
        <w:t>·a</w:t>
      </w:r>
      <w:r>
        <w:rPr>
          <w:rFonts w:ascii="Times New Roman" w:cs="Times New Roman"/>
          <w:kern w:val="2"/>
        </w:rPr>
        <w:t>。</w:t>
      </w:r>
    </w:p>
    <w:p w:rsidR="00BD5820" w:rsidRDefault="00F64314">
      <w:pPr>
        <w:topLinePunct w:val="0"/>
        <w:adjustRightInd/>
        <w:spacing w:line="480" w:lineRule="exact"/>
        <w:ind w:firstLine="482"/>
        <w:rPr>
          <w:rFonts w:ascii="Times New Roman" w:cs="Times New Roman"/>
          <w:b/>
          <w:bCs/>
          <w:kern w:val="2"/>
          <w:lang w:val="de-DE"/>
        </w:rPr>
      </w:pPr>
      <w:r>
        <w:rPr>
          <w:rFonts w:ascii="Times New Roman" w:cs="Times New Roman"/>
          <w:b/>
          <w:bCs/>
          <w:kern w:val="2"/>
          <w:lang w:val="de-DE"/>
        </w:rPr>
        <w:t>（</w:t>
      </w:r>
      <w:r>
        <w:rPr>
          <w:rFonts w:ascii="Times New Roman" w:cs="Times New Roman"/>
          <w:b/>
          <w:bCs/>
          <w:kern w:val="2"/>
        </w:rPr>
        <w:t>2</w:t>
      </w:r>
      <w:r>
        <w:rPr>
          <w:rFonts w:ascii="Times New Roman" w:cs="Times New Roman"/>
          <w:b/>
          <w:bCs/>
          <w:kern w:val="2"/>
          <w:lang w:val="de-DE"/>
        </w:rPr>
        <w:t>）植被生产力现状评价</w:t>
      </w:r>
    </w:p>
    <w:p w:rsidR="00BD5820" w:rsidRDefault="00F64314">
      <w:pPr>
        <w:topLinePunct w:val="0"/>
        <w:adjustRightInd/>
        <w:spacing w:line="480" w:lineRule="exact"/>
        <w:ind w:firstLineChars="0" w:firstLine="480"/>
        <w:jc w:val="left"/>
        <w:rPr>
          <w:rFonts w:ascii="Times New Roman" w:cs="Times New Roman"/>
          <w:kern w:val="2"/>
        </w:rPr>
      </w:pPr>
      <w:r>
        <w:rPr>
          <w:rFonts w:ascii="Times New Roman" w:cs="Times New Roman"/>
          <w:kern w:val="2"/>
        </w:rPr>
        <w:t>植被既是重要的自然资源，又是自然条件（如地质、地貌、气候、土壤等）和人类开发利用资源状况的综合反映，植被作为陆地生物圈的主体，在生态系统中的作用也日益受到重视，尤其是对生态系统变化及稳定起决定性作用。植被净初级生产力（</w:t>
      </w:r>
      <w:r>
        <w:rPr>
          <w:rFonts w:ascii="Times New Roman" w:cs="Times New Roman"/>
          <w:kern w:val="2"/>
        </w:rPr>
        <w:t>NPP</w:t>
      </w:r>
      <w:r>
        <w:rPr>
          <w:rFonts w:ascii="Times New Roman" w:cs="Times New Roman"/>
          <w:kern w:val="2"/>
        </w:rPr>
        <w:t>）指绿色植物在单位时间和单位面积上所积累的有机干物质总量，它不仅是表征植物活动的重要变量，而且是判定生态系统碳汇和调节生态过程的主要因子，它直接反映植物群落在自然环境条件下的生产能力，也是生态现状质量评价的重要参数。在对评价区进行自然体系生产力评价中，数据主要来源于卫片解译，实地勘察、收集的现状资料（包括项目所在区域生态环境调查成果，各类环境信息图件及统计资料等），并采用了国内关于自然生态系统生产力和植被生物量的研究成果进行分析。</w:t>
      </w:r>
    </w:p>
    <w:p w:rsidR="00BD5820" w:rsidRDefault="00F64314">
      <w:pPr>
        <w:topLinePunct w:val="0"/>
        <w:adjustRightInd/>
        <w:spacing w:line="480" w:lineRule="exact"/>
        <w:ind w:firstLineChars="0" w:firstLine="480"/>
        <w:jc w:val="left"/>
        <w:rPr>
          <w:rFonts w:ascii="Times New Roman" w:cs="Times New Roman"/>
          <w:b/>
          <w:bCs/>
          <w:kern w:val="2"/>
        </w:rPr>
      </w:pPr>
      <w:r>
        <w:rPr>
          <w:rFonts w:ascii="Times New Roman" w:cs="Times New Roman"/>
          <w:kern w:val="2"/>
        </w:rPr>
        <w:t>评价范围植调查是通过实地勘察、卫片解译、室内分析并结合收集的资料经综合分析而完成。卫片信息的提取过程如下：对选取的卫片数据，利用</w:t>
      </w:r>
      <w:r>
        <w:rPr>
          <w:rFonts w:ascii="Times New Roman" w:cs="Times New Roman"/>
          <w:kern w:val="2"/>
        </w:rPr>
        <w:t>3S</w:t>
      </w:r>
      <w:r>
        <w:rPr>
          <w:rFonts w:ascii="Times New Roman" w:cs="Times New Roman"/>
          <w:kern w:val="2"/>
        </w:rPr>
        <w:t>技术进行解译，并经几何精校正、图象增强、进行融合，根据各类环境信息数据及相关图像处理软件进行综合分析，得到评价区内生态环境研究所需的相关数据和生态图件。</w:t>
      </w:r>
    </w:p>
    <w:p w:rsidR="00BD5820" w:rsidRDefault="00F64314">
      <w:pPr>
        <w:topLinePunct w:val="0"/>
        <w:adjustRightInd/>
        <w:spacing w:line="480" w:lineRule="exact"/>
        <w:ind w:firstLineChars="0" w:firstLine="480"/>
        <w:jc w:val="left"/>
        <w:rPr>
          <w:rFonts w:ascii="Times New Roman" w:cs="Times New Roman"/>
          <w:kern w:val="2"/>
        </w:rPr>
      </w:pPr>
      <w:r>
        <w:rPr>
          <w:rFonts w:ascii="Times New Roman" w:cs="Times New Roman"/>
          <w:kern w:val="2"/>
        </w:rPr>
        <w:t>根据调查和卫片解译，结合生态评价范围地表植被覆盖现状和植被立地情况，可将评价范围植被类型划分为以下</w:t>
      </w:r>
      <w:r>
        <w:rPr>
          <w:rFonts w:ascii="Times New Roman" w:cs="Times New Roman"/>
          <w:kern w:val="2"/>
        </w:rPr>
        <w:t>5</w:t>
      </w:r>
      <w:r>
        <w:rPr>
          <w:rFonts w:ascii="Times New Roman" w:cs="Times New Roman"/>
          <w:kern w:val="2"/>
        </w:rPr>
        <w:t>类：</w:t>
      </w:r>
    </w:p>
    <w:p w:rsidR="00BD5820" w:rsidRDefault="00F64314">
      <w:pPr>
        <w:tabs>
          <w:tab w:val="left" w:pos="540"/>
        </w:tabs>
        <w:topLinePunct w:val="0"/>
        <w:adjustRightInd/>
        <w:spacing w:line="480" w:lineRule="exact"/>
        <w:ind w:firstLineChars="0" w:firstLine="480"/>
        <w:jc w:val="left"/>
        <w:rPr>
          <w:rFonts w:ascii="Times New Roman" w:cs="Times New Roman"/>
          <w:kern w:val="2"/>
        </w:rPr>
      </w:pPr>
      <w:r>
        <w:rPr>
          <w:rFonts w:hAnsi="宋体" w:hint="eastAsia"/>
          <w:kern w:val="2"/>
        </w:rPr>
        <w:t>①</w:t>
      </w:r>
      <w:r>
        <w:rPr>
          <w:rFonts w:ascii="Times New Roman" w:cs="Times New Roman"/>
          <w:kern w:val="2"/>
        </w:rPr>
        <w:t>针叶林植被：主要是</w:t>
      </w:r>
      <w:r>
        <w:rPr>
          <w:rFonts w:ascii="Times New Roman" w:cs="Times New Roman" w:hint="eastAsia"/>
          <w:kern w:val="2"/>
        </w:rPr>
        <w:t>马尾松、柏木</w:t>
      </w:r>
      <w:r>
        <w:rPr>
          <w:rFonts w:ascii="Times New Roman" w:cs="Times New Roman"/>
          <w:kern w:val="2"/>
        </w:rPr>
        <w:t>为主的针叶植被，评价范围内此植被类型广泛分布，南部和西部成片分布，面积为</w:t>
      </w:r>
      <w:r>
        <w:rPr>
          <w:rFonts w:ascii="Times New Roman" w:cs="Times New Roman" w:hint="eastAsia"/>
          <w:kern w:val="2"/>
        </w:rPr>
        <w:t>319.85hm</w:t>
      </w:r>
      <w:r>
        <w:rPr>
          <w:rFonts w:ascii="Times New Roman" w:cs="Times New Roman"/>
          <w:kern w:val="2"/>
          <w:vertAlign w:val="superscript"/>
        </w:rPr>
        <w:t>2</w:t>
      </w:r>
      <w:r>
        <w:rPr>
          <w:rFonts w:ascii="Times New Roman" w:cs="Times New Roman"/>
          <w:kern w:val="2"/>
        </w:rPr>
        <w:t>，占评价范围面积的</w:t>
      </w:r>
      <w:r>
        <w:rPr>
          <w:rFonts w:ascii="Times New Roman" w:cs="Times New Roman" w:hint="eastAsia"/>
          <w:kern w:val="2"/>
        </w:rPr>
        <w:t>25.45</w:t>
      </w:r>
      <w:r>
        <w:rPr>
          <w:rFonts w:ascii="Times New Roman" w:cs="Times New Roman"/>
          <w:kern w:val="2"/>
        </w:rPr>
        <w:t>%</w:t>
      </w:r>
      <w:r>
        <w:rPr>
          <w:rFonts w:ascii="Times New Roman" w:cs="Times New Roman"/>
          <w:kern w:val="2"/>
        </w:rPr>
        <w:t>，平均净初级生产力（常绿针叶林）为</w:t>
      </w:r>
      <w:r>
        <w:rPr>
          <w:rFonts w:ascii="Times New Roman" w:cs="Times New Roman"/>
          <w:kern w:val="2"/>
        </w:rPr>
        <w:t>367.1gC/</w:t>
      </w:r>
      <w:r>
        <w:rPr>
          <w:rFonts w:ascii="Times New Roman" w:cs="Times New Roman"/>
          <w:kern w:val="2"/>
        </w:rPr>
        <w:t>（</w:t>
      </w:r>
      <w:r>
        <w:rPr>
          <w:rFonts w:ascii="Times New Roman" w:cs="Times New Roman"/>
          <w:kern w:val="2"/>
        </w:rPr>
        <w:t>m</w:t>
      </w:r>
      <w:r>
        <w:rPr>
          <w:rFonts w:ascii="Times New Roman" w:cs="Times New Roman"/>
          <w:kern w:val="2"/>
          <w:vertAlign w:val="superscript"/>
        </w:rPr>
        <w:t>2</w:t>
      </w:r>
      <w:r>
        <w:rPr>
          <w:rFonts w:ascii="Times New Roman" w:cs="Times New Roman"/>
          <w:kern w:val="2"/>
        </w:rPr>
        <w:t>.a</w:t>
      </w:r>
      <w:r>
        <w:rPr>
          <w:rFonts w:ascii="Times New Roman" w:cs="Times New Roman"/>
          <w:kern w:val="2"/>
        </w:rPr>
        <w:t>）。</w:t>
      </w:r>
    </w:p>
    <w:p w:rsidR="00BD5820" w:rsidRDefault="00F64314">
      <w:pPr>
        <w:topLinePunct w:val="0"/>
        <w:adjustRightInd/>
        <w:spacing w:line="480" w:lineRule="exact"/>
        <w:ind w:firstLineChars="0" w:firstLine="480"/>
        <w:rPr>
          <w:rFonts w:ascii="Times New Roman" w:cs="Times New Roman"/>
          <w:kern w:val="2"/>
        </w:rPr>
      </w:pPr>
      <w:r>
        <w:rPr>
          <w:rFonts w:hAnsi="宋体" w:hint="eastAsia"/>
          <w:kern w:val="2"/>
        </w:rPr>
        <w:t>②</w:t>
      </w:r>
      <w:r>
        <w:rPr>
          <w:rFonts w:ascii="Times New Roman" w:cs="Times New Roman"/>
          <w:kern w:val="2"/>
        </w:rPr>
        <w:t>阔叶林植被：主要有</w:t>
      </w:r>
      <w:r>
        <w:rPr>
          <w:rFonts w:ascii="Times New Roman" w:cs="Times New Roman" w:hint="eastAsia"/>
          <w:kern w:val="2"/>
        </w:rPr>
        <w:t>麻栎、青冈、栓皮栎、枫香、响叶杨</w:t>
      </w:r>
      <w:r>
        <w:rPr>
          <w:rFonts w:ascii="Times New Roman" w:cs="Times New Roman"/>
          <w:kern w:val="2"/>
        </w:rPr>
        <w:t>等阔叶树种，此</w:t>
      </w:r>
      <w:r>
        <w:rPr>
          <w:rFonts w:ascii="Times New Roman" w:cs="Times New Roman"/>
          <w:kern w:val="2"/>
        </w:rPr>
        <w:lastRenderedPageBreak/>
        <w:t>植被类型在评价范围中部、北部成片分布，面积</w:t>
      </w:r>
      <w:r>
        <w:rPr>
          <w:rFonts w:ascii="Times New Roman" w:cs="Times New Roman" w:hint="eastAsia"/>
          <w:kern w:val="2"/>
        </w:rPr>
        <w:t>452.09hm</w:t>
      </w:r>
      <w:r>
        <w:rPr>
          <w:rFonts w:ascii="Times New Roman" w:cs="Times New Roman"/>
          <w:kern w:val="2"/>
          <w:vertAlign w:val="superscript"/>
        </w:rPr>
        <w:t>2</w:t>
      </w:r>
      <w:r>
        <w:rPr>
          <w:rFonts w:ascii="Times New Roman" w:cs="Times New Roman"/>
          <w:kern w:val="2"/>
        </w:rPr>
        <w:t>，占评价范围面积的</w:t>
      </w:r>
      <w:r>
        <w:rPr>
          <w:rFonts w:ascii="Times New Roman" w:cs="Times New Roman" w:hint="eastAsia"/>
          <w:kern w:val="2"/>
        </w:rPr>
        <w:t>35.97</w:t>
      </w:r>
      <w:r>
        <w:rPr>
          <w:rFonts w:ascii="Times New Roman" w:cs="Times New Roman"/>
          <w:kern w:val="2"/>
        </w:rPr>
        <w:t>%</w:t>
      </w:r>
      <w:r>
        <w:rPr>
          <w:rFonts w:ascii="Times New Roman" w:cs="Times New Roman"/>
          <w:kern w:val="2"/>
        </w:rPr>
        <w:t>，平均净初级生产力（落叶阔叶林）</w:t>
      </w:r>
      <w:r>
        <w:rPr>
          <w:rFonts w:ascii="Times New Roman" w:cs="Times New Roman"/>
          <w:kern w:val="2"/>
        </w:rPr>
        <w:t>642.9gC/</w:t>
      </w:r>
      <w:r>
        <w:rPr>
          <w:rFonts w:ascii="Times New Roman" w:cs="Times New Roman"/>
          <w:kern w:val="2"/>
        </w:rPr>
        <w:t>（</w:t>
      </w:r>
      <w:r>
        <w:rPr>
          <w:rFonts w:ascii="Times New Roman" w:cs="Times New Roman"/>
          <w:kern w:val="2"/>
        </w:rPr>
        <w:t>m</w:t>
      </w:r>
      <w:r>
        <w:rPr>
          <w:rFonts w:ascii="Times New Roman" w:cs="Times New Roman"/>
          <w:kern w:val="2"/>
          <w:vertAlign w:val="superscript"/>
        </w:rPr>
        <w:t>2</w:t>
      </w:r>
      <w:r>
        <w:rPr>
          <w:rFonts w:ascii="Times New Roman" w:cs="Times New Roman"/>
          <w:kern w:val="2"/>
        </w:rPr>
        <w:t>.a</w:t>
      </w:r>
      <w:r>
        <w:rPr>
          <w:rFonts w:ascii="Times New Roman" w:cs="Times New Roman"/>
          <w:kern w:val="2"/>
        </w:rPr>
        <w:t>）。</w:t>
      </w:r>
    </w:p>
    <w:p w:rsidR="00BD5820" w:rsidRDefault="00F64314">
      <w:pPr>
        <w:topLinePunct w:val="0"/>
        <w:adjustRightInd/>
        <w:spacing w:line="480" w:lineRule="exact"/>
        <w:ind w:firstLineChars="0" w:firstLine="480"/>
        <w:rPr>
          <w:rFonts w:ascii="Times New Roman" w:cs="Times New Roman"/>
          <w:kern w:val="2"/>
        </w:rPr>
      </w:pPr>
      <w:r>
        <w:rPr>
          <w:rFonts w:hAnsi="宋体" w:hint="eastAsia"/>
          <w:kern w:val="2"/>
        </w:rPr>
        <w:t>③</w:t>
      </w:r>
      <w:r>
        <w:rPr>
          <w:rFonts w:ascii="Times New Roman" w:cs="Times New Roman"/>
          <w:kern w:val="2"/>
        </w:rPr>
        <w:t>灌丛植被：代表植物有</w:t>
      </w:r>
      <w:r>
        <w:rPr>
          <w:rFonts w:ascii="Times New Roman" w:cs="Times New Roman" w:hint="eastAsia"/>
          <w:kern w:val="2"/>
        </w:rPr>
        <w:t>槲栎、马桑、黄荆、火棘、荚蒾、盐肤木</w:t>
      </w:r>
      <w:r>
        <w:rPr>
          <w:rFonts w:ascii="Times New Roman" w:cs="Times New Roman"/>
          <w:kern w:val="2"/>
        </w:rPr>
        <w:t>等。主要分布在林下、林缘、山脚、路边、农田两旁，对保护农田和水土保持起到很重要的作用，此植被类型面积为</w:t>
      </w:r>
      <w:r>
        <w:rPr>
          <w:rFonts w:ascii="Times New Roman" w:cs="Times New Roman" w:hint="eastAsia"/>
          <w:kern w:val="2"/>
        </w:rPr>
        <w:t>268.42hm</w:t>
      </w:r>
      <w:r>
        <w:rPr>
          <w:rFonts w:ascii="Times New Roman" w:cs="Times New Roman"/>
          <w:kern w:val="2"/>
          <w:vertAlign w:val="superscript"/>
        </w:rPr>
        <w:t>2</w:t>
      </w:r>
      <w:r>
        <w:rPr>
          <w:rFonts w:ascii="Times New Roman" w:cs="Times New Roman"/>
          <w:kern w:val="2"/>
        </w:rPr>
        <w:t>，占评价范围总面积的</w:t>
      </w:r>
      <w:r>
        <w:rPr>
          <w:rFonts w:ascii="Times New Roman" w:cs="Times New Roman" w:hint="eastAsia"/>
          <w:snapToGrid w:val="0"/>
          <w:kern w:val="2"/>
        </w:rPr>
        <w:t>21.36</w:t>
      </w:r>
      <w:r>
        <w:rPr>
          <w:rFonts w:ascii="Times New Roman" w:cs="Times New Roman"/>
          <w:kern w:val="2"/>
        </w:rPr>
        <w:t>%</w:t>
      </w:r>
      <w:r>
        <w:rPr>
          <w:rFonts w:ascii="Times New Roman" w:cs="Times New Roman"/>
          <w:kern w:val="2"/>
        </w:rPr>
        <w:t>，平均净初级生产力为（灌木）</w:t>
      </w:r>
      <w:r>
        <w:rPr>
          <w:rFonts w:ascii="Times New Roman" w:cs="Times New Roman"/>
          <w:kern w:val="2"/>
        </w:rPr>
        <w:t>367.7gC/</w:t>
      </w:r>
      <w:r>
        <w:rPr>
          <w:rFonts w:ascii="Times New Roman" w:cs="Times New Roman"/>
          <w:kern w:val="2"/>
        </w:rPr>
        <w:t>（</w:t>
      </w:r>
      <w:r>
        <w:rPr>
          <w:rFonts w:ascii="Times New Roman" w:cs="Times New Roman"/>
          <w:kern w:val="2"/>
        </w:rPr>
        <w:t>m</w:t>
      </w:r>
      <w:r>
        <w:rPr>
          <w:rFonts w:ascii="Times New Roman" w:cs="Times New Roman"/>
          <w:kern w:val="2"/>
          <w:vertAlign w:val="superscript"/>
        </w:rPr>
        <w:t>2</w:t>
      </w:r>
      <w:r>
        <w:rPr>
          <w:rFonts w:ascii="Times New Roman" w:cs="Times New Roman"/>
          <w:kern w:val="2"/>
        </w:rPr>
        <w:t>.a</w:t>
      </w:r>
      <w:r>
        <w:rPr>
          <w:rFonts w:ascii="Times New Roman" w:cs="Times New Roman"/>
          <w:kern w:val="2"/>
        </w:rPr>
        <w:t>）。</w:t>
      </w:r>
    </w:p>
    <w:p w:rsidR="00BD5820" w:rsidRDefault="00F64314">
      <w:pPr>
        <w:topLinePunct w:val="0"/>
        <w:adjustRightInd/>
        <w:spacing w:line="480" w:lineRule="exact"/>
        <w:ind w:firstLineChars="0" w:firstLine="480"/>
        <w:rPr>
          <w:rFonts w:ascii="Times New Roman" w:cs="Times New Roman"/>
          <w:kern w:val="2"/>
        </w:rPr>
      </w:pPr>
      <w:r>
        <w:rPr>
          <w:rFonts w:hAnsi="宋体" w:hint="eastAsia"/>
          <w:kern w:val="2"/>
        </w:rPr>
        <w:t>④</w:t>
      </w:r>
      <w:r>
        <w:rPr>
          <w:rFonts w:ascii="Times New Roman" w:cs="Times New Roman"/>
          <w:kern w:val="2"/>
        </w:rPr>
        <w:t>草丛植被：代表植物有</w:t>
      </w:r>
      <w:r>
        <w:rPr>
          <w:rFonts w:ascii="Times New Roman" w:cs="Times New Roman" w:hint="eastAsia"/>
          <w:kern w:val="2"/>
        </w:rPr>
        <w:t>白茅、五节芒、芒、芒萁、野古草、斑茅、蕨</w:t>
      </w:r>
      <w:r>
        <w:rPr>
          <w:rFonts w:ascii="Times New Roman" w:cs="Times New Roman"/>
          <w:kern w:val="2"/>
        </w:rPr>
        <w:t>等。主要分布在分布的林下、林缘、路边、农田两旁，此植被类型面积为</w:t>
      </w:r>
      <w:r>
        <w:rPr>
          <w:rFonts w:ascii="Times New Roman" w:cs="Times New Roman" w:hint="eastAsia"/>
          <w:kern w:val="2"/>
        </w:rPr>
        <w:t>2.17hm</w:t>
      </w:r>
      <w:r>
        <w:rPr>
          <w:rFonts w:ascii="Times New Roman" w:cs="Times New Roman"/>
          <w:kern w:val="2"/>
          <w:vertAlign w:val="superscript"/>
        </w:rPr>
        <w:t>2</w:t>
      </w:r>
      <w:r>
        <w:rPr>
          <w:rFonts w:ascii="Times New Roman" w:cs="Times New Roman"/>
          <w:kern w:val="2"/>
        </w:rPr>
        <w:t>，占评价范围总面积的</w:t>
      </w:r>
      <w:r>
        <w:rPr>
          <w:rFonts w:ascii="Times New Roman" w:cs="Times New Roman" w:hint="eastAsia"/>
          <w:snapToGrid w:val="0"/>
          <w:kern w:val="2"/>
        </w:rPr>
        <w:t>0.17</w:t>
      </w:r>
      <w:r>
        <w:rPr>
          <w:rFonts w:ascii="Times New Roman" w:cs="Times New Roman"/>
          <w:kern w:val="2"/>
        </w:rPr>
        <w:t>%</w:t>
      </w:r>
      <w:r>
        <w:rPr>
          <w:rFonts w:ascii="Times New Roman" w:cs="Times New Roman"/>
          <w:kern w:val="2"/>
        </w:rPr>
        <w:t>，平均净初级生产力（坡面草地）为</w:t>
      </w:r>
      <w:r>
        <w:rPr>
          <w:rFonts w:ascii="Times New Roman" w:cs="Times New Roman"/>
        </w:rPr>
        <w:t>507.4</w:t>
      </w:r>
      <w:r>
        <w:rPr>
          <w:rFonts w:ascii="Times New Roman" w:cs="Times New Roman"/>
          <w:kern w:val="2"/>
        </w:rPr>
        <w:t>gC/(m</w:t>
      </w:r>
      <w:r>
        <w:rPr>
          <w:rFonts w:ascii="Times New Roman" w:cs="Times New Roman"/>
          <w:kern w:val="2"/>
          <w:vertAlign w:val="superscript"/>
        </w:rPr>
        <w:t>2</w:t>
      </w:r>
      <w:r>
        <w:rPr>
          <w:rFonts w:ascii="Times New Roman" w:cs="Times New Roman"/>
          <w:kern w:val="2"/>
        </w:rPr>
        <w:t>.a)</w:t>
      </w:r>
      <w:r>
        <w:rPr>
          <w:rFonts w:ascii="Times New Roman" w:cs="Times New Roman"/>
          <w:kern w:val="2"/>
        </w:rPr>
        <w:t>。</w:t>
      </w:r>
    </w:p>
    <w:p w:rsidR="00BD5820" w:rsidRDefault="00F64314" w:rsidP="00C74272">
      <w:pPr>
        <w:topLinePunct w:val="0"/>
        <w:adjustRightInd/>
        <w:spacing w:line="480" w:lineRule="exact"/>
        <w:ind w:firstLineChars="224" w:firstLine="538"/>
        <w:jc w:val="left"/>
        <w:rPr>
          <w:rFonts w:ascii="Times New Roman" w:cs="Times New Roman"/>
          <w:kern w:val="2"/>
        </w:rPr>
      </w:pPr>
      <w:r>
        <w:rPr>
          <w:rFonts w:hAnsi="宋体" w:hint="eastAsia"/>
          <w:kern w:val="2"/>
        </w:rPr>
        <w:t>⑤</w:t>
      </w:r>
      <w:r>
        <w:rPr>
          <w:rFonts w:ascii="Times New Roman" w:cs="Times New Roman"/>
          <w:kern w:val="2"/>
        </w:rPr>
        <w:t>农作物植被：该地区的农作物主要有</w:t>
      </w:r>
      <w:r>
        <w:rPr>
          <w:rFonts w:ascii="Times New Roman" w:cs="Times New Roman" w:hint="eastAsia"/>
          <w:kern w:val="2"/>
        </w:rPr>
        <w:t>水稻、玉米、红苕、棉花、花生、小麦、马铃薯、豌豆</w:t>
      </w:r>
      <w:r>
        <w:rPr>
          <w:rFonts w:ascii="Times New Roman" w:cs="Times New Roman"/>
          <w:kern w:val="2"/>
        </w:rPr>
        <w:t>等，主要分布在山谷、河谷两侧等低海拔区；农作物植被面积</w:t>
      </w:r>
      <w:r>
        <w:rPr>
          <w:rFonts w:ascii="Times New Roman" w:cs="Times New Roman" w:hint="eastAsia"/>
          <w:kern w:val="2"/>
        </w:rPr>
        <w:t>132.7hm</w:t>
      </w:r>
      <w:r>
        <w:rPr>
          <w:rFonts w:ascii="Times New Roman" w:cs="Times New Roman"/>
          <w:kern w:val="2"/>
          <w:vertAlign w:val="superscript"/>
        </w:rPr>
        <w:t>2</w:t>
      </w:r>
      <w:r>
        <w:rPr>
          <w:rFonts w:ascii="Times New Roman" w:cs="Times New Roman"/>
          <w:kern w:val="2"/>
        </w:rPr>
        <w:t>，占评价范围面积的</w:t>
      </w:r>
      <w:r>
        <w:rPr>
          <w:rFonts w:ascii="Times New Roman" w:cs="Times New Roman" w:hint="eastAsia"/>
          <w:snapToGrid w:val="0"/>
          <w:kern w:val="2"/>
        </w:rPr>
        <w:t>10.56</w:t>
      </w:r>
      <w:r>
        <w:rPr>
          <w:rFonts w:ascii="Times New Roman" w:cs="Times New Roman"/>
          <w:kern w:val="2"/>
        </w:rPr>
        <w:t>%</w:t>
      </w:r>
      <w:r>
        <w:rPr>
          <w:rFonts w:ascii="Times New Roman" w:cs="Times New Roman"/>
          <w:kern w:val="2"/>
        </w:rPr>
        <w:t>，平均净初级生产力</w:t>
      </w:r>
      <w:r>
        <w:rPr>
          <w:rFonts w:ascii="Times New Roman" w:cs="Times New Roman"/>
          <w:kern w:val="2"/>
        </w:rPr>
        <w:t>426.5gC/</w:t>
      </w:r>
      <w:r>
        <w:rPr>
          <w:rFonts w:ascii="Times New Roman" w:cs="Times New Roman"/>
          <w:kern w:val="2"/>
        </w:rPr>
        <w:t>（</w:t>
      </w:r>
      <w:r>
        <w:rPr>
          <w:rFonts w:ascii="Times New Roman" w:cs="Times New Roman"/>
          <w:kern w:val="2"/>
        </w:rPr>
        <w:t>m</w:t>
      </w:r>
      <w:r>
        <w:rPr>
          <w:rFonts w:ascii="Times New Roman" w:cs="Times New Roman"/>
          <w:kern w:val="2"/>
          <w:vertAlign w:val="superscript"/>
        </w:rPr>
        <w:t>2</w:t>
      </w:r>
      <w:r>
        <w:rPr>
          <w:rFonts w:ascii="Times New Roman" w:cs="Times New Roman"/>
          <w:kern w:val="2"/>
        </w:rPr>
        <w:t>.a</w:t>
      </w:r>
      <w:r>
        <w:rPr>
          <w:rFonts w:ascii="Times New Roman" w:cs="Times New Roman"/>
          <w:kern w:val="2"/>
        </w:rPr>
        <w:t>）。</w:t>
      </w:r>
    </w:p>
    <w:p w:rsidR="00BD5820" w:rsidRDefault="00F64314">
      <w:pPr>
        <w:pStyle w:val="affa"/>
        <w:ind w:firstLineChars="0" w:firstLine="0"/>
        <w:rPr>
          <w:kern w:val="2"/>
          <w:szCs w:val="24"/>
          <w:lang w:val="de-DE"/>
        </w:rPr>
      </w:pPr>
      <w:r>
        <w:rPr>
          <w:szCs w:val="24"/>
        </w:rPr>
        <w:t>评价范围内各植被类型净生产力情况见下表。</w:t>
      </w:r>
    </w:p>
    <w:p w:rsidR="00BD5820" w:rsidRDefault="00F64314" w:rsidP="00511129">
      <w:pPr>
        <w:topLinePunct w:val="0"/>
        <w:autoSpaceDE w:val="0"/>
        <w:autoSpaceDN w:val="0"/>
        <w:spacing w:beforeLines="50" w:line="240" w:lineRule="auto"/>
        <w:ind w:firstLineChars="0" w:firstLine="0"/>
        <w:jc w:val="center"/>
        <w:rPr>
          <w:rFonts w:ascii="Times New Roman" w:cs="Times New Roman"/>
          <w:b/>
          <w:sz w:val="21"/>
        </w:rPr>
      </w:pPr>
      <w:r>
        <w:rPr>
          <w:rFonts w:ascii="Times New Roman" w:cs="Times New Roman"/>
          <w:b/>
          <w:sz w:val="21"/>
        </w:rPr>
        <w:t>表</w:t>
      </w:r>
      <w:r>
        <w:rPr>
          <w:rFonts w:ascii="Times New Roman" w:cs="Times New Roman" w:hint="eastAsia"/>
          <w:b/>
          <w:sz w:val="21"/>
        </w:rPr>
        <w:t>5.2</w:t>
      </w:r>
      <w:r>
        <w:rPr>
          <w:rFonts w:ascii="Times New Roman" w:cs="Times New Roman"/>
          <w:b/>
          <w:sz w:val="21"/>
        </w:rPr>
        <w:t>-</w:t>
      </w:r>
      <w:r>
        <w:rPr>
          <w:rFonts w:ascii="Times New Roman" w:cs="Times New Roman" w:hint="eastAsia"/>
          <w:b/>
          <w:sz w:val="21"/>
        </w:rPr>
        <w:t>12</w:t>
      </w:r>
      <w:r>
        <w:rPr>
          <w:rFonts w:ascii="Times New Roman" w:cs="Times New Roman"/>
          <w:b/>
          <w:sz w:val="21"/>
        </w:rPr>
        <w:t xml:space="preserve"> </w:t>
      </w:r>
      <w:r>
        <w:rPr>
          <w:rFonts w:ascii="Times New Roman" w:cs="Times New Roman"/>
          <w:b/>
          <w:sz w:val="21"/>
        </w:rPr>
        <w:t>评价范围植被自然生产力情况表</w:t>
      </w:r>
    </w:p>
    <w:tbl>
      <w:tblPr>
        <w:tblStyle w:val="3e"/>
        <w:tblW w:w="4995" w:type="pct"/>
        <w:jc w:val="center"/>
        <w:tblBorders>
          <w:top w:val="single" w:sz="12" w:space="0" w:color="auto"/>
          <w:left w:val="none" w:sz="0" w:space="0" w:color="auto"/>
          <w:bottom w:val="single" w:sz="12" w:space="0" w:color="auto"/>
          <w:right w:val="none" w:sz="0" w:space="0" w:color="auto"/>
        </w:tblBorders>
        <w:tblLayout w:type="fixed"/>
        <w:tblLook w:val="04A0"/>
      </w:tblPr>
      <w:tblGrid>
        <w:gridCol w:w="937"/>
        <w:gridCol w:w="2126"/>
        <w:gridCol w:w="949"/>
        <w:gridCol w:w="856"/>
        <w:gridCol w:w="1229"/>
        <w:gridCol w:w="1200"/>
        <w:gridCol w:w="1216"/>
      </w:tblGrid>
      <w:tr w:rsidR="00BD5820">
        <w:trPr>
          <w:jc w:val="center"/>
        </w:trPr>
        <w:tc>
          <w:tcPr>
            <w:tcW w:w="550" w:type="pct"/>
            <w:vAlign w:val="center"/>
          </w:tcPr>
          <w:p w:rsidR="00BD5820" w:rsidRDefault="00F64314">
            <w:pPr>
              <w:topLinePunct w:val="0"/>
              <w:adjustRightInd/>
              <w:snapToGrid w:val="0"/>
              <w:spacing w:line="240" w:lineRule="auto"/>
              <w:ind w:firstLineChars="0" w:firstLine="0"/>
              <w:jc w:val="center"/>
              <w:rPr>
                <w:rFonts w:ascii="Times New Roman" w:cs="Times New Roman"/>
                <w:snapToGrid w:val="0"/>
                <w:sz w:val="21"/>
                <w:szCs w:val="21"/>
              </w:rPr>
            </w:pPr>
            <w:r>
              <w:rPr>
                <w:rFonts w:ascii="Times New Roman" w:cs="Times New Roman"/>
                <w:snapToGrid w:val="0"/>
                <w:sz w:val="21"/>
                <w:szCs w:val="21"/>
              </w:rPr>
              <w:t>植被</w:t>
            </w:r>
          </w:p>
          <w:p w:rsidR="00BD5820" w:rsidRDefault="00F64314">
            <w:pPr>
              <w:topLinePunct w:val="0"/>
              <w:adjustRightInd/>
              <w:snapToGrid w:val="0"/>
              <w:spacing w:line="240" w:lineRule="auto"/>
              <w:ind w:firstLineChars="0" w:firstLine="0"/>
              <w:jc w:val="center"/>
              <w:rPr>
                <w:rFonts w:ascii="Times New Roman" w:cs="Times New Roman"/>
                <w:sz w:val="21"/>
                <w:szCs w:val="21"/>
              </w:rPr>
            </w:pPr>
            <w:r>
              <w:rPr>
                <w:rFonts w:ascii="Times New Roman" w:cs="Times New Roman"/>
                <w:snapToGrid w:val="0"/>
                <w:sz w:val="21"/>
                <w:szCs w:val="21"/>
              </w:rPr>
              <w:t>类型</w:t>
            </w:r>
          </w:p>
        </w:tc>
        <w:tc>
          <w:tcPr>
            <w:tcW w:w="1247" w:type="pct"/>
            <w:vAlign w:val="center"/>
          </w:tcPr>
          <w:p w:rsidR="00BD5820" w:rsidRDefault="00F64314">
            <w:pPr>
              <w:topLinePunct w:val="0"/>
              <w:adjustRightInd/>
              <w:snapToGrid w:val="0"/>
              <w:spacing w:line="240" w:lineRule="auto"/>
              <w:ind w:firstLineChars="0" w:firstLine="0"/>
              <w:jc w:val="center"/>
              <w:rPr>
                <w:rFonts w:ascii="Times New Roman" w:cs="Times New Roman"/>
                <w:sz w:val="21"/>
                <w:szCs w:val="21"/>
              </w:rPr>
            </w:pPr>
            <w:r>
              <w:rPr>
                <w:rFonts w:ascii="Times New Roman" w:cs="Times New Roman"/>
                <w:snapToGrid w:val="0"/>
                <w:sz w:val="21"/>
                <w:szCs w:val="21"/>
              </w:rPr>
              <w:t>代表植物</w:t>
            </w:r>
          </w:p>
        </w:tc>
        <w:tc>
          <w:tcPr>
            <w:tcW w:w="557" w:type="pct"/>
            <w:vAlign w:val="center"/>
          </w:tcPr>
          <w:p w:rsidR="00BD5820" w:rsidRDefault="00F64314">
            <w:pPr>
              <w:topLinePunct w:val="0"/>
              <w:adjustRightInd/>
              <w:snapToGrid w:val="0"/>
              <w:spacing w:line="240" w:lineRule="auto"/>
              <w:ind w:firstLineChars="0" w:firstLine="0"/>
              <w:jc w:val="center"/>
              <w:rPr>
                <w:rFonts w:ascii="Times New Roman" w:cs="Times New Roman"/>
                <w:sz w:val="21"/>
                <w:szCs w:val="21"/>
              </w:rPr>
            </w:pPr>
            <w:r>
              <w:rPr>
                <w:rFonts w:ascii="Times New Roman" w:cs="Times New Roman"/>
                <w:snapToGrid w:val="0"/>
                <w:sz w:val="21"/>
                <w:szCs w:val="21"/>
              </w:rPr>
              <w:t>面积（</w:t>
            </w:r>
            <w:r>
              <w:rPr>
                <w:rFonts w:ascii="Times New Roman" w:cs="Times New Roman" w:hint="eastAsia"/>
                <w:snapToGrid w:val="0"/>
                <w:sz w:val="21"/>
                <w:szCs w:val="21"/>
              </w:rPr>
              <w:t>hm</w:t>
            </w:r>
            <w:r>
              <w:rPr>
                <w:rFonts w:ascii="Times New Roman" w:cs="Times New Roman"/>
                <w:snapToGrid w:val="0"/>
                <w:sz w:val="21"/>
                <w:szCs w:val="21"/>
                <w:vertAlign w:val="superscript"/>
              </w:rPr>
              <w:t>2</w:t>
            </w:r>
            <w:r>
              <w:rPr>
                <w:rFonts w:ascii="Times New Roman" w:cs="Times New Roman"/>
                <w:snapToGrid w:val="0"/>
                <w:sz w:val="21"/>
                <w:szCs w:val="21"/>
              </w:rPr>
              <w:t>）</w:t>
            </w:r>
          </w:p>
        </w:tc>
        <w:tc>
          <w:tcPr>
            <w:tcW w:w="502" w:type="pct"/>
            <w:vAlign w:val="center"/>
          </w:tcPr>
          <w:p w:rsidR="00BD5820" w:rsidRDefault="00F64314">
            <w:pPr>
              <w:topLinePunct w:val="0"/>
              <w:adjustRightInd/>
              <w:snapToGrid w:val="0"/>
              <w:spacing w:line="240" w:lineRule="auto"/>
              <w:ind w:firstLineChars="0" w:firstLine="0"/>
              <w:jc w:val="center"/>
              <w:rPr>
                <w:rFonts w:ascii="Times New Roman" w:cs="Times New Roman"/>
                <w:sz w:val="21"/>
                <w:szCs w:val="21"/>
              </w:rPr>
            </w:pPr>
            <w:r>
              <w:rPr>
                <w:rFonts w:ascii="Times New Roman" w:cs="Times New Roman"/>
                <w:snapToGrid w:val="0"/>
                <w:sz w:val="21"/>
                <w:szCs w:val="21"/>
              </w:rPr>
              <w:t>占评价范围（</w:t>
            </w:r>
            <w:r>
              <w:rPr>
                <w:rFonts w:ascii="Times New Roman" w:cs="Times New Roman"/>
                <w:snapToGrid w:val="0"/>
                <w:sz w:val="21"/>
                <w:szCs w:val="21"/>
              </w:rPr>
              <w:t>%</w:t>
            </w:r>
            <w:r>
              <w:rPr>
                <w:rFonts w:ascii="Times New Roman" w:cs="Times New Roman"/>
                <w:snapToGrid w:val="0"/>
                <w:sz w:val="21"/>
                <w:szCs w:val="21"/>
              </w:rPr>
              <w:t>）</w:t>
            </w:r>
          </w:p>
        </w:tc>
        <w:tc>
          <w:tcPr>
            <w:tcW w:w="722" w:type="pct"/>
            <w:vAlign w:val="center"/>
          </w:tcPr>
          <w:p w:rsidR="00BD5820" w:rsidRDefault="00F64314">
            <w:pPr>
              <w:topLinePunct w:val="0"/>
              <w:adjustRightInd/>
              <w:snapToGrid w:val="0"/>
              <w:spacing w:line="240" w:lineRule="auto"/>
              <w:ind w:firstLineChars="0" w:firstLine="0"/>
              <w:jc w:val="center"/>
              <w:rPr>
                <w:rFonts w:ascii="Times New Roman" w:cs="Times New Roman"/>
                <w:sz w:val="21"/>
                <w:szCs w:val="21"/>
              </w:rPr>
            </w:pPr>
            <w:r>
              <w:rPr>
                <w:rFonts w:ascii="Times New Roman" w:cs="Times New Roman"/>
                <w:snapToGrid w:val="0"/>
                <w:sz w:val="21"/>
                <w:szCs w:val="21"/>
              </w:rPr>
              <w:t>平均净生产力</w:t>
            </w:r>
            <w:r>
              <w:rPr>
                <w:rFonts w:ascii="Times New Roman" w:cs="Times New Roman"/>
                <w:snapToGrid w:val="0"/>
                <w:sz w:val="21"/>
                <w:szCs w:val="21"/>
              </w:rPr>
              <w:t>[</w:t>
            </w:r>
            <w:r>
              <w:rPr>
                <w:rFonts w:ascii="Times New Roman" w:cs="Times New Roman"/>
              </w:rPr>
              <w:t>gC/</w:t>
            </w:r>
            <w:r>
              <w:rPr>
                <w:rFonts w:ascii="Times New Roman" w:cs="Times New Roman"/>
              </w:rPr>
              <w:t>（</w:t>
            </w:r>
            <w:r>
              <w:rPr>
                <w:rFonts w:ascii="Times New Roman" w:cs="Times New Roman"/>
              </w:rPr>
              <w:t>m</w:t>
            </w:r>
            <w:r>
              <w:rPr>
                <w:rFonts w:ascii="Times New Roman" w:cs="Times New Roman"/>
                <w:vertAlign w:val="superscript"/>
              </w:rPr>
              <w:t>2</w:t>
            </w:r>
            <w:r>
              <w:rPr>
                <w:rFonts w:ascii="Times New Roman" w:cs="Times New Roman"/>
              </w:rPr>
              <w:t>.a</w:t>
            </w:r>
            <w:r>
              <w:rPr>
                <w:rFonts w:ascii="Times New Roman" w:cs="Times New Roman"/>
              </w:rPr>
              <w:t>）</w:t>
            </w:r>
            <w:r>
              <w:rPr>
                <w:rFonts w:ascii="Times New Roman" w:cs="Times New Roman"/>
                <w:snapToGrid w:val="0"/>
                <w:sz w:val="21"/>
                <w:szCs w:val="21"/>
              </w:rPr>
              <w:t>]</w:t>
            </w:r>
          </w:p>
        </w:tc>
        <w:tc>
          <w:tcPr>
            <w:tcW w:w="705" w:type="pct"/>
            <w:vAlign w:val="center"/>
          </w:tcPr>
          <w:p w:rsidR="00BD5820" w:rsidRDefault="00F64314">
            <w:pPr>
              <w:topLinePunct w:val="0"/>
              <w:adjustRightInd/>
              <w:snapToGrid w:val="0"/>
              <w:spacing w:line="240" w:lineRule="auto"/>
              <w:ind w:firstLineChars="0" w:firstLine="0"/>
              <w:jc w:val="center"/>
              <w:rPr>
                <w:rFonts w:ascii="Times New Roman" w:cs="Times New Roman"/>
                <w:snapToGrid w:val="0"/>
                <w:sz w:val="21"/>
                <w:szCs w:val="21"/>
              </w:rPr>
            </w:pPr>
            <w:r>
              <w:rPr>
                <w:rFonts w:ascii="Times New Roman" w:cs="Times New Roman"/>
                <w:snapToGrid w:val="0"/>
                <w:sz w:val="21"/>
                <w:szCs w:val="21"/>
              </w:rPr>
              <w:t>总生产力</w:t>
            </w:r>
            <w:r>
              <w:rPr>
                <w:rFonts w:ascii="Times New Roman" w:cs="Times New Roman"/>
                <w:snapToGrid w:val="0"/>
                <w:sz w:val="21"/>
                <w:szCs w:val="21"/>
              </w:rPr>
              <w:t>[tC/</w:t>
            </w:r>
            <w:r>
              <w:rPr>
                <w:rFonts w:ascii="Times New Roman" w:cs="Times New Roman"/>
                <w:snapToGrid w:val="0"/>
                <w:sz w:val="21"/>
                <w:szCs w:val="21"/>
              </w:rPr>
              <w:t>（</w:t>
            </w:r>
            <w:r>
              <w:rPr>
                <w:rFonts w:ascii="Times New Roman" w:cs="Times New Roman"/>
                <w:snapToGrid w:val="0"/>
                <w:sz w:val="21"/>
                <w:szCs w:val="21"/>
              </w:rPr>
              <w:t>a</w:t>
            </w:r>
            <w:r>
              <w:rPr>
                <w:rFonts w:ascii="Times New Roman" w:cs="Times New Roman"/>
                <w:snapToGrid w:val="0"/>
                <w:sz w:val="21"/>
                <w:szCs w:val="21"/>
              </w:rPr>
              <w:t>）</w:t>
            </w:r>
            <w:r>
              <w:rPr>
                <w:rFonts w:ascii="Times New Roman" w:cs="Times New Roman"/>
                <w:snapToGrid w:val="0"/>
                <w:sz w:val="21"/>
                <w:szCs w:val="21"/>
              </w:rPr>
              <w:t>]</w:t>
            </w:r>
          </w:p>
        </w:tc>
        <w:tc>
          <w:tcPr>
            <w:tcW w:w="714" w:type="pct"/>
            <w:vAlign w:val="center"/>
          </w:tcPr>
          <w:p w:rsidR="00BD5820" w:rsidRDefault="00F64314">
            <w:pPr>
              <w:topLinePunct w:val="0"/>
              <w:adjustRightInd/>
              <w:snapToGrid w:val="0"/>
              <w:spacing w:line="240" w:lineRule="auto"/>
              <w:ind w:firstLineChars="0" w:firstLine="0"/>
              <w:jc w:val="center"/>
              <w:rPr>
                <w:rFonts w:ascii="Times New Roman" w:cs="Times New Roman"/>
                <w:snapToGrid w:val="0"/>
                <w:sz w:val="21"/>
                <w:szCs w:val="21"/>
              </w:rPr>
            </w:pPr>
            <w:r>
              <w:rPr>
                <w:rFonts w:ascii="Times New Roman" w:cs="Times New Roman"/>
                <w:snapToGrid w:val="0"/>
                <w:sz w:val="21"/>
                <w:szCs w:val="21"/>
              </w:rPr>
              <w:t>生产力比重</w:t>
            </w:r>
          </w:p>
          <w:p w:rsidR="00BD5820" w:rsidRDefault="00F64314">
            <w:pPr>
              <w:topLinePunct w:val="0"/>
              <w:adjustRightInd/>
              <w:snapToGrid w:val="0"/>
              <w:spacing w:line="240" w:lineRule="auto"/>
              <w:ind w:firstLineChars="0" w:firstLine="0"/>
              <w:jc w:val="center"/>
              <w:rPr>
                <w:rFonts w:ascii="Times New Roman" w:cs="Times New Roman"/>
                <w:snapToGrid w:val="0"/>
                <w:sz w:val="21"/>
                <w:szCs w:val="21"/>
              </w:rPr>
            </w:pPr>
            <w:r>
              <w:rPr>
                <w:rFonts w:ascii="Times New Roman" w:cs="Times New Roman"/>
                <w:snapToGrid w:val="0"/>
                <w:sz w:val="21"/>
                <w:szCs w:val="21"/>
              </w:rPr>
              <w:t>（</w:t>
            </w:r>
            <w:r>
              <w:rPr>
                <w:rFonts w:ascii="Times New Roman" w:cs="Times New Roman"/>
                <w:snapToGrid w:val="0"/>
                <w:sz w:val="21"/>
                <w:szCs w:val="21"/>
              </w:rPr>
              <w:t>%</w:t>
            </w:r>
            <w:r>
              <w:rPr>
                <w:rFonts w:ascii="Times New Roman" w:cs="Times New Roman"/>
                <w:snapToGrid w:val="0"/>
                <w:sz w:val="21"/>
                <w:szCs w:val="21"/>
              </w:rPr>
              <w:t>）</w:t>
            </w:r>
          </w:p>
        </w:tc>
      </w:tr>
      <w:tr w:rsidR="00BD5820">
        <w:trPr>
          <w:trHeight w:val="90"/>
          <w:jc w:val="center"/>
        </w:trPr>
        <w:tc>
          <w:tcPr>
            <w:tcW w:w="550" w:type="pct"/>
            <w:vAlign w:val="center"/>
          </w:tcPr>
          <w:p w:rsidR="00BD5820" w:rsidRDefault="00F64314">
            <w:pPr>
              <w:topLinePunct w:val="0"/>
              <w:adjustRightInd/>
              <w:snapToGrid w:val="0"/>
              <w:spacing w:line="240" w:lineRule="auto"/>
              <w:ind w:firstLineChars="0" w:firstLine="0"/>
              <w:jc w:val="center"/>
              <w:rPr>
                <w:rFonts w:ascii="Times New Roman" w:cs="Times New Roman"/>
                <w:sz w:val="21"/>
                <w:szCs w:val="21"/>
              </w:rPr>
            </w:pPr>
            <w:r>
              <w:rPr>
                <w:rFonts w:ascii="Times New Roman" w:cs="Times New Roman"/>
                <w:snapToGrid w:val="0"/>
                <w:sz w:val="21"/>
                <w:szCs w:val="21"/>
              </w:rPr>
              <w:t>针叶林植被</w:t>
            </w:r>
          </w:p>
        </w:tc>
        <w:tc>
          <w:tcPr>
            <w:tcW w:w="1247" w:type="pct"/>
            <w:vAlign w:val="center"/>
          </w:tcPr>
          <w:p w:rsidR="00BD5820" w:rsidRDefault="00F64314">
            <w:pPr>
              <w:topLinePunct w:val="0"/>
              <w:adjustRightInd/>
              <w:snapToGrid w:val="0"/>
              <w:spacing w:line="240" w:lineRule="auto"/>
              <w:ind w:firstLineChars="0" w:firstLine="0"/>
              <w:jc w:val="center"/>
              <w:rPr>
                <w:rFonts w:ascii="Times New Roman" w:cs="Times New Roman"/>
                <w:snapToGrid w:val="0"/>
                <w:sz w:val="21"/>
                <w:szCs w:val="21"/>
              </w:rPr>
            </w:pPr>
            <w:r>
              <w:rPr>
                <w:rFonts w:ascii="Times New Roman" w:cs="Times New Roman" w:hint="eastAsia"/>
                <w:snapToGrid w:val="0"/>
                <w:sz w:val="21"/>
                <w:szCs w:val="21"/>
              </w:rPr>
              <w:t>马尾松、柏木</w:t>
            </w:r>
          </w:p>
        </w:tc>
        <w:tc>
          <w:tcPr>
            <w:tcW w:w="557" w:type="pct"/>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319.85</w:t>
            </w:r>
          </w:p>
        </w:tc>
        <w:tc>
          <w:tcPr>
            <w:tcW w:w="502" w:type="pct"/>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25.45</w:t>
            </w:r>
          </w:p>
        </w:tc>
        <w:tc>
          <w:tcPr>
            <w:tcW w:w="722" w:type="pct"/>
            <w:vAlign w:val="center"/>
          </w:tcPr>
          <w:p w:rsidR="00BD5820" w:rsidRDefault="00F64314">
            <w:pPr>
              <w:widowControl/>
              <w:topLinePunct w:val="0"/>
              <w:adjustRightInd/>
              <w:spacing w:line="240" w:lineRule="auto"/>
              <w:ind w:firstLineChars="0" w:firstLine="0"/>
              <w:jc w:val="center"/>
              <w:textAlignment w:val="center"/>
              <w:rPr>
                <w:rFonts w:ascii="Times New Roman" w:cs="Times New Roman"/>
                <w:snapToGrid w:val="0"/>
                <w:sz w:val="21"/>
                <w:szCs w:val="21"/>
              </w:rPr>
            </w:pPr>
            <w:r>
              <w:rPr>
                <w:rFonts w:ascii="Times New Roman" w:cs="Times New Roman"/>
                <w:sz w:val="21"/>
                <w:szCs w:val="21"/>
              </w:rPr>
              <w:t>367.1</w:t>
            </w:r>
          </w:p>
        </w:tc>
        <w:tc>
          <w:tcPr>
            <w:tcW w:w="705" w:type="pct"/>
            <w:vAlign w:val="center"/>
          </w:tcPr>
          <w:p w:rsidR="00BD5820" w:rsidRDefault="00F64314">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hint="eastAsia"/>
                <w:sz w:val="21"/>
                <w:szCs w:val="21"/>
              </w:rPr>
              <w:t>1174.2</w:t>
            </w:r>
          </w:p>
        </w:tc>
        <w:tc>
          <w:tcPr>
            <w:tcW w:w="714" w:type="pct"/>
            <w:vAlign w:val="center"/>
          </w:tcPr>
          <w:p w:rsidR="00BD5820" w:rsidRDefault="00F64314">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hint="eastAsia"/>
                <w:sz w:val="21"/>
                <w:szCs w:val="21"/>
              </w:rPr>
              <w:t>20.8</w:t>
            </w:r>
          </w:p>
        </w:tc>
      </w:tr>
      <w:tr w:rsidR="00BD5820">
        <w:trPr>
          <w:trHeight w:val="602"/>
          <w:jc w:val="center"/>
        </w:trPr>
        <w:tc>
          <w:tcPr>
            <w:tcW w:w="550" w:type="pct"/>
            <w:vAlign w:val="center"/>
          </w:tcPr>
          <w:p w:rsidR="00BD5820" w:rsidRDefault="00F64314">
            <w:pPr>
              <w:topLinePunct w:val="0"/>
              <w:adjustRightInd/>
              <w:snapToGrid w:val="0"/>
              <w:spacing w:line="240" w:lineRule="auto"/>
              <w:ind w:firstLineChars="0" w:firstLine="0"/>
              <w:jc w:val="center"/>
              <w:rPr>
                <w:rFonts w:ascii="Times New Roman" w:cs="Times New Roman"/>
                <w:snapToGrid w:val="0"/>
                <w:sz w:val="21"/>
                <w:szCs w:val="21"/>
              </w:rPr>
            </w:pPr>
            <w:r>
              <w:rPr>
                <w:rFonts w:ascii="Times New Roman" w:cs="Times New Roman"/>
                <w:snapToGrid w:val="0"/>
                <w:sz w:val="21"/>
                <w:szCs w:val="21"/>
              </w:rPr>
              <w:t>阔叶林植被</w:t>
            </w:r>
          </w:p>
        </w:tc>
        <w:tc>
          <w:tcPr>
            <w:tcW w:w="1247" w:type="pct"/>
            <w:vAlign w:val="center"/>
          </w:tcPr>
          <w:p w:rsidR="00BD5820" w:rsidRDefault="00F64314">
            <w:pPr>
              <w:topLinePunct w:val="0"/>
              <w:adjustRightInd/>
              <w:snapToGrid w:val="0"/>
              <w:spacing w:line="240" w:lineRule="auto"/>
              <w:ind w:firstLineChars="0" w:firstLine="0"/>
              <w:jc w:val="center"/>
              <w:rPr>
                <w:rFonts w:ascii="Times New Roman" w:cs="Times New Roman"/>
                <w:snapToGrid w:val="0"/>
                <w:sz w:val="21"/>
                <w:szCs w:val="21"/>
              </w:rPr>
            </w:pPr>
            <w:r>
              <w:rPr>
                <w:rFonts w:ascii="Times New Roman" w:cs="Times New Roman" w:hint="eastAsia"/>
                <w:snapToGrid w:val="0"/>
                <w:sz w:val="21"/>
                <w:szCs w:val="21"/>
              </w:rPr>
              <w:t>麻栎、青冈、栓皮栎、枫香、响叶杨</w:t>
            </w:r>
          </w:p>
        </w:tc>
        <w:tc>
          <w:tcPr>
            <w:tcW w:w="557" w:type="pct"/>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452.09</w:t>
            </w:r>
          </w:p>
        </w:tc>
        <w:tc>
          <w:tcPr>
            <w:tcW w:w="502" w:type="pct"/>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35.97</w:t>
            </w:r>
          </w:p>
        </w:tc>
        <w:tc>
          <w:tcPr>
            <w:tcW w:w="722" w:type="pct"/>
            <w:vAlign w:val="center"/>
          </w:tcPr>
          <w:p w:rsidR="00BD5820" w:rsidRDefault="00F64314">
            <w:pPr>
              <w:widowControl/>
              <w:topLinePunct w:val="0"/>
              <w:adjustRightInd/>
              <w:spacing w:line="240" w:lineRule="auto"/>
              <w:ind w:firstLineChars="0" w:firstLine="0"/>
              <w:jc w:val="center"/>
              <w:textAlignment w:val="center"/>
              <w:rPr>
                <w:rFonts w:ascii="Times New Roman" w:cs="Times New Roman"/>
                <w:snapToGrid w:val="0"/>
                <w:sz w:val="21"/>
                <w:szCs w:val="21"/>
              </w:rPr>
            </w:pPr>
            <w:r>
              <w:rPr>
                <w:rFonts w:ascii="Times New Roman" w:cs="Times New Roman"/>
                <w:sz w:val="21"/>
                <w:szCs w:val="21"/>
              </w:rPr>
              <w:t>642.9</w:t>
            </w:r>
          </w:p>
        </w:tc>
        <w:tc>
          <w:tcPr>
            <w:tcW w:w="705" w:type="pct"/>
            <w:vAlign w:val="center"/>
          </w:tcPr>
          <w:p w:rsidR="00BD5820" w:rsidRDefault="00F64314">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hint="eastAsia"/>
                <w:sz w:val="21"/>
                <w:szCs w:val="21"/>
              </w:rPr>
              <w:t>2906.5</w:t>
            </w:r>
          </w:p>
        </w:tc>
        <w:tc>
          <w:tcPr>
            <w:tcW w:w="714" w:type="pct"/>
            <w:vAlign w:val="center"/>
          </w:tcPr>
          <w:p w:rsidR="00BD5820" w:rsidRDefault="00F64314">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hint="eastAsia"/>
                <w:sz w:val="21"/>
                <w:szCs w:val="21"/>
              </w:rPr>
              <w:t>51.49</w:t>
            </w:r>
          </w:p>
        </w:tc>
      </w:tr>
      <w:tr w:rsidR="00BD5820">
        <w:trPr>
          <w:trHeight w:val="331"/>
          <w:jc w:val="center"/>
        </w:trPr>
        <w:tc>
          <w:tcPr>
            <w:tcW w:w="550" w:type="pct"/>
            <w:vAlign w:val="center"/>
          </w:tcPr>
          <w:p w:rsidR="00BD5820" w:rsidRDefault="00F64314">
            <w:pPr>
              <w:topLinePunct w:val="0"/>
              <w:adjustRightInd/>
              <w:snapToGrid w:val="0"/>
              <w:spacing w:line="240" w:lineRule="auto"/>
              <w:ind w:firstLineChars="0" w:firstLine="0"/>
              <w:jc w:val="center"/>
              <w:rPr>
                <w:rFonts w:ascii="Times New Roman" w:cs="Times New Roman"/>
                <w:snapToGrid w:val="0"/>
                <w:sz w:val="21"/>
                <w:szCs w:val="21"/>
              </w:rPr>
            </w:pPr>
            <w:r>
              <w:rPr>
                <w:rFonts w:ascii="Times New Roman" w:cs="Times New Roman"/>
                <w:snapToGrid w:val="0"/>
                <w:sz w:val="21"/>
                <w:szCs w:val="21"/>
              </w:rPr>
              <w:t>灌丛植被</w:t>
            </w:r>
          </w:p>
        </w:tc>
        <w:tc>
          <w:tcPr>
            <w:tcW w:w="1247" w:type="pct"/>
            <w:vAlign w:val="center"/>
          </w:tcPr>
          <w:p w:rsidR="00BD5820" w:rsidRDefault="00F64314">
            <w:pPr>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槲栎、马桑、黄荆、火棘、荚蒾、盐肤木</w:t>
            </w:r>
          </w:p>
        </w:tc>
        <w:tc>
          <w:tcPr>
            <w:tcW w:w="557" w:type="pct"/>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268.42</w:t>
            </w:r>
          </w:p>
        </w:tc>
        <w:tc>
          <w:tcPr>
            <w:tcW w:w="502" w:type="pct"/>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21.36</w:t>
            </w:r>
          </w:p>
        </w:tc>
        <w:tc>
          <w:tcPr>
            <w:tcW w:w="722" w:type="pct"/>
            <w:vAlign w:val="center"/>
          </w:tcPr>
          <w:p w:rsidR="00BD5820" w:rsidRDefault="00F64314">
            <w:pPr>
              <w:widowControl/>
              <w:topLinePunct w:val="0"/>
              <w:adjustRightInd/>
              <w:spacing w:line="240" w:lineRule="auto"/>
              <w:ind w:firstLineChars="0" w:firstLine="0"/>
              <w:jc w:val="center"/>
              <w:textAlignment w:val="center"/>
              <w:rPr>
                <w:rFonts w:ascii="Times New Roman" w:cs="Times New Roman"/>
                <w:snapToGrid w:val="0"/>
                <w:sz w:val="21"/>
                <w:szCs w:val="21"/>
              </w:rPr>
            </w:pPr>
            <w:r>
              <w:rPr>
                <w:rFonts w:ascii="Times New Roman" w:cs="Times New Roman"/>
                <w:sz w:val="21"/>
                <w:szCs w:val="21"/>
              </w:rPr>
              <w:t>367.7</w:t>
            </w:r>
          </w:p>
        </w:tc>
        <w:tc>
          <w:tcPr>
            <w:tcW w:w="705" w:type="pct"/>
            <w:vAlign w:val="center"/>
          </w:tcPr>
          <w:p w:rsidR="00BD5820" w:rsidRDefault="00F64314">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hint="eastAsia"/>
                <w:sz w:val="21"/>
                <w:szCs w:val="21"/>
              </w:rPr>
              <w:t>987</w:t>
            </w:r>
          </w:p>
        </w:tc>
        <w:tc>
          <w:tcPr>
            <w:tcW w:w="714" w:type="pct"/>
            <w:vAlign w:val="center"/>
          </w:tcPr>
          <w:p w:rsidR="00BD5820" w:rsidRDefault="00F64314">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hint="eastAsia"/>
                <w:sz w:val="21"/>
                <w:szCs w:val="21"/>
              </w:rPr>
              <w:t>17.49</w:t>
            </w:r>
          </w:p>
        </w:tc>
      </w:tr>
      <w:tr w:rsidR="00BD5820">
        <w:trPr>
          <w:trHeight w:val="708"/>
          <w:jc w:val="center"/>
        </w:trPr>
        <w:tc>
          <w:tcPr>
            <w:tcW w:w="550" w:type="pct"/>
            <w:vAlign w:val="center"/>
          </w:tcPr>
          <w:p w:rsidR="00BD5820" w:rsidRDefault="00F64314">
            <w:pPr>
              <w:topLinePunct w:val="0"/>
              <w:adjustRightInd/>
              <w:snapToGrid w:val="0"/>
              <w:spacing w:line="240" w:lineRule="auto"/>
              <w:ind w:firstLineChars="0" w:firstLine="0"/>
              <w:jc w:val="center"/>
              <w:rPr>
                <w:rFonts w:ascii="Times New Roman" w:cs="Times New Roman"/>
                <w:snapToGrid w:val="0"/>
                <w:sz w:val="21"/>
                <w:szCs w:val="21"/>
              </w:rPr>
            </w:pPr>
            <w:r>
              <w:rPr>
                <w:rFonts w:ascii="Times New Roman" w:cs="Times New Roman"/>
                <w:snapToGrid w:val="0"/>
                <w:sz w:val="21"/>
                <w:szCs w:val="21"/>
              </w:rPr>
              <w:t>草丛植被</w:t>
            </w:r>
          </w:p>
        </w:tc>
        <w:tc>
          <w:tcPr>
            <w:tcW w:w="1247" w:type="pct"/>
            <w:vAlign w:val="center"/>
          </w:tcPr>
          <w:p w:rsidR="00BD5820" w:rsidRDefault="00F64314">
            <w:pPr>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白茅、五节芒、芒、芒萁、野古草、斑茅、蕨</w:t>
            </w:r>
          </w:p>
        </w:tc>
        <w:tc>
          <w:tcPr>
            <w:tcW w:w="557" w:type="pct"/>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2.17</w:t>
            </w:r>
          </w:p>
        </w:tc>
        <w:tc>
          <w:tcPr>
            <w:tcW w:w="502" w:type="pct"/>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0.17</w:t>
            </w:r>
          </w:p>
        </w:tc>
        <w:tc>
          <w:tcPr>
            <w:tcW w:w="722" w:type="pct"/>
            <w:vAlign w:val="center"/>
          </w:tcPr>
          <w:p w:rsidR="00BD5820" w:rsidRDefault="00F64314">
            <w:pPr>
              <w:widowControl/>
              <w:topLinePunct w:val="0"/>
              <w:adjustRightInd/>
              <w:spacing w:line="240" w:lineRule="auto"/>
              <w:ind w:firstLineChars="0" w:firstLine="0"/>
              <w:jc w:val="center"/>
              <w:textAlignment w:val="center"/>
              <w:rPr>
                <w:rFonts w:ascii="Times New Roman" w:cs="Times New Roman"/>
                <w:snapToGrid w:val="0"/>
                <w:sz w:val="21"/>
                <w:szCs w:val="21"/>
              </w:rPr>
            </w:pPr>
            <w:r>
              <w:rPr>
                <w:rFonts w:ascii="Times New Roman" w:cs="Times New Roman"/>
                <w:sz w:val="21"/>
                <w:szCs w:val="21"/>
              </w:rPr>
              <w:t>507.4</w:t>
            </w:r>
          </w:p>
        </w:tc>
        <w:tc>
          <w:tcPr>
            <w:tcW w:w="705" w:type="pct"/>
            <w:vAlign w:val="center"/>
          </w:tcPr>
          <w:p w:rsidR="00BD5820" w:rsidRDefault="00F64314">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hint="eastAsia"/>
                <w:sz w:val="21"/>
                <w:szCs w:val="21"/>
              </w:rPr>
              <w:t>11</w:t>
            </w:r>
          </w:p>
        </w:tc>
        <w:tc>
          <w:tcPr>
            <w:tcW w:w="714" w:type="pct"/>
            <w:vAlign w:val="center"/>
          </w:tcPr>
          <w:p w:rsidR="00BD5820" w:rsidRDefault="00F64314">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hint="eastAsia"/>
                <w:sz w:val="21"/>
                <w:szCs w:val="21"/>
              </w:rPr>
              <w:t>0.19</w:t>
            </w:r>
          </w:p>
        </w:tc>
      </w:tr>
      <w:tr w:rsidR="00BD5820">
        <w:trPr>
          <w:trHeight w:val="629"/>
          <w:jc w:val="center"/>
        </w:trPr>
        <w:tc>
          <w:tcPr>
            <w:tcW w:w="550" w:type="pct"/>
            <w:vAlign w:val="center"/>
          </w:tcPr>
          <w:p w:rsidR="00BD5820" w:rsidRDefault="00F64314">
            <w:pPr>
              <w:topLinePunct w:val="0"/>
              <w:adjustRightInd/>
              <w:snapToGrid w:val="0"/>
              <w:spacing w:line="240" w:lineRule="auto"/>
              <w:ind w:firstLineChars="0" w:firstLine="0"/>
              <w:jc w:val="center"/>
              <w:rPr>
                <w:rFonts w:ascii="Times New Roman" w:cs="Times New Roman"/>
                <w:sz w:val="21"/>
                <w:szCs w:val="21"/>
              </w:rPr>
            </w:pPr>
            <w:r>
              <w:rPr>
                <w:rFonts w:ascii="Times New Roman" w:cs="Times New Roman"/>
                <w:snapToGrid w:val="0"/>
                <w:sz w:val="21"/>
                <w:szCs w:val="21"/>
              </w:rPr>
              <w:t>农作物植被</w:t>
            </w:r>
          </w:p>
        </w:tc>
        <w:tc>
          <w:tcPr>
            <w:tcW w:w="1247" w:type="pct"/>
            <w:vAlign w:val="center"/>
          </w:tcPr>
          <w:p w:rsidR="00BD5820" w:rsidRDefault="00F64314">
            <w:pPr>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水稻、玉米、红苕、棉花、花生、小麦、马铃薯、豌豆</w:t>
            </w:r>
          </w:p>
        </w:tc>
        <w:tc>
          <w:tcPr>
            <w:tcW w:w="557" w:type="pct"/>
            <w:vAlign w:val="center"/>
          </w:tcPr>
          <w:p w:rsidR="00BD5820" w:rsidRDefault="00F64314">
            <w:pPr>
              <w:widowControl/>
              <w:topLinePunct w:val="0"/>
              <w:adjustRightInd/>
              <w:spacing w:line="240" w:lineRule="auto"/>
              <w:ind w:firstLineChars="0" w:firstLine="0"/>
              <w:jc w:val="center"/>
              <w:textAlignment w:val="center"/>
              <w:rPr>
                <w:rFonts w:ascii="Times New Roman" w:cs="Times New Roman"/>
                <w:snapToGrid w:val="0"/>
                <w:sz w:val="21"/>
                <w:szCs w:val="21"/>
              </w:rPr>
            </w:pPr>
            <w:r>
              <w:rPr>
                <w:rFonts w:ascii="Times New Roman" w:cs="Times New Roman" w:hint="eastAsia"/>
                <w:snapToGrid w:val="0"/>
                <w:sz w:val="21"/>
                <w:szCs w:val="21"/>
              </w:rPr>
              <w:t>132.7</w:t>
            </w:r>
          </w:p>
        </w:tc>
        <w:tc>
          <w:tcPr>
            <w:tcW w:w="502" w:type="pct"/>
            <w:vAlign w:val="center"/>
          </w:tcPr>
          <w:p w:rsidR="00BD5820" w:rsidRDefault="00F64314">
            <w:pPr>
              <w:widowControl/>
              <w:topLinePunct w:val="0"/>
              <w:adjustRightInd/>
              <w:spacing w:line="240" w:lineRule="auto"/>
              <w:ind w:firstLineChars="0" w:firstLine="0"/>
              <w:jc w:val="center"/>
              <w:textAlignment w:val="center"/>
              <w:rPr>
                <w:rFonts w:ascii="Times New Roman" w:cs="Times New Roman"/>
                <w:snapToGrid w:val="0"/>
                <w:sz w:val="21"/>
                <w:szCs w:val="21"/>
              </w:rPr>
            </w:pPr>
            <w:r>
              <w:rPr>
                <w:rFonts w:ascii="Times New Roman" w:cs="Times New Roman" w:hint="eastAsia"/>
                <w:snapToGrid w:val="0"/>
                <w:sz w:val="21"/>
                <w:szCs w:val="21"/>
              </w:rPr>
              <w:t>10.56</w:t>
            </w:r>
          </w:p>
        </w:tc>
        <w:tc>
          <w:tcPr>
            <w:tcW w:w="722" w:type="pct"/>
            <w:vAlign w:val="center"/>
          </w:tcPr>
          <w:p w:rsidR="00BD5820" w:rsidRDefault="00F64314">
            <w:pPr>
              <w:widowControl/>
              <w:topLinePunct w:val="0"/>
              <w:adjustRightInd/>
              <w:spacing w:line="240" w:lineRule="auto"/>
              <w:ind w:firstLineChars="0" w:firstLine="0"/>
              <w:jc w:val="center"/>
              <w:textAlignment w:val="center"/>
              <w:rPr>
                <w:rFonts w:ascii="Times New Roman" w:cs="Times New Roman"/>
                <w:snapToGrid w:val="0"/>
                <w:sz w:val="21"/>
                <w:szCs w:val="21"/>
              </w:rPr>
            </w:pPr>
            <w:r>
              <w:rPr>
                <w:rFonts w:ascii="Times New Roman" w:cs="Times New Roman"/>
                <w:sz w:val="21"/>
                <w:szCs w:val="21"/>
              </w:rPr>
              <w:t>426.5</w:t>
            </w:r>
          </w:p>
        </w:tc>
        <w:tc>
          <w:tcPr>
            <w:tcW w:w="705" w:type="pct"/>
            <w:vAlign w:val="center"/>
          </w:tcPr>
          <w:p w:rsidR="00BD5820" w:rsidRDefault="00F64314">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hint="eastAsia"/>
                <w:sz w:val="21"/>
                <w:szCs w:val="21"/>
              </w:rPr>
              <w:t>566</w:t>
            </w:r>
          </w:p>
        </w:tc>
        <w:tc>
          <w:tcPr>
            <w:tcW w:w="714" w:type="pct"/>
            <w:vAlign w:val="center"/>
          </w:tcPr>
          <w:p w:rsidR="00BD5820" w:rsidRDefault="00F64314">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hint="eastAsia"/>
                <w:sz w:val="21"/>
                <w:szCs w:val="21"/>
              </w:rPr>
              <w:t>10.03</w:t>
            </w:r>
          </w:p>
        </w:tc>
      </w:tr>
      <w:tr w:rsidR="00BD5820">
        <w:trPr>
          <w:trHeight w:val="90"/>
          <w:jc w:val="center"/>
        </w:trPr>
        <w:tc>
          <w:tcPr>
            <w:tcW w:w="550" w:type="pct"/>
            <w:vAlign w:val="center"/>
          </w:tcPr>
          <w:p w:rsidR="00BD5820" w:rsidRDefault="00F64314">
            <w:pPr>
              <w:topLinePunct w:val="0"/>
              <w:adjustRightInd/>
              <w:snapToGrid w:val="0"/>
              <w:spacing w:line="240" w:lineRule="auto"/>
              <w:ind w:firstLineChars="0" w:firstLine="0"/>
              <w:jc w:val="center"/>
              <w:rPr>
                <w:rFonts w:ascii="Times New Roman" w:cs="Times New Roman"/>
                <w:sz w:val="21"/>
                <w:szCs w:val="21"/>
              </w:rPr>
            </w:pPr>
            <w:r>
              <w:rPr>
                <w:rFonts w:ascii="Times New Roman" w:cs="Times New Roman"/>
                <w:sz w:val="21"/>
                <w:szCs w:val="21"/>
              </w:rPr>
              <w:t>无植被</w:t>
            </w:r>
          </w:p>
        </w:tc>
        <w:tc>
          <w:tcPr>
            <w:tcW w:w="1247" w:type="pct"/>
            <w:vAlign w:val="center"/>
          </w:tcPr>
          <w:p w:rsidR="00BD5820" w:rsidRDefault="00F64314">
            <w:pPr>
              <w:topLinePunct w:val="0"/>
              <w:adjustRightInd/>
              <w:spacing w:line="240" w:lineRule="auto"/>
              <w:ind w:firstLineChars="0" w:firstLine="0"/>
              <w:jc w:val="center"/>
              <w:rPr>
                <w:rFonts w:ascii="Times New Roman" w:cs="Times New Roman"/>
                <w:sz w:val="21"/>
                <w:szCs w:val="21"/>
              </w:rPr>
            </w:pPr>
            <w:r>
              <w:rPr>
                <w:rFonts w:ascii="Times New Roman" w:cs="Times New Roman"/>
                <w:sz w:val="21"/>
                <w:szCs w:val="21"/>
              </w:rPr>
              <w:t>-</w:t>
            </w:r>
          </w:p>
        </w:tc>
        <w:tc>
          <w:tcPr>
            <w:tcW w:w="557" w:type="pct"/>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81.53</w:t>
            </w:r>
          </w:p>
        </w:tc>
        <w:tc>
          <w:tcPr>
            <w:tcW w:w="502" w:type="pct"/>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6.49</w:t>
            </w:r>
          </w:p>
        </w:tc>
        <w:tc>
          <w:tcPr>
            <w:tcW w:w="722" w:type="pct"/>
            <w:vAlign w:val="center"/>
          </w:tcPr>
          <w:p w:rsidR="00BD5820" w:rsidRDefault="00F64314">
            <w:pPr>
              <w:widowControl/>
              <w:topLinePunct w:val="0"/>
              <w:adjustRightInd/>
              <w:spacing w:line="240" w:lineRule="auto"/>
              <w:ind w:firstLineChars="0" w:firstLine="0"/>
              <w:jc w:val="center"/>
              <w:textAlignment w:val="center"/>
              <w:rPr>
                <w:rFonts w:ascii="Times New Roman" w:cs="Times New Roman"/>
                <w:snapToGrid w:val="0"/>
                <w:sz w:val="21"/>
                <w:szCs w:val="21"/>
              </w:rPr>
            </w:pPr>
            <w:r>
              <w:rPr>
                <w:rFonts w:ascii="Times New Roman" w:cs="Times New Roman"/>
                <w:sz w:val="21"/>
                <w:szCs w:val="21"/>
              </w:rPr>
              <w:t>-</w:t>
            </w:r>
          </w:p>
        </w:tc>
        <w:tc>
          <w:tcPr>
            <w:tcW w:w="705" w:type="pct"/>
            <w:vAlign w:val="center"/>
          </w:tcPr>
          <w:p w:rsidR="00BD5820" w:rsidRDefault="00F64314">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sz w:val="21"/>
                <w:szCs w:val="21"/>
              </w:rPr>
              <w:t>0</w:t>
            </w:r>
          </w:p>
        </w:tc>
        <w:tc>
          <w:tcPr>
            <w:tcW w:w="714" w:type="pct"/>
            <w:vAlign w:val="center"/>
          </w:tcPr>
          <w:p w:rsidR="00BD5820" w:rsidRDefault="00F64314">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sz w:val="21"/>
                <w:szCs w:val="21"/>
              </w:rPr>
              <w:t>0</w:t>
            </w:r>
          </w:p>
        </w:tc>
      </w:tr>
      <w:tr w:rsidR="00BD5820">
        <w:trPr>
          <w:jc w:val="center"/>
        </w:trPr>
        <w:tc>
          <w:tcPr>
            <w:tcW w:w="550" w:type="pct"/>
            <w:vAlign w:val="center"/>
          </w:tcPr>
          <w:p w:rsidR="00BD5820" w:rsidRDefault="00F64314">
            <w:pPr>
              <w:topLinePunct w:val="0"/>
              <w:adjustRightInd/>
              <w:snapToGrid w:val="0"/>
              <w:spacing w:line="240" w:lineRule="auto"/>
              <w:ind w:firstLineChars="0" w:firstLine="0"/>
              <w:jc w:val="center"/>
              <w:rPr>
                <w:rFonts w:ascii="Times New Roman" w:cs="Times New Roman"/>
                <w:sz w:val="21"/>
                <w:szCs w:val="21"/>
              </w:rPr>
            </w:pPr>
            <w:r>
              <w:rPr>
                <w:rFonts w:ascii="Times New Roman" w:cs="Times New Roman"/>
                <w:sz w:val="21"/>
                <w:szCs w:val="21"/>
              </w:rPr>
              <w:t>合计</w:t>
            </w:r>
          </w:p>
        </w:tc>
        <w:tc>
          <w:tcPr>
            <w:tcW w:w="1247" w:type="pct"/>
            <w:vAlign w:val="center"/>
          </w:tcPr>
          <w:p w:rsidR="00BD5820" w:rsidRDefault="00F64314">
            <w:pPr>
              <w:topLinePunct w:val="0"/>
              <w:adjustRightInd/>
              <w:spacing w:line="240" w:lineRule="auto"/>
              <w:ind w:firstLineChars="0" w:firstLine="0"/>
              <w:jc w:val="center"/>
              <w:rPr>
                <w:rFonts w:ascii="Times New Roman" w:cs="Times New Roman"/>
                <w:sz w:val="21"/>
                <w:szCs w:val="21"/>
              </w:rPr>
            </w:pPr>
            <w:r>
              <w:rPr>
                <w:rFonts w:ascii="Times New Roman" w:cs="Times New Roman"/>
                <w:sz w:val="21"/>
                <w:szCs w:val="21"/>
              </w:rPr>
              <w:t>-</w:t>
            </w:r>
          </w:p>
        </w:tc>
        <w:tc>
          <w:tcPr>
            <w:tcW w:w="557" w:type="pct"/>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1256.76</w:t>
            </w:r>
          </w:p>
        </w:tc>
        <w:tc>
          <w:tcPr>
            <w:tcW w:w="502" w:type="pct"/>
            <w:vAlign w:val="center"/>
          </w:tcPr>
          <w:p w:rsidR="00BD5820" w:rsidRDefault="00F64314">
            <w:pPr>
              <w:widowControl/>
              <w:topLinePunct w:val="0"/>
              <w:adjustRightInd/>
              <w:spacing w:line="240" w:lineRule="auto"/>
              <w:ind w:firstLineChars="0" w:firstLine="0"/>
              <w:jc w:val="center"/>
              <w:textAlignment w:val="center"/>
              <w:rPr>
                <w:rFonts w:ascii="Times New Roman" w:cs="Times New Roman"/>
                <w:snapToGrid w:val="0"/>
                <w:sz w:val="21"/>
                <w:szCs w:val="21"/>
              </w:rPr>
            </w:pPr>
            <w:r>
              <w:rPr>
                <w:rFonts w:ascii="Times New Roman" w:cs="Times New Roman"/>
                <w:sz w:val="21"/>
                <w:szCs w:val="21"/>
              </w:rPr>
              <w:t>100</w:t>
            </w:r>
          </w:p>
        </w:tc>
        <w:tc>
          <w:tcPr>
            <w:tcW w:w="722" w:type="pct"/>
            <w:vAlign w:val="center"/>
          </w:tcPr>
          <w:p w:rsidR="00BD5820" w:rsidRDefault="00F64314">
            <w:pPr>
              <w:widowControl/>
              <w:topLinePunct w:val="0"/>
              <w:adjustRightInd/>
              <w:spacing w:line="240" w:lineRule="auto"/>
              <w:ind w:firstLineChars="0" w:firstLine="0"/>
              <w:jc w:val="center"/>
              <w:textAlignment w:val="center"/>
              <w:rPr>
                <w:rFonts w:ascii="Times New Roman" w:cs="Times New Roman"/>
                <w:snapToGrid w:val="0"/>
                <w:sz w:val="21"/>
                <w:szCs w:val="21"/>
              </w:rPr>
            </w:pPr>
            <w:r>
              <w:rPr>
                <w:rFonts w:ascii="Times New Roman" w:cs="Times New Roman"/>
                <w:sz w:val="21"/>
                <w:szCs w:val="21"/>
              </w:rPr>
              <w:t>-</w:t>
            </w:r>
          </w:p>
        </w:tc>
        <w:tc>
          <w:tcPr>
            <w:tcW w:w="705" w:type="pct"/>
            <w:vAlign w:val="center"/>
          </w:tcPr>
          <w:p w:rsidR="00BD5820" w:rsidRDefault="00F64314">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hint="eastAsia"/>
                <w:sz w:val="21"/>
                <w:szCs w:val="21"/>
              </w:rPr>
              <w:t>5644.7</w:t>
            </w:r>
          </w:p>
        </w:tc>
        <w:tc>
          <w:tcPr>
            <w:tcW w:w="714" w:type="pct"/>
            <w:vAlign w:val="center"/>
          </w:tcPr>
          <w:p w:rsidR="00BD5820" w:rsidRDefault="00F64314">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sz w:val="21"/>
                <w:szCs w:val="21"/>
              </w:rPr>
              <w:t>100</w:t>
            </w:r>
          </w:p>
        </w:tc>
      </w:tr>
      <w:tr w:rsidR="00BD5820">
        <w:trPr>
          <w:jc w:val="center"/>
        </w:trPr>
        <w:tc>
          <w:tcPr>
            <w:tcW w:w="550" w:type="pct"/>
            <w:vAlign w:val="center"/>
          </w:tcPr>
          <w:p w:rsidR="00BD5820" w:rsidRDefault="00F64314">
            <w:pPr>
              <w:topLinePunct w:val="0"/>
              <w:adjustRightInd/>
              <w:snapToGrid w:val="0"/>
              <w:spacing w:line="240" w:lineRule="auto"/>
              <w:ind w:firstLineChars="0" w:firstLine="0"/>
              <w:jc w:val="center"/>
              <w:rPr>
                <w:rFonts w:ascii="Times New Roman" w:cs="Times New Roman"/>
                <w:sz w:val="21"/>
                <w:szCs w:val="21"/>
              </w:rPr>
            </w:pPr>
            <w:r>
              <w:rPr>
                <w:rFonts w:ascii="Times New Roman" w:cs="Times New Roman"/>
                <w:snapToGrid w:val="0"/>
                <w:sz w:val="21"/>
                <w:szCs w:val="21"/>
              </w:rPr>
              <w:t>平均</w:t>
            </w:r>
          </w:p>
        </w:tc>
        <w:tc>
          <w:tcPr>
            <w:tcW w:w="1247" w:type="pct"/>
            <w:vAlign w:val="center"/>
          </w:tcPr>
          <w:p w:rsidR="00BD5820" w:rsidRDefault="00F64314">
            <w:pPr>
              <w:topLinePunct w:val="0"/>
              <w:adjustRightInd/>
              <w:spacing w:line="240" w:lineRule="auto"/>
              <w:ind w:firstLineChars="0" w:firstLine="0"/>
              <w:jc w:val="center"/>
              <w:rPr>
                <w:rFonts w:ascii="Times New Roman" w:cs="Times New Roman"/>
                <w:sz w:val="21"/>
                <w:szCs w:val="21"/>
              </w:rPr>
            </w:pPr>
            <w:r>
              <w:rPr>
                <w:rFonts w:ascii="Times New Roman" w:cs="Times New Roman"/>
                <w:sz w:val="21"/>
                <w:szCs w:val="21"/>
              </w:rPr>
              <w:t>-</w:t>
            </w:r>
          </w:p>
        </w:tc>
        <w:tc>
          <w:tcPr>
            <w:tcW w:w="557" w:type="pct"/>
            <w:vAlign w:val="center"/>
          </w:tcPr>
          <w:p w:rsidR="00BD5820" w:rsidRDefault="00F64314">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sz w:val="21"/>
                <w:szCs w:val="21"/>
              </w:rPr>
              <w:t>-</w:t>
            </w:r>
          </w:p>
        </w:tc>
        <w:tc>
          <w:tcPr>
            <w:tcW w:w="502" w:type="pct"/>
            <w:vAlign w:val="center"/>
          </w:tcPr>
          <w:p w:rsidR="00BD5820" w:rsidRDefault="00F64314">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sz w:val="21"/>
                <w:szCs w:val="21"/>
              </w:rPr>
              <w:t>-</w:t>
            </w:r>
          </w:p>
        </w:tc>
        <w:tc>
          <w:tcPr>
            <w:tcW w:w="722" w:type="pct"/>
            <w:vAlign w:val="center"/>
          </w:tcPr>
          <w:p w:rsidR="00BD5820" w:rsidRDefault="00F64314">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sz w:val="21"/>
                <w:szCs w:val="21"/>
              </w:rPr>
              <w:t>514.5</w:t>
            </w:r>
          </w:p>
        </w:tc>
        <w:tc>
          <w:tcPr>
            <w:tcW w:w="705" w:type="pct"/>
            <w:vAlign w:val="center"/>
          </w:tcPr>
          <w:p w:rsidR="00BD5820" w:rsidRDefault="00BD5820">
            <w:pPr>
              <w:topLinePunct w:val="0"/>
              <w:adjustRightInd/>
              <w:spacing w:line="240" w:lineRule="auto"/>
              <w:ind w:firstLineChars="0" w:firstLine="0"/>
              <w:jc w:val="center"/>
              <w:rPr>
                <w:rFonts w:ascii="Times New Roman" w:cs="Times New Roman"/>
                <w:sz w:val="21"/>
                <w:szCs w:val="21"/>
              </w:rPr>
            </w:pPr>
          </w:p>
        </w:tc>
        <w:tc>
          <w:tcPr>
            <w:tcW w:w="714" w:type="pct"/>
            <w:vAlign w:val="center"/>
          </w:tcPr>
          <w:p w:rsidR="00BD5820" w:rsidRDefault="00BD5820">
            <w:pPr>
              <w:topLinePunct w:val="0"/>
              <w:adjustRightInd/>
              <w:spacing w:line="240" w:lineRule="auto"/>
              <w:ind w:firstLineChars="0" w:firstLine="0"/>
              <w:jc w:val="center"/>
              <w:rPr>
                <w:rFonts w:ascii="Times New Roman" w:cs="Times New Roman"/>
                <w:sz w:val="21"/>
                <w:szCs w:val="21"/>
              </w:rPr>
            </w:pPr>
          </w:p>
        </w:tc>
      </w:tr>
      <w:tr w:rsidR="00BD5820">
        <w:trPr>
          <w:jc w:val="center"/>
        </w:trPr>
        <w:tc>
          <w:tcPr>
            <w:tcW w:w="550" w:type="pct"/>
            <w:vAlign w:val="center"/>
          </w:tcPr>
          <w:p w:rsidR="00BD5820" w:rsidRDefault="00F64314">
            <w:pPr>
              <w:topLinePunct w:val="0"/>
              <w:adjustRightInd/>
              <w:snapToGrid w:val="0"/>
              <w:spacing w:line="240" w:lineRule="auto"/>
              <w:ind w:firstLineChars="0" w:firstLine="0"/>
              <w:jc w:val="center"/>
              <w:rPr>
                <w:rFonts w:ascii="Times New Roman" w:cs="Times New Roman"/>
                <w:sz w:val="21"/>
                <w:szCs w:val="21"/>
              </w:rPr>
            </w:pPr>
            <w:r>
              <w:rPr>
                <w:rFonts w:ascii="Times New Roman" w:cs="Times New Roman"/>
                <w:snapToGrid w:val="0"/>
                <w:sz w:val="21"/>
                <w:szCs w:val="21"/>
              </w:rPr>
              <w:t>参考标准</w:t>
            </w:r>
          </w:p>
        </w:tc>
        <w:tc>
          <w:tcPr>
            <w:tcW w:w="1247" w:type="pct"/>
            <w:vAlign w:val="center"/>
          </w:tcPr>
          <w:p w:rsidR="00BD5820" w:rsidRDefault="00F64314">
            <w:pPr>
              <w:topLinePunct w:val="0"/>
              <w:adjustRightInd/>
              <w:spacing w:line="240" w:lineRule="auto"/>
              <w:ind w:firstLineChars="0" w:firstLine="0"/>
              <w:jc w:val="center"/>
              <w:rPr>
                <w:rFonts w:ascii="Times New Roman" w:cs="Times New Roman"/>
                <w:sz w:val="21"/>
                <w:szCs w:val="21"/>
              </w:rPr>
            </w:pPr>
            <w:r>
              <w:rPr>
                <w:rFonts w:ascii="Times New Roman" w:cs="Times New Roman"/>
                <w:sz w:val="21"/>
                <w:szCs w:val="21"/>
              </w:rPr>
              <w:t>-</w:t>
            </w:r>
          </w:p>
        </w:tc>
        <w:tc>
          <w:tcPr>
            <w:tcW w:w="557" w:type="pct"/>
            <w:vAlign w:val="center"/>
          </w:tcPr>
          <w:p w:rsidR="00BD5820" w:rsidRDefault="00F64314">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sz w:val="21"/>
                <w:szCs w:val="21"/>
              </w:rPr>
              <w:t>-</w:t>
            </w:r>
          </w:p>
        </w:tc>
        <w:tc>
          <w:tcPr>
            <w:tcW w:w="502" w:type="pct"/>
            <w:vAlign w:val="center"/>
          </w:tcPr>
          <w:p w:rsidR="00BD5820" w:rsidRDefault="00F64314">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sz w:val="21"/>
                <w:szCs w:val="21"/>
              </w:rPr>
              <w:t>-</w:t>
            </w:r>
          </w:p>
        </w:tc>
        <w:tc>
          <w:tcPr>
            <w:tcW w:w="722" w:type="pct"/>
            <w:vAlign w:val="center"/>
          </w:tcPr>
          <w:p w:rsidR="00BD5820" w:rsidRDefault="00F64314">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sz w:val="21"/>
                <w:szCs w:val="21"/>
              </w:rPr>
              <w:t>684</w:t>
            </w:r>
          </w:p>
        </w:tc>
        <w:tc>
          <w:tcPr>
            <w:tcW w:w="705" w:type="pct"/>
            <w:vAlign w:val="center"/>
          </w:tcPr>
          <w:p w:rsidR="00BD5820" w:rsidRDefault="00F64314">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sz w:val="21"/>
                <w:szCs w:val="21"/>
              </w:rPr>
              <w:t>-</w:t>
            </w:r>
          </w:p>
        </w:tc>
        <w:tc>
          <w:tcPr>
            <w:tcW w:w="714" w:type="pct"/>
            <w:vAlign w:val="center"/>
          </w:tcPr>
          <w:p w:rsidR="00BD5820" w:rsidRDefault="00F64314">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sz w:val="21"/>
                <w:szCs w:val="21"/>
              </w:rPr>
              <w:t>-</w:t>
            </w:r>
          </w:p>
        </w:tc>
      </w:tr>
    </w:tbl>
    <w:p w:rsidR="00BD5820" w:rsidRDefault="00F64314">
      <w:pPr>
        <w:topLinePunct w:val="0"/>
        <w:adjustRightInd/>
        <w:spacing w:line="240" w:lineRule="auto"/>
        <w:ind w:firstLineChars="0" w:firstLine="363"/>
        <w:jc w:val="left"/>
        <w:rPr>
          <w:rFonts w:ascii="Times New Roman" w:cs="Times New Roman"/>
          <w:kern w:val="2"/>
          <w:sz w:val="21"/>
          <w:szCs w:val="21"/>
        </w:rPr>
      </w:pPr>
      <w:r>
        <w:rPr>
          <w:rFonts w:ascii="Times New Roman" w:cs="Times New Roman"/>
          <w:kern w:val="2"/>
          <w:sz w:val="21"/>
          <w:szCs w:val="21"/>
        </w:rPr>
        <w:t>注：表中平均生产力值来源于《中国陆地植被净初级生产力遥感估算》等文献，参考标准采用全国</w:t>
      </w:r>
      <w:r>
        <w:rPr>
          <w:rFonts w:ascii="Times New Roman" w:cs="Times New Roman"/>
          <w:kern w:val="2"/>
          <w:sz w:val="21"/>
          <w:szCs w:val="21"/>
        </w:rPr>
        <w:t>1989-1993</w:t>
      </w:r>
      <w:r>
        <w:rPr>
          <w:rFonts w:ascii="Times New Roman" w:cs="Times New Roman"/>
          <w:kern w:val="2"/>
          <w:sz w:val="21"/>
          <w:szCs w:val="21"/>
        </w:rPr>
        <w:t>中国陆地生态系统平均</w:t>
      </w:r>
      <w:r>
        <w:rPr>
          <w:rFonts w:ascii="Times New Roman" w:cs="Times New Roman"/>
          <w:kern w:val="2"/>
          <w:sz w:val="21"/>
          <w:szCs w:val="21"/>
        </w:rPr>
        <w:t>NPP</w:t>
      </w:r>
      <w:r>
        <w:rPr>
          <w:rFonts w:ascii="Times New Roman" w:cs="Times New Roman"/>
          <w:kern w:val="2"/>
          <w:sz w:val="21"/>
          <w:szCs w:val="21"/>
        </w:rPr>
        <w:t>值</w:t>
      </w:r>
    </w:p>
    <w:p w:rsidR="00BD5820" w:rsidRDefault="00F64314">
      <w:pPr>
        <w:pStyle w:val="affa"/>
        <w:ind w:firstLine="480"/>
        <w:rPr>
          <w:kern w:val="2"/>
          <w:szCs w:val="24"/>
          <w:lang w:val="de-DE"/>
        </w:rPr>
      </w:pPr>
      <w:r>
        <w:rPr>
          <w:kern w:val="2"/>
          <w:szCs w:val="24"/>
        </w:rPr>
        <w:t>从表</w:t>
      </w:r>
      <w:r>
        <w:rPr>
          <w:rFonts w:hint="eastAsia"/>
          <w:kern w:val="2"/>
          <w:szCs w:val="24"/>
        </w:rPr>
        <w:t>5.2</w:t>
      </w:r>
      <w:r>
        <w:rPr>
          <w:kern w:val="2"/>
          <w:szCs w:val="24"/>
        </w:rPr>
        <w:t>-</w:t>
      </w:r>
      <w:r>
        <w:rPr>
          <w:rFonts w:hint="eastAsia"/>
          <w:kern w:val="2"/>
          <w:szCs w:val="24"/>
        </w:rPr>
        <w:t>12</w:t>
      </w:r>
      <w:r>
        <w:rPr>
          <w:kern w:val="2"/>
          <w:szCs w:val="24"/>
        </w:rPr>
        <w:t>中可以看出，评价范围总</w:t>
      </w:r>
      <w:r>
        <w:rPr>
          <w:snapToGrid w:val="0"/>
          <w:kern w:val="2"/>
          <w:szCs w:val="24"/>
        </w:rPr>
        <w:t>生产力</w:t>
      </w:r>
      <w:r>
        <w:rPr>
          <w:rFonts w:hint="eastAsia"/>
          <w:snapToGrid w:val="0"/>
          <w:kern w:val="2"/>
          <w:szCs w:val="24"/>
        </w:rPr>
        <w:t>5644.7</w:t>
      </w:r>
      <w:r>
        <w:rPr>
          <w:snapToGrid w:val="0"/>
          <w:kern w:val="2"/>
          <w:szCs w:val="24"/>
        </w:rPr>
        <w:t>tC/</w:t>
      </w:r>
      <w:r>
        <w:rPr>
          <w:snapToGrid w:val="0"/>
          <w:kern w:val="2"/>
          <w:szCs w:val="24"/>
        </w:rPr>
        <w:t>（</w:t>
      </w:r>
      <w:r>
        <w:rPr>
          <w:snapToGrid w:val="0"/>
          <w:kern w:val="2"/>
          <w:szCs w:val="24"/>
        </w:rPr>
        <w:t>a</w:t>
      </w:r>
      <w:r>
        <w:rPr>
          <w:snapToGrid w:val="0"/>
          <w:kern w:val="2"/>
          <w:szCs w:val="24"/>
        </w:rPr>
        <w:t>），</w:t>
      </w:r>
      <w:r>
        <w:rPr>
          <w:kern w:val="2"/>
          <w:szCs w:val="24"/>
        </w:rPr>
        <w:t>平均净生产</w:t>
      </w:r>
      <w:r>
        <w:rPr>
          <w:kern w:val="2"/>
          <w:szCs w:val="24"/>
        </w:rPr>
        <w:lastRenderedPageBreak/>
        <w:t>514.5gC/</w:t>
      </w:r>
      <w:r>
        <w:rPr>
          <w:kern w:val="2"/>
          <w:szCs w:val="24"/>
        </w:rPr>
        <w:t>（</w:t>
      </w:r>
      <w:r>
        <w:rPr>
          <w:kern w:val="2"/>
          <w:szCs w:val="24"/>
        </w:rPr>
        <w:t>m</w:t>
      </w:r>
      <w:r>
        <w:rPr>
          <w:kern w:val="2"/>
          <w:szCs w:val="24"/>
          <w:vertAlign w:val="superscript"/>
        </w:rPr>
        <w:t>2</w:t>
      </w:r>
      <w:r>
        <w:rPr>
          <w:kern w:val="2"/>
          <w:szCs w:val="24"/>
        </w:rPr>
        <w:t>.a</w:t>
      </w:r>
      <w:r>
        <w:rPr>
          <w:kern w:val="2"/>
          <w:szCs w:val="24"/>
        </w:rPr>
        <w:t>），比中国陆地生态系统</w:t>
      </w:r>
      <w:r>
        <w:rPr>
          <w:snapToGrid w:val="0"/>
          <w:kern w:val="2"/>
          <w:szCs w:val="24"/>
        </w:rPr>
        <w:t>平均值低</w:t>
      </w:r>
      <w:r>
        <w:rPr>
          <w:rFonts w:hint="eastAsia"/>
          <w:snapToGrid w:val="0"/>
          <w:kern w:val="2"/>
          <w:szCs w:val="24"/>
        </w:rPr>
        <w:t>169.5</w:t>
      </w:r>
      <w:r>
        <w:rPr>
          <w:kern w:val="2"/>
          <w:szCs w:val="24"/>
        </w:rPr>
        <w:t>gC/</w:t>
      </w:r>
      <w:r>
        <w:rPr>
          <w:kern w:val="2"/>
          <w:szCs w:val="24"/>
        </w:rPr>
        <w:t>（</w:t>
      </w:r>
      <w:r>
        <w:rPr>
          <w:kern w:val="2"/>
          <w:szCs w:val="24"/>
        </w:rPr>
        <w:t>m</w:t>
      </w:r>
      <w:r>
        <w:rPr>
          <w:kern w:val="2"/>
          <w:szCs w:val="24"/>
          <w:vertAlign w:val="superscript"/>
        </w:rPr>
        <w:t>2</w:t>
      </w:r>
      <w:r>
        <w:rPr>
          <w:kern w:val="2"/>
          <w:szCs w:val="24"/>
        </w:rPr>
        <w:t>.a</w:t>
      </w:r>
      <w:r>
        <w:rPr>
          <w:kern w:val="2"/>
          <w:szCs w:val="24"/>
        </w:rPr>
        <w:t>），远不及评价范围土地自然生产力</w:t>
      </w:r>
      <w:r>
        <w:rPr>
          <w:rFonts w:hint="eastAsia"/>
          <w:kern w:val="2"/>
          <w:szCs w:val="24"/>
        </w:rPr>
        <w:t>1585.88</w:t>
      </w:r>
      <w:r>
        <w:rPr>
          <w:kern w:val="2"/>
          <w:szCs w:val="24"/>
        </w:rPr>
        <w:t>t/hm</w:t>
      </w:r>
      <w:r>
        <w:rPr>
          <w:kern w:val="2"/>
          <w:szCs w:val="24"/>
          <w:vertAlign w:val="superscript"/>
        </w:rPr>
        <w:t>2</w:t>
      </w:r>
      <w:r>
        <w:rPr>
          <w:kern w:val="2"/>
          <w:szCs w:val="24"/>
        </w:rPr>
        <w:t>/a</w:t>
      </w:r>
      <w:r>
        <w:rPr>
          <w:kern w:val="2"/>
          <w:szCs w:val="24"/>
        </w:rPr>
        <w:t>，主要是由于评价范围内</w:t>
      </w:r>
      <w:r>
        <w:rPr>
          <w:snapToGrid w:val="0"/>
          <w:kern w:val="2"/>
          <w:szCs w:val="24"/>
        </w:rPr>
        <w:t>平均净生产力水平较高的地带性常绿阔叶林植被，因为人为干扰，已经基本不复存在，取而代之的是平均净生产力水平</w:t>
      </w:r>
      <w:r>
        <w:rPr>
          <w:kern w:val="2"/>
          <w:szCs w:val="24"/>
        </w:rPr>
        <w:t>较低的常绿针叶林和落叶阔叶林植被及耕地植被</w:t>
      </w:r>
      <w:r>
        <w:rPr>
          <w:szCs w:val="24"/>
        </w:rPr>
        <w:t>。</w:t>
      </w:r>
    </w:p>
    <w:p w:rsidR="00BD5820" w:rsidRDefault="00F64314">
      <w:pPr>
        <w:topLinePunct w:val="0"/>
        <w:adjustRightInd/>
        <w:spacing w:line="480" w:lineRule="exact"/>
        <w:ind w:firstLine="482"/>
        <w:rPr>
          <w:rFonts w:ascii="Times New Roman" w:cs="Times New Roman"/>
          <w:b/>
          <w:bCs/>
          <w:kern w:val="2"/>
        </w:rPr>
      </w:pPr>
      <w:r>
        <w:rPr>
          <w:rFonts w:ascii="Times New Roman" w:cs="Times New Roman"/>
          <w:b/>
          <w:bCs/>
          <w:kern w:val="2"/>
        </w:rPr>
        <w:t>（</w:t>
      </w:r>
      <w:r>
        <w:rPr>
          <w:rFonts w:ascii="Times New Roman" w:cs="Times New Roman"/>
          <w:b/>
          <w:bCs/>
          <w:kern w:val="2"/>
        </w:rPr>
        <w:t>3</w:t>
      </w:r>
      <w:r>
        <w:rPr>
          <w:rFonts w:ascii="Times New Roman" w:cs="Times New Roman"/>
          <w:b/>
          <w:bCs/>
          <w:kern w:val="2"/>
        </w:rPr>
        <w:t>）评价范围植被生物量现状评价</w:t>
      </w:r>
    </w:p>
    <w:p w:rsidR="00BD5820" w:rsidRDefault="00F64314" w:rsidP="00511129">
      <w:pPr>
        <w:topLinePunct w:val="0"/>
        <w:snapToGrid w:val="0"/>
        <w:spacing w:beforeLines="50"/>
        <w:ind w:firstLine="480"/>
        <w:rPr>
          <w:rFonts w:ascii="Times New Roman" w:cs="Times New Roman"/>
        </w:rPr>
      </w:pPr>
      <w:r>
        <w:rPr>
          <w:rFonts w:ascii="Times New Roman" w:cs="Times New Roman"/>
        </w:rPr>
        <w:t>植被的生物量是指一定地段面积内植物群落在某一时期生存着的活有机物质之重量，以</w:t>
      </w:r>
      <w:r>
        <w:rPr>
          <w:rFonts w:ascii="Times New Roman" w:cs="Times New Roman"/>
        </w:rPr>
        <w:t>t/hm</w:t>
      </w:r>
      <w:r>
        <w:rPr>
          <w:rFonts w:ascii="Times New Roman" w:cs="Times New Roman"/>
          <w:vertAlign w:val="superscript"/>
        </w:rPr>
        <w:t>2</w:t>
      </w:r>
      <w:r>
        <w:rPr>
          <w:rFonts w:ascii="Times New Roman" w:cs="Times New Roman"/>
        </w:rPr>
        <w:t>表示。群落类型不同，其生物量测定的方法也有所不同。</w:t>
      </w:r>
    </w:p>
    <w:p w:rsidR="00BD5820" w:rsidRDefault="00F64314">
      <w:pPr>
        <w:topLinePunct w:val="0"/>
        <w:snapToGrid w:val="0"/>
        <w:ind w:firstLine="482"/>
        <w:rPr>
          <w:rFonts w:ascii="Times New Roman" w:cs="Times New Roman"/>
          <w:b/>
          <w:bCs/>
        </w:rPr>
      </w:pPr>
      <w:r>
        <w:rPr>
          <w:rFonts w:ascii="Times New Roman" w:cs="Times New Roman"/>
          <w:b/>
          <w:bCs/>
        </w:rPr>
        <w:t>1</w:t>
      </w:r>
      <w:r>
        <w:rPr>
          <w:rFonts w:ascii="Times New Roman" w:cs="Times New Roman"/>
          <w:b/>
          <w:bCs/>
        </w:rPr>
        <w:t>、森林群落生物量</w:t>
      </w:r>
    </w:p>
    <w:p w:rsidR="00BD5820" w:rsidRDefault="00F64314">
      <w:pPr>
        <w:topLinePunct w:val="0"/>
        <w:snapToGrid w:val="0"/>
        <w:ind w:firstLine="480"/>
        <w:rPr>
          <w:rFonts w:ascii="Times New Roman" w:cs="Times New Roman"/>
        </w:rPr>
      </w:pPr>
      <w:r>
        <w:rPr>
          <w:rFonts w:ascii="Times New Roman" w:cs="Times New Roman"/>
        </w:rPr>
        <w:t>森林生物量目前常用材积推算法来估算，用此方法估算出的生物量被称为材积源生物量。由于在作材积分析时需要对森林群落样地的林木进行砍伐取样，在实际操作中要涉及到取样木砍伐的审批手续及样木赔偿付费等问题，因此，本次森林生物量的估算采取借用中国科学院生态环境研究中心专家建立的我国森林生物量的基本参数，以</w:t>
      </w:r>
      <w:r>
        <w:rPr>
          <w:rFonts w:ascii="Times New Roman" w:cs="Times New Roman"/>
        </w:rPr>
        <w:t>79.2t/hm</w:t>
      </w:r>
      <w:r>
        <w:rPr>
          <w:rFonts w:ascii="Times New Roman" w:cs="Times New Roman"/>
          <w:vertAlign w:val="superscript"/>
        </w:rPr>
        <w:t>2</w:t>
      </w:r>
      <w:r>
        <w:rPr>
          <w:rFonts w:ascii="Times New Roman" w:cs="Times New Roman"/>
        </w:rPr>
        <w:t>作为本次森林生物量估算的基础。考虑到上述参数未将森林群落的林下灌木、草本之生物量计入，因此，又借用中山大学学者在我国南方地区（广州林区）所进行的森林生物量测定中增加的灌木草本层生物量之补充，即在材积源生物量中增加</w:t>
      </w:r>
      <w:r>
        <w:rPr>
          <w:rFonts w:ascii="Times New Roman" w:cs="Times New Roman"/>
        </w:rPr>
        <w:t>10t/hm</w:t>
      </w:r>
      <w:r>
        <w:rPr>
          <w:rFonts w:ascii="Times New Roman" w:cs="Times New Roman"/>
          <w:vertAlign w:val="superscript"/>
        </w:rPr>
        <w:t>2</w:t>
      </w:r>
      <w:r>
        <w:rPr>
          <w:rFonts w:ascii="Times New Roman" w:cs="Times New Roman"/>
        </w:rPr>
        <w:t>，即以（</w:t>
      </w:r>
      <w:r>
        <w:rPr>
          <w:rFonts w:ascii="Times New Roman" w:cs="Times New Roman"/>
        </w:rPr>
        <w:t>79.2</w:t>
      </w:r>
      <w:r>
        <w:rPr>
          <w:rFonts w:ascii="Times New Roman" w:cs="Times New Roman"/>
        </w:rPr>
        <w:t>＋</w:t>
      </w:r>
      <w:r>
        <w:rPr>
          <w:rFonts w:ascii="Times New Roman" w:cs="Times New Roman"/>
        </w:rPr>
        <w:t>10</w:t>
      </w:r>
      <w:r>
        <w:rPr>
          <w:rFonts w:ascii="Times New Roman" w:cs="Times New Roman"/>
        </w:rPr>
        <w:t>）</w:t>
      </w:r>
      <w:r>
        <w:rPr>
          <w:rFonts w:ascii="Times New Roman" w:cs="Times New Roman"/>
        </w:rPr>
        <w:t>t/hm</w:t>
      </w:r>
      <w:r>
        <w:rPr>
          <w:rFonts w:ascii="Times New Roman" w:cs="Times New Roman"/>
          <w:vertAlign w:val="superscript"/>
        </w:rPr>
        <w:t>2</w:t>
      </w:r>
      <w:r>
        <w:rPr>
          <w:rFonts w:ascii="Times New Roman" w:cs="Times New Roman"/>
        </w:rPr>
        <w:t>来作为本评价区域森林群落生物量的基数。</w:t>
      </w:r>
    </w:p>
    <w:p w:rsidR="00BD5820" w:rsidRDefault="00F64314">
      <w:pPr>
        <w:topLinePunct w:val="0"/>
        <w:snapToGrid w:val="0"/>
        <w:ind w:firstLine="482"/>
        <w:rPr>
          <w:rFonts w:ascii="Times New Roman" w:cs="Times New Roman"/>
          <w:b/>
          <w:bCs/>
        </w:rPr>
      </w:pPr>
      <w:r>
        <w:rPr>
          <w:rFonts w:ascii="Times New Roman" w:cs="Times New Roman"/>
          <w:b/>
          <w:bCs/>
        </w:rPr>
        <w:t>2</w:t>
      </w:r>
      <w:r>
        <w:rPr>
          <w:rFonts w:ascii="Times New Roman" w:cs="Times New Roman"/>
          <w:b/>
          <w:bCs/>
        </w:rPr>
        <w:t>、灌丛和灌草丛生物量</w:t>
      </w:r>
    </w:p>
    <w:p w:rsidR="00BD5820" w:rsidRDefault="00F64314">
      <w:pPr>
        <w:topLinePunct w:val="0"/>
        <w:snapToGrid w:val="0"/>
        <w:ind w:firstLineChars="0" w:firstLine="0"/>
        <w:rPr>
          <w:rFonts w:ascii="Times New Roman" w:cs="Times New Roman"/>
        </w:rPr>
      </w:pPr>
      <w:r>
        <w:rPr>
          <w:rFonts w:ascii="Times New Roman" w:cs="Times New Roman"/>
        </w:rPr>
        <w:t xml:space="preserve">    </w:t>
      </w:r>
      <w:r>
        <w:rPr>
          <w:rFonts w:ascii="Times New Roman" w:cs="Times New Roman"/>
        </w:rPr>
        <w:t>灌丛和灌草丛生物量采用收获法测定。本次野外实地调查中，选择不同灌丛和灌草丛类型，进行了典型样方生物量测定，考虑到不同灌丛类型其生物量有很大的差异，故分别对本区内两种类型的灌丛进行生物量的测定。灌丛共作</w:t>
      </w:r>
      <w:r>
        <w:rPr>
          <w:rFonts w:ascii="Times New Roman" w:cs="Times New Roman" w:hint="eastAsia"/>
        </w:rPr>
        <w:t>3</w:t>
      </w:r>
      <w:r>
        <w:rPr>
          <w:rFonts w:ascii="Times New Roman" w:cs="Times New Roman"/>
        </w:rPr>
        <w:t>个</w:t>
      </w:r>
      <w:r>
        <w:rPr>
          <w:rFonts w:ascii="Times New Roman" w:cs="Times New Roman"/>
        </w:rPr>
        <w:t>5×5m</w:t>
      </w:r>
      <w:r>
        <w:rPr>
          <w:rFonts w:ascii="Times New Roman" w:cs="Times New Roman"/>
        </w:rPr>
        <w:t>的生物量样方，在每个样方内均匀取样</w:t>
      </w:r>
      <w:r>
        <w:rPr>
          <w:rFonts w:ascii="Times New Roman" w:cs="Times New Roman"/>
        </w:rPr>
        <w:t>4m</w:t>
      </w:r>
      <w:r>
        <w:rPr>
          <w:rFonts w:ascii="Times New Roman" w:cs="Times New Roman"/>
          <w:vertAlign w:val="superscript"/>
        </w:rPr>
        <w:t>2</w:t>
      </w:r>
      <w:r>
        <w:rPr>
          <w:rFonts w:ascii="Times New Roman" w:cs="Times New Roman"/>
        </w:rPr>
        <w:t>的生物量（鲜重），并将部分鲜样称重后带回实验室内恒温箱中</w:t>
      </w:r>
      <w:r>
        <w:rPr>
          <w:rFonts w:ascii="Times New Roman" w:cs="Times New Roman"/>
        </w:rPr>
        <w:t>80℃</w:t>
      </w:r>
      <w:r>
        <w:rPr>
          <w:rFonts w:ascii="Times New Roman" w:cs="Times New Roman"/>
        </w:rPr>
        <w:t>烘干至恒重，计算含水量及干物质重量，将生物量鲜重换算成干重，得到灌丛地上部分平均生物量为</w:t>
      </w:r>
      <w:r>
        <w:rPr>
          <w:rFonts w:ascii="Times New Roman" w:cs="Times New Roman"/>
        </w:rPr>
        <w:t>16.28t/hm</w:t>
      </w:r>
      <w:r>
        <w:rPr>
          <w:rFonts w:ascii="Times New Roman" w:cs="Times New Roman"/>
          <w:vertAlign w:val="superscript"/>
        </w:rPr>
        <w:t>2</w:t>
      </w:r>
      <w:r>
        <w:rPr>
          <w:rFonts w:ascii="Times New Roman" w:cs="Times New Roman"/>
        </w:rPr>
        <w:t>；灌草丛取</w:t>
      </w:r>
      <w:r>
        <w:rPr>
          <w:rFonts w:ascii="Times New Roman" w:cs="Times New Roman" w:hint="eastAsia"/>
        </w:rPr>
        <w:t>3</w:t>
      </w:r>
      <w:r>
        <w:rPr>
          <w:rFonts w:ascii="Times New Roman" w:cs="Times New Roman"/>
        </w:rPr>
        <w:t>个</w:t>
      </w:r>
      <w:r>
        <w:rPr>
          <w:rFonts w:ascii="Times New Roman" w:cs="Times New Roman"/>
        </w:rPr>
        <w:t>1×1m</w:t>
      </w:r>
      <w:r>
        <w:rPr>
          <w:rFonts w:ascii="Times New Roman" w:cs="Times New Roman"/>
        </w:rPr>
        <w:t>的生物量样方，在每个样方内均匀取样</w:t>
      </w:r>
      <w:r>
        <w:rPr>
          <w:rFonts w:ascii="Times New Roman" w:cs="Times New Roman"/>
        </w:rPr>
        <w:t>1m</w:t>
      </w:r>
      <w:r>
        <w:rPr>
          <w:rFonts w:ascii="Times New Roman" w:cs="Times New Roman"/>
          <w:vertAlign w:val="superscript"/>
        </w:rPr>
        <w:t>2</w:t>
      </w:r>
      <w:r>
        <w:rPr>
          <w:rFonts w:ascii="Times New Roman" w:cs="Times New Roman"/>
        </w:rPr>
        <w:t>的生物量（鲜重），并将部分鲜样称重后带回实验室内恒温箱中</w:t>
      </w:r>
      <w:r>
        <w:rPr>
          <w:rFonts w:ascii="Times New Roman" w:cs="Times New Roman"/>
        </w:rPr>
        <w:t>80℃</w:t>
      </w:r>
      <w:r>
        <w:rPr>
          <w:rFonts w:ascii="Times New Roman" w:cs="Times New Roman"/>
        </w:rPr>
        <w:t>烘干至恒重，计算含水量及干物质重量，将生物量鲜重换算成干重，得到灌草丛地上部分平均生物量为</w:t>
      </w:r>
      <w:r>
        <w:rPr>
          <w:rFonts w:ascii="Times New Roman" w:cs="Times New Roman"/>
        </w:rPr>
        <w:t>4.52t/hm</w:t>
      </w:r>
      <w:r>
        <w:rPr>
          <w:rFonts w:ascii="Times New Roman" w:cs="Times New Roman"/>
          <w:vertAlign w:val="superscript"/>
        </w:rPr>
        <w:t>2</w:t>
      </w:r>
      <w:r>
        <w:rPr>
          <w:rFonts w:ascii="Times New Roman" w:cs="Times New Roman"/>
        </w:rPr>
        <w:t>。由于现场测定仅作了灌丛和灌草丛的地上部分生物量的测定，地下部分生物量则利用已有的生物量资料中地上部分（</w:t>
      </w:r>
      <w:r>
        <w:rPr>
          <w:rFonts w:ascii="Times New Roman" w:cs="Times New Roman"/>
        </w:rPr>
        <w:t>T</w:t>
      </w:r>
      <w:r>
        <w:rPr>
          <w:rFonts w:ascii="Times New Roman" w:cs="Times New Roman"/>
        </w:rPr>
        <w:t>）与地下部分（</w:t>
      </w:r>
      <w:r>
        <w:rPr>
          <w:rFonts w:ascii="Times New Roman" w:cs="Times New Roman"/>
        </w:rPr>
        <w:t>R</w:t>
      </w:r>
      <w:r>
        <w:rPr>
          <w:rFonts w:ascii="Times New Roman" w:cs="Times New Roman"/>
        </w:rPr>
        <w:t>）之比例系数（</w:t>
      </w:r>
      <w:r>
        <w:rPr>
          <w:rFonts w:ascii="Times New Roman" w:cs="Times New Roman"/>
        </w:rPr>
        <w:t>T/R</w:t>
      </w:r>
      <w:r>
        <w:rPr>
          <w:rFonts w:ascii="Times New Roman" w:cs="Times New Roman"/>
        </w:rPr>
        <w:t>）为</w:t>
      </w:r>
      <w:r>
        <w:rPr>
          <w:rFonts w:ascii="Times New Roman" w:cs="Times New Roman"/>
        </w:rPr>
        <w:lastRenderedPageBreak/>
        <w:t>1.44</w:t>
      </w:r>
      <w:r>
        <w:rPr>
          <w:rFonts w:ascii="Times New Roman" w:cs="Times New Roman"/>
        </w:rPr>
        <w:t>的系数来推算出本评价范围内灌丛和灌草丛生物量的地下部分（屠玉麟，贵州中部喀斯特灌丛群落生物量研究，《中国岩溶》．</w:t>
      </w:r>
      <w:r>
        <w:rPr>
          <w:rFonts w:ascii="Times New Roman" w:cs="Times New Roman"/>
        </w:rPr>
        <w:t>Vol.14.No.3.1995</w:t>
      </w:r>
      <w:r>
        <w:rPr>
          <w:rFonts w:ascii="Times New Roman" w:cs="Times New Roman"/>
        </w:rPr>
        <w:t>）。因此，灌丛的生物量即为地上部分与地下部分之和：（</w:t>
      </w:r>
      <w:r>
        <w:rPr>
          <w:rFonts w:ascii="Times New Roman" w:cs="Times New Roman"/>
        </w:rPr>
        <w:t>16.28</w:t>
      </w:r>
      <w:r>
        <w:rPr>
          <w:rFonts w:ascii="Times New Roman" w:cs="Times New Roman"/>
        </w:rPr>
        <w:t>＋</w:t>
      </w:r>
      <w:r>
        <w:rPr>
          <w:rFonts w:ascii="Times New Roman" w:cs="Times New Roman"/>
        </w:rPr>
        <w:t>16.28/1.44</w:t>
      </w:r>
      <w:r>
        <w:rPr>
          <w:rFonts w:ascii="Times New Roman" w:cs="Times New Roman"/>
        </w:rPr>
        <w:t>）</w:t>
      </w:r>
      <w:r>
        <w:rPr>
          <w:rFonts w:ascii="Times New Roman" w:cs="Times New Roman"/>
        </w:rPr>
        <w:t>=27.58t/hm</w:t>
      </w:r>
      <w:r>
        <w:rPr>
          <w:rFonts w:ascii="Times New Roman" w:cs="Times New Roman"/>
          <w:vertAlign w:val="superscript"/>
        </w:rPr>
        <w:t>2</w:t>
      </w:r>
      <w:r>
        <w:rPr>
          <w:rFonts w:ascii="Times New Roman" w:cs="Times New Roman"/>
        </w:rPr>
        <w:t>，灌草丛的生物量即为地上部分与地下部分之和：（</w:t>
      </w:r>
      <w:r>
        <w:rPr>
          <w:rFonts w:ascii="Times New Roman" w:cs="Times New Roman"/>
        </w:rPr>
        <w:t>4.52</w:t>
      </w:r>
      <w:r>
        <w:rPr>
          <w:rFonts w:ascii="Times New Roman" w:cs="Times New Roman"/>
        </w:rPr>
        <w:t>＋</w:t>
      </w:r>
      <w:r>
        <w:rPr>
          <w:rFonts w:ascii="Times New Roman" w:cs="Times New Roman"/>
        </w:rPr>
        <w:t>4.52/1.44</w:t>
      </w:r>
      <w:r>
        <w:rPr>
          <w:rFonts w:ascii="Times New Roman" w:cs="Times New Roman"/>
        </w:rPr>
        <w:t>）</w:t>
      </w:r>
      <w:r>
        <w:rPr>
          <w:rFonts w:ascii="Times New Roman" w:cs="Times New Roman"/>
        </w:rPr>
        <w:t>=7.66t/hm</w:t>
      </w:r>
      <w:r>
        <w:rPr>
          <w:rFonts w:ascii="Times New Roman" w:cs="Times New Roman"/>
          <w:vertAlign w:val="superscript"/>
        </w:rPr>
        <w:t>2</w:t>
      </w:r>
      <w:r>
        <w:rPr>
          <w:rFonts w:ascii="Times New Roman" w:cs="Times New Roman"/>
        </w:rPr>
        <w:t>。</w:t>
      </w:r>
    </w:p>
    <w:p w:rsidR="00BD5820" w:rsidRDefault="00F64314">
      <w:pPr>
        <w:topLinePunct w:val="0"/>
        <w:snapToGrid w:val="0"/>
        <w:ind w:firstLineChars="0" w:firstLine="0"/>
        <w:rPr>
          <w:rFonts w:ascii="Times New Roman" w:cs="Times New Roman"/>
          <w:b/>
          <w:bCs/>
        </w:rPr>
      </w:pPr>
      <w:r>
        <w:rPr>
          <w:rFonts w:ascii="Times New Roman" w:cs="Times New Roman"/>
          <w:b/>
          <w:bCs/>
        </w:rPr>
        <w:t xml:space="preserve">    3</w:t>
      </w:r>
      <w:r>
        <w:rPr>
          <w:rFonts w:ascii="Times New Roman" w:cs="Times New Roman"/>
          <w:b/>
          <w:bCs/>
        </w:rPr>
        <w:t>、农田植被的生物量</w:t>
      </w:r>
    </w:p>
    <w:p w:rsidR="00BD5820" w:rsidRDefault="00F64314">
      <w:pPr>
        <w:pStyle w:val="affa"/>
        <w:ind w:firstLine="480"/>
        <w:rPr>
          <w:kern w:val="2"/>
          <w:szCs w:val="24"/>
          <w:lang w:val="de-DE"/>
        </w:rPr>
      </w:pPr>
      <w:r>
        <w:rPr>
          <w:kern w:val="2"/>
          <w:szCs w:val="24"/>
        </w:rPr>
        <w:t>农田植被生物量由三部分组成，即作物子粒、秸杆和根茬。由于目前尚无</w:t>
      </w:r>
      <w:r>
        <w:rPr>
          <w:rFonts w:hint="eastAsia"/>
          <w:kern w:val="2"/>
          <w:szCs w:val="24"/>
        </w:rPr>
        <w:t>宣汉县</w:t>
      </w:r>
      <w:r>
        <w:rPr>
          <w:kern w:val="2"/>
          <w:szCs w:val="24"/>
        </w:rPr>
        <w:t>农田的秸杆、根茬单位面积产量数据</w:t>
      </w:r>
      <w:r>
        <w:rPr>
          <w:rFonts w:hint="eastAsia"/>
          <w:kern w:val="2"/>
          <w:szCs w:val="24"/>
        </w:rPr>
        <w:t>，</w:t>
      </w:r>
      <w:r>
        <w:rPr>
          <w:kern w:val="2"/>
          <w:szCs w:val="24"/>
        </w:rPr>
        <w:t>农田植被生物量基数参考</w:t>
      </w:r>
      <w:r>
        <w:rPr>
          <w:rFonts w:hint="eastAsia"/>
          <w:kern w:val="2"/>
          <w:szCs w:val="24"/>
        </w:rPr>
        <w:t>四川</w:t>
      </w:r>
      <w:r>
        <w:rPr>
          <w:kern w:val="2"/>
          <w:szCs w:val="24"/>
        </w:rPr>
        <w:t>省已有案例。</w:t>
      </w:r>
    </w:p>
    <w:p w:rsidR="00BD5820" w:rsidRDefault="00F64314">
      <w:pPr>
        <w:topLinePunct w:val="0"/>
        <w:snapToGrid w:val="0"/>
        <w:spacing w:line="240" w:lineRule="auto"/>
        <w:ind w:firstLineChars="0" w:firstLine="561"/>
        <w:jc w:val="center"/>
        <w:rPr>
          <w:rFonts w:ascii="Times New Roman" w:cs="Times New Roman"/>
          <w:b/>
          <w:sz w:val="21"/>
          <w:szCs w:val="21"/>
        </w:rPr>
      </w:pPr>
      <w:r>
        <w:rPr>
          <w:rFonts w:ascii="Times New Roman" w:cs="Times New Roman"/>
          <w:b/>
          <w:sz w:val="21"/>
          <w:szCs w:val="21"/>
        </w:rPr>
        <w:t>表</w:t>
      </w:r>
      <w:r>
        <w:rPr>
          <w:rFonts w:ascii="Times New Roman" w:cs="Times New Roman" w:hint="eastAsia"/>
          <w:b/>
          <w:sz w:val="21"/>
          <w:szCs w:val="21"/>
        </w:rPr>
        <w:t>5.2-13</w:t>
      </w:r>
      <w:r>
        <w:rPr>
          <w:rFonts w:ascii="Times New Roman" w:cs="Times New Roman"/>
          <w:b/>
          <w:sz w:val="21"/>
          <w:szCs w:val="21"/>
        </w:rPr>
        <w:t xml:space="preserve"> </w:t>
      </w:r>
      <w:r>
        <w:rPr>
          <w:rFonts w:ascii="Times New Roman" w:cs="Times New Roman"/>
          <w:b/>
          <w:sz w:val="21"/>
          <w:szCs w:val="21"/>
        </w:rPr>
        <w:t>评价范围内的植被生物量现状值</w:t>
      </w:r>
    </w:p>
    <w:tbl>
      <w:tblPr>
        <w:tblW w:w="7879"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575"/>
        <w:gridCol w:w="1570"/>
        <w:gridCol w:w="1740"/>
        <w:gridCol w:w="1560"/>
        <w:gridCol w:w="1434"/>
      </w:tblGrid>
      <w:tr w:rsidR="00BD5820">
        <w:trPr>
          <w:trHeight w:val="340"/>
          <w:jc w:val="center"/>
        </w:trPr>
        <w:tc>
          <w:tcPr>
            <w:tcW w:w="1575" w:type="dxa"/>
            <w:vMerge w:val="restart"/>
            <w:vAlign w:val="center"/>
          </w:tcPr>
          <w:p w:rsidR="00BD5820" w:rsidRDefault="00F64314">
            <w:pPr>
              <w:topLinePunct w:val="0"/>
              <w:adjustRightInd/>
              <w:spacing w:line="240" w:lineRule="auto"/>
              <w:ind w:firstLineChars="0" w:firstLine="0"/>
              <w:jc w:val="center"/>
              <w:rPr>
                <w:rFonts w:ascii="Times New Roman" w:cs="Times New Roman"/>
                <w:sz w:val="21"/>
                <w:szCs w:val="21"/>
              </w:rPr>
            </w:pPr>
            <w:r>
              <w:rPr>
                <w:rFonts w:ascii="Times New Roman" w:cs="Times New Roman"/>
                <w:sz w:val="21"/>
                <w:szCs w:val="21"/>
              </w:rPr>
              <w:t>植被类型</w:t>
            </w:r>
          </w:p>
        </w:tc>
        <w:tc>
          <w:tcPr>
            <w:tcW w:w="4870" w:type="dxa"/>
            <w:gridSpan w:val="3"/>
            <w:vAlign w:val="center"/>
          </w:tcPr>
          <w:p w:rsidR="00BD5820" w:rsidRDefault="00F64314">
            <w:pPr>
              <w:topLinePunct w:val="0"/>
              <w:adjustRightInd/>
              <w:spacing w:line="240" w:lineRule="auto"/>
              <w:ind w:firstLineChars="0" w:firstLine="0"/>
              <w:jc w:val="center"/>
              <w:rPr>
                <w:rFonts w:ascii="Times New Roman" w:cs="Times New Roman"/>
                <w:sz w:val="21"/>
                <w:szCs w:val="21"/>
              </w:rPr>
            </w:pPr>
            <w:r>
              <w:rPr>
                <w:rFonts w:ascii="Times New Roman" w:cs="Times New Roman"/>
                <w:sz w:val="21"/>
                <w:szCs w:val="21"/>
              </w:rPr>
              <w:t>项目评价范围</w:t>
            </w:r>
          </w:p>
        </w:tc>
        <w:tc>
          <w:tcPr>
            <w:tcW w:w="1434" w:type="dxa"/>
            <w:vAlign w:val="center"/>
          </w:tcPr>
          <w:p w:rsidR="00BD5820" w:rsidRDefault="00BD5820">
            <w:pPr>
              <w:topLinePunct w:val="0"/>
              <w:adjustRightInd/>
              <w:spacing w:line="240" w:lineRule="auto"/>
              <w:ind w:firstLineChars="0" w:firstLine="0"/>
              <w:jc w:val="center"/>
              <w:rPr>
                <w:rFonts w:ascii="Times New Roman" w:cs="Times New Roman"/>
                <w:sz w:val="21"/>
                <w:szCs w:val="21"/>
              </w:rPr>
            </w:pPr>
          </w:p>
        </w:tc>
      </w:tr>
      <w:tr w:rsidR="00BD5820">
        <w:trPr>
          <w:trHeight w:val="340"/>
          <w:jc w:val="center"/>
        </w:trPr>
        <w:tc>
          <w:tcPr>
            <w:tcW w:w="1575" w:type="dxa"/>
            <w:vMerge/>
            <w:vAlign w:val="center"/>
          </w:tcPr>
          <w:p w:rsidR="00BD5820" w:rsidRDefault="00BD5820">
            <w:pPr>
              <w:topLinePunct w:val="0"/>
              <w:adjustRightInd/>
              <w:spacing w:line="240" w:lineRule="auto"/>
              <w:ind w:firstLineChars="0" w:firstLine="0"/>
              <w:jc w:val="center"/>
              <w:rPr>
                <w:rFonts w:ascii="Times New Roman" w:cs="Times New Roman"/>
                <w:sz w:val="21"/>
                <w:szCs w:val="21"/>
              </w:rPr>
            </w:pPr>
          </w:p>
        </w:tc>
        <w:tc>
          <w:tcPr>
            <w:tcW w:w="1570" w:type="dxa"/>
            <w:vAlign w:val="center"/>
          </w:tcPr>
          <w:p w:rsidR="00BD5820" w:rsidRDefault="00F64314">
            <w:pPr>
              <w:topLinePunct w:val="0"/>
              <w:adjustRightInd/>
              <w:spacing w:line="240" w:lineRule="auto"/>
              <w:ind w:firstLineChars="0" w:firstLine="0"/>
              <w:jc w:val="center"/>
              <w:rPr>
                <w:rFonts w:ascii="Times New Roman" w:cs="Times New Roman"/>
                <w:sz w:val="21"/>
                <w:szCs w:val="21"/>
              </w:rPr>
            </w:pPr>
            <w:r>
              <w:rPr>
                <w:rFonts w:ascii="Times New Roman" w:cs="Times New Roman"/>
                <w:sz w:val="21"/>
                <w:szCs w:val="21"/>
              </w:rPr>
              <w:t>面积</w:t>
            </w:r>
            <w:r>
              <w:rPr>
                <w:rFonts w:ascii="Times New Roman" w:cs="Times New Roman" w:hint="eastAsia"/>
                <w:sz w:val="21"/>
                <w:szCs w:val="21"/>
              </w:rPr>
              <w:t>（</w:t>
            </w:r>
            <w:r>
              <w:rPr>
                <w:rFonts w:ascii="Times New Roman" w:cs="Times New Roman"/>
                <w:sz w:val="21"/>
                <w:szCs w:val="21"/>
              </w:rPr>
              <w:t>hm</w:t>
            </w:r>
            <w:r>
              <w:rPr>
                <w:rFonts w:ascii="Times New Roman" w:cs="Times New Roman"/>
                <w:sz w:val="21"/>
                <w:szCs w:val="21"/>
                <w:vertAlign w:val="superscript"/>
              </w:rPr>
              <w:t>2</w:t>
            </w:r>
            <w:r>
              <w:rPr>
                <w:rFonts w:ascii="Times New Roman" w:cs="Times New Roman" w:hint="eastAsia"/>
                <w:sz w:val="21"/>
                <w:szCs w:val="21"/>
              </w:rPr>
              <w:t>）</w:t>
            </w:r>
          </w:p>
        </w:tc>
        <w:tc>
          <w:tcPr>
            <w:tcW w:w="1740" w:type="dxa"/>
            <w:vAlign w:val="center"/>
          </w:tcPr>
          <w:p w:rsidR="00BD5820" w:rsidRDefault="00F64314">
            <w:pPr>
              <w:topLinePunct w:val="0"/>
              <w:adjustRightInd/>
              <w:spacing w:line="240" w:lineRule="auto"/>
              <w:ind w:firstLineChars="0" w:firstLine="0"/>
              <w:jc w:val="center"/>
              <w:rPr>
                <w:rFonts w:ascii="Times New Roman" w:cs="Times New Roman"/>
                <w:sz w:val="21"/>
                <w:szCs w:val="21"/>
              </w:rPr>
            </w:pPr>
            <w:r>
              <w:rPr>
                <w:rFonts w:ascii="Times New Roman" w:cs="Times New Roman"/>
                <w:sz w:val="21"/>
                <w:szCs w:val="21"/>
              </w:rPr>
              <w:t>基数（</w:t>
            </w:r>
            <w:r>
              <w:rPr>
                <w:rFonts w:ascii="Times New Roman" w:cs="Times New Roman"/>
                <w:sz w:val="21"/>
                <w:szCs w:val="21"/>
              </w:rPr>
              <w:t>t/hm²</w:t>
            </w:r>
            <w:r>
              <w:rPr>
                <w:rFonts w:ascii="Times New Roman" w:cs="Times New Roman"/>
                <w:sz w:val="21"/>
                <w:szCs w:val="21"/>
              </w:rPr>
              <w:t>）</w:t>
            </w:r>
          </w:p>
        </w:tc>
        <w:tc>
          <w:tcPr>
            <w:tcW w:w="1560" w:type="dxa"/>
            <w:vAlign w:val="center"/>
          </w:tcPr>
          <w:p w:rsidR="00BD5820" w:rsidRDefault="00F64314">
            <w:pPr>
              <w:topLinePunct w:val="0"/>
              <w:adjustRightInd/>
              <w:spacing w:line="240" w:lineRule="auto"/>
              <w:ind w:firstLineChars="0" w:firstLine="0"/>
              <w:jc w:val="center"/>
              <w:rPr>
                <w:rFonts w:ascii="Times New Roman" w:cs="Times New Roman"/>
                <w:sz w:val="21"/>
                <w:szCs w:val="21"/>
              </w:rPr>
            </w:pPr>
            <w:r>
              <w:rPr>
                <w:rFonts w:ascii="Times New Roman" w:cs="Times New Roman"/>
                <w:sz w:val="21"/>
                <w:szCs w:val="21"/>
              </w:rPr>
              <w:t>生物量</w:t>
            </w:r>
            <w:r>
              <w:rPr>
                <w:rFonts w:ascii="Times New Roman" w:cs="Times New Roman" w:hint="eastAsia"/>
                <w:sz w:val="21"/>
                <w:szCs w:val="21"/>
              </w:rPr>
              <w:t>（</w:t>
            </w:r>
            <w:r>
              <w:rPr>
                <w:rFonts w:ascii="Times New Roman" w:cs="Times New Roman"/>
                <w:sz w:val="21"/>
                <w:szCs w:val="21"/>
              </w:rPr>
              <w:t>t</w:t>
            </w:r>
            <w:r>
              <w:rPr>
                <w:rFonts w:ascii="Times New Roman" w:cs="Times New Roman" w:hint="eastAsia"/>
                <w:sz w:val="21"/>
                <w:szCs w:val="21"/>
              </w:rPr>
              <w:t>）</w:t>
            </w:r>
          </w:p>
        </w:tc>
        <w:tc>
          <w:tcPr>
            <w:tcW w:w="1434" w:type="dxa"/>
            <w:vAlign w:val="center"/>
          </w:tcPr>
          <w:p w:rsidR="00BD5820" w:rsidRDefault="00F64314">
            <w:pPr>
              <w:topLinePunct w:val="0"/>
              <w:adjustRightInd/>
              <w:spacing w:line="240" w:lineRule="auto"/>
              <w:ind w:firstLineChars="0" w:firstLine="0"/>
              <w:jc w:val="center"/>
              <w:rPr>
                <w:rFonts w:ascii="Times New Roman" w:cs="Times New Roman"/>
                <w:sz w:val="21"/>
                <w:szCs w:val="21"/>
              </w:rPr>
            </w:pPr>
            <w:r>
              <w:rPr>
                <w:rFonts w:ascii="Times New Roman" w:cs="Times New Roman"/>
                <w:sz w:val="21"/>
                <w:szCs w:val="21"/>
              </w:rPr>
              <w:t>百分比（</w:t>
            </w:r>
            <w:r>
              <w:rPr>
                <w:rFonts w:ascii="Times New Roman" w:cs="Times New Roman"/>
                <w:sz w:val="21"/>
                <w:szCs w:val="21"/>
              </w:rPr>
              <w:t>%</w:t>
            </w:r>
            <w:r>
              <w:rPr>
                <w:rFonts w:ascii="Times New Roman" w:cs="Times New Roman"/>
                <w:sz w:val="21"/>
                <w:szCs w:val="21"/>
              </w:rPr>
              <w:t>）</w:t>
            </w:r>
          </w:p>
        </w:tc>
      </w:tr>
      <w:tr w:rsidR="00BD5820">
        <w:trPr>
          <w:trHeight w:val="340"/>
          <w:jc w:val="center"/>
        </w:trPr>
        <w:tc>
          <w:tcPr>
            <w:tcW w:w="1575" w:type="dxa"/>
            <w:vAlign w:val="center"/>
          </w:tcPr>
          <w:p w:rsidR="00BD5820" w:rsidRDefault="00F64314">
            <w:pPr>
              <w:topLinePunct w:val="0"/>
              <w:adjustRightInd/>
              <w:spacing w:line="240" w:lineRule="auto"/>
              <w:ind w:firstLineChars="0" w:firstLine="0"/>
              <w:jc w:val="center"/>
              <w:rPr>
                <w:rFonts w:ascii="Times New Roman" w:cs="Times New Roman"/>
                <w:sz w:val="21"/>
                <w:szCs w:val="21"/>
              </w:rPr>
            </w:pPr>
            <w:r>
              <w:rPr>
                <w:rFonts w:ascii="Times New Roman" w:cs="Times New Roman"/>
                <w:sz w:val="21"/>
                <w:szCs w:val="21"/>
              </w:rPr>
              <w:t>水田植被</w:t>
            </w:r>
          </w:p>
        </w:tc>
        <w:tc>
          <w:tcPr>
            <w:tcW w:w="1570" w:type="dxa"/>
            <w:vAlign w:val="bottom"/>
          </w:tcPr>
          <w:p w:rsidR="00BD5820" w:rsidRDefault="00F64314">
            <w:pPr>
              <w:widowControl/>
              <w:topLinePunct w:val="0"/>
              <w:adjustRightInd/>
              <w:spacing w:line="240" w:lineRule="auto"/>
              <w:ind w:firstLineChars="0" w:firstLine="0"/>
              <w:jc w:val="center"/>
              <w:textAlignment w:val="bottom"/>
              <w:rPr>
                <w:rFonts w:ascii="Times New Roman" w:cs="Times New Roman"/>
                <w:kern w:val="2"/>
                <w:sz w:val="21"/>
                <w:szCs w:val="21"/>
              </w:rPr>
            </w:pPr>
            <w:r>
              <w:rPr>
                <w:rFonts w:ascii="Times New Roman" w:cs="Times New Roman" w:hint="eastAsia"/>
                <w:kern w:val="2"/>
                <w:sz w:val="21"/>
                <w:szCs w:val="21"/>
              </w:rPr>
              <w:t>3.65</w:t>
            </w:r>
          </w:p>
        </w:tc>
        <w:tc>
          <w:tcPr>
            <w:tcW w:w="1740" w:type="dxa"/>
            <w:vAlign w:val="bottom"/>
          </w:tcPr>
          <w:p w:rsidR="00BD5820" w:rsidRDefault="00F64314">
            <w:pPr>
              <w:widowControl/>
              <w:topLinePunct w:val="0"/>
              <w:adjustRightInd/>
              <w:spacing w:line="240" w:lineRule="auto"/>
              <w:ind w:firstLineChars="0" w:firstLine="0"/>
              <w:jc w:val="center"/>
              <w:textAlignment w:val="bottom"/>
              <w:rPr>
                <w:rFonts w:ascii="Times New Roman" w:cs="Times New Roman"/>
                <w:kern w:val="2"/>
                <w:sz w:val="21"/>
                <w:szCs w:val="21"/>
              </w:rPr>
            </w:pPr>
            <w:r>
              <w:rPr>
                <w:rFonts w:ascii="Times New Roman" w:cs="Times New Roman"/>
                <w:kern w:val="2"/>
                <w:sz w:val="21"/>
                <w:szCs w:val="21"/>
              </w:rPr>
              <w:t>10.51</w:t>
            </w:r>
          </w:p>
        </w:tc>
        <w:tc>
          <w:tcPr>
            <w:tcW w:w="1560" w:type="dxa"/>
            <w:vAlign w:val="bottom"/>
          </w:tcPr>
          <w:p w:rsidR="00BD5820" w:rsidRDefault="00F64314">
            <w:pPr>
              <w:widowControl/>
              <w:topLinePunct w:val="0"/>
              <w:adjustRightInd/>
              <w:spacing w:line="240" w:lineRule="auto"/>
              <w:ind w:firstLineChars="0" w:firstLine="0"/>
              <w:jc w:val="center"/>
              <w:textAlignment w:val="bottom"/>
              <w:rPr>
                <w:rFonts w:ascii="Times New Roman" w:cs="Times New Roman"/>
                <w:kern w:val="2"/>
                <w:sz w:val="21"/>
                <w:szCs w:val="21"/>
              </w:rPr>
            </w:pPr>
            <w:r>
              <w:rPr>
                <w:rFonts w:ascii="Times New Roman" w:cs="Times New Roman" w:hint="eastAsia"/>
                <w:kern w:val="2"/>
                <w:sz w:val="21"/>
                <w:szCs w:val="21"/>
              </w:rPr>
              <w:t>38.4</w:t>
            </w:r>
          </w:p>
        </w:tc>
        <w:tc>
          <w:tcPr>
            <w:tcW w:w="1434" w:type="dxa"/>
            <w:vAlign w:val="bottom"/>
          </w:tcPr>
          <w:p w:rsidR="00BD5820" w:rsidRDefault="00F64314">
            <w:pPr>
              <w:widowControl/>
              <w:topLinePunct w:val="0"/>
              <w:adjustRightInd/>
              <w:spacing w:line="240" w:lineRule="auto"/>
              <w:ind w:firstLineChars="0" w:firstLine="0"/>
              <w:jc w:val="center"/>
              <w:textAlignment w:val="bottom"/>
              <w:rPr>
                <w:rFonts w:ascii="Times New Roman" w:cs="Times New Roman"/>
                <w:kern w:val="2"/>
                <w:sz w:val="21"/>
                <w:szCs w:val="21"/>
              </w:rPr>
            </w:pPr>
            <w:r>
              <w:rPr>
                <w:rFonts w:ascii="Times New Roman" w:cs="Times New Roman" w:hint="eastAsia"/>
                <w:kern w:val="2"/>
                <w:sz w:val="21"/>
                <w:szCs w:val="21"/>
              </w:rPr>
              <w:t>0.05</w:t>
            </w:r>
          </w:p>
        </w:tc>
      </w:tr>
      <w:tr w:rsidR="00BD5820">
        <w:trPr>
          <w:trHeight w:val="340"/>
          <w:jc w:val="center"/>
        </w:trPr>
        <w:tc>
          <w:tcPr>
            <w:tcW w:w="1575" w:type="dxa"/>
            <w:vAlign w:val="center"/>
          </w:tcPr>
          <w:p w:rsidR="00BD5820" w:rsidRDefault="00F64314">
            <w:pPr>
              <w:topLinePunct w:val="0"/>
              <w:adjustRightInd/>
              <w:spacing w:line="240" w:lineRule="auto"/>
              <w:ind w:firstLineChars="0" w:firstLine="0"/>
              <w:jc w:val="center"/>
              <w:rPr>
                <w:rFonts w:ascii="Times New Roman" w:cs="Times New Roman"/>
                <w:sz w:val="21"/>
                <w:szCs w:val="21"/>
              </w:rPr>
            </w:pPr>
            <w:r>
              <w:rPr>
                <w:rFonts w:ascii="Times New Roman" w:cs="Times New Roman"/>
                <w:sz w:val="21"/>
                <w:szCs w:val="21"/>
              </w:rPr>
              <w:t>旱地植被</w:t>
            </w:r>
          </w:p>
        </w:tc>
        <w:tc>
          <w:tcPr>
            <w:tcW w:w="1570" w:type="dxa"/>
            <w:vAlign w:val="bottom"/>
          </w:tcPr>
          <w:p w:rsidR="00BD5820" w:rsidRDefault="00F64314">
            <w:pPr>
              <w:widowControl/>
              <w:topLinePunct w:val="0"/>
              <w:adjustRightInd/>
              <w:spacing w:line="240" w:lineRule="auto"/>
              <w:ind w:firstLineChars="0" w:firstLine="0"/>
              <w:jc w:val="center"/>
              <w:textAlignment w:val="bottom"/>
              <w:rPr>
                <w:rFonts w:ascii="Times New Roman" w:cs="Times New Roman"/>
                <w:kern w:val="2"/>
                <w:sz w:val="21"/>
                <w:szCs w:val="21"/>
              </w:rPr>
            </w:pPr>
            <w:r>
              <w:rPr>
                <w:rFonts w:ascii="Times New Roman" w:cs="Times New Roman" w:hint="eastAsia"/>
                <w:kern w:val="2"/>
                <w:sz w:val="21"/>
                <w:szCs w:val="21"/>
              </w:rPr>
              <w:t>129.05</w:t>
            </w:r>
          </w:p>
        </w:tc>
        <w:tc>
          <w:tcPr>
            <w:tcW w:w="1740" w:type="dxa"/>
            <w:vAlign w:val="bottom"/>
          </w:tcPr>
          <w:p w:rsidR="00BD5820" w:rsidRDefault="00F64314">
            <w:pPr>
              <w:widowControl/>
              <w:topLinePunct w:val="0"/>
              <w:adjustRightInd/>
              <w:spacing w:line="240" w:lineRule="auto"/>
              <w:ind w:firstLineChars="0" w:firstLine="0"/>
              <w:jc w:val="center"/>
              <w:textAlignment w:val="bottom"/>
              <w:rPr>
                <w:rFonts w:ascii="Times New Roman" w:cs="Times New Roman"/>
                <w:kern w:val="2"/>
                <w:sz w:val="21"/>
                <w:szCs w:val="21"/>
              </w:rPr>
            </w:pPr>
            <w:r>
              <w:rPr>
                <w:rFonts w:ascii="Times New Roman" w:cs="Times New Roman"/>
                <w:kern w:val="2"/>
                <w:sz w:val="21"/>
                <w:szCs w:val="21"/>
              </w:rPr>
              <w:t>10.31</w:t>
            </w:r>
          </w:p>
        </w:tc>
        <w:tc>
          <w:tcPr>
            <w:tcW w:w="1560" w:type="dxa"/>
            <w:vAlign w:val="bottom"/>
          </w:tcPr>
          <w:p w:rsidR="00BD5820" w:rsidRDefault="00F64314">
            <w:pPr>
              <w:widowControl/>
              <w:topLinePunct w:val="0"/>
              <w:adjustRightInd/>
              <w:spacing w:line="240" w:lineRule="auto"/>
              <w:ind w:firstLineChars="0" w:firstLine="0"/>
              <w:jc w:val="center"/>
              <w:textAlignment w:val="bottom"/>
              <w:rPr>
                <w:rFonts w:ascii="Times New Roman" w:cs="Times New Roman"/>
                <w:kern w:val="2"/>
                <w:sz w:val="21"/>
                <w:szCs w:val="21"/>
              </w:rPr>
            </w:pPr>
            <w:r>
              <w:rPr>
                <w:rFonts w:ascii="Times New Roman" w:cs="Times New Roman" w:hint="eastAsia"/>
                <w:kern w:val="2"/>
                <w:sz w:val="21"/>
                <w:szCs w:val="21"/>
              </w:rPr>
              <w:t>1330.5</w:t>
            </w:r>
          </w:p>
        </w:tc>
        <w:tc>
          <w:tcPr>
            <w:tcW w:w="1434" w:type="dxa"/>
            <w:vAlign w:val="bottom"/>
          </w:tcPr>
          <w:p w:rsidR="00BD5820" w:rsidRDefault="00F64314">
            <w:pPr>
              <w:widowControl/>
              <w:topLinePunct w:val="0"/>
              <w:adjustRightInd/>
              <w:spacing w:line="240" w:lineRule="auto"/>
              <w:ind w:firstLineChars="0" w:firstLine="0"/>
              <w:jc w:val="center"/>
              <w:textAlignment w:val="bottom"/>
              <w:rPr>
                <w:rFonts w:ascii="Times New Roman" w:cs="Times New Roman"/>
                <w:kern w:val="2"/>
                <w:sz w:val="21"/>
                <w:szCs w:val="21"/>
              </w:rPr>
            </w:pPr>
            <w:r>
              <w:rPr>
                <w:rFonts w:ascii="Times New Roman" w:cs="Times New Roman" w:hint="eastAsia"/>
                <w:kern w:val="2"/>
                <w:sz w:val="21"/>
                <w:szCs w:val="21"/>
              </w:rPr>
              <w:t>1.72</w:t>
            </w:r>
          </w:p>
        </w:tc>
      </w:tr>
      <w:tr w:rsidR="00BD5820">
        <w:trPr>
          <w:trHeight w:val="340"/>
          <w:jc w:val="center"/>
        </w:trPr>
        <w:tc>
          <w:tcPr>
            <w:tcW w:w="1575" w:type="dxa"/>
            <w:vAlign w:val="center"/>
          </w:tcPr>
          <w:p w:rsidR="00BD5820" w:rsidRDefault="00F64314">
            <w:pPr>
              <w:topLinePunct w:val="0"/>
              <w:adjustRightInd/>
              <w:spacing w:line="240" w:lineRule="auto"/>
              <w:ind w:firstLineChars="0" w:firstLine="0"/>
              <w:jc w:val="center"/>
              <w:rPr>
                <w:rFonts w:ascii="Times New Roman" w:cs="Times New Roman"/>
                <w:sz w:val="21"/>
                <w:szCs w:val="21"/>
              </w:rPr>
            </w:pPr>
            <w:r>
              <w:rPr>
                <w:rFonts w:ascii="Times New Roman" w:cs="Times New Roman"/>
                <w:sz w:val="21"/>
                <w:szCs w:val="21"/>
              </w:rPr>
              <w:t>森林植被</w:t>
            </w:r>
          </w:p>
        </w:tc>
        <w:tc>
          <w:tcPr>
            <w:tcW w:w="1570" w:type="dxa"/>
            <w:vAlign w:val="bottom"/>
          </w:tcPr>
          <w:p w:rsidR="00BD5820" w:rsidRDefault="00F64314">
            <w:pPr>
              <w:widowControl/>
              <w:topLinePunct w:val="0"/>
              <w:adjustRightInd/>
              <w:spacing w:line="240" w:lineRule="auto"/>
              <w:ind w:firstLineChars="0" w:firstLine="0"/>
              <w:jc w:val="center"/>
              <w:textAlignment w:val="bottom"/>
              <w:rPr>
                <w:rFonts w:ascii="Times New Roman" w:cs="Times New Roman"/>
                <w:kern w:val="2"/>
                <w:sz w:val="21"/>
                <w:szCs w:val="21"/>
              </w:rPr>
            </w:pPr>
            <w:r>
              <w:rPr>
                <w:rFonts w:ascii="Times New Roman" w:cs="Times New Roman" w:hint="eastAsia"/>
                <w:kern w:val="2"/>
                <w:sz w:val="21"/>
                <w:szCs w:val="21"/>
              </w:rPr>
              <w:t>771.94</w:t>
            </w:r>
          </w:p>
        </w:tc>
        <w:tc>
          <w:tcPr>
            <w:tcW w:w="1740" w:type="dxa"/>
            <w:vAlign w:val="bottom"/>
          </w:tcPr>
          <w:p w:rsidR="00BD5820" w:rsidRDefault="00F64314">
            <w:pPr>
              <w:widowControl/>
              <w:topLinePunct w:val="0"/>
              <w:adjustRightInd/>
              <w:spacing w:line="240" w:lineRule="auto"/>
              <w:ind w:firstLineChars="0" w:firstLine="0"/>
              <w:jc w:val="center"/>
              <w:textAlignment w:val="bottom"/>
              <w:rPr>
                <w:rFonts w:ascii="Times New Roman" w:cs="Times New Roman"/>
                <w:kern w:val="2"/>
                <w:sz w:val="21"/>
                <w:szCs w:val="21"/>
              </w:rPr>
            </w:pPr>
            <w:r>
              <w:rPr>
                <w:rFonts w:ascii="Times New Roman" w:cs="Times New Roman"/>
                <w:kern w:val="2"/>
                <w:sz w:val="21"/>
                <w:szCs w:val="21"/>
              </w:rPr>
              <w:t>89.2</w:t>
            </w:r>
          </w:p>
        </w:tc>
        <w:tc>
          <w:tcPr>
            <w:tcW w:w="1560" w:type="dxa"/>
            <w:vAlign w:val="bottom"/>
          </w:tcPr>
          <w:p w:rsidR="00BD5820" w:rsidRDefault="00F64314">
            <w:pPr>
              <w:widowControl/>
              <w:topLinePunct w:val="0"/>
              <w:adjustRightInd/>
              <w:spacing w:line="240" w:lineRule="auto"/>
              <w:ind w:firstLineChars="0" w:firstLine="0"/>
              <w:jc w:val="center"/>
              <w:textAlignment w:val="bottom"/>
              <w:rPr>
                <w:rFonts w:ascii="Times New Roman" w:cs="Times New Roman"/>
                <w:kern w:val="2"/>
                <w:sz w:val="21"/>
                <w:szCs w:val="21"/>
              </w:rPr>
            </w:pPr>
            <w:r>
              <w:rPr>
                <w:rFonts w:ascii="Times New Roman" w:cs="Times New Roman" w:hint="eastAsia"/>
                <w:kern w:val="2"/>
                <w:sz w:val="21"/>
                <w:szCs w:val="21"/>
              </w:rPr>
              <w:t>68857</w:t>
            </w:r>
          </w:p>
        </w:tc>
        <w:tc>
          <w:tcPr>
            <w:tcW w:w="1434" w:type="dxa"/>
            <w:vAlign w:val="bottom"/>
          </w:tcPr>
          <w:p w:rsidR="00BD5820" w:rsidRDefault="00F64314">
            <w:pPr>
              <w:widowControl/>
              <w:topLinePunct w:val="0"/>
              <w:adjustRightInd/>
              <w:spacing w:line="240" w:lineRule="auto"/>
              <w:ind w:firstLineChars="0" w:firstLine="0"/>
              <w:jc w:val="center"/>
              <w:textAlignment w:val="bottom"/>
              <w:rPr>
                <w:rFonts w:ascii="Times New Roman" w:cs="Times New Roman"/>
                <w:kern w:val="2"/>
                <w:sz w:val="21"/>
                <w:szCs w:val="21"/>
              </w:rPr>
            </w:pPr>
            <w:r>
              <w:rPr>
                <w:rFonts w:ascii="Times New Roman" w:cs="Times New Roman" w:hint="eastAsia"/>
                <w:kern w:val="2"/>
                <w:sz w:val="21"/>
                <w:szCs w:val="21"/>
              </w:rPr>
              <w:t>88.68</w:t>
            </w:r>
          </w:p>
        </w:tc>
      </w:tr>
      <w:tr w:rsidR="00BD5820">
        <w:trPr>
          <w:trHeight w:val="340"/>
          <w:jc w:val="center"/>
        </w:trPr>
        <w:tc>
          <w:tcPr>
            <w:tcW w:w="1575" w:type="dxa"/>
            <w:vAlign w:val="center"/>
          </w:tcPr>
          <w:p w:rsidR="00BD5820" w:rsidRDefault="00F64314">
            <w:pPr>
              <w:topLinePunct w:val="0"/>
              <w:adjustRightInd/>
              <w:spacing w:line="240" w:lineRule="auto"/>
              <w:ind w:firstLineChars="0" w:firstLine="0"/>
              <w:jc w:val="center"/>
              <w:rPr>
                <w:rFonts w:ascii="Times New Roman" w:cs="Times New Roman"/>
                <w:sz w:val="21"/>
                <w:szCs w:val="21"/>
              </w:rPr>
            </w:pPr>
            <w:r>
              <w:rPr>
                <w:rFonts w:ascii="Times New Roman" w:cs="Times New Roman"/>
                <w:sz w:val="21"/>
                <w:szCs w:val="21"/>
              </w:rPr>
              <w:t>灌丛植被</w:t>
            </w:r>
          </w:p>
        </w:tc>
        <w:tc>
          <w:tcPr>
            <w:tcW w:w="1570" w:type="dxa"/>
            <w:vAlign w:val="bottom"/>
          </w:tcPr>
          <w:p w:rsidR="00BD5820" w:rsidRDefault="00F64314">
            <w:pPr>
              <w:widowControl/>
              <w:topLinePunct w:val="0"/>
              <w:adjustRightInd/>
              <w:spacing w:line="240" w:lineRule="auto"/>
              <w:ind w:firstLineChars="0" w:firstLine="0"/>
              <w:jc w:val="center"/>
              <w:textAlignment w:val="bottom"/>
              <w:rPr>
                <w:rFonts w:ascii="Times New Roman" w:cs="Times New Roman"/>
                <w:kern w:val="2"/>
                <w:sz w:val="21"/>
                <w:szCs w:val="21"/>
              </w:rPr>
            </w:pPr>
            <w:r>
              <w:rPr>
                <w:rFonts w:ascii="Times New Roman" w:cs="Times New Roman" w:hint="eastAsia"/>
                <w:kern w:val="2"/>
                <w:sz w:val="21"/>
                <w:szCs w:val="21"/>
              </w:rPr>
              <w:t>268.42</w:t>
            </w:r>
          </w:p>
        </w:tc>
        <w:tc>
          <w:tcPr>
            <w:tcW w:w="1740" w:type="dxa"/>
            <w:vAlign w:val="bottom"/>
          </w:tcPr>
          <w:p w:rsidR="00BD5820" w:rsidRDefault="00F64314">
            <w:pPr>
              <w:widowControl/>
              <w:topLinePunct w:val="0"/>
              <w:adjustRightInd/>
              <w:spacing w:line="240" w:lineRule="auto"/>
              <w:ind w:firstLineChars="0" w:firstLine="0"/>
              <w:jc w:val="center"/>
              <w:textAlignment w:val="bottom"/>
              <w:rPr>
                <w:rFonts w:ascii="Times New Roman" w:cs="Times New Roman"/>
                <w:kern w:val="2"/>
                <w:sz w:val="21"/>
                <w:szCs w:val="21"/>
              </w:rPr>
            </w:pPr>
            <w:r>
              <w:rPr>
                <w:rFonts w:ascii="Times New Roman" w:cs="Times New Roman"/>
                <w:kern w:val="2"/>
                <w:sz w:val="21"/>
                <w:szCs w:val="21"/>
              </w:rPr>
              <w:t>27.58</w:t>
            </w:r>
          </w:p>
        </w:tc>
        <w:tc>
          <w:tcPr>
            <w:tcW w:w="1560" w:type="dxa"/>
            <w:vAlign w:val="bottom"/>
          </w:tcPr>
          <w:p w:rsidR="00BD5820" w:rsidRDefault="00F64314">
            <w:pPr>
              <w:widowControl/>
              <w:topLinePunct w:val="0"/>
              <w:adjustRightInd/>
              <w:spacing w:line="240" w:lineRule="auto"/>
              <w:ind w:firstLineChars="0" w:firstLine="0"/>
              <w:jc w:val="center"/>
              <w:textAlignment w:val="bottom"/>
              <w:rPr>
                <w:rFonts w:ascii="Times New Roman" w:cs="Times New Roman"/>
                <w:kern w:val="2"/>
                <w:sz w:val="21"/>
                <w:szCs w:val="21"/>
              </w:rPr>
            </w:pPr>
            <w:r>
              <w:rPr>
                <w:rFonts w:ascii="Times New Roman" w:cs="Times New Roman" w:hint="eastAsia"/>
                <w:kern w:val="2"/>
                <w:sz w:val="21"/>
                <w:szCs w:val="21"/>
              </w:rPr>
              <w:t>7403</w:t>
            </w:r>
          </w:p>
        </w:tc>
        <w:tc>
          <w:tcPr>
            <w:tcW w:w="1434" w:type="dxa"/>
            <w:vAlign w:val="bottom"/>
          </w:tcPr>
          <w:p w:rsidR="00BD5820" w:rsidRDefault="00F64314">
            <w:pPr>
              <w:widowControl/>
              <w:topLinePunct w:val="0"/>
              <w:adjustRightInd/>
              <w:spacing w:line="240" w:lineRule="auto"/>
              <w:ind w:firstLineChars="0" w:firstLine="0"/>
              <w:jc w:val="center"/>
              <w:textAlignment w:val="bottom"/>
              <w:rPr>
                <w:rFonts w:ascii="Times New Roman" w:cs="Times New Roman"/>
                <w:kern w:val="2"/>
                <w:sz w:val="21"/>
                <w:szCs w:val="21"/>
              </w:rPr>
            </w:pPr>
            <w:r>
              <w:rPr>
                <w:rFonts w:ascii="Times New Roman" w:cs="Times New Roman" w:hint="eastAsia"/>
                <w:kern w:val="2"/>
                <w:sz w:val="21"/>
                <w:szCs w:val="21"/>
              </w:rPr>
              <w:t>9.53</w:t>
            </w:r>
          </w:p>
        </w:tc>
      </w:tr>
      <w:tr w:rsidR="00BD5820">
        <w:trPr>
          <w:trHeight w:val="340"/>
          <w:jc w:val="center"/>
        </w:trPr>
        <w:tc>
          <w:tcPr>
            <w:tcW w:w="1575" w:type="dxa"/>
            <w:vAlign w:val="center"/>
          </w:tcPr>
          <w:p w:rsidR="00BD5820" w:rsidRDefault="00F64314">
            <w:pPr>
              <w:topLinePunct w:val="0"/>
              <w:adjustRightInd/>
              <w:spacing w:line="240" w:lineRule="auto"/>
              <w:ind w:firstLineChars="0" w:firstLine="0"/>
              <w:jc w:val="center"/>
              <w:rPr>
                <w:rFonts w:ascii="Times New Roman" w:cs="Times New Roman"/>
                <w:sz w:val="21"/>
                <w:szCs w:val="21"/>
              </w:rPr>
            </w:pPr>
            <w:r>
              <w:rPr>
                <w:rFonts w:ascii="Times New Roman" w:cs="Times New Roman"/>
                <w:sz w:val="21"/>
                <w:szCs w:val="21"/>
              </w:rPr>
              <w:t>灌草丛植被</w:t>
            </w:r>
          </w:p>
        </w:tc>
        <w:tc>
          <w:tcPr>
            <w:tcW w:w="1570" w:type="dxa"/>
            <w:vAlign w:val="bottom"/>
          </w:tcPr>
          <w:p w:rsidR="00BD5820" w:rsidRDefault="00F64314">
            <w:pPr>
              <w:widowControl/>
              <w:topLinePunct w:val="0"/>
              <w:adjustRightInd/>
              <w:spacing w:line="240" w:lineRule="auto"/>
              <w:ind w:firstLineChars="0" w:firstLine="0"/>
              <w:jc w:val="center"/>
              <w:textAlignment w:val="bottom"/>
              <w:rPr>
                <w:rFonts w:ascii="Times New Roman" w:cs="Times New Roman"/>
                <w:kern w:val="2"/>
                <w:sz w:val="21"/>
                <w:szCs w:val="21"/>
              </w:rPr>
            </w:pPr>
            <w:r>
              <w:rPr>
                <w:rFonts w:ascii="Times New Roman" w:cs="Times New Roman" w:hint="eastAsia"/>
                <w:kern w:val="2"/>
                <w:sz w:val="21"/>
                <w:szCs w:val="21"/>
              </w:rPr>
              <w:t>2.17</w:t>
            </w:r>
          </w:p>
        </w:tc>
        <w:tc>
          <w:tcPr>
            <w:tcW w:w="1740" w:type="dxa"/>
            <w:vAlign w:val="bottom"/>
          </w:tcPr>
          <w:p w:rsidR="00BD5820" w:rsidRDefault="00F64314">
            <w:pPr>
              <w:widowControl/>
              <w:topLinePunct w:val="0"/>
              <w:adjustRightInd/>
              <w:spacing w:line="240" w:lineRule="auto"/>
              <w:ind w:firstLineChars="0" w:firstLine="0"/>
              <w:jc w:val="center"/>
              <w:textAlignment w:val="bottom"/>
              <w:rPr>
                <w:rFonts w:ascii="Times New Roman" w:cs="Times New Roman"/>
                <w:kern w:val="2"/>
                <w:sz w:val="21"/>
                <w:szCs w:val="21"/>
              </w:rPr>
            </w:pPr>
            <w:r>
              <w:rPr>
                <w:rFonts w:ascii="Times New Roman" w:cs="Times New Roman"/>
                <w:kern w:val="2"/>
                <w:sz w:val="21"/>
                <w:szCs w:val="21"/>
              </w:rPr>
              <w:t>7.66</w:t>
            </w:r>
          </w:p>
        </w:tc>
        <w:tc>
          <w:tcPr>
            <w:tcW w:w="1560" w:type="dxa"/>
            <w:vAlign w:val="bottom"/>
          </w:tcPr>
          <w:p w:rsidR="00BD5820" w:rsidRDefault="00F64314">
            <w:pPr>
              <w:widowControl/>
              <w:topLinePunct w:val="0"/>
              <w:adjustRightInd/>
              <w:spacing w:line="240" w:lineRule="auto"/>
              <w:ind w:firstLineChars="0" w:firstLine="0"/>
              <w:jc w:val="center"/>
              <w:textAlignment w:val="bottom"/>
              <w:rPr>
                <w:rFonts w:ascii="Times New Roman" w:cs="Times New Roman"/>
                <w:kern w:val="2"/>
                <w:sz w:val="21"/>
                <w:szCs w:val="21"/>
              </w:rPr>
            </w:pPr>
            <w:r>
              <w:rPr>
                <w:rFonts w:ascii="Times New Roman" w:cs="Times New Roman" w:hint="eastAsia"/>
                <w:kern w:val="2"/>
                <w:sz w:val="21"/>
                <w:szCs w:val="21"/>
              </w:rPr>
              <w:t>16.6</w:t>
            </w:r>
          </w:p>
        </w:tc>
        <w:tc>
          <w:tcPr>
            <w:tcW w:w="1434" w:type="dxa"/>
            <w:vAlign w:val="bottom"/>
          </w:tcPr>
          <w:p w:rsidR="00BD5820" w:rsidRDefault="00F64314">
            <w:pPr>
              <w:widowControl/>
              <w:topLinePunct w:val="0"/>
              <w:adjustRightInd/>
              <w:spacing w:line="240" w:lineRule="auto"/>
              <w:ind w:firstLineChars="0" w:firstLine="0"/>
              <w:jc w:val="center"/>
              <w:textAlignment w:val="bottom"/>
              <w:rPr>
                <w:rFonts w:ascii="Times New Roman" w:cs="Times New Roman"/>
                <w:kern w:val="2"/>
                <w:sz w:val="21"/>
                <w:szCs w:val="21"/>
              </w:rPr>
            </w:pPr>
            <w:r>
              <w:rPr>
                <w:rFonts w:ascii="Times New Roman" w:cs="Times New Roman" w:hint="eastAsia"/>
                <w:kern w:val="2"/>
                <w:sz w:val="21"/>
                <w:szCs w:val="21"/>
              </w:rPr>
              <w:t>0.02</w:t>
            </w:r>
          </w:p>
        </w:tc>
      </w:tr>
      <w:tr w:rsidR="00BD5820">
        <w:trPr>
          <w:trHeight w:val="340"/>
          <w:jc w:val="center"/>
        </w:trPr>
        <w:tc>
          <w:tcPr>
            <w:tcW w:w="1575" w:type="dxa"/>
            <w:vAlign w:val="center"/>
          </w:tcPr>
          <w:p w:rsidR="00BD5820" w:rsidRDefault="00F64314">
            <w:pPr>
              <w:topLinePunct w:val="0"/>
              <w:adjustRightInd/>
              <w:spacing w:line="240" w:lineRule="auto"/>
              <w:ind w:firstLineChars="0" w:firstLine="0"/>
              <w:jc w:val="center"/>
              <w:rPr>
                <w:rFonts w:ascii="Times New Roman" w:cs="Times New Roman"/>
                <w:sz w:val="21"/>
                <w:szCs w:val="21"/>
              </w:rPr>
            </w:pPr>
            <w:r>
              <w:rPr>
                <w:rFonts w:ascii="Times New Roman" w:cs="Times New Roman"/>
                <w:sz w:val="21"/>
                <w:szCs w:val="21"/>
              </w:rPr>
              <w:t>合计</w:t>
            </w:r>
          </w:p>
        </w:tc>
        <w:tc>
          <w:tcPr>
            <w:tcW w:w="1570" w:type="dxa"/>
            <w:vAlign w:val="bottom"/>
          </w:tcPr>
          <w:p w:rsidR="00BD5820" w:rsidRDefault="00F64314">
            <w:pPr>
              <w:widowControl/>
              <w:topLinePunct w:val="0"/>
              <w:adjustRightInd/>
              <w:spacing w:line="240" w:lineRule="auto"/>
              <w:ind w:firstLineChars="0" w:firstLine="0"/>
              <w:jc w:val="center"/>
              <w:textAlignment w:val="bottom"/>
              <w:rPr>
                <w:rFonts w:ascii="Times New Roman" w:cs="Times New Roman"/>
                <w:kern w:val="2"/>
                <w:sz w:val="21"/>
                <w:szCs w:val="21"/>
              </w:rPr>
            </w:pPr>
            <w:r>
              <w:rPr>
                <w:rFonts w:ascii="Times New Roman" w:cs="Times New Roman" w:hint="eastAsia"/>
                <w:kern w:val="2"/>
                <w:sz w:val="21"/>
                <w:szCs w:val="21"/>
              </w:rPr>
              <w:t>1175.23</w:t>
            </w:r>
          </w:p>
        </w:tc>
        <w:tc>
          <w:tcPr>
            <w:tcW w:w="1740" w:type="dxa"/>
            <w:vAlign w:val="bottom"/>
          </w:tcPr>
          <w:p w:rsidR="00BD5820" w:rsidRDefault="00BD5820">
            <w:pPr>
              <w:topLinePunct w:val="0"/>
              <w:adjustRightInd/>
              <w:spacing w:line="240" w:lineRule="auto"/>
              <w:ind w:firstLineChars="0" w:firstLine="0"/>
              <w:jc w:val="center"/>
              <w:rPr>
                <w:rFonts w:ascii="Times New Roman" w:cs="Times New Roman"/>
                <w:kern w:val="2"/>
                <w:sz w:val="21"/>
                <w:szCs w:val="21"/>
              </w:rPr>
            </w:pPr>
          </w:p>
        </w:tc>
        <w:tc>
          <w:tcPr>
            <w:tcW w:w="1560" w:type="dxa"/>
            <w:vAlign w:val="bottom"/>
          </w:tcPr>
          <w:p w:rsidR="00BD5820" w:rsidRDefault="00F64314">
            <w:pPr>
              <w:widowControl/>
              <w:topLinePunct w:val="0"/>
              <w:adjustRightInd/>
              <w:spacing w:line="240" w:lineRule="auto"/>
              <w:ind w:firstLineChars="0" w:firstLine="0"/>
              <w:jc w:val="center"/>
              <w:textAlignment w:val="bottom"/>
              <w:rPr>
                <w:rFonts w:ascii="Times New Roman" w:cs="Times New Roman"/>
                <w:kern w:val="2"/>
                <w:sz w:val="21"/>
                <w:szCs w:val="21"/>
              </w:rPr>
            </w:pPr>
            <w:r>
              <w:rPr>
                <w:rFonts w:ascii="Times New Roman" w:cs="Times New Roman" w:hint="eastAsia"/>
                <w:kern w:val="2"/>
                <w:sz w:val="21"/>
                <w:szCs w:val="21"/>
              </w:rPr>
              <w:t>77645.5</w:t>
            </w:r>
          </w:p>
        </w:tc>
        <w:tc>
          <w:tcPr>
            <w:tcW w:w="1434" w:type="dxa"/>
            <w:vAlign w:val="bottom"/>
          </w:tcPr>
          <w:p w:rsidR="00BD5820" w:rsidRDefault="00F64314">
            <w:pPr>
              <w:widowControl/>
              <w:topLinePunct w:val="0"/>
              <w:adjustRightInd/>
              <w:spacing w:line="240" w:lineRule="auto"/>
              <w:ind w:firstLineChars="0" w:firstLine="0"/>
              <w:jc w:val="center"/>
              <w:textAlignment w:val="bottom"/>
              <w:rPr>
                <w:rFonts w:ascii="Times New Roman" w:cs="Times New Roman"/>
                <w:kern w:val="2"/>
                <w:sz w:val="21"/>
                <w:szCs w:val="21"/>
              </w:rPr>
            </w:pPr>
            <w:r>
              <w:rPr>
                <w:rFonts w:ascii="Times New Roman" w:cs="Times New Roman"/>
                <w:kern w:val="2"/>
                <w:sz w:val="21"/>
                <w:szCs w:val="21"/>
              </w:rPr>
              <w:t xml:space="preserve">100 </w:t>
            </w:r>
          </w:p>
        </w:tc>
      </w:tr>
    </w:tbl>
    <w:p w:rsidR="00BD5820" w:rsidRDefault="00F64314">
      <w:pPr>
        <w:pStyle w:val="affa"/>
        <w:ind w:firstLine="480"/>
      </w:pPr>
      <w:r>
        <w:t>由表</w:t>
      </w:r>
      <w:r>
        <w:rPr>
          <w:rFonts w:hint="eastAsia"/>
        </w:rPr>
        <w:t>5.2</w:t>
      </w:r>
      <w:r>
        <w:t>-</w:t>
      </w:r>
      <w:r>
        <w:rPr>
          <w:rFonts w:hint="eastAsia"/>
        </w:rPr>
        <w:t>13</w:t>
      </w:r>
      <w:r>
        <w:t>可知，在评价范围内植物总生物量中，森林植被生物量所占比重最大，达到</w:t>
      </w:r>
      <w:r>
        <w:rPr>
          <w:rFonts w:hint="eastAsia"/>
        </w:rPr>
        <w:t>88.68</w:t>
      </w:r>
      <w:r>
        <w:t>%</w:t>
      </w:r>
      <w:r>
        <w:t>，可见森林植被对区域生物量的贡献之大，同时也表明森林植被是本评价区域最重要的生态系统，森林生态效益不可忽视，在维持区域生态平衡方面有绝对的意义。</w:t>
      </w:r>
    </w:p>
    <w:p w:rsidR="00BD5820" w:rsidRDefault="00F64314">
      <w:pPr>
        <w:pStyle w:val="3"/>
        <w:rPr>
          <w:rFonts w:eastAsia="宋体"/>
        </w:rPr>
      </w:pPr>
      <w:r>
        <w:rPr>
          <w:rFonts w:eastAsia="宋体"/>
        </w:rPr>
        <w:t>5.2.6</w:t>
      </w:r>
      <w:r>
        <w:rPr>
          <w:rFonts w:eastAsia="宋体"/>
          <w:bCs/>
        </w:rPr>
        <w:t>景观生态体系现状调查</w:t>
      </w:r>
    </w:p>
    <w:p w:rsidR="00BD5820" w:rsidRDefault="00F64314">
      <w:pPr>
        <w:topLinePunct w:val="0"/>
        <w:snapToGrid w:val="0"/>
        <w:ind w:firstLineChars="0" w:firstLine="482"/>
        <w:rPr>
          <w:rFonts w:ascii="Times New Roman" w:cs="Times New Roman"/>
          <w:kern w:val="2"/>
        </w:rPr>
      </w:pPr>
      <w:r>
        <w:rPr>
          <w:rFonts w:ascii="Times New Roman" w:cs="Times New Roman"/>
          <w:kern w:val="2"/>
        </w:rPr>
        <w:t>景观（</w:t>
      </w:r>
      <w:r>
        <w:rPr>
          <w:rFonts w:ascii="Times New Roman" w:cs="Times New Roman"/>
          <w:kern w:val="2"/>
        </w:rPr>
        <w:t>Landscape</w:t>
      </w:r>
      <w:r>
        <w:rPr>
          <w:rFonts w:ascii="Times New Roman" w:cs="Times New Roman"/>
          <w:kern w:val="2"/>
        </w:rPr>
        <w:t>）的定义有多种表述，但大部分都是反映内陆地形、地貌或景色的，或是反映某一地理区域的综合地形特征。而景观生态学（</w:t>
      </w:r>
      <w:r>
        <w:rPr>
          <w:rFonts w:ascii="Times New Roman" w:cs="Times New Roman"/>
          <w:kern w:val="2"/>
        </w:rPr>
        <w:t>LandscapeEcology</w:t>
      </w:r>
      <w:r>
        <w:rPr>
          <w:rFonts w:ascii="Times New Roman" w:cs="Times New Roman"/>
          <w:kern w:val="2"/>
        </w:rPr>
        <w:t>）将景观定义为：</w:t>
      </w:r>
      <w:r>
        <w:rPr>
          <w:rFonts w:ascii="Times New Roman" w:cs="Times New Roman"/>
          <w:kern w:val="2"/>
        </w:rPr>
        <w:t>“</w:t>
      </w:r>
      <w:r>
        <w:rPr>
          <w:rFonts w:ascii="Times New Roman" w:cs="Times New Roman"/>
          <w:kern w:val="2"/>
        </w:rPr>
        <w:t>一个空间异质性的区域，由相互作用的拼块（</w:t>
      </w:r>
      <w:r>
        <w:rPr>
          <w:rFonts w:ascii="Times New Roman" w:cs="Times New Roman"/>
          <w:kern w:val="2"/>
        </w:rPr>
        <w:t>patch</w:t>
      </w:r>
      <w:r>
        <w:rPr>
          <w:rFonts w:ascii="Times New Roman" w:cs="Times New Roman"/>
          <w:kern w:val="2"/>
        </w:rPr>
        <w:t>）或生态系统组成，以相似的形式重复出现的生态体系</w:t>
      </w:r>
      <w:r>
        <w:rPr>
          <w:rFonts w:ascii="Times New Roman" w:cs="Times New Roman"/>
          <w:kern w:val="2"/>
        </w:rPr>
        <w:t>”</w:t>
      </w:r>
      <w:r>
        <w:rPr>
          <w:rFonts w:ascii="Times New Roman" w:cs="Times New Roman"/>
          <w:kern w:val="2"/>
        </w:rPr>
        <w:t>。为了深入认识评价范围内的环境特征，下面用景观生态学的原理和方法来研究生态体系的组成、特征、生产力及其稳定性。</w:t>
      </w:r>
    </w:p>
    <w:p w:rsidR="00BD5820" w:rsidRDefault="00F64314">
      <w:pPr>
        <w:topLinePunct w:val="0"/>
        <w:adjustRightInd/>
        <w:spacing w:line="480" w:lineRule="exact"/>
        <w:ind w:firstLine="482"/>
        <w:rPr>
          <w:rFonts w:ascii="Times New Roman" w:cs="Times New Roman"/>
          <w:b/>
          <w:bCs/>
          <w:kern w:val="2"/>
        </w:rPr>
      </w:pPr>
      <w:r>
        <w:rPr>
          <w:rFonts w:ascii="Times New Roman" w:cs="Times New Roman"/>
          <w:b/>
          <w:bCs/>
          <w:kern w:val="2"/>
        </w:rPr>
        <w:t>1</w:t>
      </w:r>
      <w:r>
        <w:rPr>
          <w:rFonts w:ascii="Times New Roman" w:cs="Times New Roman"/>
          <w:b/>
          <w:bCs/>
          <w:kern w:val="2"/>
        </w:rPr>
        <w:t>、景观生态体系组成与特征</w:t>
      </w:r>
    </w:p>
    <w:p w:rsidR="00BD5820" w:rsidRDefault="00F64314" w:rsidP="00511129">
      <w:pPr>
        <w:topLinePunct w:val="0"/>
        <w:snapToGrid w:val="0"/>
        <w:spacing w:beforeLines="50"/>
        <w:ind w:firstLineChars="0" w:firstLine="482"/>
        <w:rPr>
          <w:rFonts w:ascii="Times New Roman" w:cs="Times New Roman"/>
        </w:rPr>
      </w:pPr>
      <w:r>
        <w:rPr>
          <w:rFonts w:ascii="Times New Roman" w:cs="Times New Roman"/>
          <w:kern w:val="2"/>
        </w:rPr>
        <w:t>按照生态学中景观的概念描述可知，景观生态体系的组成即生态系统或土地利</w:t>
      </w:r>
      <w:r>
        <w:rPr>
          <w:rFonts w:ascii="Times New Roman" w:cs="Times New Roman"/>
        </w:rPr>
        <w:t>用类型组成，因而可以用评价范围内的主要土地利用类型</w:t>
      </w:r>
      <w:r>
        <w:rPr>
          <w:rFonts w:ascii="Times New Roman" w:cs="Times New Roman"/>
        </w:rPr>
        <w:t>——</w:t>
      </w:r>
      <w:r>
        <w:rPr>
          <w:rFonts w:ascii="Times New Roman" w:cs="Times New Roman"/>
        </w:rPr>
        <w:t>森林、灌丛、灌草丛、耕地、河流水面、建设用地等生态系统作为景观体系的基本单元</w:t>
      </w:r>
      <w:r>
        <w:rPr>
          <w:rFonts w:ascii="Times New Roman" w:cs="Times New Roman"/>
        </w:rPr>
        <w:t>——</w:t>
      </w:r>
      <w:r>
        <w:rPr>
          <w:rFonts w:ascii="Times New Roman" w:cs="Times New Roman"/>
        </w:rPr>
        <w:t>拼块</w:t>
      </w:r>
      <w:r>
        <w:rPr>
          <w:rFonts w:ascii="Times New Roman" w:cs="Times New Roman"/>
        </w:rPr>
        <w:lastRenderedPageBreak/>
        <w:t>来进行景观分析。</w:t>
      </w:r>
    </w:p>
    <w:p w:rsidR="00BD5820" w:rsidRDefault="00F64314">
      <w:pPr>
        <w:topLinePunct w:val="0"/>
        <w:snapToGrid w:val="0"/>
        <w:ind w:firstLineChars="0" w:firstLine="482"/>
        <w:rPr>
          <w:rFonts w:ascii="Times New Roman" w:cs="Times New Roman"/>
          <w:kern w:val="2"/>
        </w:rPr>
      </w:pPr>
      <w:r>
        <w:rPr>
          <w:rFonts w:ascii="Times New Roman" w:cs="Times New Roman"/>
          <w:kern w:val="2"/>
        </w:rPr>
        <w:t>（</w:t>
      </w:r>
      <w:r>
        <w:rPr>
          <w:rFonts w:ascii="Times New Roman" w:cs="Times New Roman"/>
          <w:kern w:val="2"/>
        </w:rPr>
        <w:t>1</w:t>
      </w:r>
      <w:r>
        <w:rPr>
          <w:rFonts w:ascii="Times New Roman" w:cs="Times New Roman"/>
          <w:kern w:val="2"/>
        </w:rPr>
        <w:t>）</w:t>
      </w:r>
      <w:r>
        <w:rPr>
          <w:rFonts w:ascii="Times New Roman" w:cs="Times New Roman" w:hint="eastAsia"/>
          <w:kern w:val="2"/>
        </w:rPr>
        <w:t>马尾松、柏木</w:t>
      </w:r>
      <w:r>
        <w:rPr>
          <w:rFonts w:ascii="Times New Roman" w:cs="Times New Roman"/>
          <w:kern w:val="2"/>
        </w:rPr>
        <w:t>、</w:t>
      </w:r>
      <w:r>
        <w:rPr>
          <w:rFonts w:ascii="Times New Roman" w:cs="Times New Roman" w:hint="eastAsia"/>
          <w:kern w:val="2"/>
        </w:rPr>
        <w:t>麻栎、青冈、栓皮栎、枫香、响叶杨</w:t>
      </w:r>
      <w:r>
        <w:rPr>
          <w:rFonts w:ascii="Times New Roman" w:cs="Times New Roman"/>
          <w:kern w:val="2"/>
        </w:rPr>
        <w:t>及乔木经济树种等为主的森林拼块属于人工栽培或干预后经过一段时间自然生长发育形成，具有一定人工性，属于环境资源拼块。该拼块成片分布，连通程度较高。该拼块面积为</w:t>
      </w:r>
      <w:r>
        <w:rPr>
          <w:rFonts w:ascii="Times New Roman" w:cs="Times New Roman" w:hint="eastAsia"/>
          <w:kern w:val="2"/>
        </w:rPr>
        <w:t>771.94hm</w:t>
      </w:r>
      <w:r>
        <w:rPr>
          <w:rFonts w:ascii="Times New Roman" w:cs="Times New Roman"/>
          <w:kern w:val="2"/>
        </w:rPr>
        <w:t>²</w:t>
      </w:r>
      <w:r>
        <w:rPr>
          <w:rFonts w:ascii="Times New Roman" w:cs="Times New Roman"/>
          <w:kern w:val="2"/>
        </w:rPr>
        <w:t>，约占评价区域总面积的</w:t>
      </w:r>
      <w:r>
        <w:rPr>
          <w:rFonts w:ascii="Times New Roman" w:cs="Times New Roman" w:hint="eastAsia"/>
          <w:kern w:val="2"/>
        </w:rPr>
        <w:t>61.42</w:t>
      </w:r>
      <w:r>
        <w:rPr>
          <w:rFonts w:ascii="Times New Roman" w:cs="Times New Roman"/>
          <w:kern w:val="2"/>
        </w:rPr>
        <w:t>%</w:t>
      </w:r>
      <w:r>
        <w:rPr>
          <w:rFonts w:ascii="Times New Roman" w:cs="Times New Roman"/>
          <w:kern w:val="2"/>
        </w:rPr>
        <w:t>，是评价区内较最重要的景观拼块，对评价区内生态起着绝对作用。</w:t>
      </w:r>
    </w:p>
    <w:p w:rsidR="00BD5820" w:rsidRDefault="00F64314">
      <w:pPr>
        <w:topLinePunct w:val="0"/>
        <w:snapToGrid w:val="0"/>
        <w:ind w:firstLineChars="0" w:firstLine="482"/>
        <w:rPr>
          <w:rFonts w:ascii="Times New Roman" w:cs="Times New Roman"/>
          <w:kern w:val="2"/>
        </w:rPr>
      </w:pPr>
      <w:r>
        <w:rPr>
          <w:rFonts w:ascii="Times New Roman" w:cs="Times New Roman"/>
          <w:kern w:val="2"/>
        </w:rPr>
        <w:t>（</w:t>
      </w:r>
      <w:r>
        <w:rPr>
          <w:rFonts w:ascii="Times New Roman" w:cs="Times New Roman"/>
          <w:kern w:val="2"/>
        </w:rPr>
        <w:t>2</w:t>
      </w:r>
      <w:r>
        <w:rPr>
          <w:rFonts w:ascii="Times New Roman" w:cs="Times New Roman"/>
          <w:kern w:val="2"/>
        </w:rPr>
        <w:t>）</w:t>
      </w:r>
      <w:r>
        <w:rPr>
          <w:rFonts w:ascii="Times New Roman" w:cs="Times New Roman" w:hint="eastAsia"/>
          <w:kern w:val="2"/>
        </w:rPr>
        <w:t>槲栎、马桑、黄荆、火棘、荚蒾、盐肤木</w:t>
      </w:r>
      <w:r>
        <w:rPr>
          <w:rFonts w:ascii="Times New Roman" w:cs="Times New Roman"/>
          <w:kern w:val="2"/>
        </w:rPr>
        <w:t>及灌木经济树种等为主的灌丛拼块属于人类活动影响下形成的干扰拼块，多分布在林地边缘地带或荒坡田坎，由于人类活动频繁，受干扰程度高，水土流失和生物多样性受损较严重。该拼块面积为</w:t>
      </w:r>
      <w:r>
        <w:rPr>
          <w:rFonts w:ascii="Times New Roman" w:cs="Times New Roman" w:hint="eastAsia"/>
          <w:kern w:val="2"/>
        </w:rPr>
        <w:t>268.42hm</w:t>
      </w:r>
      <w:r>
        <w:rPr>
          <w:rFonts w:ascii="Times New Roman" w:cs="Times New Roman"/>
          <w:kern w:val="2"/>
        </w:rPr>
        <w:t>²</w:t>
      </w:r>
      <w:r>
        <w:rPr>
          <w:rFonts w:ascii="Times New Roman" w:cs="Times New Roman"/>
          <w:kern w:val="2"/>
        </w:rPr>
        <w:t>，占评价区域总面积的</w:t>
      </w:r>
      <w:r>
        <w:rPr>
          <w:rFonts w:ascii="Times New Roman" w:cs="Times New Roman" w:hint="eastAsia"/>
        </w:rPr>
        <w:t>21.36</w:t>
      </w:r>
      <w:r>
        <w:rPr>
          <w:rFonts w:ascii="Times New Roman" w:cs="Times New Roman"/>
          <w:kern w:val="2"/>
        </w:rPr>
        <w:t>%</w:t>
      </w:r>
      <w:r>
        <w:rPr>
          <w:rFonts w:ascii="Times New Roman" w:cs="Times New Roman"/>
          <w:kern w:val="2"/>
        </w:rPr>
        <w:t>，是评价区内重要的拼块之一。</w:t>
      </w:r>
    </w:p>
    <w:p w:rsidR="00BD5820" w:rsidRDefault="00F64314">
      <w:pPr>
        <w:topLinePunct w:val="0"/>
        <w:snapToGrid w:val="0"/>
        <w:ind w:firstLineChars="0" w:firstLine="482"/>
        <w:rPr>
          <w:rFonts w:ascii="Times New Roman" w:cs="Times New Roman"/>
          <w:kern w:val="2"/>
        </w:rPr>
      </w:pPr>
      <w:r>
        <w:rPr>
          <w:rFonts w:ascii="Times New Roman" w:cs="Times New Roman"/>
          <w:kern w:val="2"/>
        </w:rPr>
        <w:t>（</w:t>
      </w:r>
      <w:r>
        <w:rPr>
          <w:rFonts w:ascii="Times New Roman" w:cs="Times New Roman"/>
          <w:kern w:val="2"/>
        </w:rPr>
        <w:t>3</w:t>
      </w:r>
      <w:r>
        <w:rPr>
          <w:rFonts w:ascii="Times New Roman" w:cs="Times New Roman"/>
          <w:kern w:val="2"/>
        </w:rPr>
        <w:t>）</w:t>
      </w:r>
      <w:r>
        <w:rPr>
          <w:rFonts w:ascii="Times New Roman" w:cs="Times New Roman" w:hint="eastAsia"/>
          <w:kern w:val="2"/>
        </w:rPr>
        <w:t>白茅、五节芒、芒、芒萁、野古草、斑茅、蕨</w:t>
      </w:r>
      <w:r>
        <w:rPr>
          <w:rFonts w:ascii="Times New Roman" w:cs="Times New Roman"/>
          <w:kern w:val="2"/>
        </w:rPr>
        <w:t>等为主的灌草丛拼块</w:t>
      </w:r>
    </w:p>
    <w:p w:rsidR="00BD5820" w:rsidRDefault="00F64314">
      <w:pPr>
        <w:topLinePunct w:val="0"/>
        <w:snapToGrid w:val="0"/>
        <w:ind w:firstLineChars="0" w:firstLine="482"/>
        <w:rPr>
          <w:rFonts w:ascii="Times New Roman" w:cs="Times New Roman"/>
          <w:kern w:val="2"/>
        </w:rPr>
      </w:pPr>
      <w:r>
        <w:rPr>
          <w:rFonts w:ascii="Times New Roman" w:cs="Times New Roman"/>
          <w:kern w:val="2"/>
        </w:rPr>
        <w:t>属于人类活动影响下形成的干扰拼块，分布广泛，由于人类活动频繁，受干扰程度高，水土流失和生物多样性受损较严重。该拼块面积为</w:t>
      </w:r>
      <w:r>
        <w:rPr>
          <w:rFonts w:ascii="Times New Roman" w:cs="Times New Roman" w:hint="eastAsia"/>
          <w:kern w:val="2"/>
        </w:rPr>
        <w:t>2.17hm</w:t>
      </w:r>
      <w:r>
        <w:rPr>
          <w:rFonts w:ascii="Times New Roman" w:cs="Times New Roman"/>
          <w:kern w:val="2"/>
        </w:rPr>
        <w:t>²</w:t>
      </w:r>
      <w:r>
        <w:rPr>
          <w:rFonts w:ascii="Times New Roman" w:cs="Times New Roman"/>
          <w:kern w:val="2"/>
        </w:rPr>
        <w:t>，占评价区总面积的</w:t>
      </w:r>
      <w:r>
        <w:rPr>
          <w:rFonts w:ascii="Times New Roman" w:cs="Times New Roman" w:hint="eastAsia"/>
        </w:rPr>
        <w:t>0.17</w:t>
      </w:r>
      <w:r>
        <w:rPr>
          <w:rFonts w:ascii="Times New Roman" w:cs="Times New Roman"/>
          <w:kern w:val="2"/>
        </w:rPr>
        <w:t>%</w:t>
      </w:r>
      <w:r>
        <w:rPr>
          <w:rFonts w:ascii="Times New Roman" w:cs="Times New Roman"/>
          <w:kern w:val="2"/>
        </w:rPr>
        <w:t>。</w:t>
      </w:r>
    </w:p>
    <w:p w:rsidR="00BD5820" w:rsidRDefault="00F64314">
      <w:pPr>
        <w:topLinePunct w:val="0"/>
        <w:snapToGrid w:val="0"/>
        <w:ind w:firstLineChars="0" w:firstLine="482"/>
        <w:rPr>
          <w:rFonts w:ascii="Times New Roman" w:cs="Times New Roman"/>
          <w:kern w:val="2"/>
        </w:rPr>
      </w:pPr>
      <w:r>
        <w:rPr>
          <w:rFonts w:ascii="Times New Roman" w:cs="Times New Roman"/>
          <w:kern w:val="2"/>
        </w:rPr>
        <w:t>（</w:t>
      </w:r>
      <w:r>
        <w:rPr>
          <w:rFonts w:ascii="Times New Roman" w:cs="Times New Roman"/>
          <w:kern w:val="2"/>
        </w:rPr>
        <w:t>4</w:t>
      </w:r>
      <w:r>
        <w:rPr>
          <w:rFonts w:ascii="Times New Roman" w:cs="Times New Roman"/>
          <w:kern w:val="2"/>
        </w:rPr>
        <w:t>）以</w:t>
      </w:r>
      <w:r>
        <w:rPr>
          <w:rFonts w:ascii="Times New Roman" w:cs="Times New Roman" w:hint="eastAsia"/>
          <w:kern w:val="2"/>
        </w:rPr>
        <w:t>水稻、玉米、红苕、棉花、花生、小麦、马铃薯、豌豆</w:t>
      </w:r>
      <w:r>
        <w:rPr>
          <w:rFonts w:ascii="Times New Roman" w:cs="Times New Roman"/>
          <w:kern w:val="2"/>
        </w:rPr>
        <w:t>为主的耕地植被拼块</w:t>
      </w:r>
    </w:p>
    <w:p w:rsidR="00BD5820" w:rsidRDefault="00F64314">
      <w:pPr>
        <w:topLinePunct w:val="0"/>
        <w:snapToGrid w:val="0"/>
        <w:ind w:firstLineChars="0" w:firstLine="482"/>
        <w:rPr>
          <w:rFonts w:ascii="Times New Roman" w:cs="Times New Roman"/>
          <w:kern w:val="2"/>
        </w:rPr>
      </w:pPr>
      <w:r>
        <w:rPr>
          <w:rFonts w:ascii="Times New Roman" w:cs="Times New Roman"/>
          <w:kern w:val="2"/>
        </w:rPr>
        <w:t>属于人工引进的种植拼块。该拼块的生境、外貌及结构与水田均有明显区别，其生境一般比较干燥，地面具有一定坡度，作物种类比较多样化，并形成多种组合。该拼块面积为</w:t>
      </w:r>
      <w:r>
        <w:rPr>
          <w:rFonts w:ascii="Times New Roman" w:cs="Times New Roman" w:hint="eastAsia"/>
        </w:rPr>
        <w:t>132.7</w:t>
      </w:r>
      <w:r>
        <w:rPr>
          <w:rFonts w:ascii="Times New Roman" w:cs="Times New Roman" w:hint="eastAsia"/>
          <w:kern w:val="2"/>
        </w:rPr>
        <w:t>hm</w:t>
      </w:r>
      <w:r>
        <w:rPr>
          <w:rFonts w:ascii="Times New Roman" w:cs="Times New Roman"/>
          <w:kern w:val="2"/>
        </w:rPr>
        <w:t>²</w:t>
      </w:r>
      <w:r>
        <w:rPr>
          <w:rFonts w:ascii="Times New Roman" w:cs="Times New Roman"/>
          <w:kern w:val="2"/>
        </w:rPr>
        <w:t>，占评价区面积的</w:t>
      </w:r>
      <w:r>
        <w:rPr>
          <w:rFonts w:ascii="Times New Roman" w:cs="Times New Roman" w:hint="eastAsia"/>
        </w:rPr>
        <w:t>10.56</w:t>
      </w:r>
      <w:r>
        <w:rPr>
          <w:rFonts w:ascii="Times New Roman" w:cs="Times New Roman"/>
          <w:kern w:val="2"/>
        </w:rPr>
        <w:t>%</w:t>
      </w:r>
      <w:r>
        <w:rPr>
          <w:rFonts w:ascii="Times New Roman" w:cs="Times New Roman"/>
          <w:kern w:val="2"/>
        </w:rPr>
        <w:t>。</w:t>
      </w:r>
    </w:p>
    <w:p w:rsidR="00BD5820" w:rsidRDefault="00F64314">
      <w:pPr>
        <w:topLinePunct w:val="0"/>
        <w:snapToGrid w:val="0"/>
        <w:ind w:firstLineChars="0" w:firstLine="482"/>
        <w:rPr>
          <w:rFonts w:ascii="Times New Roman" w:cs="Times New Roman"/>
          <w:kern w:val="2"/>
        </w:rPr>
      </w:pPr>
      <w:r>
        <w:rPr>
          <w:rFonts w:ascii="Times New Roman" w:cs="Times New Roman"/>
          <w:kern w:val="2"/>
        </w:rPr>
        <w:t>（</w:t>
      </w:r>
      <w:r>
        <w:rPr>
          <w:rFonts w:ascii="Times New Roman" w:cs="Times New Roman"/>
          <w:kern w:val="2"/>
        </w:rPr>
        <w:t>5</w:t>
      </w:r>
      <w:r>
        <w:rPr>
          <w:rFonts w:ascii="Times New Roman" w:cs="Times New Roman"/>
          <w:kern w:val="2"/>
        </w:rPr>
        <w:t>）以河流水面等为主的水面拼块</w:t>
      </w:r>
    </w:p>
    <w:p w:rsidR="00BD5820" w:rsidRDefault="00F64314">
      <w:pPr>
        <w:topLinePunct w:val="0"/>
        <w:snapToGrid w:val="0"/>
        <w:ind w:firstLineChars="0" w:firstLine="482"/>
        <w:rPr>
          <w:rFonts w:ascii="Times New Roman" w:cs="Times New Roman"/>
          <w:kern w:val="2"/>
        </w:rPr>
      </w:pPr>
      <w:r>
        <w:rPr>
          <w:rFonts w:ascii="Times New Roman" w:cs="Times New Roman"/>
          <w:kern w:val="2"/>
        </w:rPr>
        <w:t>为自然或人工形成的水生生态系统，含</w:t>
      </w:r>
      <w:r>
        <w:rPr>
          <w:rFonts w:ascii="Times New Roman" w:cs="Times New Roman" w:hint="eastAsia"/>
          <w:kern w:val="2"/>
        </w:rPr>
        <w:t>河流水面、坑塘水面</w:t>
      </w:r>
      <w:r>
        <w:rPr>
          <w:rFonts w:ascii="Times New Roman" w:cs="Times New Roman"/>
          <w:kern w:val="2"/>
        </w:rPr>
        <w:t>，属环境资源拼块。水面拼块总面积为</w:t>
      </w:r>
      <w:r>
        <w:rPr>
          <w:rFonts w:ascii="Times New Roman" w:cs="Times New Roman" w:hint="eastAsia"/>
        </w:rPr>
        <w:t>25.74</w:t>
      </w:r>
      <w:r>
        <w:rPr>
          <w:rFonts w:ascii="Times New Roman" w:cs="Times New Roman" w:hint="eastAsia"/>
          <w:kern w:val="2"/>
        </w:rPr>
        <w:t>hm</w:t>
      </w:r>
      <w:r>
        <w:rPr>
          <w:rFonts w:ascii="Times New Roman" w:cs="Times New Roman"/>
          <w:kern w:val="2"/>
        </w:rPr>
        <w:t>²</w:t>
      </w:r>
      <w:r>
        <w:rPr>
          <w:rFonts w:ascii="Times New Roman" w:cs="Times New Roman"/>
          <w:kern w:val="2"/>
        </w:rPr>
        <w:t>，占评价区面积的</w:t>
      </w:r>
      <w:r>
        <w:rPr>
          <w:rFonts w:ascii="Times New Roman" w:cs="Times New Roman" w:hint="eastAsia"/>
        </w:rPr>
        <w:t>2.04</w:t>
      </w:r>
      <w:r>
        <w:rPr>
          <w:rFonts w:ascii="Times New Roman" w:cs="Times New Roman"/>
          <w:kern w:val="2"/>
        </w:rPr>
        <w:t>%</w:t>
      </w:r>
      <w:r>
        <w:rPr>
          <w:rFonts w:ascii="Times New Roman" w:cs="Times New Roman"/>
          <w:kern w:val="2"/>
        </w:rPr>
        <w:t>。</w:t>
      </w:r>
    </w:p>
    <w:p w:rsidR="00BD5820" w:rsidRDefault="00F64314">
      <w:pPr>
        <w:topLinePunct w:val="0"/>
        <w:snapToGrid w:val="0"/>
        <w:ind w:firstLineChars="0" w:firstLine="482"/>
        <w:rPr>
          <w:rFonts w:ascii="Times New Roman" w:cs="Times New Roman"/>
          <w:kern w:val="2"/>
        </w:rPr>
      </w:pPr>
      <w:r>
        <w:rPr>
          <w:rFonts w:ascii="Times New Roman" w:cs="Times New Roman"/>
          <w:kern w:val="2"/>
        </w:rPr>
        <w:t>（</w:t>
      </w:r>
      <w:r>
        <w:rPr>
          <w:rFonts w:ascii="Times New Roman" w:cs="Times New Roman"/>
          <w:kern w:val="2"/>
        </w:rPr>
        <w:t>6</w:t>
      </w:r>
      <w:r>
        <w:rPr>
          <w:rFonts w:ascii="Times New Roman" w:cs="Times New Roman"/>
          <w:kern w:val="2"/>
        </w:rPr>
        <w:t>）建设用地为主的人工生态系统拼块</w:t>
      </w:r>
    </w:p>
    <w:p w:rsidR="00BD5820" w:rsidRDefault="00F64314">
      <w:pPr>
        <w:topLinePunct w:val="0"/>
        <w:snapToGrid w:val="0"/>
        <w:ind w:firstLineChars="0" w:firstLine="482"/>
        <w:rPr>
          <w:rFonts w:ascii="Times New Roman" w:cs="Times New Roman"/>
          <w:kern w:val="2"/>
        </w:rPr>
      </w:pPr>
      <w:r>
        <w:rPr>
          <w:rFonts w:ascii="Times New Roman" w:cs="Times New Roman"/>
          <w:kern w:val="2"/>
        </w:rPr>
        <w:t>该拼块是人工建造引进的拼块，为人类的聚居地，是拼块中受人类干扰最明显的组分之一，表现在拼块外貌和结构上不再具有自然属性，更具社会性，该拼块在区内分布比较局限，在村寨所在地有成片分布。该拼块面积约为</w:t>
      </w:r>
      <w:r>
        <w:rPr>
          <w:rFonts w:ascii="Times New Roman" w:cs="Times New Roman" w:hint="eastAsia"/>
          <w:kern w:val="2"/>
        </w:rPr>
        <w:t>55.79hm</w:t>
      </w:r>
      <w:r>
        <w:rPr>
          <w:rFonts w:ascii="Times New Roman" w:cs="Times New Roman"/>
          <w:kern w:val="2"/>
        </w:rPr>
        <w:t>²</w:t>
      </w:r>
      <w:r>
        <w:rPr>
          <w:rFonts w:ascii="Times New Roman" w:cs="Times New Roman"/>
          <w:kern w:val="2"/>
        </w:rPr>
        <w:t>，占评价区总面积的</w:t>
      </w:r>
      <w:r>
        <w:rPr>
          <w:rFonts w:ascii="Times New Roman" w:cs="Times New Roman" w:hint="eastAsia"/>
          <w:kern w:val="2"/>
        </w:rPr>
        <w:t>4.45</w:t>
      </w:r>
      <w:r>
        <w:rPr>
          <w:rFonts w:ascii="Times New Roman" w:cs="Times New Roman"/>
          <w:kern w:val="2"/>
        </w:rPr>
        <w:t>%</w:t>
      </w:r>
      <w:r>
        <w:rPr>
          <w:rFonts w:ascii="Times New Roman" w:cs="Times New Roman"/>
          <w:kern w:val="2"/>
        </w:rPr>
        <w:t>。</w:t>
      </w:r>
    </w:p>
    <w:p w:rsidR="00BD5820" w:rsidRDefault="00F64314">
      <w:pPr>
        <w:topLinePunct w:val="0"/>
        <w:snapToGrid w:val="0"/>
        <w:ind w:firstLineChars="0" w:firstLine="482"/>
        <w:rPr>
          <w:rFonts w:ascii="Times New Roman" w:cs="Times New Roman"/>
          <w:kern w:val="2"/>
        </w:rPr>
      </w:pPr>
      <w:r>
        <w:rPr>
          <w:rFonts w:ascii="Times New Roman" w:cs="Times New Roman"/>
          <w:kern w:val="2"/>
        </w:rPr>
        <w:t>以上拼块类型构成了本区景观生态体系，它们之间既相互联系又相互制约。</w:t>
      </w:r>
    </w:p>
    <w:p w:rsidR="00BD5820" w:rsidRDefault="00F64314">
      <w:pPr>
        <w:topLinePunct w:val="0"/>
        <w:snapToGrid w:val="0"/>
        <w:ind w:firstLineChars="0" w:firstLine="0"/>
        <w:rPr>
          <w:rFonts w:ascii="Times New Roman" w:cs="Times New Roman"/>
          <w:kern w:val="2"/>
        </w:rPr>
      </w:pPr>
      <w:r>
        <w:rPr>
          <w:rFonts w:ascii="Times New Roman" w:cs="Times New Roman"/>
          <w:kern w:val="2"/>
        </w:rPr>
        <w:t>以</w:t>
      </w:r>
      <w:r>
        <w:rPr>
          <w:rFonts w:ascii="Times New Roman" w:cs="Times New Roman" w:hint="eastAsia"/>
          <w:kern w:val="2"/>
        </w:rPr>
        <w:t>马尾松、柏木</w:t>
      </w:r>
      <w:r>
        <w:rPr>
          <w:rFonts w:ascii="Times New Roman" w:cs="Times New Roman"/>
          <w:kern w:val="2"/>
        </w:rPr>
        <w:t>、</w:t>
      </w:r>
      <w:r>
        <w:rPr>
          <w:rFonts w:ascii="Times New Roman" w:cs="Times New Roman" w:hint="eastAsia"/>
          <w:kern w:val="2"/>
        </w:rPr>
        <w:t>麻栎、青冈、栓皮栎、枫香、响叶杨</w:t>
      </w:r>
      <w:r>
        <w:rPr>
          <w:rFonts w:ascii="Times New Roman" w:cs="Times New Roman"/>
          <w:kern w:val="2"/>
        </w:rPr>
        <w:t>及乔木经济树种的森林拼块，以</w:t>
      </w:r>
      <w:r>
        <w:rPr>
          <w:rFonts w:ascii="Times New Roman" w:cs="Times New Roman" w:hint="eastAsia"/>
          <w:kern w:val="2"/>
        </w:rPr>
        <w:t>槲栎、马桑、黄荆、火棘、荚蒾、盐肤木</w:t>
      </w:r>
      <w:r>
        <w:rPr>
          <w:rFonts w:ascii="Times New Roman" w:cs="Times New Roman"/>
          <w:kern w:val="2"/>
        </w:rPr>
        <w:t>及灌木经济树种为主的灌丛拼块</w:t>
      </w:r>
      <w:r>
        <w:rPr>
          <w:rFonts w:ascii="Times New Roman" w:cs="Times New Roman"/>
          <w:kern w:val="2"/>
        </w:rPr>
        <w:lastRenderedPageBreak/>
        <w:t>等陆地生态系统决定了以河流水面为主的水生生态系统状况，同时对以</w:t>
      </w:r>
      <w:r>
        <w:rPr>
          <w:rFonts w:ascii="Times New Roman" w:cs="Times New Roman" w:hint="eastAsia"/>
          <w:kern w:val="2"/>
        </w:rPr>
        <w:t>水稻、玉米、红苕、棉花、花生、小麦、马铃薯、豌豆</w:t>
      </w:r>
      <w:r>
        <w:rPr>
          <w:rFonts w:ascii="Times New Roman" w:cs="Times New Roman"/>
          <w:kern w:val="2"/>
        </w:rPr>
        <w:t>为主的耕地植被的生产力水平有着重要影响。环境资源拼块自然生产能力和稳定性的维护是决定本区生态环境质量的主导性因素，该类型拼块的总面积为</w:t>
      </w:r>
      <w:r>
        <w:rPr>
          <w:rFonts w:ascii="Times New Roman" w:cs="Times New Roman" w:hint="eastAsia"/>
          <w:kern w:val="2"/>
        </w:rPr>
        <w:t>1200.97hm</w:t>
      </w:r>
      <w:r>
        <w:rPr>
          <w:rFonts w:ascii="Times New Roman" w:cs="Times New Roman"/>
          <w:kern w:val="2"/>
          <w:vertAlign w:val="superscript"/>
        </w:rPr>
        <w:t>2</w:t>
      </w:r>
      <w:r>
        <w:rPr>
          <w:rFonts w:ascii="Times New Roman" w:cs="Times New Roman"/>
          <w:kern w:val="2"/>
        </w:rPr>
        <w:t>，占所有拼块总面积的</w:t>
      </w:r>
      <w:r>
        <w:rPr>
          <w:rFonts w:ascii="Times New Roman" w:cs="Times New Roman" w:hint="eastAsia"/>
          <w:kern w:val="2"/>
        </w:rPr>
        <w:t>95.55</w:t>
      </w:r>
      <w:r>
        <w:rPr>
          <w:rFonts w:ascii="Times New Roman" w:cs="Times New Roman"/>
          <w:kern w:val="2"/>
        </w:rPr>
        <w:t>%</w:t>
      </w:r>
      <w:r>
        <w:rPr>
          <w:rFonts w:ascii="Times New Roman" w:cs="Times New Roman"/>
          <w:kern w:val="2"/>
        </w:rPr>
        <w:t>；人为活动影响产生的拼块总面积为</w:t>
      </w:r>
      <w:r>
        <w:rPr>
          <w:rFonts w:ascii="Times New Roman" w:cs="Times New Roman" w:hint="eastAsia"/>
          <w:kern w:val="2"/>
        </w:rPr>
        <w:t>55.79hm</w:t>
      </w:r>
      <w:r>
        <w:rPr>
          <w:rFonts w:ascii="Times New Roman" w:cs="Times New Roman"/>
          <w:kern w:val="2"/>
          <w:vertAlign w:val="superscript"/>
        </w:rPr>
        <w:t>2</w:t>
      </w:r>
      <w:r>
        <w:rPr>
          <w:rFonts w:ascii="Times New Roman" w:cs="Times New Roman"/>
          <w:kern w:val="2"/>
        </w:rPr>
        <w:t>，占所有拼块总面积的</w:t>
      </w:r>
      <w:r>
        <w:rPr>
          <w:rFonts w:ascii="Times New Roman" w:cs="Times New Roman" w:hint="eastAsia"/>
          <w:kern w:val="2"/>
        </w:rPr>
        <w:t>4.45</w:t>
      </w:r>
      <w:r>
        <w:rPr>
          <w:rFonts w:ascii="Times New Roman" w:cs="Times New Roman"/>
          <w:kern w:val="2"/>
        </w:rPr>
        <w:t>%</w:t>
      </w:r>
      <w:r>
        <w:rPr>
          <w:rFonts w:ascii="Times New Roman" w:cs="Times New Roman"/>
          <w:kern w:val="2"/>
        </w:rPr>
        <w:t>。</w:t>
      </w:r>
    </w:p>
    <w:p w:rsidR="00BD5820" w:rsidRDefault="00F64314">
      <w:pPr>
        <w:pStyle w:val="affa"/>
        <w:ind w:firstLine="480"/>
        <w:rPr>
          <w:b/>
          <w:bCs/>
        </w:rPr>
      </w:pPr>
      <w:r>
        <w:rPr>
          <w:kern w:val="2"/>
          <w:szCs w:val="24"/>
        </w:rPr>
        <w:t>评价范围内以上各景观拼块相应特征见表</w:t>
      </w:r>
      <w:r>
        <w:rPr>
          <w:rFonts w:hint="eastAsia"/>
          <w:kern w:val="2"/>
          <w:szCs w:val="24"/>
        </w:rPr>
        <w:t>5.2</w:t>
      </w:r>
      <w:r>
        <w:rPr>
          <w:kern w:val="2"/>
          <w:szCs w:val="24"/>
        </w:rPr>
        <w:t>-</w:t>
      </w:r>
      <w:r>
        <w:rPr>
          <w:rFonts w:hint="eastAsia"/>
          <w:kern w:val="2"/>
          <w:szCs w:val="24"/>
        </w:rPr>
        <w:t>14</w:t>
      </w:r>
      <w:r>
        <w:rPr>
          <w:kern w:val="2"/>
          <w:szCs w:val="24"/>
        </w:rPr>
        <w:t>。</w:t>
      </w:r>
    </w:p>
    <w:p w:rsidR="00BD5820" w:rsidRDefault="00F64314" w:rsidP="00511129">
      <w:pPr>
        <w:topLinePunct w:val="0"/>
        <w:autoSpaceDE w:val="0"/>
        <w:autoSpaceDN w:val="0"/>
        <w:spacing w:beforeLines="50" w:line="240" w:lineRule="auto"/>
        <w:ind w:firstLineChars="0" w:firstLine="0"/>
        <w:jc w:val="center"/>
        <w:rPr>
          <w:rFonts w:ascii="Times New Roman" w:cs="Times New Roman"/>
          <w:b/>
          <w:sz w:val="21"/>
        </w:rPr>
      </w:pPr>
      <w:r>
        <w:rPr>
          <w:rFonts w:ascii="Times New Roman" w:cs="Times New Roman"/>
          <w:b/>
          <w:sz w:val="21"/>
        </w:rPr>
        <w:t>表</w:t>
      </w:r>
      <w:r>
        <w:rPr>
          <w:rFonts w:ascii="Times New Roman" w:cs="Times New Roman" w:hint="eastAsia"/>
          <w:b/>
          <w:sz w:val="21"/>
        </w:rPr>
        <w:t>5.2</w:t>
      </w:r>
      <w:r>
        <w:rPr>
          <w:rFonts w:ascii="Times New Roman" w:cs="Times New Roman"/>
          <w:b/>
          <w:sz w:val="21"/>
        </w:rPr>
        <w:t>-</w:t>
      </w:r>
      <w:r>
        <w:rPr>
          <w:rFonts w:ascii="Times New Roman" w:cs="Times New Roman" w:hint="eastAsia"/>
          <w:b/>
          <w:sz w:val="21"/>
        </w:rPr>
        <w:t>14</w:t>
      </w:r>
      <w:r>
        <w:rPr>
          <w:rFonts w:ascii="Times New Roman" w:cs="Times New Roman"/>
          <w:b/>
          <w:sz w:val="21"/>
        </w:rPr>
        <w:t xml:space="preserve"> </w:t>
      </w:r>
      <w:r>
        <w:rPr>
          <w:rFonts w:ascii="Times New Roman" w:cs="Times New Roman"/>
          <w:b/>
          <w:sz w:val="21"/>
        </w:rPr>
        <w:t>评价区域拼块类型、数量及面积表</w:t>
      </w:r>
    </w:p>
    <w:tbl>
      <w:tblPr>
        <w:tblW w:w="5000" w:type="pct"/>
        <w:jc w:val="center"/>
        <w:tblBorders>
          <w:top w:val="single" w:sz="12" w:space="0" w:color="000000"/>
          <w:bottom w:val="single" w:sz="12" w:space="0" w:color="000000"/>
          <w:insideH w:val="single" w:sz="4" w:space="0" w:color="000000"/>
          <w:insideV w:val="single" w:sz="4" w:space="0" w:color="000000"/>
        </w:tblBorders>
        <w:tblCellMar>
          <w:top w:w="15" w:type="dxa"/>
          <w:left w:w="15" w:type="dxa"/>
          <w:bottom w:w="15" w:type="dxa"/>
          <w:right w:w="15" w:type="dxa"/>
        </w:tblCellMar>
        <w:tblLook w:val="04A0"/>
      </w:tblPr>
      <w:tblGrid>
        <w:gridCol w:w="3120"/>
        <w:gridCol w:w="2784"/>
        <w:gridCol w:w="2432"/>
      </w:tblGrid>
      <w:tr w:rsidR="00BD5820">
        <w:trPr>
          <w:trHeight w:val="315"/>
          <w:jc w:val="center"/>
        </w:trPr>
        <w:tc>
          <w:tcPr>
            <w:tcW w:w="1871" w:type="pct"/>
            <w:vAlign w:val="center"/>
          </w:tcPr>
          <w:p w:rsidR="00BD5820" w:rsidRDefault="00F64314">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sz w:val="21"/>
                <w:szCs w:val="21"/>
              </w:rPr>
              <w:t>拼块类型</w:t>
            </w:r>
          </w:p>
        </w:tc>
        <w:tc>
          <w:tcPr>
            <w:tcW w:w="1670" w:type="pct"/>
            <w:vAlign w:val="center"/>
          </w:tcPr>
          <w:p w:rsidR="00BD5820" w:rsidRDefault="00F64314">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sz w:val="21"/>
                <w:szCs w:val="21"/>
              </w:rPr>
              <w:t>面积（</w:t>
            </w:r>
            <w:r>
              <w:rPr>
                <w:rFonts w:ascii="Times New Roman" w:cs="Times New Roman" w:hint="eastAsia"/>
                <w:sz w:val="21"/>
                <w:szCs w:val="21"/>
              </w:rPr>
              <w:t>hm</w:t>
            </w:r>
            <w:r>
              <w:rPr>
                <w:rFonts w:ascii="Times New Roman" w:cs="Times New Roman"/>
                <w:sz w:val="21"/>
                <w:szCs w:val="21"/>
                <w:vertAlign w:val="superscript"/>
              </w:rPr>
              <w:t>2</w:t>
            </w:r>
            <w:r>
              <w:rPr>
                <w:rFonts w:ascii="Times New Roman" w:cs="Times New Roman"/>
                <w:sz w:val="21"/>
                <w:szCs w:val="21"/>
              </w:rPr>
              <w:t>）</w:t>
            </w:r>
          </w:p>
        </w:tc>
        <w:tc>
          <w:tcPr>
            <w:tcW w:w="1459" w:type="pct"/>
            <w:vAlign w:val="center"/>
          </w:tcPr>
          <w:p w:rsidR="00BD5820" w:rsidRDefault="00F64314">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sz w:val="21"/>
                <w:szCs w:val="21"/>
              </w:rPr>
              <w:t>百分比（</w:t>
            </w:r>
            <w:r>
              <w:rPr>
                <w:rFonts w:ascii="Times New Roman" w:cs="Times New Roman"/>
                <w:sz w:val="21"/>
                <w:szCs w:val="21"/>
              </w:rPr>
              <w:t>%</w:t>
            </w:r>
            <w:r>
              <w:rPr>
                <w:rFonts w:ascii="Times New Roman" w:cs="Times New Roman"/>
                <w:sz w:val="21"/>
                <w:szCs w:val="21"/>
              </w:rPr>
              <w:t>）</w:t>
            </w:r>
          </w:p>
        </w:tc>
      </w:tr>
      <w:tr w:rsidR="00BD5820">
        <w:trPr>
          <w:trHeight w:val="315"/>
          <w:jc w:val="center"/>
        </w:trPr>
        <w:tc>
          <w:tcPr>
            <w:tcW w:w="1871" w:type="pct"/>
            <w:vAlign w:val="center"/>
          </w:tcPr>
          <w:p w:rsidR="00BD5820" w:rsidRDefault="00F64314">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sz w:val="21"/>
                <w:szCs w:val="21"/>
              </w:rPr>
              <w:t>森林拼块</w:t>
            </w:r>
          </w:p>
        </w:tc>
        <w:tc>
          <w:tcPr>
            <w:tcW w:w="1670" w:type="pct"/>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771.94</w:t>
            </w:r>
          </w:p>
        </w:tc>
        <w:tc>
          <w:tcPr>
            <w:tcW w:w="1459" w:type="pct"/>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61.42</w:t>
            </w:r>
          </w:p>
        </w:tc>
      </w:tr>
      <w:tr w:rsidR="00BD5820">
        <w:trPr>
          <w:trHeight w:val="405"/>
          <w:jc w:val="center"/>
        </w:trPr>
        <w:tc>
          <w:tcPr>
            <w:tcW w:w="1871" w:type="pct"/>
            <w:vAlign w:val="center"/>
          </w:tcPr>
          <w:p w:rsidR="00BD5820" w:rsidRDefault="00F64314">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sz w:val="21"/>
                <w:szCs w:val="21"/>
              </w:rPr>
              <w:t>灌丛拼块</w:t>
            </w:r>
          </w:p>
        </w:tc>
        <w:tc>
          <w:tcPr>
            <w:tcW w:w="1670" w:type="pct"/>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268.42</w:t>
            </w:r>
          </w:p>
        </w:tc>
        <w:tc>
          <w:tcPr>
            <w:tcW w:w="1459" w:type="pct"/>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21.36</w:t>
            </w:r>
          </w:p>
        </w:tc>
      </w:tr>
      <w:tr w:rsidR="00BD5820">
        <w:trPr>
          <w:trHeight w:val="385"/>
          <w:jc w:val="center"/>
        </w:trPr>
        <w:tc>
          <w:tcPr>
            <w:tcW w:w="1871" w:type="pct"/>
            <w:vAlign w:val="center"/>
          </w:tcPr>
          <w:p w:rsidR="00BD5820" w:rsidRDefault="00F64314">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sz w:val="21"/>
                <w:szCs w:val="21"/>
              </w:rPr>
              <w:t>灌草丛拼块</w:t>
            </w:r>
          </w:p>
        </w:tc>
        <w:tc>
          <w:tcPr>
            <w:tcW w:w="1670" w:type="pct"/>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2.17</w:t>
            </w:r>
          </w:p>
        </w:tc>
        <w:tc>
          <w:tcPr>
            <w:tcW w:w="1459" w:type="pct"/>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0.17</w:t>
            </w:r>
          </w:p>
        </w:tc>
      </w:tr>
      <w:tr w:rsidR="00BD5820">
        <w:trPr>
          <w:trHeight w:val="330"/>
          <w:jc w:val="center"/>
        </w:trPr>
        <w:tc>
          <w:tcPr>
            <w:tcW w:w="1871" w:type="pct"/>
            <w:vAlign w:val="center"/>
          </w:tcPr>
          <w:p w:rsidR="00BD5820" w:rsidRDefault="00F64314">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sz w:val="21"/>
                <w:szCs w:val="21"/>
              </w:rPr>
              <w:t>耕地植被拼块</w:t>
            </w:r>
          </w:p>
        </w:tc>
        <w:tc>
          <w:tcPr>
            <w:tcW w:w="1670" w:type="pct"/>
            <w:vAlign w:val="center"/>
          </w:tcPr>
          <w:p w:rsidR="00BD5820" w:rsidRDefault="00F64314">
            <w:pPr>
              <w:widowControl/>
              <w:topLinePunct w:val="0"/>
              <w:adjustRightInd/>
              <w:spacing w:line="240" w:lineRule="auto"/>
              <w:ind w:firstLineChars="0" w:firstLine="0"/>
              <w:jc w:val="center"/>
              <w:textAlignment w:val="center"/>
              <w:rPr>
                <w:rFonts w:ascii="Times New Roman" w:cs="Times New Roman"/>
                <w:snapToGrid w:val="0"/>
                <w:sz w:val="21"/>
                <w:szCs w:val="21"/>
              </w:rPr>
            </w:pPr>
            <w:r>
              <w:rPr>
                <w:rFonts w:ascii="Times New Roman" w:cs="Times New Roman" w:hint="eastAsia"/>
                <w:sz w:val="21"/>
                <w:szCs w:val="21"/>
              </w:rPr>
              <w:t>132.7</w:t>
            </w:r>
          </w:p>
        </w:tc>
        <w:tc>
          <w:tcPr>
            <w:tcW w:w="1459" w:type="pct"/>
            <w:vAlign w:val="center"/>
          </w:tcPr>
          <w:p w:rsidR="00BD5820" w:rsidRDefault="00F64314">
            <w:pPr>
              <w:widowControl/>
              <w:topLinePunct w:val="0"/>
              <w:adjustRightInd/>
              <w:spacing w:line="240" w:lineRule="auto"/>
              <w:ind w:firstLineChars="0" w:firstLine="0"/>
              <w:jc w:val="center"/>
              <w:textAlignment w:val="center"/>
              <w:rPr>
                <w:rFonts w:ascii="Times New Roman" w:cs="Times New Roman"/>
                <w:snapToGrid w:val="0"/>
                <w:sz w:val="21"/>
                <w:szCs w:val="21"/>
              </w:rPr>
            </w:pPr>
            <w:r>
              <w:rPr>
                <w:rFonts w:ascii="Times New Roman" w:cs="Times New Roman" w:hint="eastAsia"/>
                <w:sz w:val="21"/>
                <w:szCs w:val="21"/>
              </w:rPr>
              <w:t>10.56</w:t>
            </w:r>
          </w:p>
        </w:tc>
      </w:tr>
      <w:tr w:rsidR="00BD5820">
        <w:trPr>
          <w:trHeight w:val="330"/>
          <w:jc w:val="center"/>
        </w:trPr>
        <w:tc>
          <w:tcPr>
            <w:tcW w:w="1871" w:type="pct"/>
            <w:vAlign w:val="center"/>
          </w:tcPr>
          <w:p w:rsidR="00BD5820" w:rsidRDefault="00F64314">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hint="eastAsia"/>
                <w:sz w:val="21"/>
                <w:szCs w:val="21"/>
              </w:rPr>
              <w:t>河流水面</w:t>
            </w:r>
            <w:r>
              <w:rPr>
                <w:rFonts w:ascii="Times New Roman" w:cs="Times New Roman"/>
                <w:sz w:val="21"/>
                <w:szCs w:val="21"/>
              </w:rPr>
              <w:t>拼块</w:t>
            </w:r>
          </w:p>
        </w:tc>
        <w:tc>
          <w:tcPr>
            <w:tcW w:w="1670" w:type="pct"/>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25.74</w:t>
            </w:r>
          </w:p>
        </w:tc>
        <w:tc>
          <w:tcPr>
            <w:tcW w:w="1459" w:type="pct"/>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2.04</w:t>
            </w:r>
          </w:p>
        </w:tc>
      </w:tr>
      <w:tr w:rsidR="00BD5820">
        <w:trPr>
          <w:trHeight w:val="330"/>
          <w:jc w:val="center"/>
        </w:trPr>
        <w:tc>
          <w:tcPr>
            <w:tcW w:w="1871" w:type="pct"/>
            <w:vAlign w:val="center"/>
          </w:tcPr>
          <w:p w:rsidR="00BD5820" w:rsidRDefault="00F64314">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sz w:val="21"/>
                <w:szCs w:val="21"/>
              </w:rPr>
              <w:t>人工生态系统拼块</w:t>
            </w:r>
          </w:p>
        </w:tc>
        <w:tc>
          <w:tcPr>
            <w:tcW w:w="1670" w:type="pct"/>
            <w:vAlign w:val="center"/>
          </w:tcPr>
          <w:p w:rsidR="00BD5820" w:rsidRDefault="00F64314">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hint="eastAsia"/>
                <w:sz w:val="21"/>
                <w:szCs w:val="21"/>
              </w:rPr>
              <w:t>55.79</w:t>
            </w:r>
          </w:p>
        </w:tc>
        <w:tc>
          <w:tcPr>
            <w:tcW w:w="1459" w:type="pct"/>
            <w:vAlign w:val="bottom"/>
          </w:tcPr>
          <w:p w:rsidR="00BD5820" w:rsidRDefault="00F64314">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hint="eastAsia"/>
                <w:sz w:val="21"/>
                <w:szCs w:val="21"/>
              </w:rPr>
              <w:t>4.45</w:t>
            </w:r>
          </w:p>
        </w:tc>
      </w:tr>
      <w:tr w:rsidR="00BD5820">
        <w:trPr>
          <w:trHeight w:val="330"/>
          <w:jc w:val="center"/>
        </w:trPr>
        <w:tc>
          <w:tcPr>
            <w:tcW w:w="1871" w:type="pct"/>
            <w:vAlign w:val="center"/>
          </w:tcPr>
          <w:p w:rsidR="00BD5820" w:rsidRDefault="00F64314">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sz w:val="21"/>
                <w:szCs w:val="21"/>
              </w:rPr>
              <w:t>总计</w:t>
            </w:r>
          </w:p>
        </w:tc>
        <w:tc>
          <w:tcPr>
            <w:tcW w:w="1670" w:type="pct"/>
            <w:vAlign w:val="center"/>
          </w:tcPr>
          <w:p w:rsidR="00BD5820" w:rsidRDefault="00F64314">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hint="eastAsia"/>
                <w:sz w:val="21"/>
                <w:szCs w:val="21"/>
              </w:rPr>
              <w:t>1256.76</w:t>
            </w:r>
          </w:p>
        </w:tc>
        <w:tc>
          <w:tcPr>
            <w:tcW w:w="1459" w:type="pct"/>
            <w:vAlign w:val="center"/>
          </w:tcPr>
          <w:p w:rsidR="00BD5820" w:rsidRDefault="00F64314">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hint="eastAsia"/>
                <w:sz w:val="21"/>
                <w:szCs w:val="21"/>
              </w:rPr>
              <w:t>100</w:t>
            </w:r>
          </w:p>
        </w:tc>
      </w:tr>
    </w:tbl>
    <w:p w:rsidR="00BD5820" w:rsidRDefault="00F64314">
      <w:pPr>
        <w:topLinePunct w:val="0"/>
        <w:adjustRightInd/>
        <w:spacing w:line="480" w:lineRule="exact"/>
        <w:ind w:firstLine="482"/>
        <w:rPr>
          <w:rFonts w:ascii="Times New Roman" w:cs="Times New Roman"/>
          <w:b/>
          <w:bCs/>
          <w:kern w:val="2"/>
        </w:rPr>
      </w:pPr>
      <w:r>
        <w:rPr>
          <w:rFonts w:ascii="Times New Roman" w:cs="Times New Roman"/>
          <w:b/>
          <w:bCs/>
          <w:kern w:val="2"/>
        </w:rPr>
        <w:t>2</w:t>
      </w:r>
      <w:r>
        <w:rPr>
          <w:rFonts w:ascii="Times New Roman" w:cs="Times New Roman"/>
          <w:b/>
          <w:bCs/>
          <w:kern w:val="2"/>
        </w:rPr>
        <w:t>、景观生态体系现状质量评价</w:t>
      </w:r>
    </w:p>
    <w:p w:rsidR="00BD5820" w:rsidRDefault="00F64314">
      <w:pPr>
        <w:topLinePunct w:val="0"/>
        <w:adjustRightInd/>
        <w:spacing w:line="500" w:lineRule="exact"/>
        <w:ind w:left="60" w:right="100" w:firstLineChars="0" w:firstLine="482"/>
        <w:rPr>
          <w:rFonts w:ascii="Times New Roman" w:cs="Times New Roman"/>
          <w:kern w:val="2"/>
        </w:rPr>
      </w:pPr>
      <w:r>
        <w:rPr>
          <w:rFonts w:ascii="Times New Roman" w:cs="Times New Roman"/>
          <w:kern w:val="2"/>
        </w:rPr>
        <w:t>景观稳定性是景观的各种参数的长期变化呈水平状态，或是在水平线上下摆动的幅度和周期性具有统计特征（</w:t>
      </w:r>
      <w:r>
        <w:rPr>
          <w:rFonts w:ascii="Times New Roman" w:cs="Times New Roman"/>
          <w:kern w:val="2"/>
        </w:rPr>
        <w:t>Format</w:t>
      </w:r>
      <w:r>
        <w:rPr>
          <w:rFonts w:ascii="Times New Roman" w:cs="Times New Roman"/>
          <w:kern w:val="2"/>
        </w:rPr>
        <w:t>，</w:t>
      </w:r>
      <w:r>
        <w:rPr>
          <w:rFonts w:ascii="Times New Roman" w:cs="Times New Roman"/>
          <w:kern w:val="2"/>
        </w:rPr>
        <w:t>1990</w:t>
      </w:r>
      <w:r>
        <w:rPr>
          <w:rFonts w:ascii="Times New Roman" w:cs="Times New Roman"/>
          <w:kern w:val="2"/>
        </w:rPr>
        <w:t>），它的稳定性本质上是景观各组分，即气候、地貌、岩石、土壤、植被、水文等稳定性的综合体现，它们之间既有一定联系，又有一定区别。因此，在评价景观的稳定性时应考虑到景观组分间的相互联系与相互作用，在实际中评价景观的稳定性时，主要考虑的是植被组分的变化。</w:t>
      </w:r>
    </w:p>
    <w:p w:rsidR="00BD5820" w:rsidRDefault="00F64314">
      <w:pPr>
        <w:topLinePunct w:val="0"/>
        <w:adjustRightInd/>
        <w:spacing w:line="500" w:lineRule="exact"/>
        <w:ind w:left="60" w:right="100" w:firstLineChars="0" w:firstLine="482"/>
        <w:rPr>
          <w:rFonts w:ascii="Times New Roman" w:cs="Times New Roman"/>
          <w:kern w:val="2"/>
        </w:rPr>
      </w:pPr>
      <w:r>
        <w:rPr>
          <w:rFonts w:ascii="Times New Roman" w:cs="Times New Roman"/>
          <w:kern w:val="2"/>
        </w:rPr>
        <w:t>评价区域环境是一个以自然环境为主、受人类活动干扰强烈的区域环境，其环境质量状况是由区内自然环境各个因子与人类社会之间的相互作用来决定的。根据景观生态学中景观生态结构与功能相匹配的原理，景观结构的合理性将决定区域净功能状况的优劣，即决定景观生态体系的质量状况。因此，采取区内景观生态体系空间结构合理程度的方法，来判断区内景观生态体系的稳定性。具体方法采用优势度计算法，各参数计算公式如下：</w:t>
      </w:r>
    </w:p>
    <w:p w:rsidR="00BD5820" w:rsidRDefault="00F64314">
      <w:pPr>
        <w:topLinePunct w:val="0"/>
        <w:adjustRightInd/>
        <w:spacing w:line="500" w:lineRule="exact"/>
        <w:ind w:right="100" w:firstLineChars="0" w:firstLine="0"/>
        <w:rPr>
          <w:rFonts w:ascii="Times New Roman" w:cs="Times New Roman"/>
          <w:kern w:val="2"/>
        </w:rPr>
      </w:pPr>
      <w:r>
        <w:rPr>
          <w:rFonts w:ascii="Times New Roman" w:cs="Times New Roman"/>
          <w:kern w:val="2"/>
        </w:rPr>
        <w:t xml:space="preserve">    </w:t>
      </w:r>
      <w:r>
        <w:rPr>
          <w:rFonts w:ascii="Times New Roman" w:cs="Times New Roman"/>
          <w:kern w:val="2"/>
        </w:rPr>
        <w:t>密度</w:t>
      </w:r>
      <w:r>
        <w:rPr>
          <w:rFonts w:ascii="Times New Roman" w:cs="Times New Roman"/>
          <w:kern w:val="2"/>
        </w:rPr>
        <w:t>Rd=I</w:t>
      </w:r>
      <w:r>
        <w:rPr>
          <w:rFonts w:ascii="Times New Roman" w:cs="Times New Roman"/>
          <w:kern w:val="2"/>
        </w:rPr>
        <w:t>拼块的数目</w:t>
      </w:r>
      <w:r>
        <w:rPr>
          <w:rFonts w:ascii="Times New Roman" w:cs="Times New Roman"/>
          <w:kern w:val="2"/>
        </w:rPr>
        <w:t>/</w:t>
      </w:r>
      <w:r>
        <w:rPr>
          <w:rFonts w:ascii="Times New Roman" w:cs="Times New Roman"/>
          <w:kern w:val="2"/>
        </w:rPr>
        <w:t>拼块的总数</w:t>
      </w:r>
      <w:r>
        <w:rPr>
          <w:rFonts w:ascii="Times New Roman" w:cs="Times New Roman"/>
          <w:kern w:val="2"/>
        </w:rPr>
        <w:t>×100</w:t>
      </w:r>
      <w:r>
        <w:rPr>
          <w:rFonts w:ascii="Times New Roman" w:cs="Times New Roman"/>
          <w:kern w:val="2"/>
        </w:rPr>
        <w:t>﹪；</w:t>
      </w:r>
    </w:p>
    <w:p w:rsidR="00BD5820" w:rsidRDefault="00F64314">
      <w:pPr>
        <w:topLinePunct w:val="0"/>
        <w:adjustRightInd/>
        <w:spacing w:line="500" w:lineRule="exact"/>
        <w:ind w:right="100" w:firstLine="480"/>
        <w:rPr>
          <w:rFonts w:ascii="Times New Roman" w:cs="Times New Roman"/>
          <w:kern w:val="2"/>
        </w:rPr>
      </w:pPr>
      <w:r>
        <w:rPr>
          <w:rFonts w:ascii="Times New Roman" w:cs="Times New Roman"/>
          <w:kern w:val="2"/>
        </w:rPr>
        <w:t>频率</w:t>
      </w:r>
      <w:r>
        <w:rPr>
          <w:rFonts w:ascii="Times New Roman" w:cs="Times New Roman"/>
          <w:kern w:val="2"/>
        </w:rPr>
        <w:t>Rf=</w:t>
      </w:r>
      <w:r>
        <w:rPr>
          <w:rFonts w:ascii="Times New Roman" w:cs="Times New Roman"/>
          <w:kern w:val="2"/>
        </w:rPr>
        <w:t>拼块</w:t>
      </w:r>
      <w:r>
        <w:rPr>
          <w:rFonts w:ascii="Times New Roman" w:cs="Times New Roman"/>
          <w:kern w:val="2"/>
        </w:rPr>
        <w:t>I</w:t>
      </w:r>
      <w:r>
        <w:rPr>
          <w:rFonts w:ascii="Times New Roman" w:cs="Times New Roman"/>
          <w:kern w:val="2"/>
        </w:rPr>
        <w:t>出现的小样方数</w:t>
      </w:r>
      <w:r>
        <w:rPr>
          <w:rFonts w:ascii="Times New Roman" w:cs="Times New Roman"/>
          <w:kern w:val="2"/>
        </w:rPr>
        <w:t>/</w:t>
      </w:r>
      <w:r>
        <w:rPr>
          <w:rFonts w:ascii="Times New Roman" w:cs="Times New Roman"/>
          <w:kern w:val="2"/>
        </w:rPr>
        <w:t>小样方总数</w:t>
      </w:r>
      <w:r>
        <w:rPr>
          <w:rFonts w:ascii="Times New Roman" w:cs="Times New Roman"/>
          <w:kern w:val="2"/>
        </w:rPr>
        <w:t>×100</w:t>
      </w:r>
      <w:r>
        <w:rPr>
          <w:rFonts w:ascii="Times New Roman" w:cs="Times New Roman"/>
          <w:kern w:val="2"/>
        </w:rPr>
        <w:t>﹪；</w:t>
      </w:r>
    </w:p>
    <w:p w:rsidR="00BD5820" w:rsidRDefault="00F64314">
      <w:pPr>
        <w:topLinePunct w:val="0"/>
        <w:adjustRightInd/>
        <w:spacing w:line="500" w:lineRule="exact"/>
        <w:ind w:right="100" w:firstLine="480"/>
        <w:rPr>
          <w:rFonts w:ascii="Times New Roman" w:cs="Times New Roman"/>
          <w:kern w:val="2"/>
        </w:rPr>
      </w:pPr>
      <w:r>
        <w:rPr>
          <w:rFonts w:ascii="Times New Roman" w:cs="Times New Roman"/>
          <w:kern w:val="2"/>
        </w:rPr>
        <w:lastRenderedPageBreak/>
        <w:t>景观比例</w:t>
      </w:r>
      <w:r>
        <w:rPr>
          <w:rFonts w:ascii="Times New Roman" w:cs="Times New Roman"/>
          <w:kern w:val="2"/>
        </w:rPr>
        <w:t>Lp</w:t>
      </w:r>
      <w:r>
        <w:rPr>
          <w:rFonts w:ascii="Times New Roman" w:cs="Times New Roman"/>
          <w:kern w:val="2"/>
        </w:rPr>
        <w:t>＝拼块</w:t>
      </w:r>
      <w:r>
        <w:rPr>
          <w:rFonts w:ascii="Times New Roman" w:cs="Times New Roman"/>
          <w:kern w:val="2"/>
        </w:rPr>
        <w:t>I</w:t>
      </w:r>
      <w:r>
        <w:rPr>
          <w:rFonts w:ascii="Times New Roman" w:cs="Times New Roman"/>
          <w:kern w:val="2"/>
        </w:rPr>
        <w:t>的面积</w:t>
      </w:r>
      <w:r>
        <w:rPr>
          <w:rFonts w:ascii="Times New Roman" w:cs="Times New Roman"/>
          <w:kern w:val="2"/>
        </w:rPr>
        <w:t>/</w:t>
      </w:r>
      <w:r>
        <w:rPr>
          <w:rFonts w:ascii="Times New Roman" w:cs="Times New Roman"/>
          <w:kern w:val="2"/>
        </w:rPr>
        <w:t>样地总面积</w:t>
      </w:r>
      <w:r>
        <w:rPr>
          <w:rFonts w:ascii="Times New Roman" w:cs="Times New Roman"/>
          <w:kern w:val="2"/>
        </w:rPr>
        <w:t>×100</w:t>
      </w:r>
      <w:r>
        <w:rPr>
          <w:rFonts w:ascii="Times New Roman" w:cs="Times New Roman"/>
          <w:kern w:val="2"/>
        </w:rPr>
        <w:t>﹪；</w:t>
      </w:r>
    </w:p>
    <w:p w:rsidR="00BD5820" w:rsidRDefault="00F64314">
      <w:pPr>
        <w:topLinePunct w:val="0"/>
        <w:adjustRightInd/>
        <w:spacing w:line="500" w:lineRule="exact"/>
        <w:ind w:right="100" w:firstLine="480"/>
        <w:rPr>
          <w:rFonts w:ascii="Times New Roman" w:cs="Times New Roman"/>
          <w:kern w:val="2"/>
        </w:rPr>
      </w:pPr>
      <w:r>
        <w:rPr>
          <w:rFonts w:ascii="Times New Roman" w:cs="Times New Roman"/>
          <w:kern w:val="2"/>
        </w:rPr>
        <w:t>景观优势度</w:t>
      </w:r>
      <w:r>
        <w:rPr>
          <w:rFonts w:ascii="Times New Roman" w:cs="Times New Roman"/>
          <w:kern w:val="2"/>
        </w:rPr>
        <w:t>Do</w:t>
      </w:r>
      <w:r>
        <w:rPr>
          <w:rFonts w:ascii="Times New Roman" w:cs="Times New Roman"/>
          <w:kern w:val="2"/>
        </w:rPr>
        <w:t>＝</w:t>
      </w:r>
      <w:r>
        <w:rPr>
          <w:rFonts w:ascii="Times New Roman" w:cs="Times New Roman"/>
          <w:kern w:val="2"/>
        </w:rPr>
        <w:t>12[</w:t>
      </w:r>
      <w:r>
        <w:rPr>
          <w:rFonts w:ascii="Times New Roman" w:cs="Times New Roman"/>
          <w:kern w:val="2"/>
        </w:rPr>
        <w:t>（</w:t>
      </w:r>
      <w:r>
        <w:rPr>
          <w:rFonts w:ascii="Times New Roman" w:cs="Times New Roman"/>
          <w:kern w:val="2"/>
        </w:rPr>
        <w:t>Rd+Rf</w:t>
      </w:r>
      <w:r>
        <w:rPr>
          <w:rFonts w:ascii="Times New Roman" w:cs="Times New Roman"/>
          <w:kern w:val="2"/>
        </w:rPr>
        <w:t>）</w:t>
      </w:r>
      <w:r>
        <w:rPr>
          <w:rFonts w:ascii="Times New Roman" w:cs="Times New Roman"/>
          <w:kern w:val="2"/>
        </w:rPr>
        <w:t>/2</w:t>
      </w:r>
      <w:r>
        <w:rPr>
          <w:rFonts w:ascii="Times New Roman" w:cs="Times New Roman"/>
          <w:kern w:val="2"/>
        </w:rPr>
        <w:t>＋</w:t>
      </w:r>
      <w:r>
        <w:rPr>
          <w:rFonts w:ascii="Times New Roman" w:cs="Times New Roman"/>
          <w:kern w:val="2"/>
        </w:rPr>
        <w:t>Lp]×100</w:t>
      </w:r>
      <w:r>
        <w:rPr>
          <w:rFonts w:ascii="Times New Roman" w:cs="Times New Roman"/>
          <w:kern w:val="2"/>
        </w:rPr>
        <w:t>﹪。</w:t>
      </w:r>
    </w:p>
    <w:p w:rsidR="00BD5820" w:rsidRDefault="00F64314">
      <w:pPr>
        <w:pStyle w:val="affa"/>
        <w:ind w:firstLine="480"/>
        <w:rPr>
          <w:b/>
          <w:bCs/>
        </w:rPr>
      </w:pPr>
      <w:r>
        <w:rPr>
          <w:kern w:val="2"/>
          <w:szCs w:val="24"/>
        </w:rPr>
        <w:t>在景观频率的评判中，采取在微机上的土地利用图上取样的方法，共选取</w:t>
      </w:r>
      <w:r>
        <w:rPr>
          <w:kern w:val="2"/>
          <w:szCs w:val="24"/>
        </w:rPr>
        <w:t>200</w:t>
      </w:r>
      <w:r>
        <w:rPr>
          <w:kern w:val="2"/>
          <w:szCs w:val="24"/>
        </w:rPr>
        <w:t>个小样方。统计各类拼块出现的小样方数，得出各个拼块的频度，计算出主要拼块的优势度，结果见表</w:t>
      </w:r>
      <w:r>
        <w:rPr>
          <w:rFonts w:hint="eastAsia"/>
          <w:kern w:val="2"/>
          <w:szCs w:val="24"/>
        </w:rPr>
        <w:t>5.2</w:t>
      </w:r>
      <w:r>
        <w:rPr>
          <w:kern w:val="2"/>
          <w:szCs w:val="24"/>
        </w:rPr>
        <w:t>-</w:t>
      </w:r>
      <w:r>
        <w:rPr>
          <w:rFonts w:hint="eastAsia"/>
          <w:kern w:val="2"/>
          <w:szCs w:val="24"/>
        </w:rPr>
        <w:t>15</w:t>
      </w:r>
      <w:r>
        <w:rPr>
          <w:kern w:val="2"/>
          <w:szCs w:val="24"/>
        </w:rPr>
        <w:t>。</w:t>
      </w:r>
    </w:p>
    <w:p w:rsidR="00BD5820" w:rsidRDefault="00F64314" w:rsidP="00511129">
      <w:pPr>
        <w:topLinePunct w:val="0"/>
        <w:autoSpaceDE w:val="0"/>
        <w:autoSpaceDN w:val="0"/>
        <w:spacing w:beforeLines="50" w:line="240" w:lineRule="auto"/>
        <w:ind w:firstLineChars="0" w:firstLine="0"/>
        <w:jc w:val="center"/>
        <w:rPr>
          <w:rFonts w:ascii="Times New Roman" w:cs="Times New Roman"/>
          <w:b/>
          <w:sz w:val="21"/>
        </w:rPr>
      </w:pPr>
      <w:r>
        <w:rPr>
          <w:rFonts w:ascii="Times New Roman" w:cs="Times New Roman"/>
          <w:b/>
          <w:sz w:val="21"/>
        </w:rPr>
        <w:t>表</w:t>
      </w:r>
      <w:r>
        <w:rPr>
          <w:rFonts w:ascii="Times New Roman" w:cs="Times New Roman" w:hint="eastAsia"/>
          <w:b/>
          <w:sz w:val="21"/>
        </w:rPr>
        <w:t>5.2</w:t>
      </w:r>
      <w:r>
        <w:rPr>
          <w:rFonts w:ascii="Times New Roman" w:cs="Times New Roman"/>
          <w:b/>
          <w:sz w:val="21"/>
        </w:rPr>
        <w:t>-</w:t>
      </w:r>
      <w:r>
        <w:rPr>
          <w:rFonts w:ascii="Times New Roman" w:cs="Times New Roman" w:hint="eastAsia"/>
          <w:b/>
          <w:sz w:val="21"/>
        </w:rPr>
        <w:t>15</w:t>
      </w:r>
      <w:r>
        <w:rPr>
          <w:rFonts w:ascii="Times New Roman" w:cs="Times New Roman"/>
          <w:b/>
          <w:sz w:val="21"/>
        </w:rPr>
        <w:t xml:space="preserve"> </w:t>
      </w:r>
      <w:r>
        <w:rPr>
          <w:rFonts w:ascii="Times New Roman" w:cs="Times New Roman"/>
          <w:b/>
          <w:sz w:val="21"/>
        </w:rPr>
        <w:t>评价范围各拼块优势度值</w:t>
      </w:r>
    </w:p>
    <w:tbl>
      <w:tblPr>
        <w:tblW w:w="5000" w:type="pct"/>
        <w:jc w:val="center"/>
        <w:tblBorders>
          <w:top w:val="single" w:sz="12" w:space="0" w:color="000000"/>
          <w:bottom w:val="single" w:sz="12" w:space="0" w:color="000000"/>
          <w:insideH w:val="single" w:sz="4" w:space="0" w:color="000000"/>
          <w:insideV w:val="single" w:sz="4" w:space="0" w:color="000000"/>
        </w:tblBorders>
        <w:tblCellMar>
          <w:top w:w="15" w:type="dxa"/>
          <w:left w:w="15" w:type="dxa"/>
          <w:bottom w:w="15" w:type="dxa"/>
          <w:right w:w="15" w:type="dxa"/>
        </w:tblCellMar>
        <w:tblLook w:val="04A0"/>
      </w:tblPr>
      <w:tblGrid>
        <w:gridCol w:w="1640"/>
        <w:gridCol w:w="1535"/>
        <w:gridCol w:w="1610"/>
        <w:gridCol w:w="1959"/>
        <w:gridCol w:w="1592"/>
      </w:tblGrid>
      <w:tr w:rsidR="00BD5820">
        <w:trPr>
          <w:trHeight w:hRule="exact" w:val="340"/>
          <w:jc w:val="center"/>
        </w:trPr>
        <w:tc>
          <w:tcPr>
            <w:tcW w:w="983" w:type="pct"/>
            <w:vAlign w:val="bottom"/>
          </w:tcPr>
          <w:p w:rsidR="00BD5820" w:rsidRDefault="00F64314">
            <w:pPr>
              <w:widowControl/>
              <w:topLinePunct w:val="0"/>
              <w:adjustRightInd/>
              <w:spacing w:line="240" w:lineRule="auto"/>
              <w:ind w:firstLineChars="0" w:firstLine="0"/>
              <w:jc w:val="center"/>
              <w:textAlignment w:val="bottom"/>
              <w:rPr>
                <w:rFonts w:ascii="Times New Roman" w:cs="Times New Roman"/>
                <w:kern w:val="2"/>
                <w:sz w:val="21"/>
                <w:szCs w:val="21"/>
              </w:rPr>
            </w:pPr>
            <w:r>
              <w:rPr>
                <w:rFonts w:ascii="Times New Roman" w:cs="Times New Roman"/>
                <w:sz w:val="21"/>
                <w:szCs w:val="21"/>
              </w:rPr>
              <w:t>拼块类型</w:t>
            </w:r>
          </w:p>
        </w:tc>
        <w:tc>
          <w:tcPr>
            <w:tcW w:w="920" w:type="pct"/>
            <w:vAlign w:val="bottom"/>
          </w:tcPr>
          <w:p w:rsidR="00BD5820" w:rsidRDefault="00F64314">
            <w:pPr>
              <w:widowControl/>
              <w:topLinePunct w:val="0"/>
              <w:adjustRightInd/>
              <w:spacing w:line="240" w:lineRule="auto"/>
              <w:ind w:firstLineChars="0" w:firstLine="0"/>
              <w:jc w:val="center"/>
              <w:textAlignment w:val="bottom"/>
              <w:rPr>
                <w:rFonts w:ascii="Times New Roman" w:cs="Times New Roman"/>
                <w:kern w:val="2"/>
                <w:sz w:val="21"/>
                <w:szCs w:val="21"/>
              </w:rPr>
            </w:pPr>
            <w:r>
              <w:rPr>
                <w:rFonts w:ascii="Times New Roman" w:cs="Times New Roman"/>
                <w:sz w:val="21"/>
                <w:szCs w:val="21"/>
              </w:rPr>
              <w:t>密度</w:t>
            </w:r>
            <w:r>
              <w:rPr>
                <w:rFonts w:ascii="Times New Roman" w:cs="Times New Roman"/>
                <w:sz w:val="21"/>
                <w:szCs w:val="21"/>
              </w:rPr>
              <w:t>Rd</w:t>
            </w:r>
            <w:r>
              <w:rPr>
                <w:rFonts w:ascii="Times New Roman" w:cs="Times New Roman"/>
                <w:sz w:val="21"/>
                <w:szCs w:val="21"/>
              </w:rPr>
              <w:t>（</w:t>
            </w:r>
            <w:r>
              <w:rPr>
                <w:rFonts w:ascii="Times New Roman" w:cs="Times New Roman"/>
                <w:sz w:val="21"/>
                <w:szCs w:val="21"/>
              </w:rPr>
              <w:t>%</w:t>
            </w:r>
            <w:r>
              <w:rPr>
                <w:rFonts w:ascii="Times New Roman" w:cs="Times New Roman"/>
                <w:sz w:val="21"/>
                <w:szCs w:val="21"/>
              </w:rPr>
              <w:t>）</w:t>
            </w:r>
          </w:p>
        </w:tc>
        <w:tc>
          <w:tcPr>
            <w:tcW w:w="965" w:type="pct"/>
            <w:vAlign w:val="bottom"/>
          </w:tcPr>
          <w:p w:rsidR="00BD5820" w:rsidRDefault="00F64314">
            <w:pPr>
              <w:widowControl/>
              <w:topLinePunct w:val="0"/>
              <w:adjustRightInd/>
              <w:spacing w:line="240" w:lineRule="auto"/>
              <w:ind w:firstLineChars="0" w:firstLine="0"/>
              <w:jc w:val="center"/>
              <w:textAlignment w:val="bottom"/>
              <w:rPr>
                <w:rFonts w:ascii="Times New Roman" w:cs="Times New Roman"/>
                <w:kern w:val="2"/>
                <w:sz w:val="21"/>
                <w:szCs w:val="21"/>
              </w:rPr>
            </w:pPr>
            <w:r>
              <w:rPr>
                <w:rFonts w:ascii="Times New Roman" w:cs="Times New Roman"/>
                <w:sz w:val="21"/>
                <w:szCs w:val="21"/>
              </w:rPr>
              <w:t>频率</w:t>
            </w:r>
            <w:r>
              <w:rPr>
                <w:rFonts w:ascii="Times New Roman" w:cs="Times New Roman"/>
                <w:sz w:val="21"/>
                <w:szCs w:val="21"/>
              </w:rPr>
              <w:t>Rf</w:t>
            </w:r>
            <w:r>
              <w:rPr>
                <w:rFonts w:ascii="Times New Roman" w:cs="Times New Roman"/>
                <w:sz w:val="21"/>
                <w:szCs w:val="21"/>
              </w:rPr>
              <w:t>（</w:t>
            </w:r>
            <w:r>
              <w:rPr>
                <w:rFonts w:ascii="Times New Roman" w:cs="Times New Roman"/>
                <w:sz w:val="21"/>
                <w:szCs w:val="21"/>
              </w:rPr>
              <w:t>%</w:t>
            </w:r>
            <w:r>
              <w:rPr>
                <w:rFonts w:ascii="Times New Roman" w:cs="Times New Roman"/>
                <w:sz w:val="21"/>
                <w:szCs w:val="21"/>
              </w:rPr>
              <w:t>）</w:t>
            </w:r>
          </w:p>
        </w:tc>
        <w:tc>
          <w:tcPr>
            <w:tcW w:w="1175" w:type="pct"/>
            <w:vAlign w:val="bottom"/>
          </w:tcPr>
          <w:p w:rsidR="00BD5820" w:rsidRDefault="00F64314">
            <w:pPr>
              <w:widowControl/>
              <w:topLinePunct w:val="0"/>
              <w:adjustRightInd/>
              <w:spacing w:line="240" w:lineRule="auto"/>
              <w:ind w:firstLineChars="0" w:firstLine="0"/>
              <w:jc w:val="center"/>
              <w:textAlignment w:val="bottom"/>
              <w:rPr>
                <w:rFonts w:ascii="Times New Roman" w:cs="Times New Roman"/>
                <w:kern w:val="2"/>
                <w:sz w:val="21"/>
                <w:szCs w:val="21"/>
              </w:rPr>
            </w:pPr>
            <w:r>
              <w:rPr>
                <w:rFonts w:ascii="Times New Roman" w:cs="Times New Roman"/>
                <w:sz w:val="21"/>
                <w:szCs w:val="21"/>
              </w:rPr>
              <w:t>景观比例</w:t>
            </w:r>
            <w:r>
              <w:rPr>
                <w:rFonts w:ascii="Times New Roman" w:cs="Times New Roman"/>
                <w:sz w:val="21"/>
                <w:szCs w:val="21"/>
              </w:rPr>
              <w:t>Lp</w:t>
            </w:r>
            <w:r>
              <w:rPr>
                <w:rFonts w:ascii="Times New Roman" w:cs="Times New Roman"/>
                <w:sz w:val="21"/>
                <w:szCs w:val="21"/>
              </w:rPr>
              <w:t>（</w:t>
            </w:r>
            <w:r>
              <w:rPr>
                <w:rFonts w:ascii="Times New Roman" w:cs="Times New Roman"/>
                <w:sz w:val="21"/>
                <w:szCs w:val="21"/>
              </w:rPr>
              <w:t>%</w:t>
            </w:r>
            <w:r>
              <w:rPr>
                <w:rFonts w:ascii="Times New Roman" w:cs="Times New Roman"/>
                <w:sz w:val="21"/>
                <w:szCs w:val="21"/>
              </w:rPr>
              <w:t>）</w:t>
            </w:r>
          </w:p>
        </w:tc>
        <w:tc>
          <w:tcPr>
            <w:tcW w:w="955" w:type="pct"/>
            <w:vAlign w:val="bottom"/>
          </w:tcPr>
          <w:p w:rsidR="00BD5820" w:rsidRDefault="00F64314">
            <w:pPr>
              <w:widowControl/>
              <w:topLinePunct w:val="0"/>
              <w:adjustRightInd/>
              <w:spacing w:line="240" w:lineRule="auto"/>
              <w:ind w:firstLineChars="0" w:firstLine="0"/>
              <w:jc w:val="center"/>
              <w:textAlignment w:val="bottom"/>
              <w:rPr>
                <w:rFonts w:ascii="Times New Roman" w:cs="Times New Roman"/>
                <w:kern w:val="2"/>
                <w:sz w:val="21"/>
                <w:szCs w:val="21"/>
              </w:rPr>
            </w:pPr>
            <w:r>
              <w:rPr>
                <w:rFonts w:ascii="Times New Roman" w:cs="Times New Roman"/>
                <w:sz w:val="21"/>
                <w:szCs w:val="21"/>
              </w:rPr>
              <w:t>优势度</w:t>
            </w:r>
            <w:r>
              <w:rPr>
                <w:rFonts w:ascii="Times New Roman" w:cs="Times New Roman"/>
                <w:sz w:val="21"/>
                <w:szCs w:val="21"/>
              </w:rPr>
              <w:t>Do</w:t>
            </w:r>
            <w:r>
              <w:rPr>
                <w:rFonts w:ascii="Times New Roman" w:cs="Times New Roman"/>
                <w:sz w:val="21"/>
                <w:szCs w:val="21"/>
              </w:rPr>
              <w:t>（</w:t>
            </w:r>
            <w:r>
              <w:rPr>
                <w:rFonts w:ascii="Times New Roman" w:cs="Times New Roman"/>
                <w:sz w:val="21"/>
                <w:szCs w:val="21"/>
              </w:rPr>
              <w:t>%</w:t>
            </w:r>
            <w:r>
              <w:rPr>
                <w:rFonts w:ascii="Times New Roman" w:cs="Times New Roman"/>
                <w:sz w:val="21"/>
                <w:szCs w:val="21"/>
              </w:rPr>
              <w:t>）</w:t>
            </w:r>
          </w:p>
        </w:tc>
      </w:tr>
      <w:tr w:rsidR="00BD5820">
        <w:trPr>
          <w:trHeight w:hRule="exact" w:val="340"/>
          <w:jc w:val="center"/>
        </w:trPr>
        <w:tc>
          <w:tcPr>
            <w:tcW w:w="983" w:type="pct"/>
            <w:vAlign w:val="bottom"/>
          </w:tcPr>
          <w:p w:rsidR="00BD5820" w:rsidRDefault="00F64314">
            <w:pPr>
              <w:widowControl/>
              <w:topLinePunct w:val="0"/>
              <w:adjustRightInd/>
              <w:spacing w:line="240" w:lineRule="auto"/>
              <w:ind w:firstLineChars="0" w:firstLine="0"/>
              <w:jc w:val="center"/>
              <w:textAlignment w:val="bottom"/>
              <w:rPr>
                <w:rFonts w:ascii="Times New Roman" w:cs="Times New Roman"/>
                <w:kern w:val="2"/>
                <w:sz w:val="21"/>
                <w:szCs w:val="21"/>
              </w:rPr>
            </w:pPr>
            <w:r>
              <w:rPr>
                <w:rFonts w:ascii="Times New Roman" w:cs="Times New Roman"/>
                <w:sz w:val="21"/>
                <w:szCs w:val="21"/>
              </w:rPr>
              <w:t>森林</w:t>
            </w:r>
          </w:p>
        </w:tc>
        <w:tc>
          <w:tcPr>
            <w:tcW w:w="1530"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hint="eastAsia"/>
                <w:sz w:val="21"/>
                <w:szCs w:val="21"/>
              </w:rPr>
              <w:t>51.95</w:t>
            </w:r>
          </w:p>
        </w:tc>
        <w:tc>
          <w:tcPr>
            <w:tcW w:w="1605"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hint="eastAsia"/>
                <w:sz w:val="21"/>
                <w:szCs w:val="21"/>
              </w:rPr>
              <w:t>74.38</w:t>
            </w:r>
          </w:p>
        </w:tc>
        <w:tc>
          <w:tcPr>
            <w:tcW w:w="1954"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hint="eastAsia"/>
                <w:sz w:val="21"/>
                <w:szCs w:val="21"/>
              </w:rPr>
              <w:t>67.04</w:t>
            </w:r>
          </w:p>
        </w:tc>
        <w:tc>
          <w:tcPr>
            <w:tcW w:w="1588" w:type="dxa"/>
            <w:vAlign w:val="bottom"/>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65.1</w:t>
            </w:r>
          </w:p>
        </w:tc>
      </w:tr>
      <w:tr w:rsidR="00BD5820">
        <w:trPr>
          <w:trHeight w:hRule="exact" w:val="340"/>
          <w:jc w:val="center"/>
        </w:trPr>
        <w:tc>
          <w:tcPr>
            <w:tcW w:w="983" w:type="pct"/>
            <w:vAlign w:val="bottom"/>
          </w:tcPr>
          <w:p w:rsidR="00BD5820" w:rsidRDefault="00F64314">
            <w:pPr>
              <w:widowControl/>
              <w:topLinePunct w:val="0"/>
              <w:adjustRightInd/>
              <w:spacing w:line="240" w:lineRule="auto"/>
              <w:ind w:firstLineChars="0" w:firstLine="0"/>
              <w:jc w:val="center"/>
              <w:textAlignment w:val="bottom"/>
              <w:rPr>
                <w:rFonts w:ascii="Times New Roman" w:cs="Times New Roman"/>
                <w:kern w:val="2"/>
                <w:sz w:val="21"/>
                <w:szCs w:val="21"/>
              </w:rPr>
            </w:pPr>
            <w:r>
              <w:rPr>
                <w:rFonts w:ascii="Times New Roman" w:cs="Times New Roman"/>
                <w:sz w:val="21"/>
                <w:szCs w:val="21"/>
              </w:rPr>
              <w:t>灌丛</w:t>
            </w:r>
          </w:p>
        </w:tc>
        <w:tc>
          <w:tcPr>
            <w:tcW w:w="1530"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hint="eastAsia"/>
                <w:sz w:val="21"/>
                <w:szCs w:val="21"/>
              </w:rPr>
              <w:t>5.25</w:t>
            </w:r>
          </w:p>
        </w:tc>
        <w:tc>
          <w:tcPr>
            <w:tcW w:w="1605"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hint="eastAsia"/>
                <w:sz w:val="21"/>
                <w:szCs w:val="21"/>
              </w:rPr>
              <w:t>2.31</w:t>
            </w:r>
          </w:p>
        </w:tc>
        <w:tc>
          <w:tcPr>
            <w:tcW w:w="1954"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hint="eastAsia"/>
                <w:sz w:val="21"/>
                <w:szCs w:val="21"/>
              </w:rPr>
              <w:t>2.18</w:t>
            </w:r>
          </w:p>
        </w:tc>
        <w:tc>
          <w:tcPr>
            <w:tcW w:w="1588" w:type="dxa"/>
            <w:vAlign w:val="bottom"/>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2.98</w:t>
            </w:r>
          </w:p>
        </w:tc>
      </w:tr>
      <w:tr w:rsidR="00BD5820">
        <w:trPr>
          <w:trHeight w:hRule="exact" w:val="340"/>
          <w:jc w:val="center"/>
        </w:trPr>
        <w:tc>
          <w:tcPr>
            <w:tcW w:w="983" w:type="pct"/>
            <w:vAlign w:val="bottom"/>
          </w:tcPr>
          <w:p w:rsidR="00BD5820" w:rsidRDefault="00F64314">
            <w:pPr>
              <w:widowControl/>
              <w:topLinePunct w:val="0"/>
              <w:adjustRightInd/>
              <w:spacing w:line="240" w:lineRule="auto"/>
              <w:ind w:firstLineChars="0" w:firstLine="0"/>
              <w:jc w:val="center"/>
              <w:textAlignment w:val="bottom"/>
              <w:rPr>
                <w:rFonts w:ascii="Times New Roman" w:cs="Times New Roman"/>
                <w:kern w:val="2"/>
                <w:sz w:val="21"/>
                <w:szCs w:val="21"/>
              </w:rPr>
            </w:pPr>
            <w:r>
              <w:rPr>
                <w:rFonts w:ascii="Times New Roman" w:cs="Times New Roman"/>
                <w:sz w:val="21"/>
                <w:szCs w:val="21"/>
              </w:rPr>
              <w:t>灌草丛</w:t>
            </w:r>
          </w:p>
        </w:tc>
        <w:tc>
          <w:tcPr>
            <w:tcW w:w="1530"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hint="eastAsia"/>
                <w:sz w:val="21"/>
                <w:szCs w:val="21"/>
              </w:rPr>
              <w:t>3.2</w:t>
            </w:r>
          </w:p>
        </w:tc>
        <w:tc>
          <w:tcPr>
            <w:tcW w:w="1605"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hint="eastAsia"/>
                <w:sz w:val="21"/>
                <w:szCs w:val="21"/>
              </w:rPr>
              <w:t>1.3</w:t>
            </w:r>
          </w:p>
        </w:tc>
        <w:tc>
          <w:tcPr>
            <w:tcW w:w="1954"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hint="eastAsia"/>
                <w:sz w:val="21"/>
                <w:szCs w:val="21"/>
              </w:rPr>
              <w:t>1.14</w:t>
            </w:r>
          </w:p>
        </w:tc>
        <w:tc>
          <w:tcPr>
            <w:tcW w:w="1588" w:type="dxa"/>
            <w:vAlign w:val="bottom"/>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1.7</w:t>
            </w:r>
          </w:p>
        </w:tc>
      </w:tr>
      <w:tr w:rsidR="00BD5820">
        <w:trPr>
          <w:trHeight w:hRule="exact" w:val="340"/>
          <w:jc w:val="center"/>
        </w:trPr>
        <w:tc>
          <w:tcPr>
            <w:tcW w:w="983" w:type="pct"/>
            <w:vAlign w:val="bottom"/>
          </w:tcPr>
          <w:p w:rsidR="00BD5820" w:rsidRDefault="00F64314">
            <w:pPr>
              <w:widowControl/>
              <w:topLinePunct w:val="0"/>
              <w:adjustRightInd/>
              <w:spacing w:line="240" w:lineRule="auto"/>
              <w:ind w:firstLineChars="0" w:firstLine="0"/>
              <w:jc w:val="center"/>
              <w:textAlignment w:val="bottom"/>
              <w:rPr>
                <w:rFonts w:ascii="Times New Roman" w:cs="Times New Roman"/>
                <w:kern w:val="2"/>
                <w:sz w:val="21"/>
                <w:szCs w:val="21"/>
              </w:rPr>
            </w:pPr>
            <w:r>
              <w:rPr>
                <w:rFonts w:ascii="Times New Roman" w:cs="Times New Roman"/>
                <w:sz w:val="21"/>
                <w:szCs w:val="21"/>
              </w:rPr>
              <w:t>耕地</w:t>
            </w:r>
          </w:p>
        </w:tc>
        <w:tc>
          <w:tcPr>
            <w:tcW w:w="1530"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hint="eastAsia"/>
                <w:sz w:val="21"/>
                <w:szCs w:val="21"/>
              </w:rPr>
              <w:t>22.74</w:t>
            </w:r>
          </w:p>
        </w:tc>
        <w:tc>
          <w:tcPr>
            <w:tcW w:w="1605"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hint="eastAsia"/>
                <w:sz w:val="21"/>
                <w:szCs w:val="21"/>
              </w:rPr>
              <w:t>28.61</w:t>
            </w:r>
          </w:p>
        </w:tc>
        <w:tc>
          <w:tcPr>
            <w:tcW w:w="1954"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hint="eastAsia"/>
                <w:sz w:val="21"/>
                <w:szCs w:val="21"/>
              </w:rPr>
              <w:t>21.62</w:t>
            </w:r>
          </w:p>
        </w:tc>
        <w:tc>
          <w:tcPr>
            <w:tcW w:w="1588" w:type="dxa"/>
            <w:vAlign w:val="bottom"/>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23.65</w:t>
            </w:r>
          </w:p>
        </w:tc>
      </w:tr>
      <w:tr w:rsidR="00BD5820">
        <w:trPr>
          <w:trHeight w:hRule="exact" w:val="340"/>
          <w:jc w:val="center"/>
        </w:trPr>
        <w:tc>
          <w:tcPr>
            <w:tcW w:w="983" w:type="pct"/>
            <w:vAlign w:val="bottom"/>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河流水面</w:t>
            </w:r>
          </w:p>
        </w:tc>
        <w:tc>
          <w:tcPr>
            <w:tcW w:w="1530"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hint="eastAsia"/>
                <w:sz w:val="21"/>
                <w:szCs w:val="21"/>
              </w:rPr>
              <w:t>5.28</w:t>
            </w:r>
          </w:p>
        </w:tc>
        <w:tc>
          <w:tcPr>
            <w:tcW w:w="1605"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hint="eastAsia"/>
                <w:sz w:val="21"/>
                <w:szCs w:val="21"/>
              </w:rPr>
              <w:t>6.68</w:t>
            </w:r>
          </w:p>
        </w:tc>
        <w:tc>
          <w:tcPr>
            <w:tcW w:w="1954"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hint="eastAsia"/>
                <w:sz w:val="21"/>
                <w:szCs w:val="21"/>
              </w:rPr>
              <w:t>5.02</w:t>
            </w:r>
          </w:p>
        </w:tc>
        <w:tc>
          <w:tcPr>
            <w:tcW w:w="1588" w:type="dxa"/>
            <w:vAlign w:val="bottom"/>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5.5</w:t>
            </w:r>
          </w:p>
        </w:tc>
      </w:tr>
      <w:tr w:rsidR="00BD5820">
        <w:trPr>
          <w:trHeight w:hRule="exact" w:val="340"/>
          <w:jc w:val="center"/>
        </w:trPr>
        <w:tc>
          <w:tcPr>
            <w:tcW w:w="983" w:type="pct"/>
            <w:vAlign w:val="bottom"/>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人工生态系统</w:t>
            </w:r>
          </w:p>
        </w:tc>
        <w:tc>
          <w:tcPr>
            <w:tcW w:w="1530"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hint="eastAsia"/>
                <w:sz w:val="21"/>
                <w:szCs w:val="21"/>
              </w:rPr>
              <w:t>11.58</w:t>
            </w:r>
          </w:p>
        </w:tc>
        <w:tc>
          <w:tcPr>
            <w:tcW w:w="1605"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hint="eastAsia"/>
                <w:sz w:val="21"/>
                <w:szCs w:val="21"/>
              </w:rPr>
              <w:t>3.99</w:t>
            </w:r>
          </w:p>
        </w:tc>
        <w:tc>
          <w:tcPr>
            <w:tcW w:w="1954"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hint="eastAsia"/>
                <w:sz w:val="21"/>
                <w:szCs w:val="21"/>
              </w:rPr>
              <w:t>3</w:t>
            </w:r>
          </w:p>
        </w:tc>
        <w:tc>
          <w:tcPr>
            <w:tcW w:w="1588" w:type="dxa"/>
            <w:vAlign w:val="bottom"/>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5.39</w:t>
            </w:r>
          </w:p>
        </w:tc>
      </w:tr>
    </w:tbl>
    <w:p w:rsidR="00BD5820" w:rsidRDefault="00F64314">
      <w:pPr>
        <w:pStyle w:val="3"/>
        <w:rPr>
          <w:rFonts w:eastAsia="宋体"/>
        </w:rPr>
      </w:pPr>
      <w:r>
        <w:rPr>
          <w:rFonts w:eastAsia="宋体"/>
        </w:rPr>
        <w:t>5.2.7</w:t>
      </w:r>
      <w:r>
        <w:rPr>
          <w:rFonts w:eastAsia="宋体"/>
          <w:bCs/>
        </w:rPr>
        <w:t>生态系统类型调查与评价</w:t>
      </w:r>
    </w:p>
    <w:p w:rsidR="00BD5820" w:rsidRDefault="00F64314">
      <w:pPr>
        <w:topLinePunct w:val="0"/>
        <w:snapToGrid w:val="0"/>
        <w:ind w:firstLine="480"/>
        <w:rPr>
          <w:rFonts w:ascii="Times New Roman" w:cs="Times New Roman"/>
          <w:bCs/>
          <w:kern w:val="2"/>
        </w:rPr>
      </w:pPr>
      <w:r>
        <w:rPr>
          <w:rFonts w:ascii="Times New Roman" w:cs="Times New Roman"/>
          <w:bCs/>
          <w:kern w:val="2"/>
        </w:rPr>
        <w:t>根据地形地貌、土地利用类型以及植被类型的不同，将评价范围内生态系统划分为不同的类型。调查显示，评价范围内生态系统类型主要包括森林生态系统</w:t>
      </w:r>
      <w:r>
        <w:rPr>
          <w:rFonts w:ascii="Times New Roman" w:cs="Times New Roman" w:hint="eastAsia"/>
          <w:bCs/>
          <w:kern w:val="2"/>
        </w:rPr>
        <w:t>、灌丛</w:t>
      </w:r>
      <w:r>
        <w:rPr>
          <w:rFonts w:ascii="Times New Roman" w:cs="Times New Roman"/>
          <w:bCs/>
          <w:kern w:val="2"/>
        </w:rPr>
        <w:t>生态系统</w:t>
      </w:r>
      <w:r>
        <w:rPr>
          <w:rFonts w:ascii="Times New Roman" w:cs="Times New Roman" w:hint="eastAsia"/>
          <w:bCs/>
          <w:kern w:val="2"/>
        </w:rPr>
        <w:t>、灌草丛</w:t>
      </w:r>
      <w:r>
        <w:rPr>
          <w:rFonts w:ascii="Times New Roman" w:cs="Times New Roman"/>
          <w:bCs/>
          <w:kern w:val="2"/>
        </w:rPr>
        <w:t>生态系统</w:t>
      </w:r>
      <w:r>
        <w:rPr>
          <w:rFonts w:ascii="Times New Roman" w:cs="Times New Roman" w:hint="eastAsia"/>
          <w:bCs/>
          <w:kern w:val="2"/>
        </w:rPr>
        <w:t>、耕地</w:t>
      </w:r>
      <w:r>
        <w:rPr>
          <w:rFonts w:ascii="Times New Roman" w:cs="Times New Roman"/>
          <w:bCs/>
          <w:kern w:val="2"/>
        </w:rPr>
        <w:t>生态系统</w:t>
      </w:r>
      <w:r>
        <w:rPr>
          <w:rFonts w:ascii="Times New Roman" w:cs="Times New Roman" w:hint="eastAsia"/>
          <w:bCs/>
          <w:kern w:val="2"/>
        </w:rPr>
        <w:t>、</w:t>
      </w:r>
      <w:r>
        <w:rPr>
          <w:rFonts w:ascii="Times New Roman" w:cs="Times New Roman"/>
          <w:bCs/>
          <w:kern w:val="2"/>
        </w:rPr>
        <w:t>河流</w:t>
      </w:r>
      <w:r>
        <w:rPr>
          <w:rFonts w:ascii="Times New Roman" w:cs="Times New Roman" w:hint="eastAsia"/>
          <w:bCs/>
          <w:kern w:val="2"/>
        </w:rPr>
        <w:t>水面</w:t>
      </w:r>
      <w:r>
        <w:rPr>
          <w:rFonts w:ascii="Times New Roman" w:cs="Times New Roman"/>
          <w:bCs/>
          <w:kern w:val="2"/>
        </w:rPr>
        <w:t>生态系统</w:t>
      </w:r>
      <w:r>
        <w:rPr>
          <w:rFonts w:ascii="Times New Roman" w:cs="Times New Roman" w:hint="eastAsia"/>
          <w:bCs/>
          <w:kern w:val="2"/>
        </w:rPr>
        <w:t>、人工生态系统</w:t>
      </w:r>
      <w:r>
        <w:rPr>
          <w:rFonts w:ascii="Times New Roman" w:cs="Times New Roman"/>
          <w:bCs/>
          <w:kern w:val="2"/>
        </w:rPr>
        <w:t>。生态系统整体开发强度大，区域内森林多为人工林，少量为次生林。</w:t>
      </w:r>
    </w:p>
    <w:p w:rsidR="00BD5820" w:rsidRDefault="00F64314">
      <w:pPr>
        <w:topLinePunct w:val="0"/>
        <w:snapToGrid w:val="0"/>
        <w:ind w:firstLine="480"/>
        <w:rPr>
          <w:rFonts w:ascii="Times New Roman" w:cs="Times New Roman"/>
          <w:bCs/>
          <w:kern w:val="2"/>
        </w:rPr>
      </w:pPr>
      <w:r>
        <w:rPr>
          <w:rFonts w:ascii="Times New Roman" w:cs="Times New Roman"/>
          <w:bCs/>
          <w:kern w:val="2"/>
        </w:rPr>
        <w:t>根据现场调查，评价范围内的森林生态</w:t>
      </w:r>
      <w:r>
        <w:rPr>
          <w:rFonts w:ascii="Times New Roman" w:cs="Times New Roman" w:hint="eastAsia"/>
          <w:bCs/>
          <w:kern w:val="2"/>
        </w:rPr>
        <w:t>系统占绝对优势，面积</w:t>
      </w:r>
      <w:r>
        <w:rPr>
          <w:rFonts w:ascii="Times New Roman" w:cs="Times New Roman" w:hint="eastAsia"/>
          <w:bCs/>
          <w:kern w:val="2"/>
        </w:rPr>
        <w:t>771.94hm</w:t>
      </w:r>
      <w:r>
        <w:rPr>
          <w:rFonts w:ascii="Times New Roman" w:cs="Times New Roman"/>
          <w:bCs/>
          <w:kern w:val="2"/>
          <w:vertAlign w:val="superscript"/>
        </w:rPr>
        <w:t>2</w:t>
      </w:r>
      <w:r>
        <w:rPr>
          <w:rFonts w:ascii="Times New Roman" w:cs="Times New Roman"/>
          <w:bCs/>
          <w:kern w:val="2"/>
        </w:rPr>
        <w:t>，占比</w:t>
      </w:r>
      <w:r>
        <w:rPr>
          <w:rFonts w:ascii="Times New Roman" w:cs="Times New Roman" w:hint="eastAsia"/>
          <w:bCs/>
          <w:kern w:val="2"/>
        </w:rPr>
        <w:t>61.42%</w:t>
      </w:r>
      <w:r>
        <w:rPr>
          <w:rFonts w:ascii="Times New Roman" w:cs="Times New Roman"/>
          <w:bCs/>
          <w:kern w:val="2"/>
        </w:rPr>
        <w:t>。森林生态系统是以乔木为主的生物群落以及其非生物环境综合组成的陆地生态系统</w:t>
      </w:r>
      <w:r>
        <w:rPr>
          <w:rFonts w:ascii="Times New Roman" w:cs="Times New Roman" w:hint="eastAsia"/>
          <w:bCs/>
          <w:kern w:val="2"/>
        </w:rPr>
        <w:t>，</w:t>
      </w:r>
      <w:r>
        <w:rPr>
          <w:rFonts w:ascii="Times New Roman" w:cs="Times New Roman"/>
          <w:bCs/>
          <w:kern w:val="2"/>
        </w:rPr>
        <w:t>生态系统中的植物以乔木为主，也有少量灌木和草本植物，还有不同种类的动物</w:t>
      </w:r>
      <w:r>
        <w:rPr>
          <w:rFonts w:ascii="Times New Roman" w:cs="Times New Roman" w:hint="eastAsia"/>
          <w:bCs/>
          <w:kern w:val="2"/>
        </w:rPr>
        <w:t>资源</w:t>
      </w:r>
      <w:r>
        <w:rPr>
          <w:rFonts w:ascii="Times New Roman" w:cs="Times New Roman"/>
          <w:bCs/>
          <w:kern w:val="2"/>
        </w:rPr>
        <w:t>。森林生态系统</w:t>
      </w:r>
      <w:r>
        <w:rPr>
          <w:rFonts w:ascii="Times New Roman" w:cs="Times New Roman" w:hint="eastAsia"/>
          <w:bCs/>
          <w:kern w:val="2"/>
        </w:rPr>
        <w:t>生态</w:t>
      </w:r>
      <w:r>
        <w:rPr>
          <w:rFonts w:ascii="Times New Roman" w:cs="Times New Roman"/>
          <w:bCs/>
          <w:kern w:val="2"/>
        </w:rPr>
        <w:t>服务功能高，在涵养水源、净化空气、保持水土、吸烟滞尘、改变区域水热状况等方面有着突出的作用。</w:t>
      </w:r>
    </w:p>
    <w:p w:rsidR="00BD5820" w:rsidRDefault="00F64314">
      <w:pPr>
        <w:pStyle w:val="affa"/>
        <w:ind w:firstLine="480"/>
      </w:pPr>
      <w:r>
        <w:rPr>
          <w:rFonts w:hint="eastAsia"/>
          <w:kern w:val="2"/>
          <w:szCs w:val="24"/>
        </w:rPr>
        <w:t>评价区</w:t>
      </w:r>
      <w:r>
        <w:rPr>
          <w:kern w:val="2"/>
          <w:szCs w:val="24"/>
        </w:rPr>
        <w:t>生态系统类型分布特征及解译结果</w:t>
      </w:r>
      <w:r>
        <w:rPr>
          <w:rFonts w:hint="eastAsia"/>
          <w:kern w:val="2"/>
          <w:szCs w:val="24"/>
        </w:rPr>
        <w:t>见下表。</w:t>
      </w:r>
    </w:p>
    <w:p w:rsidR="00BD5820" w:rsidRDefault="00F64314" w:rsidP="00511129">
      <w:pPr>
        <w:topLinePunct w:val="0"/>
        <w:autoSpaceDE w:val="0"/>
        <w:autoSpaceDN w:val="0"/>
        <w:spacing w:beforeLines="50" w:line="240" w:lineRule="auto"/>
        <w:ind w:firstLineChars="0" w:firstLine="0"/>
        <w:jc w:val="center"/>
        <w:rPr>
          <w:rFonts w:ascii="Times New Roman" w:cs="Times New Roman"/>
          <w:b/>
          <w:sz w:val="21"/>
        </w:rPr>
      </w:pPr>
      <w:r>
        <w:rPr>
          <w:rFonts w:ascii="Times New Roman" w:cs="Times New Roman"/>
          <w:b/>
          <w:sz w:val="21"/>
        </w:rPr>
        <w:t>表</w:t>
      </w:r>
      <w:r>
        <w:rPr>
          <w:rFonts w:ascii="Times New Roman" w:cs="Times New Roman" w:hint="eastAsia"/>
          <w:b/>
          <w:sz w:val="21"/>
        </w:rPr>
        <w:t>5.2</w:t>
      </w:r>
      <w:r>
        <w:rPr>
          <w:rFonts w:ascii="Times New Roman" w:cs="Times New Roman"/>
          <w:b/>
          <w:sz w:val="21"/>
        </w:rPr>
        <w:t>-</w:t>
      </w:r>
      <w:r>
        <w:rPr>
          <w:rFonts w:ascii="Times New Roman" w:cs="Times New Roman" w:hint="eastAsia"/>
          <w:b/>
          <w:sz w:val="21"/>
        </w:rPr>
        <w:t>16</w:t>
      </w:r>
      <w:r>
        <w:rPr>
          <w:rFonts w:ascii="Times New Roman" w:cs="Times New Roman"/>
          <w:b/>
          <w:sz w:val="21"/>
        </w:rPr>
        <w:t xml:space="preserve"> </w:t>
      </w:r>
      <w:r>
        <w:rPr>
          <w:rFonts w:ascii="Times New Roman" w:cs="Times New Roman"/>
          <w:b/>
          <w:sz w:val="21"/>
        </w:rPr>
        <w:t>生态系统类型面积统计表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3297"/>
        <w:gridCol w:w="2662"/>
        <w:gridCol w:w="2563"/>
      </w:tblGrid>
      <w:tr w:rsidR="00BD5820">
        <w:trPr>
          <w:trHeight w:hRule="exact" w:val="397"/>
          <w:jc w:val="center"/>
        </w:trPr>
        <w:tc>
          <w:tcPr>
            <w:tcW w:w="1934" w:type="pct"/>
            <w:vMerge w:val="restart"/>
            <w:shd w:val="clear" w:color="auto" w:fill="auto"/>
            <w:noWrap/>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生态系统类型</w:t>
            </w:r>
          </w:p>
        </w:tc>
        <w:tc>
          <w:tcPr>
            <w:tcW w:w="3066" w:type="pct"/>
            <w:gridSpan w:val="2"/>
            <w:shd w:val="clear" w:color="000000" w:fill="FFFFFF"/>
            <w:noWrap/>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评价区范围</w:t>
            </w:r>
          </w:p>
        </w:tc>
      </w:tr>
      <w:tr w:rsidR="00BD5820">
        <w:trPr>
          <w:trHeight w:hRule="exact" w:val="397"/>
          <w:jc w:val="center"/>
        </w:trPr>
        <w:tc>
          <w:tcPr>
            <w:tcW w:w="1934" w:type="pct"/>
            <w:vMerge/>
            <w:shd w:val="clear" w:color="auto" w:fill="auto"/>
            <w:vAlign w:val="center"/>
          </w:tcPr>
          <w:p w:rsidR="00BD5820" w:rsidRDefault="00BD5820">
            <w:pPr>
              <w:widowControl/>
              <w:topLinePunct w:val="0"/>
              <w:adjustRightInd/>
              <w:spacing w:line="240" w:lineRule="auto"/>
              <w:ind w:firstLineChars="0" w:firstLine="0"/>
              <w:jc w:val="center"/>
              <w:textAlignment w:val="bottom"/>
              <w:rPr>
                <w:rFonts w:ascii="Times New Roman" w:cs="Times New Roman"/>
                <w:sz w:val="21"/>
                <w:szCs w:val="21"/>
              </w:rPr>
            </w:pPr>
          </w:p>
        </w:tc>
        <w:tc>
          <w:tcPr>
            <w:tcW w:w="1562" w:type="pct"/>
            <w:shd w:val="clear" w:color="000000" w:fill="FFFFFF"/>
            <w:noWrap/>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面积（</w:t>
            </w:r>
            <w:r>
              <w:rPr>
                <w:rFonts w:ascii="Times New Roman" w:cs="Times New Roman" w:hint="eastAsia"/>
                <w:sz w:val="21"/>
                <w:szCs w:val="21"/>
              </w:rPr>
              <w:t>hm</w:t>
            </w:r>
            <w:r>
              <w:rPr>
                <w:rFonts w:ascii="Times New Roman" w:cs="Times New Roman"/>
                <w:sz w:val="21"/>
                <w:szCs w:val="21"/>
                <w:vertAlign w:val="superscript"/>
              </w:rPr>
              <w:t>2</w:t>
            </w:r>
            <w:r>
              <w:rPr>
                <w:rFonts w:ascii="Times New Roman" w:cs="Times New Roman"/>
                <w:sz w:val="21"/>
                <w:szCs w:val="21"/>
              </w:rPr>
              <w:t>）</w:t>
            </w:r>
          </w:p>
        </w:tc>
        <w:tc>
          <w:tcPr>
            <w:tcW w:w="1504" w:type="pct"/>
            <w:shd w:val="clear" w:color="000000" w:fill="FFFFFF"/>
            <w:noWrap/>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占比（</w:t>
            </w:r>
            <w:r>
              <w:rPr>
                <w:rFonts w:ascii="Times New Roman" w:cs="Times New Roman"/>
                <w:sz w:val="21"/>
                <w:szCs w:val="21"/>
              </w:rPr>
              <w:t>%</w:t>
            </w:r>
            <w:r>
              <w:rPr>
                <w:rFonts w:ascii="Times New Roman" w:cs="Times New Roman"/>
                <w:sz w:val="21"/>
                <w:szCs w:val="21"/>
              </w:rPr>
              <w:t>）</w:t>
            </w:r>
          </w:p>
        </w:tc>
      </w:tr>
      <w:tr w:rsidR="00BD5820">
        <w:trPr>
          <w:trHeight w:hRule="exact" w:val="397"/>
          <w:jc w:val="center"/>
        </w:trPr>
        <w:tc>
          <w:tcPr>
            <w:tcW w:w="1934" w:type="pct"/>
            <w:shd w:val="clear" w:color="auto" w:fill="auto"/>
            <w:noWrap/>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hint="eastAsia"/>
                <w:sz w:val="21"/>
                <w:szCs w:val="21"/>
              </w:rPr>
              <w:t>森林</w:t>
            </w:r>
            <w:r>
              <w:rPr>
                <w:rFonts w:ascii="Times New Roman" w:cs="Times New Roman"/>
                <w:sz w:val="21"/>
                <w:szCs w:val="21"/>
              </w:rPr>
              <w:t>生态系统</w:t>
            </w:r>
          </w:p>
        </w:tc>
        <w:tc>
          <w:tcPr>
            <w:tcW w:w="1562" w:type="pct"/>
            <w:shd w:val="clear" w:color="000000" w:fill="FFFFFF"/>
            <w:noWrap/>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771.94</w:t>
            </w:r>
          </w:p>
        </w:tc>
        <w:tc>
          <w:tcPr>
            <w:tcW w:w="1504" w:type="pct"/>
            <w:shd w:val="clear" w:color="000000" w:fill="FFFFFF"/>
            <w:noWrap/>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61.42</w:t>
            </w:r>
          </w:p>
        </w:tc>
      </w:tr>
      <w:tr w:rsidR="00BD5820">
        <w:trPr>
          <w:trHeight w:hRule="exact" w:val="397"/>
          <w:jc w:val="center"/>
        </w:trPr>
        <w:tc>
          <w:tcPr>
            <w:tcW w:w="1934" w:type="pct"/>
            <w:shd w:val="clear" w:color="auto" w:fill="auto"/>
            <w:noWrap/>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hint="eastAsia"/>
                <w:sz w:val="21"/>
                <w:szCs w:val="21"/>
              </w:rPr>
              <w:t>灌丛</w:t>
            </w:r>
            <w:r>
              <w:rPr>
                <w:rFonts w:ascii="Times New Roman" w:cs="Times New Roman"/>
                <w:sz w:val="21"/>
                <w:szCs w:val="21"/>
              </w:rPr>
              <w:t>生态系统</w:t>
            </w:r>
          </w:p>
        </w:tc>
        <w:tc>
          <w:tcPr>
            <w:tcW w:w="1562" w:type="pct"/>
            <w:shd w:val="clear" w:color="000000" w:fill="FFFFFF"/>
            <w:noWrap/>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268.42</w:t>
            </w:r>
          </w:p>
        </w:tc>
        <w:tc>
          <w:tcPr>
            <w:tcW w:w="1504" w:type="pct"/>
            <w:shd w:val="clear" w:color="000000" w:fill="FFFFFF"/>
            <w:noWrap/>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21.36</w:t>
            </w:r>
          </w:p>
        </w:tc>
      </w:tr>
      <w:tr w:rsidR="00BD5820">
        <w:trPr>
          <w:trHeight w:hRule="exact" w:val="397"/>
          <w:jc w:val="center"/>
        </w:trPr>
        <w:tc>
          <w:tcPr>
            <w:tcW w:w="1934" w:type="pct"/>
            <w:shd w:val="clear" w:color="auto" w:fill="auto"/>
            <w:noWrap/>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hint="eastAsia"/>
                <w:sz w:val="21"/>
                <w:szCs w:val="21"/>
              </w:rPr>
              <w:t>灌草丛</w:t>
            </w:r>
            <w:r>
              <w:rPr>
                <w:rFonts w:ascii="Times New Roman" w:cs="Times New Roman"/>
                <w:sz w:val="21"/>
                <w:szCs w:val="21"/>
              </w:rPr>
              <w:t>生态系统</w:t>
            </w:r>
          </w:p>
        </w:tc>
        <w:tc>
          <w:tcPr>
            <w:tcW w:w="1562" w:type="pct"/>
            <w:shd w:val="clear" w:color="000000" w:fill="FFFFFF"/>
            <w:noWrap/>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2.17</w:t>
            </w:r>
          </w:p>
        </w:tc>
        <w:tc>
          <w:tcPr>
            <w:tcW w:w="1504" w:type="pct"/>
            <w:shd w:val="clear" w:color="000000" w:fill="FFFFFF"/>
            <w:noWrap/>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0.17</w:t>
            </w:r>
          </w:p>
        </w:tc>
      </w:tr>
      <w:tr w:rsidR="00BD5820">
        <w:trPr>
          <w:trHeight w:hRule="exact" w:val="397"/>
          <w:jc w:val="center"/>
        </w:trPr>
        <w:tc>
          <w:tcPr>
            <w:tcW w:w="1934" w:type="pct"/>
            <w:shd w:val="clear" w:color="auto" w:fill="auto"/>
            <w:noWrap/>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hint="eastAsia"/>
                <w:sz w:val="21"/>
                <w:szCs w:val="21"/>
              </w:rPr>
              <w:t>耕地</w:t>
            </w:r>
            <w:r>
              <w:rPr>
                <w:rFonts w:ascii="Times New Roman" w:cs="Times New Roman"/>
                <w:sz w:val="21"/>
                <w:szCs w:val="21"/>
              </w:rPr>
              <w:t>生态系统</w:t>
            </w:r>
          </w:p>
        </w:tc>
        <w:tc>
          <w:tcPr>
            <w:tcW w:w="1562" w:type="pct"/>
            <w:shd w:val="clear" w:color="000000" w:fill="FFFFFF"/>
            <w:noWrap/>
            <w:vAlign w:val="center"/>
          </w:tcPr>
          <w:p w:rsidR="00BD5820" w:rsidRDefault="00F64314">
            <w:pPr>
              <w:widowControl/>
              <w:topLinePunct w:val="0"/>
              <w:adjustRightInd/>
              <w:spacing w:line="240" w:lineRule="auto"/>
              <w:ind w:firstLineChars="0" w:firstLine="0"/>
              <w:jc w:val="center"/>
              <w:textAlignment w:val="center"/>
              <w:rPr>
                <w:rFonts w:ascii="Times New Roman" w:cs="Times New Roman"/>
                <w:snapToGrid w:val="0"/>
                <w:sz w:val="21"/>
                <w:szCs w:val="21"/>
              </w:rPr>
            </w:pPr>
            <w:r>
              <w:rPr>
                <w:rFonts w:ascii="Times New Roman" w:cs="Times New Roman" w:hint="eastAsia"/>
                <w:snapToGrid w:val="0"/>
                <w:sz w:val="21"/>
                <w:szCs w:val="21"/>
              </w:rPr>
              <w:t>132.7</w:t>
            </w:r>
          </w:p>
        </w:tc>
        <w:tc>
          <w:tcPr>
            <w:tcW w:w="1504" w:type="pct"/>
            <w:shd w:val="clear" w:color="000000" w:fill="FFFFFF"/>
            <w:noWrap/>
            <w:vAlign w:val="center"/>
          </w:tcPr>
          <w:p w:rsidR="00BD5820" w:rsidRDefault="00F64314">
            <w:pPr>
              <w:widowControl/>
              <w:topLinePunct w:val="0"/>
              <w:adjustRightInd/>
              <w:spacing w:line="240" w:lineRule="auto"/>
              <w:ind w:firstLineChars="0" w:firstLine="0"/>
              <w:jc w:val="center"/>
              <w:textAlignment w:val="center"/>
              <w:rPr>
                <w:rFonts w:ascii="Times New Roman" w:cs="Times New Roman"/>
                <w:snapToGrid w:val="0"/>
                <w:sz w:val="21"/>
                <w:szCs w:val="21"/>
              </w:rPr>
            </w:pPr>
            <w:r>
              <w:rPr>
                <w:rFonts w:ascii="Times New Roman" w:cs="Times New Roman" w:hint="eastAsia"/>
                <w:sz w:val="21"/>
                <w:szCs w:val="21"/>
              </w:rPr>
              <w:t>10.56</w:t>
            </w:r>
          </w:p>
        </w:tc>
      </w:tr>
      <w:tr w:rsidR="00BD5820">
        <w:trPr>
          <w:trHeight w:hRule="exact" w:val="397"/>
          <w:jc w:val="center"/>
        </w:trPr>
        <w:tc>
          <w:tcPr>
            <w:tcW w:w="1934" w:type="pct"/>
            <w:shd w:val="clear" w:color="auto" w:fill="auto"/>
            <w:noWrap/>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河流</w:t>
            </w:r>
            <w:r>
              <w:rPr>
                <w:rFonts w:ascii="Times New Roman" w:cs="Times New Roman" w:hint="eastAsia"/>
                <w:sz w:val="21"/>
                <w:szCs w:val="21"/>
              </w:rPr>
              <w:t>水面</w:t>
            </w:r>
            <w:r>
              <w:rPr>
                <w:rFonts w:ascii="Times New Roman" w:cs="Times New Roman"/>
                <w:sz w:val="21"/>
                <w:szCs w:val="21"/>
              </w:rPr>
              <w:t>生态系统</w:t>
            </w:r>
          </w:p>
        </w:tc>
        <w:tc>
          <w:tcPr>
            <w:tcW w:w="1562" w:type="pct"/>
            <w:shd w:val="clear" w:color="000000" w:fill="FFFFFF"/>
            <w:noWrap/>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25.74</w:t>
            </w:r>
          </w:p>
        </w:tc>
        <w:tc>
          <w:tcPr>
            <w:tcW w:w="1504" w:type="pct"/>
            <w:shd w:val="clear" w:color="000000" w:fill="FFFFFF"/>
            <w:noWrap/>
            <w:vAlign w:val="center"/>
          </w:tcPr>
          <w:p w:rsidR="00BD5820" w:rsidRDefault="00F64314">
            <w:pPr>
              <w:widowControl/>
              <w:topLinePunct w:val="0"/>
              <w:adjustRightInd/>
              <w:spacing w:line="240" w:lineRule="auto"/>
              <w:ind w:firstLineChars="0" w:firstLine="0"/>
              <w:jc w:val="center"/>
              <w:rPr>
                <w:rFonts w:ascii="Times New Roman" w:cs="Times New Roman"/>
                <w:sz w:val="21"/>
                <w:szCs w:val="21"/>
              </w:rPr>
            </w:pPr>
            <w:r>
              <w:rPr>
                <w:rFonts w:ascii="Times New Roman" w:cs="Times New Roman" w:hint="eastAsia"/>
                <w:sz w:val="21"/>
                <w:szCs w:val="21"/>
              </w:rPr>
              <w:t>2.04</w:t>
            </w:r>
          </w:p>
        </w:tc>
      </w:tr>
      <w:tr w:rsidR="00BD5820">
        <w:trPr>
          <w:trHeight w:hRule="exact" w:val="397"/>
          <w:jc w:val="center"/>
        </w:trPr>
        <w:tc>
          <w:tcPr>
            <w:tcW w:w="1934" w:type="pct"/>
            <w:shd w:val="clear" w:color="auto" w:fill="auto"/>
            <w:noWrap/>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hint="eastAsia"/>
                <w:sz w:val="21"/>
                <w:szCs w:val="21"/>
              </w:rPr>
              <w:lastRenderedPageBreak/>
              <w:t>人工生态系统</w:t>
            </w:r>
          </w:p>
        </w:tc>
        <w:tc>
          <w:tcPr>
            <w:tcW w:w="1562" w:type="pct"/>
            <w:shd w:val="clear" w:color="000000" w:fill="FFFFFF"/>
            <w:noWrap/>
            <w:vAlign w:val="center"/>
          </w:tcPr>
          <w:p w:rsidR="00BD5820" w:rsidRDefault="00F64314">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hint="eastAsia"/>
                <w:sz w:val="21"/>
                <w:szCs w:val="21"/>
              </w:rPr>
              <w:t>55.79</w:t>
            </w:r>
          </w:p>
        </w:tc>
        <w:tc>
          <w:tcPr>
            <w:tcW w:w="1504" w:type="pct"/>
            <w:shd w:val="clear" w:color="000000" w:fill="FFFFFF"/>
            <w:noWrap/>
            <w:vAlign w:val="bottom"/>
          </w:tcPr>
          <w:p w:rsidR="00BD5820" w:rsidRDefault="00F64314">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hint="eastAsia"/>
                <w:sz w:val="21"/>
                <w:szCs w:val="21"/>
              </w:rPr>
              <w:t>4.45</w:t>
            </w:r>
          </w:p>
        </w:tc>
      </w:tr>
      <w:tr w:rsidR="00BD5820">
        <w:trPr>
          <w:trHeight w:hRule="exact" w:val="397"/>
          <w:jc w:val="center"/>
        </w:trPr>
        <w:tc>
          <w:tcPr>
            <w:tcW w:w="1934" w:type="pct"/>
            <w:shd w:val="clear" w:color="auto" w:fill="auto"/>
            <w:noWrap/>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总计</w:t>
            </w:r>
          </w:p>
        </w:tc>
        <w:tc>
          <w:tcPr>
            <w:tcW w:w="1562" w:type="pct"/>
            <w:shd w:val="clear" w:color="000000" w:fill="FFFFFF"/>
            <w:noWrap/>
            <w:vAlign w:val="center"/>
          </w:tcPr>
          <w:p w:rsidR="00BD5820" w:rsidRDefault="00F64314">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hint="eastAsia"/>
                <w:sz w:val="21"/>
                <w:szCs w:val="21"/>
              </w:rPr>
              <w:t>1256.76</w:t>
            </w:r>
          </w:p>
        </w:tc>
        <w:tc>
          <w:tcPr>
            <w:tcW w:w="1504" w:type="pct"/>
            <w:shd w:val="clear" w:color="000000" w:fill="FFFFFF"/>
            <w:noWrap/>
            <w:vAlign w:val="center"/>
          </w:tcPr>
          <w:p w:rsidR="00BD5820" w:rsidRDefault="00F64314">
            <w:pPr>
              <w:widowControl/>
              <w:topLinePunct w:val="0"/>
              <w:adjustRightInd/>
              <w:spacing w:line="240" w:lineRule="auto"/>
              <w:ind w:firstLineChars="0" w:firstLine="0"/>
              <w:jc w:val="center"/>
              <w:textAlignment w:val="center"/>
              <w:rPr>
                <w:rFonts w:ascii="Times New Roman" w:cs="Times New Roman"/>
                <w:sz w:val="21"/>
                <w:szCs w:val="21"/>
              </w:rPr>
            </w:pPr>
            <w:r>
              <w:rPr>
                <w:rFonts w:ascii="Times New Roman" w:cs="Times New Roman" w:hint="eastAsia"/>
                <w:sz w:val="21"/>
                <w:szCs w:val="21"/>
              </w:rPr>
              <w:t>100</w:t>
            </w:r>
          </w:p>
        </w:tc>
      </w:tr>
    </w:tbl>
    <w:p w:rsidR="00BD5820" w:rsidRDefault="00F64314">
      <w:pPr>
        <w:pStyle w:val="3"/>
        <w:rPr>
          <w:rFonts w:eastAsia="宋体"/>
        </w:rPr>
      </w:pPr>
      <w:bookmarkStart w:id="338" w:name="_Toc12288590"/>
      <w:r>
        <w:rPr>
          <w:rFonts w:eastAsia="宋体"/>
        </w:rPr>
        <w:t>5.2.</w:t>
      </w:r>
      <w:r>
        <w:rPr>
          <w:rFonts w:eastAsia="宋体" w:hint="eastAsia"/>
        </w:rPr>
        <w:t>8</w:t>
      </w:r>
      <w:r>
        <w:rPr>
          <w:rFonts w:eastAsia="宋体"/>
          <w:bCs/>
        </w:rPr>
        <w:t>生态系统服务功能评价</w:t>
      </w:r>
      <w:bookmarkEnd w:id="338"/>
    </w:p>
    <w:p w:rsidR="00BD5820" w:rsidRDefault="00F64314">
      <w:pPr>
        <w:topLinePunct w:val="0"/>
        <w:snapToGrid w:val="0"/>
        <w:ind w:firstLineChars="0" w:firstLine="482"/>
        <w:rPr>
          <w:rFonts w:ascii="Times New Roman" w:cs="Times New Roman"/>
          <w:kern w:val="2"/>
        </w:rPr>
      </w:pPr>
      <w:r>
        <w:rPr>
          <w:rFonts w:ascii="Times New Roman" w:cs="Times New Roman"/>
          <w:kern w:val="2"/>
        </w:rPr>
        <w:t>（</w:t>
      </w:r>
      <w:r>
        <w:rPr>
          <w:rFonts w:ascii="Times New Roman" w:cs="Times New Roman"/>
          <w:kern w:val="2"/>
        </w:rPr>
        <w:t>1</w:t>
      </w:r>
      <w:r>
        <w:rPr>
          <w:rFonts w:ascii="Times New Roman" w:cs="Times New Roman"/>
          <w:kern w:val="2"/>
        </w:rPr>
        <w:t>）生物多样性保护功能</w:t>
      </w:r>
    </w:p>
    <w:p w:rsidR="00BD5820" w:rsidRDefault="00F64314">
      <w:pPr>
        <w:topLinePunct w:val="0"/>
        <w:snapToGrid w:val="0"/>
        <w:ind w:firstLineChars="0" w:firstLine="482"/>
        <w:rPr>
          <w:rFonts w:ascii="Times New Roman" w:cs="Times New Roman"/>
          <w:kern w:val="2"/>
        </w:rPr>
      </w:pPr>
      <w:r>
        <w:rPr>
          <w:rFonts w:ascii="Times New Roman" w:cs="Times New Roman" w:hint="eastAsia"/>
          <w:kern w:val="2"/>
        </w:rPr>
        <w:t>森林、灌丛、灌草丛</w:t>
      </w:r>
      <w:r>
        <w:rPr>
          <w:rFonts w:ascii="Times New Roman" w:cs="Times New Roman"/>
          <w:kern w:val="2"/>
        </w:rPr>
        <w:t>生态系统，为周边野生动物提供了一定的生存繁衍空间，对野生动物物种多样性保护发挥着重要作用。</w:t>
      </w:r>
    </w:p>
    <w:p w:rsidR="00BD5820" w:rsidRDefault="00F64314">
      <w:pPr>
        <w:topLinePunct w:val="0"/>
        <w:snapToGrid w:val="0"/>
        <w:ind w:firstLineChars="0" w:firstLine="482"/>
        <w:rPr>
          <w:rFonts w:ascii="Times New Roman" w:cs="Times New Roman"/>
          <w:kern w:val="2"/>
        </w:rPr>
      </w:pPr>
      <w:r>
        <w:rPr>
          <w:rFonts w:ascii="Times New Roman" w:cs="Times New Roman"/>
          <w:kern w:val="2"/>
        </w:rPr>
        <w:t>（</w:t>
      </w:r>
      <w:r>
        <w:rPr>
          <w:rFonts w:ascii="Times New Roman" w:cs="Times New Roman"/>
          <w:kern w:val="2"/>
        </w:rPr>
        <w:t>2</w:t>
      </w:r>
      <w:r>
        <w:rPr>
          <w:rFonts w:ascii="Times New Roman" w:cs="Times New Roman"/>
          <w:kern w:val="2"/>
        </w:rPr>
        <w:t>）维持区域生态平衡功能</w:t>
      </w:r>
    </w:p>
    <w:p w:rsidR="00BD5820" w:rsidRDefault="00F64314">
      <w:pPr>
        <w:topLinePunct w:val="0"/>
        <w:snapToGrid w:val="0"/>
        <w:ind w:firstLineChars="0" w:firstLine="482"/>
        <w:rPr>
          <w:rFonts w:ascii="Times New Roman" w:cs="Times New Roman"/>
          <w:kern w:val="2"/>
        </w:rPr>
      </w:pPr>
      <w:r>
        <w:rPr>
          <w:rFonts w:ascii="Times New Roman" w:cs="Times New Roman" w:hint="eastAsia"/>
          <w:kern w:val="2"/>
        </w:rPr>
        <w:t>森林、灌丛、灌草丛</w:t>
      </w:r>
      <w:r>
        <w:rPr>
          <w:rFonts w:ascii="Times New Roman" w:cs="Times New Roman"/>
          <w:kern w:val="2"/>
        </w:rPr>
        <w:t>生态系统在维持区域生态平衡中也具有良好的作用，有助于保持区域水平衡的稳定性。</w:t>
      </w:r>
    </w:p>
    <w:p w:rsidR="00BD5820" w:rsidRDefault="00F64314">
      <w:pPr>
        <w:topLinePunct w:val="0"/>
        <w:snapToGrid w:val="0"/>
        <w:ind w:firstLineChars="0" w:firstLine="482"/>
        <w:rPr>
          <w:rFonts w:ascii="Times New Roman" w:cs="Times New Roman"/>
          <w:kern w:val="2"/>
        </w:rPr>
      </w:pPr>
      <w:r>
        <w:rPr>
          <w:rFonts w:ascii="Times New Roman" w:cs="Times New Roman"/>
          <w:kern w:val="2"/>
        </w:rPr>
        <w:t>（</w:t>
      </w:r>
      <w:r>
        <w:rPr>
          <w:rFonts w:ascii="Times New Roman" w:cs="Times New Roman"/>
          <w:kern w:val="2"/>
        </w:rPr>
        <w:t>3</w:t>
      </w:r>
      <w:r>
        <w:rPr>
          <w:rFonts w:ascii="Times New Roman" w:cs="Times New Roman"/>
          <w:kern w:val="2"/>
        </w:rPr>
        <w:t>）生态安全保障功能</w:t>
      </w:r>
    </w:p>
    <w:p w:rsidR="00BD5820" w:rsidRDefault="00F64314">
      <w:pPr>
        <w:pStyle w:val="affa"/>
        <w:ind w:firstLine="480"/>
      </w:pPr>
      <w:r>
        <w:rPr>
          <w:rFonts w:hint="eastAsia"/>
          <w:kern w:val="2"/>
          <w:szCs w:val="24"/>
        </w:rPr>
        <w:t>森林、灌丛、灌草丛</w:t>
      </w:r>
      <w:r>
        <w:rPr>
          <w:kern w:val="2"/>
          <w:szCs w:val="24"/>
        </w:rPr>
        <w:t>生态系统是野生动物必要的栖息地，也是维护评价区生态安全的重要屏障。</w:t>
      </w:r>
    </w:p>
    <w:p w:rsidR="00BD5820" w:rsidRDefault="00F64314">
      <w:pPr>
        <w:pStyle w:val="3"/>
        <w:rPr>
          <w:rFonts w:eastAsia="宋体"/>
        </w:rPr>
      </w:pPr>
      <w:r>
        <w:rPr>
          <w:rFonts w:eastAsia="宋体"/>
        </w:rPr>
        <w:t>5.2.</w:t>
      </w:r>
      <w:r>
        <w:rPr>
          <w:rFonts w:eastAsia="宋体" w:hint="eastAsia"/>
        </w:rPr>
        <w:t>9</w:t>
      </w:r>
      <w:r>
        <w:rPr>
          <w:rFonts w:eastAsia="宋体"/>
          <w:bCs/>
        </w:rPr>
        <w:t>陆生野生动物现状调查</w:t>
      </w:r>
    </w:p>
    <w:p w:rsidR="00BD5820" w:rsidRDefault="00F64314">
      <w:pPr>
        <w:topLinePunct w:val="0"/>
        <w:snapToGrid w:val="0"/>
        <w:ind w:firstLine="482"/>
        <w:rPr>
          <w:rFonts w:ascii="Times New Roman" w:cs="Times New Roman"/>
          <w:b/>
          <w:bCs/>
          <w:kern w:val="2"/>
        </w:rPr>
      </w:pPr>
      <w:r>
        <w:rPr>
          <w:rFonts w:ascii="Times New Roman" w:cs="Times New Roman" w:hint="eastAsia"/>
          <w:b/>
          <w:bCs/>
          <w:kern w:val="2"/>
        </w:rPr>
        <w:t>1</w:t>
      </w:r>
      <w:r>
        <w:rPr>
          <w:rFonts w:ascii="Times New Roman" w:cs="Times New Roman"/>
          <w:b/>
          <w:bCs/>
          <w:kern w:val="2"/>
        </w:rPr>
        <w:t>、项目评价范围内陆生野生脊椎动物现状和特点</w:t>
      </w:r>
    </w:p>
    <w:p w:rsidR="00BD5820" w:rsidRDefault="00F64314">
      <w:pPr>
        <w:topLinePunct w:val="0"/>
        <w:snapToGrid w:val="0"/>
        <w:ind w:firstLine="480"/>
        <w:rPr>
          <w:rFonts w:ascii="Times New Roman" w:cs="Times New Roman"/>
          <w:kern w:val="2"/>
        </w:rPr>
      </w:pPr>
      <w:r>
        <w:rPr>
          <w:rFonts w:ascii="Times New Roman" w:cs="Times New Roman"/>
          <w:kern w:val="2"/>
        </w:rPr>
        <w:t>动物调查采用样线调查法，设置调查样线</w:t>
      </w:r>
      <w:r>
        <w:rPr>
          <w:rFonts w:ascii="Times New Roman" w:cs="Times New Roman" w:hint="eastAsia"/>
          <w:kern w:val="2"/>
        </w:rPr>
        <w:t>4</w:t>
      </w:r>
      <w:r>
        <w:rPr>
          <w:rFonts w:ascii="Times New Roman" w:cs="Times New Roman"/>
          <w:kern w:val="2"/>
        </w:rPr>
        <w:t>条，样线长为</w:t>
      </w:r>
      <w:r>
        <w:rPr>
          <w:rFonts w:ascii="Times New Roman" w:cs="Times New Roman"/>
          <w:kern w:val="2"/>
        </w:rPr>
        <w:t>1-3km</w:t>
      </w:r>
      <w:r>
        <w:rPr>
          <w:rFonts w:ascii="Times New Roman" w:cs="Times New Roman"/>
          <w:kern w:val="2"/>
        </w:rPr>
        <w:t>，单侧观察宽度为</w:t>
      </w:r>
      <w:r>
        <w:rPr>
          <w:rFonts w:ascii="Times New Roman" w:cs="Times New Roman"/>
          <w:kern w:val="2"/>
        </w:rPr>
        <w:t>50m</w:t>
      </w:r>
      <w:r>
        <w:rPr>
          <w:rFonts w:ascii="Times New Roman" w:cs="Times New Roman"/>
          <w:kern w:val="2"/>
        </w:rPr>
        <w:t>，样线分别设置在</w:t>
      </w:r>
      <w:r>
        <w:rPr>
          <w:rFonts w:ascii="Times New Roman" w:cs="Times New Roman" w:hint="eastAsia"/>
          <w:kern w:val="2"/>
        </w:rPr>
        <w:t>乔木林</w:t>
      </w:r>
      <w:r>
        <w:rPr>
          <w:rFonts w:ascii="Times New Roman" w:cs="Times New Roman"/>
          <w:kern w:val="2"/>
        </w:rPr>
        <w:t>、灌草丛</w:t>
      </w:r>
      <w:r>
        <w:rPr>
          <w:rFonts w:ascii="Times New Roman" w:cs="Times New Roman" w:hint="eastAsia"/>
          <w:kern w:val="2"/>
        </w:rPr>
        <w:t>、耕地、居民点</w:t>
      </w:r>
      <w:r>
        <w:rPr>
          <w:rFonts w:ascii="Times New Roman" w:cs="Times New Roman"/>
          <w:kern w:val="2"/>
        </w:rPr>
        <w:t>等地，涵盖了不同的生境条件，尽量在评价区内均匀分布。由于项目评价范围现有土地开发利用程度较高，人类活动对当地野生动物影响较大，野生动物组成比较简单，种类较少，多为鸟类和小型啮齿类动物，鸟类繁殖期多在食物资源丰富的春夏季，啮齿类动物多无固定繁殖期，蛇类越冬期主要在</w:t>
      </w:r>
      <w:r>
        <w:rPr>
          <w:rFonts w:ascii="Times New Roman" w:cs="Times New Roman"/>
          <w:kern w:val="2"/>
        </w:rPr>
        <w:t>11-</w:t>
      </w:r>
      <w:r>
        <w:rPr>
          <w:rFonts w:ascii="Times New Roman" w:cs="Times New Roman"/>
          <w:kern w:val="2"/>
        </w:rPr>
        <w:t>次年</w:t>
      </w:r>
      <w:r>
        <w:rPr>
          <w:rFonts w:ascii="Times New Roman" w:cs="Times New Roman"/>
          <w:kern w:val="2"/>
        </w:rPr>
        <w:t>4</w:t>
      </w:r>
      <w:r>
        <w:rPr>
          <w:rFonts w:ascii="Times New Roman" w:cs="Times New Roman"/>
          <w:kern w:val="2"/>
        </w:rPr>
        <w:t>月，本次评价以项目所在区域</w:t>
      </w:r>
      <w:r>
        <w:rPr>
          <w:rFonts w:ascii="Times New Roman" w:cs="Times New Roman" w:hint="eastAsia"/>
          <w:kern w:val="2"/>
        </w:rPr>
        <w:t>宣汉县</w:t>
      </w:r>
      <w:r>
        <w:rPr>
          <w:rFonts w:ascii="Times New Roman" w:cs="Times New Roman"/>
          <w:kern w:val="2"/>
        </w:rPr>
        <w:t>陆生野生动物分布情况为准。</w:t>
      </w:r>
    </w:p>
    <w:p w:rsidR="00BD5820" w:rsidRDefault="00F64314" w:rsidP="00511129">
      <w:pPr>
        <w:topLinePunct w:val="0"/>
        <w:autoSpaceDE w:val="0"/>
        <w:autoSpaceDN w:val="0"/>
        <w:spacing w:beforeLines="50" w:line="240" w:lineRule="auto"/>
        <w:ind w:firstLineChars="0" w:firstLine="0"/>
        <w:jc w:val="center"/>
        <w:rPr>
          <w:rFonts w:ascii="Times New Roman" w:cs="Times New Roman"/>
          <w:b/>
          <w:sz w:val="21"/>
        </w:rPr>
      </w:pPr>
      <w:r>
        <w:rPr>
          <w:rFonts w:ascii="Times New Roman" w:cs="Times New Roman"/>
          <w:b/>
          <w:sz w:val="21"/>
        </w:rPr>
        <w:t>表</w:t>
      </w:r>
      <w:r>
        <w:rPr>
          <w:rFonts w:ascii="Times New Roman" w:cs="Times New Roman" w:hint="eastAsia"/>
          <w:b/>
          <w:sz w:val="21"/>
        </w:rPr>
        <w:t>5.2</w:t>
      </w:r>
      <w:r>
        <w:rPr>
          <w:rFonts w:ascii="Times New Roman" w:cs="Times New Roman"/>
          <w:b/>
          <w:sz w:val="21"/>
        </w:rPr>
        <w:t>-</w:t>
      </w:r>
      <w:r>
        <w:rPr>
          <w:rFonts w:ascii="Times New Roman" w:cs="Times New Roman" w:hint="eastAsia"/>
          <w:b/>
          <w:sz w:val="21"/>
        </w:rPr>
        <w:t>17</w:t>
      </w:r>
      <w:r>
        <w:rPr>
          <w:rFonts w:ascii="Times New Roman" w:cs="Times New Roman"/>
          <w:b/>
          <w:sz w:val="21"/>
        </w:rPr>
        <w:t xml:space="preserve"> </w:t>
      </w:r>
      <w:r>
        <w:rPr>
          <w:rFonts w:ascii="Times New Roman" w:cs="Times New Roman"/>
          <w:b/>
          <w:sz w:val="21"/>
        </w:rPr>
        <w:t>野生动物野外调查样线分布表</w:t>
      </w:r>
    </w:p>
    <w:p w:rsidR="00BD5820" w:rsidRDefault="00BD5820">
      <w:pPr>
        <w:topLinePunct w:val="0"/>
        <w:adjustRightInd/>
        <w:spacing w:line="99" w:lineRule="exact"/>
        <w:ind w:firstLineChars="0" w:firstLine="0"/>
        <w:rPr>
          <w:rFonts w:ascii="Times New Roman" w:cs="Times New Roman"/>
          <w:kern w:val="2"/>
          <w:sz w:val="21"/>
        </w:rPr>
      </w:pPr>
    </w:p>
    <w:tbl>
      <w:tblPr>
        <w:tblStyle w:val="TableNormal"/>
        <w:tblW w:w="5000" w:type="pct"/>
        <w:jc w:val="center"/>
        <w:tblInd w:w="0" w:type="dxa"/>
        <w:tblBorders>
          <w:top w:val="single" w:sz="12" w:space="0" w:color="000000"/>
          <w:bottom w:val="single" w:sz="12" w:space="0" w:color="000000"/>
          <w:insideH w:val="single" w:sz="2" w:space="0" w:color="000000"/>
          <w:insideV w:val="single" w:sz="2" w:space="0" w:color="000000"/>
        </w:tblBorders>
        <w:tblLayout w:type="fixed"/>
        <w:tblLook w:val="04A0"/>
      </w:tblPr>
      <w:tblGrid>
        <w:gridCol w:w="1622"/>
        <w:gridCol w:w="3338"/>
        <w:gridCol w:w="3346"/>
      </w:tblGrid>
      <w:tr w:rsidR="00BD5820">
        <w:trPr>
          <w:trHeight w:val="354"/>
          <w:jc w:val="center"/>
        </w:trPr>
        <w:tc>
          <w:tcPr>
            <w:tcW w:w="1622"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样带编号</w:t>
            </w:r>
          </w:p>
        </w:tc>
        <w:tc>
          <w:tcPr>
            <w:tcW w:w="3338"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生态环境</w:t>
            </w:r>
          </w:p>
        </w:tc>
        <w:tc>
          <w:tcPr>
            <w:tcW w:w="3346"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主要野生动物类型</w:t>
            </w:r>
          </w:p>
        </w:tc>
      </w:tr>
      <w:tr w:rsidR="00BD5820">
        <w:trPr>
          <w:trHeight w:val="316"/>
          <w:jc w:val="center"/>
        </w:trPr>
        <w:tc>
          <w:tcPr>
            <w:tcW w:w="1622"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01</w:t>
            </w:r>
          </w:p>
        </w:tc>
        <w:tc>
          <w:tcPr>
            <w:tcW w:w="3338"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hint="eastAsia"/>
                <w:sz w:val="21"/>
                <w:szCs w:val="21"/>
              </w:rPr>
              <w:t>乔木林</w:t>
            </w:r>
          </w:p>
        </w:tc>
        <w:tc>
          <w:tcPr>
            <w:tcW w:w="3346"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鸟类、两栖类、爬行类</w:t>
            </w:r>
          </w:p>
        </w:tc>
      </w:tr>
      <w:tr w:rsidR="00BD5820">
        <w:trPr>
          <w:trHeight w:val="316"/>
          <w:jc w:val="center"/>
        </w:trPr>
        <w:tc>
          <w:tcPr>
            <w:tcW w:w="1622"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02</w:t>
            </w:r>
          </w:p>
        </w:tc>
        <w:tc>
          <w:tcPr>
            <w:tcW w:w="3338"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hint="eastAsia"/>
                <w:sz w:val="21"/>
                <w:szCs w:val="21"/>
              </w:rPr>
              <w:t>灌丛</w:t>
            </w:r>
          </w:p>
        </w:tc>
        <w:tc>
          <w:tcPr>
            <w:tcW w:w="3346"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鸟类、两栖类、爬行类</w:t>
            </w:r>
          </w:p>
        </w:tc>
      </w:tr>
      <w:tr w:rsidR="00BD5820">
        <w:trPr>
          <w:trHeight w:val="317"/>
          <w:jc w:val="center"/>
        </w:trPr>
        <w:tc>
          <w:tcPr>
            <w:tcW w:w="1622"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03</w:t>
            </w:r>
          </w:p>
        </w:tc>
        <w:tc>
          <w:tcPr>
            <w:tcW w:w="3338"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hint="eastAsia"/>
                <w:sz w:val="21"/>
                <w:szCs w:val="21"/>
              </w:rPr>
              <w:t>耕地</w:t>
            </w:r>
          </w:p>
        </w:tc>
        <w:tc>
          <w:tcPr>
            <w:tcW w:w="3346"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鸟类、两栖类、爬行类</w:t>
            </w:r>
          </w:p>
        </w:tc>
      </w:tr>
      <w:tr w:rsidR="00BD5820">
        <w:trPr>
          <w:trHeight w:val="316"/>
          <w:jc w:val="center"/>
        </w:trPr>
        <w:tc>
          <w:tcPr>
            <w:tcW w:w="1622"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04</w:t>
            </w:r>
          </w:p>
        </w:tc>
        <w:tc>
          <w:tcPr>
            <w:tcW w:w="3338"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居民</w:t>
            </w:r>
            <w:r>
              <w:rPr>
                <w:rFonts w:ascii="Times New Roman" w:cs="Times New Roman" w:hint="eastAsia"/>
                <w:sz w:val="21"/>
                <w:szCs w:val="21"/>
              </w:rPr>
              <w:t>点</w:t>
            </w:r>
          </w:p>
        </w:tc>
        <w:tc>
          <w:tcPr>
            <w:tcW w:w="3346"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鸟类、兽类、爬行类</w:t>
            </w:r>
          </w:p>
        </w:tc>
      </w:tr>
    </w:tbl>
    <w:p w:rsidR="00BD5820" w:rsidRDefault="00F64314">
      <w:pPr>
        <w:topLinePunct w:val="0"/>
        <w:snapToGrid w:val="0"/>
        <w:ind w:firstLine="482"/>
        <w:rPr>
          <w:rFonts w:ascii="Times New Roman" w:cs="Times New Roman"/>
          <w:b/>
          <w:bCs/>
          <w:kern w:val="2"/>
        </w:rPr>
      </w:pPr>
      <w:r>
        <w:rPr>
          <w:rFonts w:ascii="Times New Roman" w:cs="Times New Roman" w:hint="eastAsia"/>
          <w:b/>
          <w:bCs/>
          <w:kern w:val="2"/>
        </w:rPr>
        <w:t>2</w:t>
      </w:r>
      <w:r>
        <w:rPr>
          <w:rFonts w:ascii="Times New Roman" w:cs="Times New Roman"/>
          <w:b/>
          <w:bCs/>
          <w:kern w:val="2"/>
        </w:rPr>
        <w:t>、物种组成</w:t>
      </w:r>
    </w:p>
    <w:p w:rsidR="00BD5820" w:rsidRDefault="00F64314">
      <w:pPr>
        <w:topLinePunct w:val="0"/>
        <w:snapToGrid w:val="0"/>
        <w:ind w:firstLine="480"/>
        <w:rPr>
          <w:rFonts w:ascii="Times New Roman" w:cs="Times New Roman"/>
          <w:kern w:val="2"/>
        </w:rPr>
      </w:pPr>
      <w:r>
        <w:rPr>
          <w:rFonts w:ascii="Times New Roman" w:cs="Times New Roman"/>
          <w:kern w:val="2"/>
        </w:rPr>
        <w:t>根据现场调查、访问，参考保护区科考报告资料，评价区及周边不完全统计有野生脊椎动物</w:t>
      </w:r>
      <w:r>
        <w:rPr>
          <w:rFonts w:ascii="Times New Roman" w:cs="Times New Roman" w:hint="eastAsia"/>
          <w:kern w:val="2"/>
        </w:rPr>
        <w:t>19</w:t>
      </w:r>
      <w:r>
        <w:rPr>
          <w:rFonts w:ascii="Times New Roman" w:cs="Times New Roman"/>
          <w:kern w:val="2"/>
        </w:rPr>
        <w:t>目</w:t>
      </w:r>
      <w:r>
        <w:rPr>
          <w:rFonts w:ascii="Times New Roman" w:cs="Times New Roman" w:hint="eastAsia"/>
          <w:kern w:val="2"/>
        </w:rPr>
        <w:t>35</w:t>
      </w:r>
      <w:r>
        <w:rPr>
          <w:rFonts w:ascii="Times New Roman" w:cs="Times New Roman"/>
          <w:kern w:val="2"/>
        </w:rPr>
        <w:t>科</w:t>
      </w:r>
      <w:r>
        <w:rPr>
          <w:rFonts w:ascii="Times New Roman" w:cs="Times New Roman" w:hint="eastAsia"/>
          <w:kern w:val="2"/>
        </w:rPr>
        <w:t>65</w:t>
      </w:r>
      <w:r>
        <w:rPr>
          <w:rFonts w:ascii="Times New Roman" w:cs="Times New Roman"/>
          <w:kern w:val="2"/>
        </w:rPr>
        <w:t>种，其中两栖类</w:t>
      </w:r>
      <w:r>
        <w:rPr>
          <w:rFonts w:ascii="Times New Roman" w:cs="Times New Roman"/>
          <w:kern w:val="2"/>
        </w:rPr>
        <w:t>1</w:t>
      </w:r>
      <w:r>
        <w:rPr>
          <w:rFonts w:ascii="Times New Roman" w:cs="Times New Roman"/>
          <w:kern w:val="2"/>
        </w:rPr>
        <w:t>目</w:t>
      </w:r>
      <w:r>
        <w:rPr>
          <w:rFonts w:ascii="Times New Roman" w:cs="Times New Roman" w:hint="eastAsia"/>
          <w:kern w:val="2"/>
        </w:rPr>
        <w:t>3</w:t>
      </w:r>
      <w:r>
        <w:rPr>
          <w:rFonts w:ascii="Times New Roman" w:cs="Times New Roman"/>
          <w:kern w:val="2"/>
        </w:rPr>
        <w:t>科</w:t>
      </w:r>
      <w:r>
        <w:rPr>
          <w:rFonts w:ascii="Times New Roman" w:cs="Times New Roman" w:hint="eastAsia"/>
          <w:kern w:val="2"/>
        </w:rPr>
        <w:t>5</w:t>
      </w:r>
      <w:r>
        <w:rPr>
          <w:rFonts w:ascii="Times New Roman" w:cs="Times New Roman"/>
          <w:kern w:val="2"/>
        </w:rPr>
        <w:t>种，爬行类</w:t>
      </w:r>
      <w:r>
        <w:rPr>
          <w:rFonts w:ascii="Times New Roman" w:cs="Times New Roman"/>
          <w:kern w:val="2"/>
        </w:rPr>
        <w:t>1</w:t>
      </w:r>
      <w:r>
        <w:rPr>
          <w:rFonts w:ascii="Times New Roman" w:cs="Times New Roman"/>
          <w:kern w:val="2"/>
        </w:rPr>
        <w:t>目</w:t>
      </w:r>
      <w:r>
        <w:rPr>
          <w:rFonts w:ascii="Times New Roman" w:cs="Times New Roman" w:hint="eastAsia"/>
          <w:kern w:val="2"/>
        </w:rPr>
        <w:t>2</w:t>
      </w:r>
      <w:r>
        <w:rPr>
          <w:rFonts w:ascii="Times New Roman" w:cs="Times New Roman"/>
          <w:kern w:val="2"/>
        </w:rPr>
        <w:t>科</w:t>
      </w:r>
      <w:r>
        <w:rPr>
          <w:rFonts w:ascii="Times New Roman" w:cs="Times New Roman" w:hint="eastAsia"/>
          <w:kern w:val="2"/>
        </w:rPr>
        <w:t>6</w:t>
      </w:r>
      <w:r>
        <w:rPr>
          <w:rFonts w:ascii="Times New Roman" w:cs="Times New Roman"/>
          <w:kern w:val="2"/>
        </w:rPr>
        <w:t>种，哺乳类</w:t>
      </w:r>
      <w:r>
        <w:rPr>
          <w:rFonts w:ascii="Times New Roman" w:cs="Times New Roman" w:hint="eastAsia"/>
          <w:kern w:val="2"/>
        </w:rPr>
        <w:t>6</w:t>
      </w:r>
      <w:r>
        <w:rPr>
          <w:rFonts w:ascii="Times New Roman" w:cs="Times New Roman"/>
          <w:kern w:val="2"/>
        </w:rPr>
        <w:t>目</w:t>
      </w:r>
      <w:r>
        <w:rPr>
          <w:rFonts w:ascii="Times New Roman" w:cs="Times New Roman" w:hint="eastAsia"/>
          <w:kern w:val="2"/>
        </w:rPr>
        <w:t>9</w:t>
      </w:r>
      <w:r>
        <w:rPr>
          <w:rFonts w:ascii="Times New Roman" w:cs="Times New Roman"/>
          <w:kern w:val="2"/>
        </w:rPr>
        <w:t>科</w:t>
      </w:r>
      <w:r>
        <w:rPr>
          <w:rFonts w:ascii="Times New Roman" w:cs="Times New Roman" w:hint="eastAsia"/>
          <w:kern w:val="2"/>
        </w:rPr>
        <w:t>15</w:t>
      </w:r>
      <w:r>
        <w:rPr>
          <w:rFonts w:ascii="Times New Roman" w:cs="Times New Roman"/>
          <w:kern w:val="2"/>
        </w:rPr>
        <w:t>种，鸟类</w:t>
      </w:r>
      <w:r>
        <w:rPr>
          <w:rFonts w:ascii="Times New Roman" w:cs="Times New Roman" w:hint="eastAsia"/>
          <w:kern w:val="2"/>
        </w:rPr>
        <w:t>11</w:t>
      </w:r>
      <w:r>
        <w:rPr>
          <w:rFonts w:ascii="Times New Roman" w:cs="Times New Roman"/>
          <w:kern w:val="2"/>
        </w:rPr>
        <w:t>目</w:t>
      </w:r>
      <w:r>
        <w:rPr>
          <w:rFonts w:ascii="Times New Roman" w:cs="Times New Roman" w:hint="eastAsia"/>
          <w:kern w:val="2"/>
        </w:rPr>
        <w:t>21</w:t>
      </w:r>
      <w:r>
        <w:rPr>
          <w:rFonts w:ascii="Times New Roman" w:cs="Times New Roman"/>
          <w:kern w:val="2"/>
        </w:rPr>
        <w:t>科</w:t>
      </w:r>
      <w:r>
        <w:rPr>
          <w:rFonts w:ascii="Times New Roman" w:cs="Times New Roman" w:hint="eastAsia"/>
          <w:kern w:val="2"/>
        </w:rPr>
        <w:t>39</w:t>
      </w:r>
      <w:r>
        <w:rPr>
          <w:rFonts w:ascii="Times New Roman" w:cs="Times New Roman"/>
          <w:kern w:val="2"/>
        </w:rPr>
        <w:t>种。</w:t>
      </w:r>
    </w:p>
    <w:p w:rsidR="00432C6D" w:rsidRDefault="00432C6D">
      <w:pPr>
        <w:topLinePunct w:val="0"/>
        <w:snapToGrid w:val="0"/>
        <w:ind w:firstLine="480"/>
        <w:rPr>
          <w:rFonts w:ascii="Times New Roman" w:cs="Times New Roman"/>
          <w:kern w:val="2"/>
        </w:rPr>
      </w:pPr>
    </w:p>
    <w:p w:rsidR="00BD5820" w:rsidRDefault="00F64314" w:rsidP="00511129">
      <w:pPr>
        <w:topLinePunct w:val="0"/>
        <w:autoSpaceDE w:val="0"/>
        <w:autoSpaceDN w:val="0"/>
        <w:spacing w:beforeLines="50" w:line="240" w:lineRule="auto"/>
        <w:ind w:firstLineChars="0" w:firstLine="0"/>
        <w:jc w:val="center"/>
        <w:rPr>
          <w:rFonts w:ascii="Times New Roman" w:cs="Times New Roman"/>
          <w:b/>
          <w:sz w:val="21"/>
        </w:rPr>
      </w:pPr>
      <w:r>
        <w:rPr>
          <w:rFonts w:ascii="Times New Roman" w:cs="Times New Roman"/>
          <w:b/>
          <w:sz w:val="21"/>
        </w:rPr>
        <w:t>表</w:t>
      </w:r>
      <w:r>
        <w:rPr>
          <w:rFonts w:ascii="Times New Roman" w:cs="Times New Roman" w:hint="eastAsia"/>
          <w:b/>
          <w:sz w:val="21"/>
        </w:rPr>
        <w:t>5.2</w:t>
      </w:r>
      <w:r>
        <w:rPr>
          <w:rFonts w:ascii="Times New Roman" w:cs="Times New Roman"/>
          <w:b/>
          <w:sz w:val="21"/>
        </w:rPr>
        <w:t>-</w:t>
      </w:r>
      <w:r>
        <w:rPr>
          <w:rFonts w:ascii="Times New Roman" w:cs="Times New Roman" w:hint="eastAsia"/>
          <w:b/>
          <w:sz w:val="21"/>
        </w:rPr>
        <w:t>18</w:t>
      </w:r>
      <w:r>
        <w:rPr>
          <w:rFonts w:ascii="Times New Roman" w:cs="Times New Roman"/>
          <w:b/>
          <w:sz w:val="21"/>
        </w:rPr>
        <w:t xml:space="preserve"> </w:t>
      </w:r>
      <w:r>
        <w:rPr>
          <w:rFonts w:ascii="Times New Roman" w:cs="Times New Roman"/>
          <w:b/>
          <w:sz w:val="21"/>
        </w:rPr>
        <w:t>评价区野生脊椎动物物种组成</w:t>
      </w:r>
    </w:p>
    <w:tbl>
      <w:tblPr>
        <w:tblStyle w:val="TableNormal"/>
        <w:tblW w:w="5000" w:type="pct"/>
        <w:jc w:val="center"/>
        <w:tblInd w:w="0" w:type="dxa"/>
        <w:tblBorders>
          <w:top w:val="single" w:sz="12" w:space="0" w:color="000000"/>
          <w:bottom w:val="single" w:sz="12" w:space="0" w:color="000000"/>
          <w:insideH w:val="single" w:sz="2" w:space="0" w:color="000000"/>
          <w:insideV w:val="single" w:sz="2" w:space="0" w:color="000000"/>
        </w:tblBorders>
        <w:tblLayout w:type="fixed"/>
        <w:tblLook w:val="04A0"/>
      </w:tblPr>
      <w:tblGrid>
        <w:gridCol w:w="1316"/>
        <w:gridCol w:w="1141"/>
        <w:gridCol w:w="1141"/>
        <w:gridCol w:w="1301"/>
        <w:gridCol w:w="1356"/>
        <w:gridCol w:w="1231"/>
        <w:gridCol w:w="820"/>
      </w:tblGrid>
      <w:tr w:rsidR="00BD5820">
        <w:trPr>
          <w:trHeight w:val="430"/>
          <w:jc w:val="center"/>
        </w:trPr>
        <w:tc>
          <w:tcPr>
            <w:tcW w:w="1316"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类别</w:t>
            </w:r>
          </w:p>
        </w:tc>
        <w:tc>
          <w:tcPr>
            <w:tcW w:w="1141"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目数</w:t>
            </w:r>
          </w:p>
        </w:tc>
        <w:tc>
          <w:tcPr>
            <w:tcW w:w="1141"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科数</w:t>
            </w:r>
          </w:p>
        </w:tc>
        <w:tc>
          <w:tcPr>
            <w:tcW w:w="1301"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物种数</w:t>
            </w:r>
          </w:p>
        </w:tc>
        <w:tc>
          <w:tcPr>
            <w:tcW w:w="1356"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国家</w:t>
            </w:r>
            <w:r>
              <w:rPr>
                <w:rFonts w:ascii="Times New Roman" w:cs="Times New Roman"/>
                <w:sz w:val="21"/>
                <w:szCs w:val="21"/>
              </w:rPr>
              <w:t>Ⅰ</w:t>
            </w:r>
            <w:r>
              <w:rPr>
                <w:rFonts w:ascii="Times New Roman" w:cs="Times New Roman"/>
                <w:sz w:val="21"/>
                <w:szCs w:val="21"/>
              </w:rPr>
              <w:t>级</w:t>
            </w:r>
          </w:p>
        </w:tc>
        <w:tc>
          <w:tcPr>
            <w:tcW w:w="1231"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国家</w:t>
            </w:r>
            <w:r>
              <w:rPr>
                <w:rFonts w:ascii="Times New Roman" w:cs="Times New Roman"/>
                <w:sz w:val="21"/>
                <w:szCs w:val="21"/>
              </w:rPr>
              <w:t>Ⅱ</w:t>
            </w:r>
            <w:r>
              <w:rPr>
                <w:rFonts w:ascii="Times New Roman" w:cs="Times New Roman"/>
                <w:sz w:val="21"/>
                <w:szCs w:val="21"/>
              </w:rPr>
              <w:t>级</w:t>
            </w:r>
          </w:p>
        </w:tc>
        <w:tc>
          <w:tcPr>
            <w:tcW w:w="820"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省级</w:t>
            </w:r>
          </w:p>
        </w:tc>
      </w:tr>
      <w:tr w:rsidR="00BD5820">
        <w:trPr>
          <w:trHeight w:val="426"/>
          <w:jc w:val="center"/>
        </w:trPr>
        <w:tc>
          <w:tcPr>
            <w:tcW w:w="1316"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两栖类</w:t>
            </w:r>
          </w:p>
        </w:tc>
        <w:tc>
          <w:tcPr>
            <w:tcW w:w="1141"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hint="eastAsia"/>
                <w:sz w:val="21"/>
                <w:szCs w:val="21"/>
              </w:rPr>
              <w:t>1</w:t>
            </w:r>
          </w:p>
        </w:tc>
        <w:tc>
          <w:tcPr>
            <w:tcW w:w="1141"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hint="eastAsia"/>
                <w:sz w:val="21"/>
                <w:szCs w:val="21"/>
              </w:rPr>
              <w:t>3</w:t>
            </w:r>
          </w:p>
        </w:tc>
        <w:tc>
          <w:tcPr>
            <w:tcW w:w="1301"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hint="eastAsia"/>
                <w:sz w:val="21"/>
                <w:szCs w:val="21"/>
              </w:rPr>
              <w:t>5</w:t>
            </w:r>
          </w:p>
        </w:tc>
        <w:tc>
          <w:tcPr>
            <w:tcW w:w="1356"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w:t>
            </w:r>
          </w:p>
        </w:tc>
        <w:tc>
          <w:tcPr>
            <w:tcW w:w="1231"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w:t>
            </w:r>
          </w:p>
        </w:tc>
        <w:tc>
          <w:tcPr>
            <w:tcW w:w="820"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w:t>
            </w:r>
          </w:p>
        </w:tc>
      </w:tr>
      <w:tr w:rsidR="00BD5820">
        <w:trPr>
          <w:trHeight w:val="426"/>
          <w:jc w:val="center"/>
        </w:trPr>
        <w:tc>
          <w:tcPr>
            <w:tcW w:w="1316"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爬行类</w:t>
            </w:r>
          </w:p>
        </w:tc>
        <w:tc>
          <w:tcPr>
            <w:tcW w:w="1141"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hint="eastAsia"/>
                <w:sz w:val="21"/>
                <w:szCs w:val="21"/>
              </w:rPr>
              <w:t>1</w:t>
            </w:r>
          </w:p>
        </w:tc>
        <w:tc>
          <w:tcPr>
            <w:tcW w:w="1141"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hint="eastAsia"/>
                <w:sz w:val="21"/>
                <w:szCs w:val="21"/>
              </w:rPr>
              <w:t>2</w:t>
            </w:r>
          </w:p>
        </w:tc>
        <w:tc>
          <w:tcPr>
            <w:tcW w:w="1301"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hint="eastAsia"/>
                <w:sz w:val="21"/>
                <w:szCs w:val="21"/>
              </w:rPr>
              <w:t>6</w:t>
            </w:r>
          </w:p>
        </w:tc>
        <w:tc>
          <w:tcPr>
            <w:tcW w:w="1356"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w:t>
            </w:r>
          </w:p>
        </w:tc>
        <w:tc>
          <w:tcPr>
            <w:tcW w:w="1231"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w:t>
            </w:r>
          </w:p>
        </w:tc>
        <w:tc>
          <w:tcPr>
            <w:tcW w:w="820"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w:t>
            </w:r>
          </w:p>
        </w:tc>
      </w:tr>
      <w:tr w:rsidR="00BD5820">
        <w:trPr>
          <w:trHeight w:val="426"/>
          <w:jc w:val="center"/>
        </w:trPr>
        <w:tc>
          <w:tcPr>
            <w:tcW w:w="1316"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鸟类</w:t>
            </w:r>
          </w:p>
        </w:tc>
        <w:tc>
          <w:tcPr>
            <w:tcW w:w="1141"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hint="eastAsia"/>
                <w:sz w:val="21"/>
                <w:szCs w:val="21"/>
              </w:rPr>
              <w:t>11</w:t>
            </w:r>
          </w:p>
        </w:tc>
        <w:tc>
          <w:tcPr>
            <w:tcW w:w="1141"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hint="eastAsia"/>
                <w:sz w:val="21"/>
                <w:szCs w:val="21"/>
              </w:rPr>
              <w:t>21</w:t>
            </w:r>
          </w:p>
        </w:tc>
        <w:tc>
          <w:tcPr>
            <w:tcW w:w="1301"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hint="eastAsia"/>
                <w:sz w:val="21"/>
                <w:szCs w:val="21"/>
              </w:rPr>
              <w:t>39</w:t>
            </w:r>
          </w:p>
        </w:tc>
        <w:tc>
          <w:tcPr>
            <w:tcW w:w="1356"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w:t>
            </w:r>
          </w:p>
        </w:tc>
        <w:tc>
          <w:tcPr>
            <w:tcW w:w="1231"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w:t>
            </w:r>
          </w:p>
        </w:tc>
        <w:tc>
          <w:tcPr>
            <w:tcW w:w="820"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w:t>
            </w:r>
          </w:p>
        </w:tc>
      </w:tr>
      <w:tr w:rsidR="00BD5820">
        <w:trPr>
          <w:trHeight w:val="447"/>
          <w:jc w:val="center"/>
        </w:trPr>
        <w:tc>
          <w:tcPr>
            <w:tcW w:w="1316"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兽类</w:t>
            </w:r>
          </w:p>
        </w:tc>
        <w:tc>
          <w:tcPr>
            <w:tcW w:w="1141"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hint="eastAsia"/>
                <w:sz w:val="21"/>
                <w:szCs w:val="21"/>
              </w:rPr>
              <w:t>6</w:t>
            </w:r>
          </w:p>
        </w:tc>
        <w:tc>
          <w:tcPr>
            <w:tcW w:w="1141"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hint="eastAsia"/>
                <w:sz w:val="21"/>
                <w:szCs w:val="21"/>
              </w:rPr>
              <w:t>9</w:t>
            </w:r>
          </w:p>
        </w:tc>
        <w:tc>
          <w:tcPr>
            <w:tcW w:w="1301"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hint="eastAsia"/>
                <w:sz w:val="21"/>
                <w:szCs w:val="21"/>
              </w:rPr>
              <w:t>15</w:t>
            </w:r>
          </w:p>
        </w:tc>
        <w:tc>
          <w:tcPr>
            <w:tcW w:w="1356"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w:t>
            </w:r>
          </w:p>
        </w:tc>
        <w:tc>
          <w:tcPr>
            <w:tcW w:w="1231"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w:t>
            </w:r>
          </w:p>
        </w:tc>
        <w:tc>
          <w:tcPr>
            <w:tcW w:w="820"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w:t>
            </w:r>
          </w:p>
        </w:tc>
      </w:tr>
      <w:tr w:rsidR="00BD5820">
        <w:trPr>
          <w:trHeight w:val="433"/>
          <w:jc w:val="center"/>
        </w:trPr>
        <w:tc>
          <w:tcPr>
            <w:tcW w:w="1316"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合计</w:t>
            </w:r>
          </w:p>
        </w:tc>
        <w:tc>
          <w:tcPr>
            <w:tcW w:w="1141"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19</w:t>
            </w:r>
          </w:p>
        </w:tc>
        <w:tc>
          <w:tcPr>
            <w:tcW w:w="1141"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35</w:t>
            </w:r>
          </w:p>
        </w:tc>
        <w:tc>
          <w:tcPr>
            <w:tcW w:w="1301"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65</w:t>
            </w:r>
          </w:p>
        </w:tc>
        <w:tc>
          <w:tcPr>
            <w:tcW w:w="1356"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w:t>
            </w:r>
          </w:p>
        </w:tc>
        <w:tc>
          <w:tcPr>
            <w:tcW w:w="1231"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w:t>
            </w:r>
          </w:p>
        </w:tc>
        <w:tc>
          <w:tcPr>
            <w:tcW w:w="820"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w:t>
            </w:r>
          </w:p>
        </w:tc>
      </w:tr>
    </w:tbl>
    <w:p w:rsidR="00BD5820" w:rsidRDefault="00F64314">
      <w:pPr>
        <w:topLinePunct w:val="0"/>
        <w:adjustRightInd/>
        <w:spacing w:line="480" w:lineRule="exact"/>
        <w:ind w:firstLine="482"/>
        <w:rPr>
          <w:rFonts w:ascii="Times New Roman" w:cs="Times New Roman"/>
          <w:b/>
          <w:bCs/>
          <w:kern w:val="2"/>
        </w:rPr>
      </w:pPr>
      <w:r>
        <w:rPr>
          <w:rFonts w:ascii="Times New Roman" w:cs="Times New Roman"/>
          <w:b/>
          <w:bCs/>
          <w:kern w:val="2"/>
        </w:rPr>
        <w:t>A</w:t>
      </w:r>
      <w:r>
        <w:rPr>
          <w:rFonts w:ascii="Times New Roman" w:cs="Times New Roman"/>
          <w:b/>
          <w:bCs/>
          <w:kern w:val="2"/>
        </w:rPr>
        <w:t>、兽类的组成及分布</w:t>
      </w:r>
    </w:p>
    <w:p w:rsidR="00BD5820" w:rsidRDefault="00F64314">
      <w:pPr>
        <w:topLinePunct w:val="0"/>
        <w:adjustRightInd/>
        <w:spacing w:line="500" w:lineRule="exact"/>
        <w:ind w:left="60" w:right="100" w:firstLineChars="0" w:firstLine="482"/>
        <w:rPr>
          <w:rFonts w:ascii="Times New Roman" w:cs="Times New Roman"/>
          <w:kern w:val="2"/>
        </w:rPr>
      </w:pPr>
      <w:r>
        <w:rPr>
          <w:rFonts w:ascii="Times New Roman" w:cs="Times New Roman"/>
          <w:kern w:val="2"/>
        </w:rPr>
        <w:t>根据野外调查和文献资料核实，评价区共有兽类</w:t>
      </w:r>
      <w:r>
        <w:rPr>
          <w:rFonts w:ascii="Times New Roman" w:cs="Times New Roman"/>
          <w:kern w:val="2"/>
        </w:rPr>
        <w:t>6</w:t>
      </w:r>
      <w:r>
        <w:rPr>
          <w:rFonts w:ascii="Times New Roman" w:cs="Times New Roman"/>
          <w:kern w:val="2"/>
        </w:rPr>
        <w:t>目</w:t>
      </w:r>
      <w:r>
        <w:rPr>
          <w:rFonts w:ascii="Times New Roman" w:cs="Times New Roman"/>
          <w:kern w:val="2"/>
        </w:rPr>
        <w:t>9</w:t>
      </w:r>
      <w:r>
        <w:rPr>
          <w:rFonts w:ascii="Times New Roman" w:cs="Times New Roman"/>
          <w:kern w:val="2"/>
        </w:rPr>
        <w:t>科</w:t>
      </w:r>
      <w:r>
        <w:rPr>
          <w:rFonts w:ascii="Times New Roman" w:cs="Times New Roman"/>
          <w:kern w:val="2"/>
        </w:rPr>
        <w:t>12</w:t>
      </w:r>
      <w:r>
        <w:rPr>
          <w:rFonts w:ascii="Times New Roman" w:cs="Times New Roman"/>
          <w:kern w:val="2"/>
        </w:rPr>
        <w:t>属</w:t>
      </w:r>
      <w:r>
        <w:rPr>
          <w:rFonts w:ascii="Times New Roman" w:cs="Times New Roman"/>
          <w:kern w:val="2"/>
        </w:rPr>
        <w:t>15</w:t>
      </w:r>
      <w:r>
        <w:rPr>
          <w:rFonts w:ascii="Times New Roman" w:cs="Times New Roman"/>
          <w:kern w:val="2"/>
        </w:rPr>
        <w:t>种，即食虫目</w:t>
      </w:r>
      <w:r>
        <w:rPr>
          <w:rFonts w:ascii="Times New Roman" w:cs="Times New Roman"/>
          <w:kern w:val="2"/>
        </w:rPr>
        <w:t>2</w:t>
      </w:r>
      <w:r>
        <w:rPr>
          <w:rFonts w:ascii="Times New Roman" w:cs="Times New Roman"/>
          <w:kern w:val="2"/>
        </w:rPr>
        <w:t>科</w:t>
      </w:r>
      <w:r>
        <w:rPr>
          <w:rFonts w:ascii="Times New Roman" w:cs="Times New Roman"/>
          <w:kern w:val="2"/>
        </w:rPr>
        <w:t>2</w:t>
      </w:r>
      <w:r>
        <w:rPr>
          <w:rFonts w:ascii="Times New Roman" w:cs="Times New Roman"/>
          <w:kern w:val="2"/>
        </w:rPr>
        <w:t>属</w:t>
      </w:r>
      <w:r>
        <w:rPr>
          <w:rFonts w:ascii="Times New Roman" w:cs="Times New Roman"/>
          <w:kern w:val="2"/>
        </w:rPr>
        <w:t>2</w:t>
      </w:r>
      <w:r>
        <w:rPr>
          <w:rFonts w:ascii="Times New Roman" w:cs="Times New Roman"/>
          <w:kern w:val="2"/>
        </w:rPr>
        <w:t>种、翼手目</w:t>
      </w:r>
      <w:r>
        <w:rPr>
          <w:rFonts w:ascii="Times New Roman" w:cs="Times New Roman"/>
          <w:kern w:val="2"/>
        </w:rPr>
        <w:t>1</w:t>
      </w:r>
      <w:r>
        <w:rPr>
          <w:rFonts w:ascii="Times New Roman" w:cs="Times New Roman"/>
          <w:kern w:val="2"/>
        </w:rPr>
        <w:t>科</w:t>
      </w:r>
      <w:r>
        <w:rPr>
          <w:rFonts w:ascii="Times New Roman" w:cs="Times New Roman"/>
          <w:kern w:val="2"/>
        </w:rPr>
        <w:t>1</w:t>
      </w:r>
      <w:r>
        <w:rPr>
          <w:rFonts w:ascii="Times New Roman" w:cs="Times New Roman"/>
          <w:kern w:val="2"/>
        </w:rPr>
        <w:t>属</w:t>
      </w:r>
      <w:r>
        <w:rPr>
          <w:rFonts w:ascii="Times New Roman" w:cs="Times New Roman"/>
          <w:kern w:val="2"/>
        </w:rPr>
        <w:t>1</w:t>
      </w:r>
      <w:r>
        <w:rPr>
          <w:rFonts w:ascii="Times New Roman" w:cs="Times New Roman"/>
          <w:kern w:val="2"/>
        </w:rPr>
        <w:t>种、食肉目</w:t>
      </w:r>
      <w:r>
        <w:rPr>
          <w:rFonts w:ascii="Times New Roman" w:cs="Times New Roman"/>
          <w:kern w:val="2"/>
        </w:rPr>
        <w:t>1</w:t>
      </w:r>
      <w:r>
        <w:rPr>
          <w:rFonts w:ascii="Times New Roman" w:cs="Times New Roman"/>
          <w:kern w:val="2"/>
        </w:rPr>
        <w:t>科</w:t>
      </w:r>
      <w:r>
        <w:rPr>
          <w:rFonts w:ascii="Times New Roman" w:cs="Times New Roman"/>
          <w:kern w:val="2"/>
        </w:rPr>
        <w:t>1</w:t>
      </w:r>
      <w:r>
        <w:rPr>
          <w:rFonts w:ascii="Times New Roman" w:cs="Times New Roman"/>
          <w:kern w:val="2"/>
        </w:rPr>
        <w:t>属</w:t>
      </w:r>
      <w:r>
        <w:rPr>
          <w:rFonts w:ascii="Times New Roman" w:cs="Times New Roman"/>
          <w:kern w:val="2"/>
        </w:rPr>
        <w:t>1</w:t>
      </w:r>
      <w:r>
        <w:rPr>
          <w:rFonts w:ascii="Times New Roman" w:cs="Times New Roman"/>
          <w:kern w:val="2"/>
        </w:rPr>
        <w:t>种、啮齿目</w:t>
      </w:r>
      <w:r>
        <w:rPr>
          <w:rFonts w:ascii="Times New Roman" w:cs="Times New Roman"/>
          <w:kern w:val="2"/>
        </w:rPr>
        <w:t>5</w:t>
      </w:r>
      <w:r>
        <w:rPr>
          <w:rFonts w:ascii="Times New Roman" w:cs="Times New Roman"/>
          <w:kern w:val="2"/>
        </w:rPr>
        <w:t>科</w:t>
      </w:r>
      <w:r>
        <w:rPr>
          <w:rFonts w:ascii="Times New Roman" w:cs="Times New Roman"/>
          <w:kern w:val="2"/>
        </w:rPr>
        <w:t>7</w:t>
      </w:r>
      <w:r>
        <w:rPr>
          <w:rFonts w:ascii="Times New Roman" w:cs="Times New Roman"/>
          <w:kern w:val="2"/>
        </w:rPr>
        <w:t>属</w:t>
      </w:r>
      <w:r>
        <w:rPr>
          <w:rFonts w:ascii="Times New Roman" w:cs="Times New Roman"/>
          <w:kern w:val="2"/>
        </w:rPr>
        <w:t>10</w:t>
      </w:r>
      <w:r>
        <w:rPr>
          <w:rFonts w:ascii="Times New Roman" w:cs="Times New Roman"/>
          <w:kern w:val="2"/>
        </w:rPr>
        <w:t>种、兔形目</w:t>
      </w:r>
      <w:r>
        <w:rPr>
          <w:rFonts w:ascii="Times New Roman" w:cs="Times New Roman"/>
          <w:kern w:val="2"/>
        </w:rPr>
        <w:t>1</w:t>
      </w:r>
      <w:r>
        <w:rPr>
          <w:rFonts w:ascii="Times New Roman" w:cs="Times New Roman"/>
          <w:kern w:val="2"/>
        </w:rPr>
        <w:t>科</w:t>
      </w:r>
      <w:r>
        <w:rPr>
          <w:rFonts w:ascii="Times New Roman" w:cs="Times New Roman"/>
          <w:kern w:val="2"/>
        </w:rPr>
        <w:t>1</w:t>
      </w:r>
      <w:r>
        <w:rPr>
          <w:rFonts w:ascii="Times New Roman" w:cs="Times New Roman"/>
          <w:kern w:val="2"/>
        </w:rPr>
        <w:t>属</w:t>
      </w:r>
      <w:r>
        <w:rPr>
          <w:rFonts w:ascii="Times New Roman" w:cs="Times New Roman"/>
          <w:kern w:val="2"/>
        </w:rPr>
        <w:t>1</w:t>
      </w:r>
      <w:r>
        <w:rPr>
          <w:rFonts w:ascii="Times New Roman" w:cs="Times New Roman"/>
          <w:kern w:val="2"/>
        </w:rPr>
        <w:t>种</w:t>
      </w:r>
      <w:r>
        <w:rPr>
          <w:rFonts w:ascii="Times New Roman" w:cs="Times New Roman" w:hint="eastAsia"/>
          <w:kern w:val="2"/>
        </w:rPr>
        <w:t>。</w:t>
      </w:r>
      <w:r>
        <w:rPr>
          <w:rFonts w:ascii="Times New Roman" w:cs="Times New Roman"/>
          <w:kern w:val="2"/>
        </w:rPr>
        <w:t>从目一级水平看，啮齿目优势明显。由于人类活动影响，评价区的兽类主要以常见的小型兽类为主，基本难以寻觅大、中型兽类的痕迹，本次调查未发现保护兽类动物的踪迹。</w:t>
      </w:r>
    </w:p>
    <w:p w:rsidR="00BD5820" w:rsidRDefault="00F64314">
      <w:pPr>
        <w:topLinePunct w:val="0"/>
        <w:adjustRightInd/>
        <w:spacing w:line="500" w:lineRule="exact"/>
        <w:ind w:left="60" w:right="100" w:firstLineChars="0" w:firstLine="482"/>
        <w:rPr>
          <w:rFonts w:ascii="Times New Roman" w:cs="Times New Roman"/>
          <w:kern w:val="2"/>
        </w:rPr>
      </w:pPr>
      <w:r>
        <w:rPr>
          <w:rFonts w:ascii="Times New Roman" w:cs="Times New Roman" w:hint="eastAsia"/>
          <w:kern w:val="2"/>
        </w:rPr>
        <w:t>（</w:t>
      </w:r>
      <w:r>
        <w:rPr>
          <w:rFonts w:ascii="Times New Roman" w:cs="Times New Roman" w:hint="eastAsia"/>
          <w:kern w:val="2"/>
        </w:rPr>
        <w:t>1</w:t>
      </w:r>
      <w:r>
        <w:rPr>
          <w:rFonts w:ascii="Times New Roman" w:cs="Times New Roman" w:hint="eastAsia"/>
          <w:kern w:val="2"/>
        </w:rPr>
        <w:t>）</w:t>
      </w:r>
      <w:r>
        <w:rPr>
          <w:rFonts w:ascii="Times New Roman" w:cs="Times New Roman"/>
          <w:kern w:val="2"/>
        </w:rPr>
        <w:t>区系分析</w:t>
      </w:r>
    </w:p>
    <w:p w:rsidR="00BD5820" w:rsidRDefault="00F64314">
      <w:pPr>
        <w:topLinePunct w:val="0"/>
        <w:adjustRightInd/>
        <w:spacing w:line="500" w:lineRule="exact"/>
        <w:ind w:left="60" w:right="100" w:firstLineChars="0" w:firstLine="482"/>
        <w:rPr>
          <w:rFonts w:ascii="Times New Roman" w:cs="Times New Roman"/>
          <w:kern w:val="2"/>
        </w:rPr>
      </w:pPr>
      <w:r>
        <w:rPr>
          <w:rFonts w:ascii="Times New Roman" w:cs="Times New Roman"/>
          <w:kern w:val="2"/>
        </w:rPr>
        <w:t>区内有分布的</w:t>
      </w:r>
      <w:r>
        <w:rPr>
          <w:rFonts w:ascii="Times New Roman" w:cs="Times New Roman"/>
          <w:kern w:val="2"/>
        </w:rPr>
        <w:t>15</w:t>
      </w:r>
      <w:r>
        <w:rPr>
          <w:rFonts w:ascii="Times New Roman" w:cs="Times New Roman"/>
          <w:kern w:val="2"/>
        </w:rPr>
        <w:t>种兽类中，东洋界种类有</w:t>
      </w:r>
      <w:r>
        <w:rPr>
          <w:rFonts w:ascii="Times New Roman" w:cs="Times New Roman"/>
          <w:kern w:val="2"/>
        </w:rPr>
        <w:t>5</w:t>
      </w:r>
      <w:r>
        <w:rPr>
          <w:rFonts w:ascii="Times New Roman" w:cs="Times New Roman"/>
          <w:kern w:val="2"/>
        </w:rPr>
        <w:t>种，占该区域实际调查到有分布的兽类总种数的</w:t>
      </w:r>
      <w:r>
        <w:rPr>
          <w:rFonts w:ascii="Times New Roman" w:cs="Times New Roman"/>
          <w:kern w:val="2"/>
        </w:rPr>
        <w:t>33.33%</w:t>
      </w:r>
      <w:r>
        <w:rPr>
          <w:rFonts w:ascii="Times New Roman" w:cs="Times New Roman"/>
          <w:kern w:val="2"/>
        </w:rPr>
        <w:t>；古北界种类有</w:t>
      </w:r>
      <w:r>
        <w:rPr>
          <w:rFonts w:ascii="Times New Roman" w:cs="Times New Roman"/>
          <w:kern w:val="2"/>
        </w:rPr>
        <w:t>3</w:t>
      </w:r>
      <w:r>
        <w:rPr>
          <w:rFonts w:ascii="Times New Roman" w:cs="Times New Roman"/>
          <w:kern w:val="2"/>
        </w:rPr>
        <w:t>种，占</w:t>
      </w:r>
      <w:r>
        <w:rPr>
          <w:rFonts w:ascii="Times New Roman" w:cs="Times New Roman"/>
          <w:kern w:val="2"/>
        </w:rPr>
        <w:t>20.00%</w:t>
      </w:r>
      <w:r>
        <w:rPr>
          <w:rFonts w:ascii="Times New Roman" w:cs="Times New Roman"/>
          <w:kern w:val="2"/>
        </w:rPr>
        <w:t>，广布种有</w:t>
      </w:r>
      <w:r>
        <w:rPr>
          <w:rFonts w:ascii="Times New Roman" w:cs="Times New Roman"/>
          <w:kern w:val="2"/>
        </w:rPr>
        <w:t>7</w:t>
      </w:r>
      <w:r>
        <w:rPr>
          <w:rFonts w:ascii="Times New Roman" w:cs="Times New Roman"/>
          <w:kern w:val="2"/>
        </w:rPr>
        <w:t>种，占</w:t>
      </w:r>
      <w:r>
        <w:rPr>
          <w:rFonts w:ascii="Times New Roman" w:cs="Times New Roman"/>
          <w:kern w:val="2"/>
        </w:rPr>
        <w:t>46.67%</w:t>
      </w:r>
      <w:r>
        <w:rPr>
          <w:rFonts w:ascii="Times New Roman" w:cs="Times New Roman"/>
          <w:kern w:val="2"/>
        </w:rPr>
        <w:t>。</w:t>
      </w:r>
    </w:p>
    <w:p w:rsidR="00BD5820" w:rsidRDefault="00F64314">
      <w:pPr>
        <w:topLinePunct w:val="0"/>
        <w:adjustRightInd/>
        <w:spacing w:line="500" w:lineRule="exact"/>
        <w:ind w:left="60" w:right="100" w:firstLineChars="0" w:firstLine="482"/>
        <w:rPr>
          <w:rFonts w:ascii="Times New Roman" w:cs="Times New Roman"/>
          <w:kern w:val="2"/>
        </w:rPr>
      </w:pPr>
      <w:r>
        <w:rPr>
          <w:rFonts w:ascii="Times New Roman" w:cs="Times New Roman" w:hint="eastAsia"/>
          <w:kern w:val="2"/>
        </w:rPr>
        <w:t>（</w:t>
      </w:r>
      <w:r>
        <w:rPr>
          <w:rFonts w:ascii="Times New Roman" w:cs="Times New Roman" w:hint="eastAsia"/>
          <w:kern w:val="2"/>
        </w:rPr>
        <w:t>2</w:t>
      </w:r>
      <w:r>
        <w:rPr>
          <w:rFonts w:ascii="Times New Roman" w:cs="Times New Roman" w:hint="eastAsia"/>
          <w:kern w:val="2"/>
        </w:rPr>
        <w:t>）</w:t>
      </w:r>
      <w:r>
        <w:rPr>
          <w:rFonts w:ascii="Times New Roman" w:cs="Times New Roman"/>
          <w:kern w:val="2"/>
        </w:rPr>
        <w:t>生态分布</w:t>
      </w:r>
    </w:p>
    <w:p w:rsidR="00BD5820" w:rsidRDefault="00F64314">
      <w:pPr>
        <w:topLinePunct w:val="0"/>
        <w:adjustRightInd/>
        <w:spacing w:line="500" w:lineRule="exact"/>
        <w:ind w:left="60" w:right="100" w:firstLineChars="0" w:firstLine="482"/>
        <w:rPr>
          <w:rFonts w:ascii="Times New Roman" w:cs="Times New Roman"/>
          <w:kern w:val="2"/>
        </w:rPr>
      </w:pPr>
      <w:r>
        <w:rPr>
          <w:rFonts w:ascii="Times New Roman" w:cs="Times New Roman"/>
          <w:kern w:val="2"/>
        </w:rPr>
        <w:t>根据该区域的环境特征和兽类的生活特性，该区域兽类主要分为如下几种生态类型：</w:t>
      </w:r>
    </w:p>
    <w:p w:rsidR="00BD5820" w:rsidRDefault="00F64314">
      <w:pPr>
        <w:topLinePunct w:val="0"/>
        <w:adjustRightInd/>
        <w:spacing w:line="500" w:lineRule="exact"/>
        <w:ind w:left="60" w:right="100" w:firstLineChars="0" w:firstLine="482"/>
        <w:rPr>
          <w:rFonts w:ascii="Times New Roman" w:cs="Times New Roman"/>
          <w:kern w:val="2"/>
        </w:rPr>
      </w:pPr>
      <w:r>
        <w:rPr>
          <w:rFonts w:ascii="Times New Roman" w:cs="Times New Roman"/>
          <w:kern w:val="2"/>
        </w:rPr>
        <w:t>溪流区兽类：指生活在评价区内溪流和沿岸的物种，主要包括：黄鼬、草兔、社鼠等。</w:t>
      </w:r>
    </w:p>
    <w:p w:rsidR="00BD5820" w:rsidRDefault="00F64314">
      <w:pPr>
        <w:topLinePunct w:val="0"/>
        <w:adjustRightInd/>
        <w:spacing w:line="500" w:lineRule="exact"/>
        <w:ind w:left="60" w:right="100" w:firstLineChars="0" w:firstLine="482"/>
        <w:rPr>
          <w:rFonts w:ascii="Times New Roman" w:cs="Times New Roman"/>
          <w:kern w:val="2"/>
        </w:rPr>
      </w:pPr>
      <w:r>
        <w:rPr>
          <w:rFonts w:ascii="Times New Roman" w:cs="Times New Roman"/>
          <w:kern w:val="2"/>
        </w:rPr>
        <w:t>林区兽类：主要是指生活在森林环境的物种，森林环境在该区域主要分布于坡地中上部。为该区最广的生境类型，主要分布的兽类有隐纹花松鼠、社鼠等。</w:t>
      </w:r>
    </w:p>
    <w:p w:rsidR="00BD5820" w:rsidRDefault="00F64314">
      <w:pPr>
        <w:topLinePunct w:val="0"/>
        <w:adjustRightInd/>
        <w:spacing w:line="500" w:lineRule="exact"/>
        <w:ind w:left="60" w:right="100" w:firstLineChars="0" w:firstLine="482"/>
        <w:rPr>
          <w:rFonts w:ascii="Times New Roman" w:cs="Times New Roman"/>
          <w:kern w:val="2"/>
        </w:rPr>
      </w:pPr>
      <w:r>
        <w:rPr>
          <w:rFonts w:ascii="Times New Roman" w:cs="Times New Roman"/>
          <w:kern w:val="2"/>
        </w:rPr>
        <w:t>灌草丛区兽类：该区域的生境类型主要包括灌丛、草丛和农耕地等，分布海拔相对较低，生活于其中的兽类主要包括：黄鼬、草兔、社鼠等，其中的优</w:t>
      </w:r>
      <w:r>
        <w:rPr>
          <w:rFonts w:ascii="Times New Roman" w:cs="Times New Roman"/>
          <w:kern w:val="2"/>
        </w:rPr>
        <w:lastRenderedPageBreak/>
        <w:t>势种类为草兔、社鼠等。</w:t>
      </w:r>
    </w:p>
    <w:p w:rsidR="00BD5820" w:rsidRDefault="00F64314">
      <w:pPr>
        <w:topLinePunct w:val="0"/>
        <w:adjustRightInd/>
        <w:spacing w:line="500" w:lineRule="exact"/>
        <w:ind w:left="60" w:right="100" w:firstLineChars="0" w:firstLine="482"/>
        <w:rPr>
          <w:rFonts w:ascii="Times New Roman" w:cs="Times New Roman"/>
          <w:kern w:val="2"/>
        </w:rPr>
      </w:pPr>
      <w:r>
        <w:rPr>
          <w:rFonts w:ascii="Times New Roman" w:cs="Times New Roman" w:hint="eastAsia"/>
          <w:kern w:val="2"/>
        </w:rPr>
        <w:t>（</w:t>
      </w:r>
      <w:r>
        <w:rPr>
          <w:rFonts w:ascii="Times New Roman" w:cs="Times New Roman" w:hint="eastAsia"/>
          <w:kern w:val="2"/>
        </w:rPr>
        <w:t>3</w:t>
      </w:r>
      <w:r>
        <w:rPr>
          <w:rFonts w:ascii="Times New Roman" w:cs="Times New Roman" w:hint="eastAsia"/>
          <w:kern w:val="2"/>
        </w:rPr>
        <w:t>）</w:t>
      </w:r>
      <w:r>
        <w:rPr>
          <w:rFonts w:ascii="Times New Roman" w:cs="Times New Roman"/>
          <w:kern w:val="2"/>
        </w:rPr>
        <w:t>保护物种</w:t>
      </w:r>
    </w:p>
    <w:p w:rsidR="00BD5820" w:rsidRDefault="00F64314">
      <w:pPr>
        <w:topLinePunct w:val="0"/>
        <w:adjustRightInd/>
        <w:spacing w:line="500" w:lineRule="exact"/>
        <w:ind w:left="60" w:right="100" w:firstLineChars="0" w:firstLine="482"/>
        <w:rPr>
          <w:rFonts w:ascii="Times New Roman" w:cs="Times New Roman"/>
          <w:kern w:val="2"/>
        </w:rPr>
      </w:pPr>
      <w:r>
        <w:rPr>
          <w:rFonts w:ascii="Times New Roman" w:cs="Times New Roman"/>
          <w:kern w:val="2"/>
        </w:rPr>
        <w:t>评价区内未发现国家级重点保护动物，同时评价区的相关资料也未记载相关国家级重点保护动物。</w:t>
      </w:r>
    </w:p>
    <w:p w:rsidR="00BD5820" w:rsidRDefault="00F64314">
      <w:pPr>
        <w:topLinePunct w:val="0"/>
        <w:adjustRightInd/>
        <w:spacing w:line="480" w:lineRule="exact"/>
        <w:ind w:firstLine="482"/>
        <w:rPr>
          <w:rFonts w:ascii="Times New Roman" w:cs="Times New Roman"/>
          <w:b/>
          <w:bCs/>
          <w:kern w:val="2"/>
        </w:rPr>
      </w:pPr>
      <w:r>
        <w:rPr>
          <w:rFonts w:ascii="Times New Roman" w:cs="Times New Roman" w:hint="eastAsia"/>
          <w:b/>
          <w:bCs/>
          <w:kern w:val="2"/>
        </w:rPr>
        <w:t>B</w:t>
      </w:r>
      <w:r>
        <w:rPr>
          <w:rFonts w:ascii="Times New Roman" w:cs="Times New Roman" w:hint="eastAsia"/>
          <w:b/>
          <w:bCs/>
          <w:kern w:val="2"/>
        </w:rPr>
        <w:t>、</w:t>
      </w:r>
      <w:r>
        <w:rPr>
          <w:rFonts w:ascii="Times New Roman" w:cs="Times New Roman"/>
          <w:b/>
          <w:bCs/>
          <w:kern w:val="2"/>
        </w:rPr>
        <w:t>鸟类的组成及分布</w:t>
      </w:r>
    </w:p>
    <w:p w:rsidR="00BD5820" w:rsidRDefault="00F64314">
      <w:pPr>
        <w:topLinePunct w:val="0"/>
        <w:adjustRightInd/>
        <w:spacing w:line="500" w:lineRule="exact"/>
        <w:ind w:left="60" w:right="100" w:firstLineChars="0" w:firstLine="482"/>
        <w:rPr>
          <w:rFonts w:ascii="Times New Roman" w:cs="Times New Roman"/>
          <w:kern w:val="2"/>
        </w:rPr>
      </w:pPr>
      <w:r>
        <w:rPr>
          <w:rFonts w:ascii="Times New Roman" w:cs="Times New Roman"/>
          <w:kern w:val="2"/>
        </w:rPr>
        <w:t>根据文献查阅及现场调研，评价范围内共有鸟类</w:t>
      </w:r>
      <w:r>
        <w:rPr>
          <w:rFonts w:ascii="Times New Roman" w:cs="Times New Roman"/>
          <w:kern w:val="2"/>
        </w:rPr>
        <w:t>39</w:t>
      </w:r>
      <w:r>
        <w:rPr>
          <w:rFonts w:ascii="Times New Roman" w:cs="Times New Roman"/>
          <w:kern w:val="2"/>
        </w:rPr>
        <w:t>种，隶</w:t>
      </w:r>
      <w:r>
        <w:rPr>
          <w:rFonts w:ascii="Times New Roman" w:cs="Times New Roman"/>
          <w:kern w:val="2"/>
        </w:rPr>
        <w:t>11</w:t>
      </w:r>
      <w:r>
        <w:rPr>
          <w:rFonts w:ascii="Times New Roman" w:cs="Times New Roman"/>
          <w:kern w:val="2"/>
        </w:rPr>
        <w:t>目</w:t>
      </w:r>
      <w:r>
        <w:rPr>
          <w:rFonts w:ascii="Times New Roman" w:cs="Times New Roman"/>
          <w:kern w:val="2"/>
        </w:rPr>
        <w:t>21</w:t>
      </w:r>
      <w:r>
        <w:rPr>
          <w:rFonts w:ascii="Times New Roman" w:cs="Times New Roman"/>
          <w:kern w:val="2"/>
        </w:rPr>
        <w:t>科</w:t>
      </w:r>
      <w:r>
        <w:rPr>
          <w:rFonts w:ascii="Times New Roman" w:cs="Times New Roman"/>
          <w:kern w:val="2"/>
        </w:rPr>
        <w:t>34</w:t>
      </w:r>
      <w:r>
        <w:rPr>
          <w:rFonts w:ascii="Times New Roman" w:cs="Times New Roman"/>
          <w:kern w:val="2"/>
        </w:rPr>
        <w:t>属。其中，从类群构成看，雀形目鸟类</w:t>
      </w:r>
      <w:r>
        <w:rPr>
          <w:rFonts w:ascii="Times New Roman" w:cs="Times New Roman"/>
          <w:kern w:val="2"/>
        </w:rPr>
        <w:t>17</w:t>
      </w:r>
      <w:r>
        <w:rPr>
          <w:rFonts w:ascii="Times New Roman" w:cs="Times New Roman"/>
          <w:kern w:val="2"/>
        </w:rPr>
        <w:t>种，占评价区鸟类总种数的</w:t>
      </w:r>
      <w:r>
        <w:rPr>
          <w:rFonts w:ascii="Times New Roman" w:cs="Times New Roman"/>
          <w:kern w:val="2"/>
        </w:rPr>
        <w:t>43.59%</w:t>
      </w:r>
      <w:r>
        <w:rPr>
          <w:rFonts w:ascii="Times New Roman" w:cs="Times New Roman"/>
          <w:kern w:val="2"/>
        </w:rPr>
        <w:t>。</w:t>
      </w:r>
    </w:p>
    <w:p w:rsidR="00BD5820" w:rsidRDefault="00F64314">
      <w:pPr>
        <w:topLinePunct w:val="0"/>
        <w:adjustRightInd/>
        <w:spacing w:line="500" w:lineRule="exact"/>
        <w:ind w:left="60" w:right="100" w:firstLineChars="0" w:firstLine="482"/>
        <w:rPr>
          <w:rFonts w:ascii="Times New Roman" w:cs="Times New Roman"/>
          <w:kern w:val="2"/>
        </w:rPr>
      </w:pPr>
      <w:r>
        <w:rPr>
          <w:rFonts w:ascii="Times New Roman" w:cs="Times New Roman" w:hint="eastAsia"/>
          <w:kern w:val="2"/>
        </w:rPr>
        <w:t>（</w:t>
      </w:r>
      <w:r>
        <w:rPr>
          <w:rFonts w:ascii="Times New Roman" w:cs="Times New Roman" w:hint="eastAsia"/>
          <w:kern w:val="2"/>
        </w:rPr>
        <w:t>1</w:t>
      </w:r>
      <w:r>
        <w:rPr>
          <w:rFonts w:ascii="Times New Roman" w:cs="Times New Roman" w:hint="eastAsia"/>
          <w:kern w:val="2"/>
        </w:rPr>
        <w:t>）</w:t>
      </w:r>
      <w:r>
        <w:rPr>
          <w:rFonts w:ascii="Times New Roman" w:cs="Times New Roman"/>
          <w:kern w:val="2"/>
        </w:rPr>
        <w:t>区系分析</w:t>
      </w:r>
    </w:p>
    <w:p w:rsidR="00BD5820" w:rsidRDefault="00F64314">
      <w:pPr>
        <w:topLinePunct w:val="0"/>
        <w:adjustRightInd/>
        <w:spacing w:line="500" w:lineRule="exact"/>
        <w:ind w:left="60" w:right="100" w:firstLineChars="0" w:firstLine="482"/>
        <w:rPr>
          <w:rFonts w:ascii="Times New Roman" w:cs="Times New Roman"/>
          <w:kern w:val="2"/>
        </w:rPr>
      </w:pPr>
      <w:r>
        <w:rPr>
          <w:rFonts w:ascii="Times New Roman" w:cs="Times New Roman"/>
          <w:kern w:val="2"/>
        </w:rPr>
        <w:t>评价区内鸟类中属古北界的有</w:t>
      </w:r>
      <w:r>
        <w:rPr>
          <w:rFonts w:ascii="Times New Roman" w:cs="Times New Roman"/>
          <w:kern w:val="2"/>
        </w:rPr>
        <w:t>11</w:t>
      </w:r>
      <w:r>
        <w:rPr>
          <w:rFonts w:ascii="Times New Roman" w:cs="Times New Roman"/>
          <w:kern w:val="2"/>
        </w:rPr>
        <w:t>种，占评价区内鸟类总数的</w:t>
      </w:r>
      <w:r>
        <w:rPr>
          <w:rFonts w:ascii="Times New Roman" w:cs="Times New Roman"/>
          <w:kern w:val="2"/>
        </w:rPr>
        <w:t>28.21%</w:t>
      </w:r>
      <w:r>
        <w:rPr>
          <w:rFonts w:ascii="Times New Roman" w:cs="Times New Roman"/>
          <w:kern w:val="2"/>
        </w:rPr>
        <w:t>；属东洋</w:t>
      </w:r>
    </w:p>
    <w:p w:rsidR="00BD5820" w:rsidRDefault="00F64314">
      <w:pPr>
        <w:topLinePunct w:val="0"/>
        <w:adjustRightInd/>
        <w:spacing w:line="500" w:lineRule="exact"/>
        <w:ind w:left="60" w:right="100" w:firstLineChars="0" w:firstLine="482"/>
        <w:rPr>
          <w:rFonts w:ascii="Times New Roman" w:cs="Times New Roman"/>
          <w:kern w:val="2"/>
        </w:rPr>
      </w:pPr>
      <w:r>
        <w:rPr>
          <w:rFonts w:ascii="Times New Roman" w:cs="Times New Roman"/>
          <w:kern w:val="2"/>
        </w:rPr>
        <w:t>界的有</w:t>
      </w:r>
      <w:r>
        <w:rPr>
          <w:rFonts w:ascii="Times New Roman" w:cs="Times New Roman"/>
          <w:kern w:val="2"/>
        </w:rPr>
        <w:t>9</w:t>
      </w:r>
      <w:r>
        <w:rPr>
          <w:rFonts w:ascii="Times New Roman" w:cs="Times New Roman"/>
          <w:kern w:val="2"/>
        </w:rPr>
        <w:t>种，占评价区内鸟类总数的</w:t>
      </w:r>
      <w:r>
        <w:rPr>
          <w:rFonts w:ascii="Times New Roman" w:cs="Times New Roman"/>
          <w:kern w:val="2"/>
        </w:rPr>
        <w:t>23.08%</w:t>
      </w:r>
      <w:r>
        <w:rPr>
          <w:rFonts w:ascii="Times New Roman" w:cs="Times New Roman"/>
          <w:kern w:val="2"/>
        </w:rPr>
        <w:t>；属广布种的有</w:t>
      </w:r>
      <w:r>
        <w:rPr>
          <w:rFonts w:ascii="Times New Roman" w:cs="Times New Roman"/>
          <w:kern w:val="2"/>
        </w:rPr>
        <w:t>19</w:t>
      </w:r>
      <w:r>
        <w:rPr>
          <w:rFonts w:ascii="Times New Roman" w:cs="Times New Roman"/>
          <w:kern w:val="2"/>
        </w:rPr>
        <w:t>种，占评价区内鸟类总数的</w:t>
      </w:r>
      <w:r>
        <w:rPr>
          <w:rFonts w:ascii="Times New Roman" w:cs="Times New Roman"/>
          <w:kern w:val="2"/>
        </w:rPr>
        <w:t>48.72%</w:t>
      </w:r>
      <w:r>
        <w:rPr>
          <w:rFonts w:ascii="Times New Roman" w:cs="Times New Roman"/>
          <w:kern w:val="2"/>
        </w:rPr>
        <w:t>。调查评价区内鸟类以广布种占优势。</w:t>
      </w:r>
    </w:p>
    <w:p w:rsidR="00BD5820" w:rsidRDefault="00F64314">
      <w:pPr>
        <w:topLinePunct w:val="0"/>
        <w:adjustRightInd/>
        <w:spacing w:line="500" w:lineRule="exact"/>
        <w:ind w:left="60" w:right="100" w:firstLineChars="0" w:firstLine="482"/>
        <w:rPr>
          <w:rFonts w:ascii="Times New Roman" w:cs="Times New Roman"/>
          <w:kern w:val="2"/>
        </w:rPr>
      </w:pPr>
      <w:r>
        <w:rPr>
          <w:rFonts w:ascii="Times New Roman" w:cs="Times New Roman" w:hint="eastAsia"/>
          <w:kern w:val="2"/>
        </w:rPr>
        <w:t>（</w:t>
      </w:r>
      <w:r>
        <w:rPr>
          <w:rFonts w:ascii="Times New Roman" w:cs="Times New Roman" w:hint="eastAsia"/>
          <w:kern w:val="2"/>
        </w:rPr>
        <w:t>2</w:t>
      </w:r>
      <w:r>
        <w:rPr>
          <w:rFonts w:ascii="Times New Roman" w:cs="Times New Roman" w:hint="eastAsia"/>
          <w:kern w:val="2"/>
        </w:rPr>
        <w:t>）</w:t>
      </w:r>
      <w:r>
        <w:rPr>
          <w:rFonts w:ascii="Times New Roman" w:cs="Times New Roman"/>
          <w:kern w:val="2"/>
        </w:rPr>
        <w:t>居留类型</w:t>
      </w:r>
    </w:p>
    <w:p w:rsidR="00BD5820" w:rsidRDefault="00F64314">
      <w:pPr>
        <w:topLinePunct w:val="0"/>
        <w:adjustRightInd/>
        <w:spacing w:line="500" w:lineRule="exact"/>
        <w:ind w:left="60" w:right="100" w:firstLineChars="0" w:firstLine="482"/>
        <w:rPr>
          <w:rFonts w:ascii="Times New Roman" w:cs="Times New Roman"/>
          <w:kern w:val="2"/>
        </w:rPr>
      </w:pPr>
      <w:r>
        <w:rPr>
          <w:rFonts w:ascii="Times New Roman" w:cs="Times New Roman"/>
          <w:kern w:val="2"/>
        </w:rPr>
        <w:t>评价区内有留鸟</w:t>
      </w:r>
      <w:r>
        <w:rPr>
          <w:rFonts w:ascii="Times New Roman" w:cs="Times New Roman"/>
          <w:kern w:val="2"/>
        </w:rPr>
        <w:t>24</w:t>
      </w:r>
      <w:r>
        <w:rPr>
          <w:rFonts w:ascii="Times New Roman" w:cs="Times New Roman"/>
          <w:kern w:val="2"/>
        </w:rPr>
        <w:t>种，占鸟类总数的</w:t>
      </w:r>
      <w:r>
        <w:rPr>
          <w:rFonts w:ascii="Times New Roman" w:cs="Times New Roman"/>
          <w:kern w:val="2"/>
        </w:rPr>
        <w:t>61.54%</w:t>
      </w:r>
      <w:r>
        <w:rPr>
          <w:rFonts w:ascii="Times New Roman" w:cs="Times New Roman"/>
          <w:kern w:val="2"/>
        </w:rPr>
        <w:t>；夏候鸟</w:t>
      </w:r>
      <w:r>
        <w:rPr>
          <w:rFonts w:ascii="Times New Roman" w:cs="Times New Roman"/>
          <w:kern w:val="2"/>
        </w:rPr>
        <w:t>13</w:t>
      </w:r>
      <w:r>
        <w:rPr>
          <w:rFonts w:ascii="Times New Roman" w:cs="Times New Roman"/>
          <w:kern w:val="2"/>
        </w:rPr>
        <w:t>种，约占</w:t>
      </w:r>
      <w:r>
        <w:rPr>
          <w:rFonts w:ascii="Times New Roman" w:cs="Times New Roman"/>
          <w:kern w:val="2"/>
        </w:rPr>
        <w:t>33.33%</w:t>
      </w:r>
      <w:r>
        <w:rPr>
          <w:rFonts w:ascii="Times New Roman" w:cs="Times New Roman"/>
          <w:kern w:val="2"/>
        </w:rPr>
        <w:t>；冬候鸟</w:t>
      </w:r>
      <w:r>
        <w:rPr>
          <w:rFonts w:ascii="Times New Roman" w:cs="Times New Roman"/>
          <w:kern w:val="2"/>
        </w:rPr>
        <w:t>1</w:t>
      </w:r>
      <w:r>
        <w:rPr>
          <w:rFonts w:ascii="Times New Roman" w:cs="Times New Roman"/>
          <w:kern w:val="2"/>
        </w:rPr>
        <w:t>种，各占</w:t>
      </w:r>
      <w:r>
        <w:rPr>
          <w:rFonts w:ascii="Times New Roman" w:cs="Times New Roman"/>
          <w:kern w:val="2"/>
        </w:rPr>
        <w:t>2.56%</w:t>
      </w:r>
      <w:r>
        <w:rPr>
          <w:rFonts w:ascii="Times New Roman" w:cs="Times New Roman"/>
          <w:kern w:val="2"/>
        </w:rPr>
        <w:t>。调查评价区内鸟类以留鸟为主。</w:t>
      </w:r>
    </w:p>
    <w:p w:rsidR="00BD5820" w:rsidRDefault="00F64314">
      <w:pPr>
        <w:topLinePunct w:val="0"/>
        <w:adjustRightInd/>
        <w:spacing w:line="500" w:lineRule="exact"/>
        <w:ind w:left="60" w:right="100" w:firstLineChars="0" w:firstLine="482"/>
        <w:rPr>
          <w:rFonts w:ascii="Times New Roman" w:cs="Times New Roman"/>
          <w:kern w:val="2"/>
        </w:rPr>
      </w:pPr>
      <w:r>
        <w:rPr>
          <w:rFonts w:ascii="Times New Roman" w:cs="Times New Roman" w:hint="eastAsia"/>
          <w:kern w:val="2"/>
        </w:rPr>
        <w:t>（</w:t>
      </w:r>
      <w:r>
        <w:rPr>
          <w:rFonts w:ascii="Times New Roman" w:cs="Times New Roman" w:hint="eastAsia"/>
          <w:kern w:val="2"/>
        </w:rPr>
        <w:t>3</w:t>
      </w:r>
      <w:r>
        <w:rPr>
          <w:rFonts w:ascii="Times New Roman" w:cs="Times New Roman" w:hint="eastAsia"/>
          <w:kern w:val="2"/>
        </w:rPr>
        <w:t>）</w:t>
      </w:r>
      <w:r>
        <w:rPr>
          <w:rFonts w:ascii="Times New Roman" w:cs="Times New Roman"/>
          <w:kern w:val="2"/>
        </w:rPr>
        <w:t>生态分布</w:t>
      </w:r>
    </w:p>
    <w:p w:rsidR="00BD5820" w:rsidRDefault="00F64314">
      <w:pPr>
        <w:topLinePunct w:val="0"/>
        <w:adjustRightInd/>
        <w:spacing w:line="500" w:lineRule="exact"/>
        <w:ind w:left="60" w:right="100" w:firstLineChars="0" w:firstLine="482"/>
        <w:rPr>
          <w:rFonts w:ascii="Times New Roman" w:cs="Times New Roman"/>
          <w:kern w:val="2"/>
        </w:rPr>
      </w:pPr>
      <w:r>
        <w:rPr>
          <w:rFonts w:ascii="Times New Roman" w:cs="Times New Roman"/>
          <w:kern w:val="2"/>
        </w:rPr>
        <w:t>根据评价区植被分布的特点，将评价区鸟类分布的生境划分为以下几种类型：</w:t>
      </w:r>
    </w:p>
    <w:p w:rsidR="00BD5820" w:rsidRDefault="00F64314">
      <w:pPr>
        <w:topLinePunct w:val="0"/>
        <w:adjustRightInd/>
        <w:spacing w:line="500" w:lineRule="exact"/>
        <w:ind w:left="60" w:right="100" w:firstLineChars="0" w:firstLine="482"/>
        <w:rPr>
          <w:rFonts w:ascii="Times New Roman" w:cs="Times New Roman"/>
          <w:kern w:val="2"/>
        </w:rPr>
      </w:pPr>
      <w:r>
        <w:rPr>
          <w:rFonts w:ascii="Times New Roman" w:cs="Times New Roman"/>
          <w:kern w:val="2"/>
        </w:rPr>
        <w:t>溪流区鸟类：该区域的生境类型主要包括水域、草丛、灌丛等基本类型，分布海拔相对较低，活动于其中的鸟类主要包括：鹳形目的种类。该区的优势种类是：白鹭、赤麻鸭等。</w:t>
      </w:r>
    </w:p>
    <w:p w:rsidR="00BD5820" w:rsidRDefault="00F64314">
      <w:pPr>
        <w:topLinePunct w:val="0"/>
        <w:adjustRightInd/>
        <w:spacing w:line="500" w:lineRule="exact"/>
        <w:ind w:left="60" w:right="100" w:firstLineChars="0" w:firstLine="482"/>
        <w:rPr>
          <w:rFonts w:ascii="Times New Roman" w:cs="Times New Roman"/>
          <w:kern w:val="2"/>
        </w:rPr>
      </w:pPr>
      <w:r>
        <w:rPr>
          <w:rFonts w:ascii="Times New Roman" w:cs="Times New Roman"/>
          <w:kern w:val="2"/>
        </w:rPr>
        <w:t>森林区鸟类：森林环境在该区域较广泛。生活于该区的鸟类较多，主要为雉科、鸦科、雀科等。优势种类有雉鸡、山斑鸠、大杜鹃、树麻雀、噪鹃等。</w:t>
      </w:r>
    </w:p>
    <w:p w:rsidR="00BD5820" w:rsidRDefault="00F64314">
      <w:pPr>
        <w:topLinePunct w:val="0"/>
        <w:adjustRightInd/>
        <w:spacing w:line="500" w:lineRule="exact"/>
        <w:ind w:left="60" w:right="100" w:firstLineChars="0" w:firstLine="482"/>
        <w:rPr>
          <w:rFonts w:ascii="Times New Roman" w:cs="Times New Roman"/>
          <w:kern w:val="2"/>
        </w:rPr>
      </w:pPr>
      <w:r>
        <w:rPr>
          <w:rFonts w:ascii="Times New Roman" w:cs="Times New Roman"/>
          <w:kern w:val="2"/>
        </w:rPr>
        <w:t>草灌丛、农区鸟类：该类生境在评价区内分布较狭窄。该区段生活的鸟类主要是鸡形目及雀形目的部分鸟类。其中的优势种类主要有家燕、毛脚燕、普通翠鸟等。</w:t>
      </w:r>
    </w:p>
    <w:p w:rsidR="00BD5820" w:rsidRDefault="00F64314">
      <w:pPr>
        <w:topLinePunct w:val="0"/>
        <w:adjustRightInd/>
        <w:spacing w:line="500" w:lineRule="exact"/>
        <w:ind w:left="60" w:right="100" w:firstLineChars="0" w:firstLine="482"/>
        <w:rPr>
          <w:rFonts w:ascii="Times New Roman" w:cs="Times New Roman"/>
          <w:kern w:val="2"/>
        </w:rPr>
      </w:pPr>
      <w:r>
        <w:rPr>
          <w:rFonts w:ascii="Times New Roman" w:cs="Times New Roman" w:hint="eastAsia"/>
          <w:kern w:val="2"/>
        </w:rPr>
        <w:t>（</w:t>
      </w:r>
      <w:r>
        <w:rPr>
          <w:rFonts w:ascii="Times New Roman" w:cs="Times New Roman" w:hint="eastAsia"/>
          <w:kern w:val="2"/>
        </w:rPr>
        <w:t>4</w:t>
      </w:r>
      <w:r>
        <w:rPr>
          <w:rFonts w:ascii="Times New Roman" w:cs="Times New Roman" w:hint="eastAsia"/>
          <w:kern w:val="2"/>
        </w:rPr>
        <w:t>）</w:t>
      </w:r>
      <w:r>
        <w:rPr>
          <w:rFonts w:ascii="Times New Roman" w:cs="Times New Roman"/>
          <w:kern w:val="2"/>
        </w:rPr>
        <w:t>保护物种</w:t>
      </w:r>
    </w:p>
    <w:p w:rsidR="00BD5820" w:rsidRDefault="00F64314">
      <w:pPr>
        <w:topLinePunct w:val="0"/>
        <w:adjustRightInd/>
        <w:spacing w:line="500" w:lineRule="exact"/>
        <w:ind w:left="60" w:right="100" w:firstLineChars="0" w:firstLine="482"/>
        <w:rPr>
          <w:rFonts w:ascii="Times New Roman" w:cs="Times New Roman"/>
          <w:kern w:val="2"/>
        </w:rPr>
      </w:pPr>
      <w:r>
        <w:rPr>
          <w:rFonts w:ascii="Times New Roman" w:cs="Times New Roman"/>
          <w:kern w:val="2"/>
        </w:rPr>
        <w:lastRenderedPageBreak/>
        <w:t>据调查和访问，评价区内有</w:t>
      </w:r>
      <w:r>
        <w:rPr>
          <w:rFonts w:ascii="Times New Roman" w:cs="Times New Roman"/>
          <w:kern w:val="2"/>
        </w:rPr>
        <w:t>2</w:t>
      </w:r>
      <w:r>
        <w:rPr>
          <w:rFonts w:ascii="Times New Roman" w:cs="Times New Roman"/>
          <w:kern w:val="2"/>
        </w:rPr>
        <w:t>种国家</w:t>
      </w:r>
      <w:r>
        <w:rPr>
          <w:rFonts w:ascii="Times New Roman" w:cs="Times New Roman"/>
          <w:kern w:val="2"/>
        </w:rPr>
        <w:t>Ⅱ</w:t>
      </w:r>
      <w:r>
        <w:rPr>
          <w:rFonts w:ascii="Times New Roman" w:cs="Times New Roman"/>
          <w:kern w:val="2"/>
        </w:rPr>
        <w:t>级重点保护鸟类，为雀鹰、画眉，偶见于评价区内的针叶林、阔叶林林。由于评价区人类活动较为频繁，适宜的栖息地相对比较少，因此主要为过境取食及活动</w:t>
      </w:r>
      <w:r>
        <w:rPr>
          <w:rFonts w:ascii="Times New Roman" w:cs="Times New Roman" w:hint="eastAsia"/>
          <w:kern w:val="2"/>
        </w:rPr>
        <w:t>，并无栖息地</w:t>
      </w:r>
      <w:r>
        <w:rPr>
          <w:rFonts w:ascii="Times New Roman" w:cs="Times New Roman"/>
          <w:kern w:val="2"/>
        </w:rPr>
        <w:t>。</w:t>
      </w:r>
    </w:p>
    <w:p w:rsidR="00BD5820" w:rsidRDefault="00F64314">
      <w:pPr>
        <w:topLinePunct w:val="0"/>
        <w:adjustRightInd/>
        <w:spacing w:line="480" w:lineRule="exact"/>
        <w:ind w:firstLine="482"/>
        <w:rPr>
          <w:rFonts w:ascii="Times New Roman" w:cs="Times New Roman"/>
          <w:b/>
          <w:bCs/>
          <w:kern w:val="2"/>
        </w:rPr>
      </w:pPr>
      <w:r>
        <w:rPr>
          <w:rFonts w:ascii="Times New Roman" w:cs="Times New Roman" w:hint="eastAsia"/>
          <w:b/>
          <w:bCs/>
          <w:kern w:val="2"/>
        </w:rPr>
        <w:t>C</w:t>
      </w:r>
      <w:r>
        <w:rPr>
          <w:rFonts w:ascii="Times New Roman" w:cs="Times New Roman" w:hint="eastAsia"/>
          <w:b/>
          <w:bCs/>
          <w:kern w:val="2"/>
        </w:rPr>
        <w:t>、</w:t>
      </w:r>
      <w:r>
        <w:rPr>
          <w:rFonts w:ascii="Times New Roman" w:cs="Times New Roman"/>
          <w:b/>
          <w:bCs/>
          <w:kern w:val="2"/>
        </w:rPr>
        <w:t>爬行动物的组成及分布</w:t>
      </w:r>
    </w:p>
    <w:p w:rsidR="00BD5820" w:rsidRDefault="00F64314">
      <w:pPr>
        <w:topLinePunct w:val="0"/>
        <w:adjustRightInd/>
        <w:spacing w:line="500" w:lineRule="exact"/>
        <w:ind w:left="60" w:right="100" w:firstLineChars="0" w:firstLine="482"/>
        <w:rPr>
          <w:rFonts w:ascii="Times New Roman" w:cs="Times New Roman"/>
          <w:kern w:val="2"/>
        </w:rPr>
      </w:pPr>
      <w:r>
        <w:rPr>
          <w:rFonts w:ascii="Times New Roman" w:cs="Times New Roman"/>
          <w:kern w:val="2"/>
        </w:rPr>
        <w:t>根据野外调查和相关资料，确认评价区域内共分布有爬行动物</w:t>
      </w:r>
      <w:r>
        <w:rPr>
          <w:rFonts w:ascii="Times New Roman" w:cs="Times New Roman"/>
          <w:kern w:val="2"/>
        </w:rPr>
        <w:t>6</w:t>
      </w:r>
      <w:r>
        <w:rPr>
          <w:rFonts w:ascii="Times New Roman" w:cs="Times New Roman"/>
          <w:kern w:val="2"/>
        </w:rPr>
        <w:t>种，分属</w:t>
      </w:r>
      <w:r>
        <w:rPr>
          <w:rFonts w:ascii="Times New Roman" w:cs="Times New Roman"/>
          <w:kern w:val="2"/>
        </w:rPr>
        <w:t>1</w:t>
      </w:r>
      <w:r>
        <w:rPr>
          <w:rFonts w:ascii="Times New Roman" w:cs="Times New Roman"/>
          <w:kern w:val="2"/>
        </w:rPr>
        <w:t>目</w:t>
      </w:r>
      <w:r>
        <w:rPr>
          <w:rFonts w:ascii="Times New Roman" w:cs="Times New Roman"/>
          <w:kern w:val="2"/>
        </w:rPr>
        <w:t>2</w:t>
      </w:r>
      <w:r>
        <w:rPr>
          <w:rFonts w:ascii="Times New Roman" w:cs="Times New Roman"/>
          <w:kern w:val="2"/>
        </w:rPr>
        <w:t>科，分别为游蛇科</w:t>
      </w:r>
      <w:r>
        <w:rPr>
          <w:rFonts w:ascii="Times New Roman" w:cs="Times New Roman"/>
          <w:kern w:val="2"/>
        </w:rPr>
        <w:t>5</w:t>
      </w:r>
      <w:r>
        <w:rPr>
          <w:rFonts w:ascii="Times New Roman" w:cs="Times New Roman"/>
          <w:kern w:val="2"/>
        </w:rPr>
        <w:t>属</w:t>
      </w:r>
      <w:r>
        <w:rPr>
          <w:rFonts w:ascii="Times New Roman" w:cs="Times New Roman"/>
          <w:kern w:val="2"/>
        </w:rPr>
        <w:t>5</w:t>
      </w:r>
      <w:r>
        <w:rPr>
          <w:rFonts w:ascii="Times New Roman" w:cs="Times New Roman"/>
          <w:kern w:val="2"/>
        </w:rPr>
        <w:t>种，蝰蛇科</w:t>
      </w:r>
      <w:r>
        <w:rPr>
          <w:rFonts w:ascii="Times New Roman" w:cs="Times New Roman"/>
          <w:kern w:val="2"/>
        </w:rPr>
        <w:t>1</w:t>
      </w:r>
      <w:r>
        <w:rPr>
          <w:rFonts w:ascii="Times New Roman" w:cs="Times New Roman"/>
          <w:kern w:val="2"/>
        </w:rPr>
        <w:t>属</w:t>
      </w:r>
      <w:r>
        <w:rPr>
          <w:rFonts w:ascii="Times New Roman" w:cs="Times New Roman"/>
          <w:kern w:val="2"/>
        </w:rPr>
        <w:t>1</w:t>
      </w:r>
      <w:r>
        <w:rPr>
          <w:rFonts w:ascii="Times New Roman" w:cs="Times New Roman"/>
          <w:kern w:val="2"/>
        </w:rPr>
        <w:t>种。评价范围内生境较广泛，主要有翠青蛇、赤链蛇、乌梢蛇、王锦蛇等种类。从物种的目级组成看，评价区的爬行类均为有鳞目蛇亚目的种类。从科级组成看，评价区爬行类以游蛇科种类占优势。</w:t>
      </w:r>
    </w:p>
    <w:p w:rsidR="00BD5820" w:rsidRDefault="00F64314">
      <w:pPr>
        <w:topLinePunct w:val="0"/>
        <w:adjustRightInd/>
        <w:spacing w:line="500" w:lineRule="exact"/>
        <w:ind w:left="60" w:right="100" w:firstLineChars="0" w:firstLine="482"/>
        <w:rPr>
          <w:rFonts w:ascii="Times New Roman" w:cs="Times New Roman"/>
          <w:kern w:val="2"/>
        </w:rPr>
      </w:pPr>
      <w:r>
        <w:rPr>
          <w:rFonts w:ascii="Times New Roman" w:cs="Times New Roman" w:hint="eastAsia"/>
          <w:kern w:val="2"/>
        </w:rPr>
        <w:t>（</w:t>
      </w:r>
      <w:r>
        <w:rPr>
          <w:rFonts w:ascii="Times New Roman" w:cs="Times New Roman" w:hint="eastAsia"/>
          <w:kern w:val="2"/>
        </w:rPr>
        <w:t>1</w:t>
      </w:r>
      <w:r>
        <w:rPr>
          <w:rFonts w:ascii="Times New Roman" w:cs="Times New Roman" w:hint="eastAsia"/>
          <w:kern w:val="2"/>
        </w:rPr>
        <w:t>）</w:t>
      </w:r>
      <w:r>
        <w:rPr>
          <w:rFonts w:ascii="Times New Roman" w:cs="Times New Roman"/>
          <w:kern w:val="2"/>
        </w:rPr>
        <w:t>区系分布</w:t>
      </w:r>
    </w:p>
    <w:p w:rsidR="00BD5820" w:rsidRDefault="00F64314">
      <w:pPr>
        <w:topLinePunct w:val="0"/>
        <w:adjustRightInd/>
        <w:spacing w:line="500" w:lineRule="exact"/>
        <w:ind w:left="60" w:right="100" w:firstLineChars="0" w:firstLine="482"/>
        <w:rPr>
          <w:rFonts w:ascii="Times New Roman" w:cs="Times New Roman"/>
          <w:kern w:val="2"/>
        </w:rPr>
      </w:pPr>
      <w:r>
        <w:rPr>
          <w:rFonts w:ascii="Times New Roman" w:cs="Times New Roman"/>
          <w:kern w:val="2"/>
        </w:rPr>
        <w:t>评价范围分布的</w:t>
      </w:r>
      <w:r>
        <w:rPr>
          <w:rFonts w:ascii="Times New Roman" w:cs="Times New Roman"/>
          <w:kern w:val="2"/>
        </w:rPr>
        <w:t>6</w:t>
      </w:r>
      <w:r>
        <w:rPr>
          <w:rFonts w:ascii="Times New Roman" w:cs="Times New Roman"/>
          <w:kern w:val="2"/>
        </w:rPr>
        <w:t>种爬行动物东洋界物种有</w:t>
      </w:r>
      <w:r>
        <w:rPr>
          <w:rFonts w:ascii="Times New Roman" w:cs="Times New Roman"/>
          <w:kern w:val="2"/>
        </w:rPr>
        <w:t>3</w:t>
      </w:r>
      <w:r>
        <w:rPr>
          <w:rFonts w:ascii="Times New Roman" w:cs="Times New Roman"/>
          <w:kern w:val="2"/>
        </w:rPr>
        <w:t>种，古北种</w:t>
      </w:r>
      <w:r>
        <w:rPr>
          <w:rFonts w:ascii="Times New Roman" w:cs="Times New Roman"/>
          <w:kern w:val="2"/>
        </w:rPr>
        <w:t>1</w:t>
      </w:r>
      <w:r>
        <w:rPr>
          <w:rFonts w:ascii="Times New Roman" w:cs="Times New Roman"/>
          <w:kern w:val="2"/>
        </w:rPr>
        <w:t>种，广布种</w:t>
      </w:r>
      <w:r>
        <w:rPr>
          <w:rFonts w:ascii="Times New Roman" w:cs="Times New Roman"/>
          <w:kern w:val="2"/>
        </w:rPr>
        <w:t>2</w:t>
      </w:r>
      <w:r>
        <w:rPr>
          <w:rFonts w:ascii="Times New Roman" w:cs="Times New Roman"/>
          <w:kern w:val="2"/>
        </w:rPr>
        <w:t>种。</w:t>
      </w:r>
    </w:p>
    <w:p w:rsidR="00BD5820" w:rsidRDefault="00F64314">
      <w:pPr>
        <w:topLinePunct w:val="0"/>
        <w:adjustRightInd/>
        <w:spacing w:line="500" w:lineRule="exact"/>
        <w:ind w:left="60" w:right="100" w:firstLineChars="0" w:firstLine="482"/>
        <w:rPr>
          <w:rFonts w:ascii="Times New Roman" w:cs="Times New Roman"/>
          <w:kern w:val="2"/>
        </w:rPr>
      </w:pPr>
      <w:r>
        <w:rPr>
          <w:rFonts w:ascii="Times New Roman" w:cs="Times New Roman" w:hint="eastAsia"/>
          <w:kern w:val="2"/>
        </w:rPr>
        <w:t>（</w:t>
      </w:r>
      <w:r>
        <w:rPr>
          <w:rFonts w:ascii="Times New Roman" w:cs="Times New Roman" w:hint="eastAsia"/>
          <w:kern w:val="2"/>
        </w:rPr>
        <w:t>2</w:t>
      </w:r>
      <w:r>
        <w:rPr>
          <w:rFonts w:ascii="Times New Roman" w:cs="Times New Roman" w:hint="eastAsia"/>
          <w:kern w:val="2"/>
        </w:rPr>
        <w:t>）</w:t>
      </w:r>
      <w:r>
        <w:rPr>
          <w:rFonts w:ascii="Times New Roman" w:cs="Times New Roman"/>
          <w:kern w:val="2"/>
        </w:rPr>
        <w:t>生态分布</w:t>
      </w:r>
    </w:p>
    <w:p w:rsidR="00BD5820" w:rsidRDefault="00F64314">
      <w:pPr>
        <w:topLinePunct w:val="0"/>
        <w:adjustRightInd/>
        <w:spacing w:line="500" w:lineRule="exact"/>
        <w:ind w:left="60" w:right="100" w:firstLineChars="0" w:firstLine="482"/>
        <w:rPr>
          <w:rFonts w:ascii="Times New Roman" w:cs="Times New Roman"/>
          <w:kern w:val="2"/>
        </w:rPr>
      </w:pPr>
      <w:r>
        <w:rPr>
          <w:rFonts w:ascii="Times New Roman" w:cs="Times New Roman"/>
          <w:kern w:val="2"/>
        </w:rPr>
        <w:t>评价区的爬行动物大多栖息在灌草丛中。</w:t>
      </w:r>
    </w:p>
    <w:p w:rsidR="00BD5820" w:rsidRDefault="00F64314">
      <w:pPr>
        <w:topLinePunct w:val="0"/>
        <w:adjustRightInd/>
        <w:spacing w:line="500" w:lineRule="exact"/>
        <w:ind w:left="60" w:right="100" w:firstLineChars="0" w:firstLine="482"/>
        <w:rPr>
          <w:rFonts w:ascii="Times New Roman" w:cs="Times New Roman"/>
          <w:kern w:val="2"/>
        </w:rPr>
      </w:pPr>
      <w:r>
        <w:rPr>
          <w:rFonts w:ascii="Times New Roman" w:cs="Times New Roman" w:hint="eastAsia"/>
          <w:kern w:val="2"/>
        </w:rPr>
        <w:t>（</w:t>
      </w:r>
      <w:r>
        <w:rPr>
          <w:rFonts w:ascii="Times New Roman" w:cs="Times New Roman" w:hint="eastAsia"/>
          <w:kern w:val="2"/>
        </w:rPr>
        <w:t>3</w:t>
      </w:r>
      <w:r>
        <w:rPr>
          <w:rFonts w:ascii="Times New Roman" w:cs="Times New Roman" w:hint="eastAsia"/>
          <w:kern w:val="2"/>
        </w:rPr>
        <w:t>）</w:t>
      </w:r>
      <w:r>
        <w:rPr>
          <w:rFonts w:ascii="Times New Roman" w:cs="Times New Roman"/>
          <w:kern w:val="2"/>
        </w:rPr>
        <w:t>保护物种</w:t>
      </w:r>
    </w:p>
    <w:p w:rsidR="00BD5820" w:rsidRDefault="00F64314">
      <w:pPr>
        <w:topLinePunct w:val="0"/>
        <w:adjustRightInd/>
        <w:spacing w:line="500" w:lineRule="exact"/>
        <w:ind w:left="60" w:right="100" w:firstLineChars="0" w:firstLine="482"/>
        <w:rPr>
          <w:rFonts w:ascii="Times New Roman" w:cs="Times New Roman"/>
          <w:kern w:val="2"/>
        </w:rPr>
      </w:pPr>
      <w:r>
        <w:rPr>
          <w:rFonts w:ascii="Times New Roman" w:cs="Times New Roman"/>
          <w:kern w:val="2"/>
        </w:rPr>
        <w:t>调查中未发现属于国家级保护和四川省级保护的爬行类物种。</w:t>
      </w:r>
    </w:p>
    <w:p w:rsidR="00BD5820" w:rsidRDefault="00F64314">
      <w:pPr>
        <w:topLinePunct w:val="0"/>
        <w:adjustRightInd/>
        <w:spacing w:line="480" w:lineRule="exact"/>
        <w:ind w:firstLine="482"/>
        <w:rPr>
          <w:rFonts w:ascii="Times New Roman" w:cs="Times New Roman"/>
          <w:b/>
          <w:bCs/>
          <w:kern w:val="2"/>
        </w:rPr>
      </w:pPr>
      <w:r>
        <w:rPr>
          <w:rFonts w:ascii="Times New Roman" w:cs="Times New Roman" w:hint="eastAsia"/>
          <w:b/>
          <w:bCs/>
          <w:kern w:val="2"/>
        </w:rPr>
        <w:t>D</w:t>
      </w:r>
      <w:r>
        <w:rPr>
          <w:rFonts w:ascii="Times New Roman" w:cs="Times New Roman" w:hint="eastAsia"/>
          <w:b/>
          <w:bCs/>
          <w:kern w:val="2"/>
        </w:rPr>
        <w:t>、</w:t>
      </w:r>
      <w:r>
        <w:rPr>
          <w:rFonts w:ascii="Times New Roman" w:cs="Times New Roman"/>
          <w:b/>
          <w:bCs/>
          <w:kern w:val="2"/>
        </w:rPr>
        <w:t>两栖动物的组成及分布</w:t>
      </w:r>
    </w:p>
    <w:p w:rsidR="00BD5820" w:rsidRDefault="00F64314">
      <w:pPr>
        <w:topLinePunct w:val="0"/>
        <w:adjustRightInd/>
        <w:spacing w:line="500" w:lineRule="exact"/>
        <w:ind w:left="60" w:right="100" w:firstLineChars="0" w:firstLine="482"/>
        <w:rPr>
          <w:rFonts w:ascii="Times New Roman" w:cs="Times New Roman"/>
          <w:kern w:val="2"/>
        </w:rPr>
      </w:pPr>
      <w:r>
        <w:rPr>
          <w:rFonts w:ascii="Times New Roman" w:cs="Times New Roman"/>
          <w:kern w:val="2"/>
        </w:rPr>
        <w:t>据不完全统计，评价区域内分布有两栖动物</w:t>
      </w:r>
      <w:r>
        <w:rPr>
          <w:rFonts w:ascii="Times New Roman" w:cs="Times New Roman"/>
          <w:kern w:val="2"/>
        </w:rPr>
        <w:t>5</w:t>
      </w:r>
      <w:r>
        <w:rPr>
          <w:rFonts w:ascii="Times New Roman" w:cs="Times New Roman"/>
          <w:kern w:val="2"/>
        </w:rPr>
        <w:t>种，隶属于</w:t>
      </w:r>
      <w:r>
        <w:rPr>
          <w:rFonts w:ascii="Times New Roman" w:cs="Times New Roman"/>
          <w:kern w:val="2"/>
        </w:rPr>
        <w:t>1</w:t>
      </w:r>
      <w:r>
        <w:rPr>
          <w:rFonts w:ascii="Times New Roman" w:cs="Times New Roman"/>
          <w:kern w:val="2"/>
        </w:rPr>
        <w:t>目</w:t>
      </w:r>
      <w:r>
        <w:rPr>
          <w:rFonts w:ascii="Times New Roman" w:cs="Times New Roman"/>
          <w:kern w:val="2"/>
        </w:rPr>
        <w:t>3</w:t>
      </w:r>
      <w:r>
        <w:rPr>
          <w:rFonts w:ascii="Times New Roman" w:cs="Times New Roman"/>
          <w:kern w:val="2"/>
        </w:rPr>
        <w:t>科，分别为蟾蜍科</w:t>
      </w:r>
      <w:r>
        <w:rPr>
          <w:rFonts w:ascii="Times New Roman" w:cs="Times New Roman"/>
          <w:kern w:val="2"/>
        </w:rPr>
        <w:t>1</w:t>
      </w:r>
      <w:r>
        <w:rPr>
          <w:rFonts w:ascii="Times New Roman" w:cs="Times New Roman"/>
          <w:kern w:val="2"/>
        </w:rPr>
        <w:t>属</w:t>
      </w:r>
      <w:r>
        <w:rPr>
          <w:rFonts w:ascii="Times New Roman" w:cs="Times New Roman"/>
          <w:kern w:val="2"/>
        </w:rPr>
        <w:t>2</w:t>
      </w:r>
      <w:r>
        <w:rPr>
          <w:rFonts w:ascii="Times New Roman" w:cs="Times New Roman"/>
          <w:kern w:val="2"/>
        </w:rPr>
        <w:t>种，蛙科</w:t>
      </w:r>
      <w:r>
        <w:rPr>
          <w:rFonts w:ascii="Times New Roman" w:cs="Times New Roman"/>
          <w:kern w:val="2"/>
        </w:rPr>
        <w:t>2</w:t>
      </w:r>
      <w:r>
        <w:rPr>
          <w:rFonts w:ascii="Times New Roman" w:cs="Times New Roman"/>
          <w:kern w:val="2"/>
        </w:rPr>
        <w:t>属</w:t>
      </w:r>
      <w:r>
        <w:rPr>
          <w:rFonts w:ascii="Times New Roman" w:cs="Times New Roman"/>
          <w:kern w:val="2"/>
        </w:rPr>
        <w:t>2</w:t>
      </w:r>
      <w:r>
        <w:rPr>
          <w:rFonts w:ascii="Times New Roman" w:cs="Times New Roman"/>
          <w:kern w:val="2"/>
        </w:rPr>
        <w:t>种，叉舌蛙科</w:t>
      </w:r>
      <w:r>
        <w:rPr>
          <w:rFonts w:ascii="Times New Roman" w:cs="Times New Roman"/>
          <w:kern w:val="2"/>
        </w:rPr>
        <w:t>1</w:t>
      </w:r>
      <w:r>
        <w:rPr>
          <w:rFonts w:ascii="Times New Roman" w:cs="Times New Roman"/>
          <w:kern w:val="2"/>
        </w:rPr>
        <w:t>属</w:t>
      </w:r>
      <w:r>
        <w:rPr>
          <w:rFonts w:ascii="Times New Roman" w:cs="Times New Roman"/>
          <w:kern w:val="2"/>
        </w:rPr>
        <w:t>1</w:t>
      </w:r>
      <w:r>
        <w:rPr>
          <w:rFonts w:ascii="Times New Roman" w:cs="Times New Roman"/>
          <w:kern w:val="2"/>
        </w:rPr>
        <w:t>种。</w:t>
      </w:r>
    </w:p>
    <w:p w:rsidR="00BD5820" w:rsidRDefault="00F64314">
      <w:pPr>
        <w:topLinePunct w:val="0"/>
        <w:adjustRightInd/>
        <w:spacing w:line="500" w:lineRule="exact"/>
        <w:ind w:left="60" w:right="100" w:firstLineChars="0" w:firstLine="482"/>
        <w:rPr>
          <w:rFonts w:ascii="Times New Roman" w:cs="Times New Roman"/>
          <w:kern w:val="2"/>
        </w:rPr>
      </w:pPr>
      <w:r>
        <w:rPr>
          <w:rFonts w:ascii="Times New Roman" w:cs="Times New Roman" w:hint="eastAsia"/>
          <w:kern w:val="2"/>
        </w:rPr>
        <w:t>（</w:t>
      </w:r>
      <w:r>
        <w:rPr>
          <w:rFonts w:ascii="Times New Roman" w:cs="Times New Roman" w:hint="eastAsia"/>
          <w:kern w:val="2"/>
        </w:rPr>
        <w:t>1</w:t>
      </w:r>
      <w:r>
        <w:rPr>
          <w:rFonts w:ascii="Times New Roman" w:cs="Times New Roman" w:hint="eastAsia"/>
          <w:kern w:val="2"/>
        </w:rPr>
        <w:t>）</w:t>
      </w:r>
      <w:r>
        <w:rPr>
          <w:rFonts w:ascii="Times New Roman" w:cs="Times New Roman"/>
          <w:kern w:val="2"/>
        </w:rPr>
        <w:t>区系分析</w:t>
      </w:r>
    </w:p>
    <w:p w:rsidR="00BD5820" w:rsidRDefault="00F64314">
      <w:pPr>
        <w:topLinePunct w:val="0"/>
        <w:adjustRightInd/>
        <w:spacing w:line="500" w:lineRule="exact"/>
        <w:ind w:left="60" w:right="100" w:firstLineChars="0" w:firstLine="482"/>
        <w:rPr>
          <w:rFonts w:ascii="Times New Roman" w:cs="Times New Roman"/>
          <w:kern w:val="2"/>
        </w:rPr>
      </w:pPr>
      <w:r>
        <w:rPr>
          <w:rFonts w:ascii="Times New Roman" w:cs="Times New Roman"/>
          <w:kern w:val="2"/>
        </w:rPr>
        <w:t>评价区内的两栖类以东洋界为主，仅有</w:t>
      </w:r>
      <w:r>
        <w:rPr>
          <w:rFonts w:ascii="Times New Roman" w:cs="Times New Roman"/>
          <w:kern w:val="2"/>
        </w:rPr>
        <w:t>1</w:t>
      </w:r>
      <w:r>
        <w:rPr>
          <w:rFonts w:ascii="Times New Roman" w:cs="Times New Roman"/>
          <w:kern w:val="2"/>
        </w:rPr>
        <w:t>个古北种和</w:t>
      </w:r>
      <w:r>
        <w:rPr>
          <w:rFonts w:ascii="Times New Roman" w:cs="Times New Roman"/>
          <w:kern w:val="2"/>
        </w:rPr>
        <w:t>1</w:t>
      </w:r>
      <w:r>
        <w:rPr>
          <w:rFonts w:ascii="Times New Roman" w:cs="Times New Roman"/>
          <w:kern w:val="2"/>
        </w:rPr>
        <w:t>个广布种。</w:t>
      </w:r>
    </w:p>
    <w:p w:rsidR="00BD5820" w:rsidRDefault="00F64314">
      <w:pPr>
        <w:topLinePunct w:val="0"/>
        <w:adjustRightInd/>
        <w:spacing w:line="500" w:lineRule="exact"/>
        <w:ind w:left="60" w:right="100" w:firstLineChars="0" w:firstLine="482"/>
        <w:rPr>
          <w:rFonts w:ascii="Times New Roman" w:cs="Times New Roman"/>
          <w:kern w:val="2"/>
        </w:rPr>
      </w:pPr>
      <w:r>
        <w:rPr>
          <w:rFonts w:ascii="Times New Roman" w:cs="Times New Roman" w:hint="eastAsia"/>
          <w:kern w:val="2"/>
        </w:rPr>
        <w:t>（</w:t>
      </w:r>
      <w:r>
        <w:rPr>
          <w:rFonts w:ascii="Times New Roman" w:cs="Times New Roman" w:hint="eastAsia"/>
          <w:kern w:val="2"/>
        </w:rPr>
        <w:t>2</w:t>
      </w:r>
      <w:r>
        <w:rPr>
          <w:rFonts w:ascii="Times New Roman" w:cs="Times New Roman" w:hint="eastAsia"/>
          <w:kern w:val="2"/>
        </w:rPr>
        <w:t>）</w:t>
      </w:r>
      <w:r>
        <w:rPr>
          <w:rFonts w:ascii="Times New Roman" w:cs="Times New Roman"/>
          <w:kern w:val="2"/>
        </w:rPr>
        <w:t>生态分布</w:t>
      </w:r>
    </w:p>
    <w:p w:rsidR="00BD5820" w:rsidRDefault="00F64314">
      <w:pPr>
        <w:topLinePunct w:val="0"/>
        <w:snapToGrid w:val="0"/>
        <w:ind w:firstLineChars="0" w:firstLine="482"/>
        <w:rPr>
          <w:rFonts w:ascii="Times New Roman" w:cs="Times New Roman"/>
          <w:kern w:val="2"/>
        </w:rPr>
      </w:pPr>
      <w:r>
        <w:rPr>
          <w:rFonts w:ascii="Times New Roman" w:cs="Times New Roman"/>
          <w:kern w:val="2"/>
        </w:rPr>
        <w:t>中华蟾蜍、黑眶蟾蜍、黑斑侧褶蛙等生活在河沟两侧或其附近环境植被较为茂密、阴湿的灌草丛区域；花臭蛙主要生活在大小溪两岸潮湿的岩石上；泽陆蛙主要在水域地区。</w:t>
      </w:r>
    </w:p>
    <w:p w:rsidR="00BD5820" w:rsidRDefault="00F64314">
      <w:pPr>
        <w:topLinePunct w:val="0"/>
        <w:snapToGrid w:val="0"/>
        <w:ind w:firstLineChars="0" w:firstLine="482"/>
        <w:rPr>
          <w:rFonts w:ascii="Times New Roman" w:cs="Times New Roman"/>
          <w:kern w:val="2"/>
        </w:rPr>
      </w:pPr>
      <w:r>
        <w:rPr>
          <w:rFonts w:ascii="Times New Roman" w:cs="Times New Roman" w:hint="eastAsia"/>
          <w:kern w:val="2"/>
        </w:rPr>
        <w:t>（</w:t>
      </w:r>
      <w:r>
        <w:rPr>
          <w:rFonts w:ascii="Times New Roman" w:cs="Times New Roman" w:hint="eastAsia"/>
          <w:kern w:val="2"/>
        </w:rPr>
        <w:t>3</w:t>
      </w:r>
      <w:r>
        <w:rPr>
          <w:rFonts w:ascii="Times New Roman" w:cs="Times New Roman" w:hint="eastAsia"/>
          <w:kern w:val="2"/>
        </w:rPr>
        <w:t>）</w:t>
      </w:r>
      <w:r>
        <w:rPr>
          <w:rFonts w:ascii="Times New Roman" w:cs="Times New Roman"/>
          <w:kern w:val="2"/>
        </w:rPr>
        <w:t>保护物种</w:t>
      </w:r>
    </w:p>
    <w:p w:rsidR="00BD5820" w:rsidRDefault="00F64314">
      <w:pPr>
        <w:topLinePunct w:val="0"/>
        <w:snapToGrid w:val="0"/>
        <w:ind w:firstLine="480"/>
        <w:rPr>
          <w:rFonts w:ascii="Times New Roman" w:cs="Times New Roman"/>
          <w:kern w:val="2"/>
        </w:rPr>
      </w:pPr>
      <w:r>
        <w:rPr>
          <w:rFonts w:ascii="Times New Roman" w:cs="Times New Roman"/>
          <w:kern w:val="2"/>
        </w:rPr>
        <w:t>调查中未发现属于国家级保护和省级保护的两栖类物种。</w:t>
      </w:r>
    </w:p>
    <w:p w:rsidR="00BD5820" w:rsidRDefault="00F64314">
      <w:pPr>
        <w:pStyle w:val="3"/>
        <w:rPr>
          <w:rFonts w:eastAsia="宋体"/>
        </w:rPr>
      </w:pPr>
      <w:r>
        <w:rPr>
          <w:rFonts w:eastAsia="宋体"/>
        </w:rPr>
        <w:lastRenderedPageBreak/>
        <w:t>5.2.</w:t>
      </w:r>
      <w:r>
        <w:rPr>
          <w:rFonts w:eastAsia="宋体" w:hint="eastAsia"/>
        </w:rPr>
        <w:t>10</w:t>
      </w:r>
      <w:r>
        <w:rPr>
          <w:rFonts w:eastAsia="宋体" w:hint="eastAsia"/>
          <w:bCs/>
        </w:rPr>
        <w:t>重要物种、迁徙物种、重要生境调查</w:t>
      </w:r>
    </w:p>
    <w:p w:rsidR="00BD5820" w:rsidRDefault="00F64314">
      <w:pPr>
        <w:spacing w:line="480" w:lineRule="exact"/>
        <w:ind w:firstLine="482"/>
        <w:rPr>
          <w:rFonts w:ascii="Times New Roman" w:cs="Times New Roman"/>
          <w:b/>
          <w:bCs/>
          <w:kern w:val="2"/>
        </w:rPr>
      </w:pPr>
      <w:r>
        <w:rPr>
          <w:rFonts w:ascii="Times New Roman" w:cs="Times New Roman"/>
          <w:b/>
          <w:bCs/>
          <w:kern w:val="2"/>
        </w:rPr>
        <w:t>1</w:t>
      </w:r>
      <w:r>
        <w:rPr>
          <w:rFonts w:ascii="Times New Roman" w:cs="Times New Roman"/>
          <w:b/>
          <w:bCs/>
          <w:kern w:val="2"/>
        </w:rPr>
        <w:t>、项目评价范围内重点保护野生植物和古树名木</w:t>
      </w:r>
    </w:p>
    <w:p w:rsidR="00BD5820" w:rsidRDefault="00F64314">
      <w:pPr>
        <w:topLinePunct w:val="0"/>
        <w:adjustRightInd/>
        <w:spacing w:line="500" w:lineRule="exact"/>
        <w:ind w:left="60" w:right="100" w:firstLineChars="0" w:firstLine="482"/>
        <w:rPr>
          <w:rFonts w:hAnsi="宋体"/>
          <w:spacing w:val="-6"/>
          <w:kern w:val="2"/>
        </w:rPr>
      </w:pPr>
      <w:r>
        <w:rPr>
          <w:rFonts w:hAnsi="宋体"/>
          <w:spacing w:val="-6"/>
          <w:kern w:val="2"/>
        </w:rPr>
        <w:t>根据现场调查及相关文献资料查阅，本次评价范围内的林地主要为人工林，区域植物种类主要为杉木、柏木、马尾松、竹类及其他常见灌草植物和经济林木等。</w:t>
      </w:r>
      <w:r>
        <w:rPr>
          <w:rFonts w:ascii="Times New Roman" w:cs="Times New Roman"/>
          <w:kern w:val="2"/>
        </w:rPr>
        <w:t>按照现行的《中华人民共和国野生植物保护条例（</w:t>
      </w:r>
      <w:r>
        <w:rPr>
          <w:rFonts w:ascii="Times New Roman" w:cs="Times New Roman"/>
          <w:kern w:val="2"/>
        </w:rPr>
        <w:t>1999</w:t>
      </w:r>
      <w:r>
        <w:rPr>
          <w:rFonts w:ascii="Times New Roman" w:cs="Times New Roman"/>
          <w:kern w:val="2"/>
        </w:rPr>
        <w:t>）》、</w:t>
      </w:r>
      <w:r>
        <w:rPr>
          <w:rFonts w:hAnsi="宋体"/>
          <w:spacing w:val="-6"/>
          <w:kern w:val="2"/>
        </w:rPr>
        <w:t>《国家重点保护野生植物名录》(国家林业和草原局农业农村部公告</w:t>
      </w:r>
      <w:r>
        <w:rPr>
          <w:rFonts w:ascii="Times New Roman" w:eastAsia="Times New Roman" w:cs="Times New Roman"/>
          <w:spacing w:val="-6"/>
          <w:kern w:val="2"/>
        </w:rPr>
        <w:t>2021</w:t>
      </w:r>
      <w:r>
        <w:rPr>
          <w:rFonts w:hAnsi="宋体"/>
          <w:spacing w:val="-9"/>
          <w:kern w:val="2"/>
        </w:rPr>
        <w:t>年</w:t>
      </w:r>
      <w:r>
        <w:rPr>
          <w:rFonts w:hAnsi="宋体"/>
          <w:spacing w:val="-5"/>
          <w:kern w:val="2"/>
        </w:rPr>
        <w:t>第</w:t>
      </w:r>
      <w:r>
        <w:rPr>
          <w:rFonts w:ascii="Times New Roman" w:eastAsia="Times New Roman" w:cs="Times New Roman"/>
          <w:spacing w:val="-5"/>
          <w:kern w:val="2"/>
        </w:rPr>
        <w:t>15</w:t>
      </w:r>
      <w:r>
        <w:rPr>
          <w:rFonts w:hAnsi="宋体"/>
          <w:spacing w:val="-5"/>
          <w:kern w:val="2"/>
        </w:rPr>
        <w:t>号)</w:t>
      </w:r>
      <w:r>
        <w:rPr>
          <w:rFonts w:ascii="Times New Roman" w:cs="Times New Roman"/>
          <w:kern w:val="2"/>
        </w:rPr>
        <w:t>、《全国古树名木普查建档技术规定（</w:t>
      </w:r>
      <w:r>
        <w:rPr>
          <w:rFonts w:ascii="Times New Roman" w:cs="Times New Roman"/>
          <w:kern w:val="2"/>
        </w:rPr>
        <w:t>2001</w:t>
      </w:r>
      <w:r>
        <w:rPr>
          <w:rFonts w:ascii="Times New Roman" w:cs="Times New Roman"/>
          <w:kern w:val="2"/>
        </w:rPr>
        <w:t>）》以及相关科考资料，评价区无重点保护野生植物和古树名木等重要物种分布。</w:t>
      </w:r>
      <w:r>
        <w:rPr>
          <w:rFonts w:hAnsi="宋体"/>
          <w:spacing w:val="-6"/>
          <w:kern w:val="2"/>
        </w:rPr>
        <w:t>后续应加强</w:t>
      </w:r>
      <w:r>
        <w:rPr>
          <w:rFonts w:hAnsi="宋体" w:hint="eastAsia"/>
          <w:spacing w:val="-6"/>
          <w:kern w:val="2"/>
        </w:rPr>
        <w:t>评价</w:t>
      </w:r>
      <w:r>
        <w:rPr>
          <w:rFonts w:hAnsi="宋体"/>
          <w:spacing w:val="-6"/>
          <w:kern w:val="2"/>
        </w:rPr>
        <w:t>范围内保护植物的跟踪调查，对及时发现的</w:t>
      </w:r>
      <w:r>
        <w:rPr>
          <w:rFonts w:hAnsi="宋体" w:hint="eastAsia"/>
          <w:spacing w:val="-6"/>
          <w:kern w:val="2"/>
        </w:rPr>
        <w:t>重点</w:t>
      </w:r>
      <w:r>
        <w:rPr>
          <w:rFonts w:hAnsi="宋体"/>
          <w:spacing w:val="-6"/>
          <w:kern w:val="2"/>
        </w:rPr>
        <w:t>保护植物</w:t>
      </w:r>
      <w:r>
        <w:rPr>
          <w:rFonts w:hAnsi="宋体" w:hint="eastAsia"/>
          <w:spacing w:val="-6"/>
          <w:kern w:val="2"/>
        </w:rPr>
        <w:t>采取就地保护</w:t>
      </w:r>
      <w:r>
        <w:rPr>
          <w:rFonts w:hAnsi="宋体"/>
          <w:spacing w:val="-6"/>
          <w:kern w:val="2"/>
        </w:rPr>
        <w:t>措施</w:t>
      </w:r>
      <w:r>
        <w:rPr>
          <w:rFonts w:hAnsi="宋体" w:hint="eastAsia"/>
          <w:spacing w:val="-6"/>
          <w:kern w:val="2"/>
        </w:rPr>
        <w:t>，</w:t>
      </w:r>
      <w:r>
        <w:rPr>
          <w:rFonts w:hAnsi="宋体"/>
          <w:spacing w:val="-6"/>
          <w:kern w:val="2"/>
        </w:rPr>
        <w:t>对发现的名木古树采取挂牌保护。</w:t>
      </w:r>
    </w:p>
    <w:p w:rsidR="00BD5820" w:rsidRDefault="00F64314">
      <w:pPr>
        <w:topLinePunct w:val="0"/>
        <w:adjustRightInd/>
        <w:spacing w:line="480" w:lineRule="exact"/>
        <w:ind w:firstLine="482"/>
        <w:rPr>
          <w:rFonts w:ascii="Times New Roman" w:cs="Times New Roman"/>
          <w:b/>
          <w:bCs/>
          <w:kern w:val="2"/>
        </w:rPr>
      </w:pPr>
      <w:r>
        <w:rPr>
          <w:rFonts w:ascii="Times New Roman" w:cs="Times New Roman"/>
          <w:b/>
          <w:bCs/>
          <w:kern w:val="2"/>
        </w:rPr>
        <w:t>2</w:t>
      </w:r>
      <w:r>
        <w:rPr>
          <w:rFonts w:ascii="Times New Roman" w:cs="Times New Roman"/>
          <w:b/>
          <w:bCs/>
          <w:kern w:val="2"/>
        </w:rPr>
        <w:t>、项目评价范围内重点保护野生动物</w:t>
      </w:r>
    </w:p>
    <w:p w:rsidR="00BD5820" w:rsidRDefault="00F64314">
      <w:pPr>
        <w:topLinePunct w:val="0"/>
        <w:snapToGrid w:val="0"/>
        <w:ind w:firstLineChars="0" w:firstLine="482"/>
        <w:rPr>
          <w:rFonts w:ascii="Times New Roman" w:cs="Times New Roman"/>
          <w:kern w:val="2"/>
        </w:rPr>
      </w:pPr>
      <w:r>
        <w:rPr>
          <w:rFonts w:ascii="Times New Roman" w:cs="Times New Roman"/>
          <w:kern w:val="2"/>
        </w:rPr>
        <w:t>根据实际调查及现场复核，参照现行《中华人民共和国野生动物保护法（</w:t>
      </w:r>
      <w:r>
        <w:rPr>
          <w:rFonts w:ascii="Times New Roman" w:cs="Times New Roman"/>
          <w:kern w:val="2"/>
        </w:rPr>
        <w:t>2004</w:t>
      </w:r>
      <w:r>
        <w:rPr>
          <w:rFonts w:ascii="Times New Roman" w:cs="Times New Roman"/>
          <w:kern w:val="2"/>
        </w:rPr>
        <w:t>）》、《国家重点保护野生动物名录》及相关科考资料，在项目评价范围，无迁徙物种和重要生境分布，在评价区上空偶尔出现的保护动物有</w:t>
      </w:r>
      <w:r>
        <w:rPr>
          <w:rFonts w:ascii="Times New Roman" w:cs="Times New Roman" w:hint="eastAsia"/>
          <w:kern w:val="2"/>
        </w:rPr>
        <w:t>2</w:t>
      </w:r>
      <w:r>
        <w:rPr>
          <w:rFonts w:ascii="Times New Roman" w:cs="Times New Roman"/>
          <w:kern w:val="2"/>
        </w:rPr>
        <w:t>种，</w:t>
      </w:r>
      <w:r>
        <w:rPr>
          <w:rFonts w:ascii="Times New Roman" w:cs="Times New Roman" w:hint="eastAsia"/>
          <w:kern w:val="2"/>
        </w:rPr>
        <w:t>为</w:t>
      </w:r>
      <w:r>
        <w:rPr>
          <w:rFonts w:ascii="Times New Roman" w:cs="Times New Roman"/>
          <w:spacing w:val="4"/>
          <w:kern w:val="2"/>
        </w:rPr>
        <w:t>国家二级保护鸟类</w:t>
      </w:r>
      <w:r>
        <w:rPr>
          <w:rFonts w:ascii="Times New Roman" w:cs="Times New Roman"/>
          <w:kern w:val="2"/>
        </w:rPr>
        <w:t>雀鹰、画眉，偶见于评价区内的针叶林、阔叶林林。由于评价区人类活动较为频繁，适宜的栖息地相对比较少，因此主要为过境取食及活动</w:t>
      </w:r>
      <w:r>
        <w:rPr>
          <w:rFonts w:ascii="Times New Roman" w:cs="Times New Roman" w:hint="eastAsia"/>
          <w:kern w:val="2"/>
        </w:rPr>
        <w:t>，评价区</w:t>
      </w:r>
      <w:r>
        <w:rPr>
          <w:rFonts w:ascii="Times New Roman" w:cs="Times New Roman"/>
          <w:kern w:val="2"/>
        </w:rPr>
        <w:t>未分布上述重点保护野生动物栖息地，无分布生境。</w:t>
      </w:r>
    </w:p>
    <w:p w:rsidR="00BD5820" w:rsidRDefault="00F64314">
      <w:pPr>
        <w:topLinePunct w:val="0"/>
        <w:snapToGrid w:val="0"/>
        <w:ind w:firstLine="480"/>
        <w:rPr>
          <w:rFonts w:ascii="Times New Roman" w:cs="Times New Roman"/>
          <w:kern w:val="2"/>
        </w:rPr>
      </w:pPr>
      <w:r>
        <w:rPr>
          <w:rFonts w:ascii="Times New Roman" w:cs="Times New Roman" w:hint="eastAsia"/>
          <w:kern w:val="2"/>
        </w:rPr>
        <w:t>上述</w:t>
      </w:r>
      <w:r>
        <w:rPr>
          <w:rFonts w:ascii="Times New Roman" w:cs="Times New Roman"/>
          <w:kern w:val="2"/>
        </w:rPr>
        <w:t>国家重点保护动物的栖息地、居留型及数量情况见表</w:t>
      </w:r>
      <w:r>
        <w:rPr>
          <w:rFonts w:ascii="Times New Roman" w:cs="Times New Roman" w:hint="eastAsia"/>
          <w:kern w:val="2"/>
        </w:rPr>
        <w:t>5</w:t>
      </w:r>
      <w:r>
        <w:rPr>
          <w:rFonts w:ascii="Times New Roman" w:cs="Times New Roman"/>
          <w:kern w:val="2"/>
        </w:rPr>
        <w:t>.</w:t>
      </w:r>
      <w:r>
        <w:rPr>
          <w:rFonts w:ascii="Times New Roman" w:cs="Times New Roman" w:hint="eastAsia"/>
          <w:kern w:val="2"/>
        </w:rPr>
        <w:t>2</w:t>
      </w:r>
      <w:r>
        <w:rPr>
          <w:rFonts w:ascii="Times New Roman" w:cs="Times New Roman"/>
          <w:kern w:val="2"/>
        </w:rPr>
        <w:t>-</w:t>
      </w:r>
      <w:r>
        <w:rPr>
          <w:rFonts w:ascii="Times New Roman" w:cs="Times New Roman" w:hint="eastAsia"/>
          <w:kern w:val="2"/>
        </w:rPr>
        <w:t>19</w:t>
      </w:r>
      <w:r>
        <w:rPr>
          <w:rFonts w:ascii="Times New Roman" w:cs="Times New Roman"/>
          <w:kern w:val="2"/>
        </w:rPr>
        <w:t>。</w:t>
      </w:r>
    </w:p>
    <w:p w:rsidR="00BD5820" w:rsidRDefault="00F64314" w:rsidP="00511129">
      <w:pPr>
        <w:topLinePunct w:val="0"/>
        <w:autoSpaceDE w:val="0"/>
        <w:autoSpaceDN w:val="0"/>
        <w:spacing w:beforeLines="50" w:line="240" w:lineRule="auto"/>
        <w:ind w:firstLineChars="0" w:firstLine="0"/>
        <w:jc w:val="center"/>
        <w:rPr>
          <w:rFonts w:ascii="Times New Roman" w:cs="Times New Roman"/>
          <w:b/>
          <w:sz w:val="21"/>
        </w:rPr>
      </w:pPr>
      <w:r>
        <w:rPr>
          <w:rFonts w:ascii="Times New Roman" w:cs="Times New Roman"/>
          <w:b/>
          <w:sz w:val="21"/>
        </w:rPr>
        <w:t>表</w:t>
      </w:r>
      <w:r>
        <w:rPr>
          <w:rFonts w:ascii="Times New Roman" w:cs="Times New Roman" w:hint="eastAsia"/>
          <w:b/>
          <w:sz w:val="21"/>
        </w:rPr>
        <w:t>5.2</w:t>
      </w:r>
      <w:r>
        <w:rPr>
          <w:rFonts w:ascii="Times New Roman" w:cs="Times New Roman"/>
          <w:b/>
          <w:sz w:val="21"/>
        </w:rPr>
        <w:t>-</w:t>
      </w:r>
      <w:r>
        <w:rPr>
          <w:rFonts w:ascii="Times New Roman" w:cs="Times New Roman" w:hint="eastAsia"/>
          <w:b/>
          <w:sz w:val="21"/>
        </w:rPr>
        <w:t xml:space="preserve">19 </w:t>
      </w:r>
      <w:r>
        <w:rPr>
          <w:rFonts w:ascii="Times New Roman" w:cs="Times New Roman"/>
          <w:b/>
          <w:sz w:val="21"/>
        </w:rPr>
        <w:t>评价区重点保护鸟类分布、栖息情况一览表</w:t>
      </w:r>
    </w:p>
    <w:tbl>
      <w:tblPr>
        <w:tblStyle w:val="TableNormal"/>
        <w:tblpPr w:leftFromText="180" w:rightFromText="180" w:vertAnchor="text" w:horzAnchor="page" w:tblpXSpec="center" w:tblpY="313"/>
        <w:tblOverlap w:val="never"/>
        <w:tblW w:w="8557" w:type="dxa"/>
        <w:jc w:val="center"/>
        <w:tblInd w:w="0" w:type="dxa"/>
        <w:tblBorders>
          <w:top w:val="single" w:sz="12" w:space="0" w:color="000000"/>
          <w:bottom w:val="single" w:sz="12" w:space="0" w:color="000000"/>
          <w:insideH w:val="single" w:sz="2" w:space="0" w:color="000000"/>
          <w:insideV w:val="single" w:sz="2" w:space="0" w:color="000000"/>
        </w:tblBorders>
        <w:tblLayout w:type="fixed"/>
        <w:tblLook w:val="04A0"/>
      </w:tblPr>
      <w:tblGrid>
        <w:gridCol w:w="1003"/>
        <w:gridCol w:w="1779"/>
        <w:gridCol w:w="928"/>
        <w:gridCol w:w="2874"/>
        <w:gridCol w:w="555"/>
        <w:gridCol w:w="636"/>
        <w:gridCol w:w="782"/>
      </w:tblGrid>
      <w:tr w:rsidR="00BD5820">
        <w:trPr>
          <w:trHeight w:val="727"/>
          <w:jc w:val="center"/>
        </w:trPr>
        <w:tc>
          <w:tcPr>
            <w:tcW w:w="1003"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中文名</w:t>
            </w:r>
          </w:p>
        </w:tc>
        <w:tc>
          <w:tcPr>
            <w:tcW w:w="1779"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拉丁名</w:t>
            </w:r>
          </w:p>
        </w:tc>
        <w:tc>
          <w:tcPr>
            <w:tcW w:w="928"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居留型</w:t>
            </w:r>
          </w:p>
        </w:tc>
        <w:tc>
          <w:tcPr>
            <w:tcW w:w="2874"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栖息地</w:t>
            </w:r>
          </w:p>
        </w:tc>
        <w:tc>
          <w:tcPr>
            <w:tcW w:w="555"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数量等级</w:t>
            </w:r>
          </w:p>
        </w:tc>
        <w:tc>
          <w:tcPr>
            <w:tcW w:w="636"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保护级别</w:t>
            </w:r>
          </w:p>
        </w:tc>
        <w:tc>
          <w:tcPr>
            <w:tcW w:w="782"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来源</w:t>
            </w:r>
          </w:p>
        </w:tc>
      </w:tr>
      <w:tr w:rsidR="00BD5820">
        <w:trPr>
          <w:trHeight w:val="701"/>
          <w:jc w:val="center"/>
        </w:trPr>
        <w:tc>
          <w:tcPr>
            <w:tcW w:w="1003"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kern w:val="2"/>
                <w:sz w:val="21"/>
                <w:szCs w:val="21"/>
              </w:rPr>
              <w:t>雀鹰</w:t>
            </w:r>
          </w:p>
        </w:tc>
        <w:tc>
          <w:tcPr>
            <w:tcW w:w="1779"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i/>
                <w:iCs/>
                <w:sz w:val="21"/>
                <w:szCs w:val="21"/>
              </w:rPr>
            </w:pPr>
            <w:r>
              <w:rPr>
                <w:rFonts w:ascii="Times New Roman" w:cs="Times New Roman"/>
                <w:i/>
                <w:iCs/>
                <w:sz w:val="21"/>
                <w:szCs w:val="21"/>
              </w:rPr>
              <w:t>Accipiter nisus</w:t>
            </w:r>
          </w:p>
        </w:tc>
        <w:tc>
          <w:tcPr>
            <w:tcW w:w="928"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R</w:t>
            </w:r>
          </w:p>
        </w:tc>
        <w:tc>
          <w:tcPr>
            <w:tcW w:w="2874"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山地森林、林缘地带、农田</w:t>
            </w:r>
          </w:p>
        </w:tc>
        <w:tc>
          <w:tcPr>
            <w:tcW w:w="555"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w:t>
            </w:r>
          </w:p>
        </w:tc>
        <w:tc>
          <w:tcPr>
            <w:tcW w:w="636"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Ⅱ</w:t>
            </w:r>
          </w:p>
        </w:tc>
        <w:tc>
          <w:tcPr>
            <w:tcW w:w="782"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资料</w:t>
            </w:r>
          </w:p>
        </w:tc>
      </w:tr>
      <w:tr w:rsidR="00BD5820">
        <w:trPr>
          <w:trHeight w:val="702"/>
          <w:jc w:val="center"/>
        </w:trPr>
        <w:tc>
          <w:tcPr>
            <w:tcW w:w="1003"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kern w:val="2"/>
                <w:sz w:val="21"/>
                <w:szCs w:val="21"/>
              </w:rPr>
              <w:t>画眉</w:t>
            </w:r>
          </w:p>
        </w:tc>
        <w:tc>
          <w:tcPr>
            <w:tcW w:w="1779"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i/>
                <w:iCs/>
                <w:sz w:val="21"/>
                <w:szCs w:val="21"/>
              </w:rPr>
            </w:pPr>
            <w:r>
              <w:rPr>
                <w:rFonts w:ascii="Times New Roman" w:cs="Times New Roman"/>
                <w:i/>
                <w:iCs/>
                <w:sz w:val="21"/>
                <w:szCs w:val="21"/>
              </w:rPr>
              <w:t>Garrulax canorus</w:t>
            </w:r>
          </w:p>
        </w:tc>
        <w:tc>
          <w:tcPr>
            <w:tcW w:w="928"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R</w:t>
            </w:r>
          </w:p>
        </w:tc>
        <w:tc>
          <w:tcPr>
            <w:tcW w:w="2874"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芦苇、水草丰富的大型湖泊、水库等</w:t>
            </w:r>
          </w:p>
        </w:tc>
        <w:tc>
          <w:tcPr>
            <w:tcW w:w="555"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w:t>
            </w:r>
          </w:p>
        </w:tc>
        <w:tc>
          <w:tcPr>
            <w:tcW w:w="636"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Ⅱ</w:t>
            </w:r>
          </w:p>
        </w:tc>
        <w:tc>
          <w:tcPr>
            <w:tcW w:w="782" w:type="dxa"/>
            <w:vAlign w:val="center"/>
          </w:tcPr>
          <w:p w:rsidR="00BD5820" w:rsidRDefault="00F64314">
            <w:pPr>
              <w:widowControl/>
              <w:topLinePunct w:val="0"/>
              <w:adjustRightInd/>
              <w:spacing w:line="240" w:lineRule="auto"/>
              <w:ind w:firstLineChars="0" w:firstLine="0"/>
              <w:jc w:val="center"/>
              <w:textAlignment w:val="bottom"/>
              <w:rPr>
                <w:rFonts w:ascii="Times New Roman" w:cs="Times New Roman"/>
                <w:sz w:val="21"/>
                <w:szCs w:val="21"/>
              </w:rPr>
            </w:pPr>
            <w:r>
              <w:rPr>
                <w:rFonts w:ascii="Times New Roman" w:cs="Times New Roman"/>
                <w:sz w:val="21"/>
                <w:szCs w:val="21"/>
              </w:rPr>
              <w:t>资料</w:t>
            </w:r>
          </w:p>
        </w:tc>
      </w:tr>
    </w:tbl>
    <w:p w:rsidR="00BD5820" w:rsidRDefault="00F64314">
      <w:pPr>
        <w:topLinePunct w:val="0"/>
        <w:snapToGrid w:val="0"/>
        <w:ind w:firstLineChars="0" w:firstLine="0"/>
        <w:rPr>
          <w:rFonts w:ascii="Times New Roman" w:cs="Times New Roman"/>
          <w:kern w:val="2"/>
        </w:rPr>
      </w:pPr>
      <w:r>
        <w:rPr>
          <w:rFonts w:ascii="Times New Roman" w:cs="Times New Roman"/>
          <w:spacing w:val="-8"/>
          <w:sz w:val="21"/>
          <w:szCs w:val="21"/>
        </w:rPr>
        <w:t>注：居留</w:t>
      </w:r>
      <w:r>
        <w:rPr>
          <w:rFonts w:ascii="Times New Roman" w:cs="Times New Roman"/>
          <w:spacing w:val="-7"/>
          <w:sz w:val="21"/>
          <w:szCs w:val="21"/>
        </w:rPr>
        <w:t>型</w:t>
      </w:r>
      <w:r>
        <w:rPr>
          <w:rFonts w:ascii="Times New Roman" w:cs="Times New Roman"/>
          <w:spacing w:val="-4"/>
          <w:sz w:val="21"/>
          <w:szCs w:val="21"/>
        </w:rPr>
        <w:t>：</w:t>
      </w:r>
      <w:r>
        <w:rPr>
          <w:rFonts w:ascii="Times New Roman" w:cs="Times New Roman"/>
          <w:spacing w:val="-4"/>
          <w:sz w:val="21"/>
          <w:szCs w:val="21"/>
        </w:rPr>
        <w:t>R-</w:t>
      </w:r>
      <w:r>
        <w:rPr>
          <w:rFonts w:ascii="Times New Roman" w:cs="Times New Roman"/>
          <w:spacing w:val="-4"/>
          <w:sz w:val="21"/>
          <w:szCs w:val="21"/>
        </w:rPr>
        <w:t>留鸟，</w:t>
      </w:r>
      <w:r>
        <w:rPr>
          <w:rFonts w:ascii="Times New Roman" w:cs="Times New Roman"/>
          <w:spacing w:val="-4"/>
          <w:sz w:val="21"/>
          <w:szCs w:val="21"/>
        </w:rPr>
        <w:t>S-</w:t>
      </w:r>
      <w:r>
        <w:rPr>
          <w:rFonts w:ascii="Times New Roman" w:cs="Times New Roman"/>
          <w:spacing w:val="-4"/>
          <w:sz w:val="21"/>
          <w:szCs w:val="21"/>
        </w:rPr>
        <w:t>夏候鸟，</w:t>
      </w:r>
      <w:r>
        <w:rPr>
          <w:rFonts w:ascii="Times New Roman" w:cs="Times New Roman"/>
          <w:spacing w:val="-4"/>
          <w:sz w:val="21"/>
          <w:szCs w:val="21"/>
        </w:rPr>
        <w:t>W-</w:t>
      </w:r>
      <w:r>
        <w:rPr>
          <w:rFonts w:ascii="Times New Roman" w:cs="Times New Roman"/>
          <w:spacing w:val="-4"/>
          <w:sz w:val="21"/>
          <w:szCs w:val="21"/>
        </w:rPr>
        <w:t>冬候鸟，</w:t>
      </w:r>
      <w:r>
        <w:rPr>
          <w:rFonts w:ascii="Times New Roman" w:cs="Times New Roman"/>
          <w:spacing w:val="-4"/>
          <w:sz w:val="21"/>
          <w:szCs w:val="21"/>
        </w:rPr>
        <w:t>P-</w:t>
      </w:r>
      <w:r>
        <w:rPr>
          <w:rFonts w:ascii="Times New Roman" w:cs="Times New Roman"/>
          <w:spacing w:val="-4"/>
          <w:sz w:val="21"/>
          <w:szCs w:val="21"/>
        </w:rPr>
        <w:t>旅鸟。数量：</w:t>
      </w:r>
      <w:r>
        <w:rPr>
          <w:rFonts w:ascii="Times New Roman" w:cs="Times New Roman"/>
          <w:spacing w:val="-4"/>
          <w:sz w:val="21"/>
          <w:szCs w:val="21"/>
        </w:rPr>
        <w:t>“+++”</w:t>
      </w:r>
      <w:r>
        <w:rPr>
          <w:rFonts w:ascii="Times New Roman" w:cs="Times New Roman"/>
          <w:spacing w:val="-4"/>
          <w:sz w:val="21"/>
          <w:szCs w:val="21"/>
        </w:rPr>
        <w:t>优势种，</w:t>
      </w:r>
      <w:r>
        <w:rPr>
          <w:rFonts w:ascii="Times New Roman" w:cs="Times New Roman"/>
          <w:spacing w:val="-4"/>
          <w:sz w:val="21"/>
          <w:szCs w:val="21"/>
        </w:rPr>
        <w:t>“++”</w:t>
      </w:r>
      <w:r>
        <w:rPr>
          <w:rFonts w:ascii="Times New Roman" w:cs="Times New Roman"/>
          <w:spacing w:val="-4"/>
          <w:sz w:val="21"/>
          <w:szCs w:val="21"/>
        </w:rPr>
        <w:t>常见种，</w:t>
      </w:r>
      <w:r>
        <w:rPr>
          <w:rFonts w:ascii="Times New Roman" w:cs="Times New Roman"/>
          <w:spacing w:val="-4"/>
          <w:sz w:val="21"/>
          <w:szCs w:val="21"/>
        </w:rPr>
        <w:t>“+”</w:t>
      </w:r>
      <w:r>
        <w:rPr>
          <w:rFonts w:ascii="Times New Roman" w:cs="Times New Roman"/>
          <w:spacing w:val="-4"/>
          <w:sz w:val="21"/>
          <w:szCs w:val="21"/>
        </w:rPr>
        <w:t>数量较少，</w:t>
      </w:r>
      <w:r>
        <w:rPr>
          <w:rFonts w:ascii="Times New Roman" w:cs="Times New Roman"/>
          <w:spacing w:val="-4"/>
          <w:sz w:val="21"/>
          <w:szCs w:val="21"/>
        </w:rPr>
        <w:t>“-”</w:t>
      </w:r>
      <w:r>
        <w:rPr>
          <w:rFonts w:ascii="Times New Roman" w:cs="Times New Roman"/>
          <w:spacing w:val="-4"/>
          <w:sz w:val="21"/>
          <w:szCs w:val="21"/>
        </w:rPr>
        <w:t>稀少（偶见）</w:t>
      </w:r>
      <w:r>
        <w:rPr>
          <w:rFonts w:ascii="Times New Roman" w:cs="Times New Roman"/>
          <w:sz w:val="21"/>
          <w:szCs w:val="21"/>
        </w:rPr>
        <w:t>。</w:t>
      </w:r>
    </w:p>
    <w:p w:rsidR="00BD5820" w:rsidRDefault="00F64314">
      <w:pPr>
        <w:topLinePunct w:val="0"/>
        <w:adjustRightInd/>
        <w:spacing w:line="500" w:lineRule="exact"/>
        <w:ind w:left="60" w:right="100" w:firstLineChars="0" w:firstLine="482"/>
        <w:rPr>
          <w:rFonts w:ascii="Times New Roman" w:cs="Times New Roman"/>
          <w:kern w:val="2"/>
        </w:rPr>
      </w:pPr>
      <w:r>
        <w:rPr>
          <w:rFonts w:ascii="Times New Roman" w:cs="Times New Roman"/>
          <w:kern w:val="2"/>
        </w:rPr>
        <w:t>重点保护鸟类及其栖息地状况</w:t>
      </w:r>
    </w:p>
    <w:p w:rsidR="00BD5820" w:rsidRDefault="00F64314">
      <w:pPr>
        <w:topLinePunct w:val="0"/>
        <w:adjustRightInd/>
        <w:spacing w:line="500" w:lineRule="exact"/>
        <w:ind w:left="60" w:right="100" w:firstLineChars="0" w:firstLine="482"/>
        <w:rPr>
          <w:rFonts w:ascii="Times New Roman" w:cs="Times New Roman"/>
          <w:kern w:val="2"/>
        </w:rPr>
      </w:pPr>
      <w:r>
        <w:rPr>
          <w:rFonts w:hAnsi="宋体" w:hint="eastAsia"/>
          <w:kern w:val="2"/>
        </w:rPr>
        <w:t>①</w:t>
      </w:r>
      <w:r>
        <w:rPr>
          <w:rFonts w:ascii="Times New Roman" w:cs="Times New Roman"/>
          <w:kern w:val="2"/>
        </w:rPr>
        <w:t>雀鹰</w:t>
      </w:r>
      <w:r>
        <w:rPr>
          <w:rFonts w:ascii="Times New Roman" w:cs="Times New Roman"/>
          <w:i/>
          <w:iCs/>
          <w:kern w:val="2"/>
        </w:rPr>
        <w:t>Accipiter nisus</w:t>
      </w:r>
    </w:p>
    <w:p w:rsidR="00BD5820" w:rsidRDefault="00F64314">
      <w:pPr>
        <w:topLinePunct w:val="0"/>
        <w:adjustRightInd/>
        <w:spacing w:line="500" w:lineRule="exact"/>
        <w:ind w:left="60" w:right="100" w:firstLineChars="0" w:firstLine="482"/>
        <w:rPr>
          <w:rFonts w:ascii="Times New Roman" w:cs="Times New Roman"/>
          <w:kern w:val="2"/>
        </w:rPr>
      </w:pPr>
      <w:bookmarkStart w:id="339" w:name="OLE_LINK9"/>
      <w:r>
        <w:rPr>
          <w:rFonts w:ascii="Times New Roman" w:cs="Times New Roman"/>
          <w:kern w:val="2"/>
        </w:rPr>
        <w:t>雀鹰</w:t>
      </w:r>
      <w:bookmarkEnd w:id="339"/>
      <w:r>
        <w:rPr>
          <w:rFonts w:ascii="Times New Roman" w:cs="Times New Roman" w:hint="eastAsia"/>
          <w:kern w:val="2"/>
        </w:rPr>
        <w:t>（</w:t>
      </w:r>
      <w:r>
        <w:rPr>
          <w:rFonts w:ascii="Times New Roman" w:cs="Times New Roman"/>
          <w:kern w:val="2"/>
        </w:rPr>
        <w:t>学名：</w:t>
      </w:r>
      <w:r>
        <w:rPr>
          <w:rFonts w:ascii="Times New Roman" w:cs="Times New Roman"/>
          <w:kern w:val="2"/>
        </w:rPr>
        <w:t>Accipiter nisus</w:t>
      </w:r>
      <w:r>
        <w:rPr>
          <w:rFonts w:ascii="Times New Roman" w:cs="Times New Roman" w:hint="eastAsia"/>
          <w:kern w:val="2"/>
        </w:rPr>
        <w:t>）</w:t>
      </w:r>
      <w:r>
        <w:rPr>
          <w:rFonts w:ascii="Times New Roman" w:cs="Times New Roman"/>
          <w:kern w:val="2"/>
        </w:rPr>
        <w:t>属小型猛禽，为中国国家二级保护动物，体</w:t>
      </w:r>
      <w:r>
        <w:rPr>
          <w:rFonts w:ascii="Times New Roman" w:cs="Times New Roman"/>
          <w:kern w:val="2"/>
        </w:rPr>
        <w:lastRenderedPageBreak/>
        <w:t>长</w:t>
      </w:r>
      <w:r>
        <w:rPr>
          <w:rFonts w:ascii="Times New Roman" w:cs="Times New Roman"/>
          <w:kern w:val="2"/>
        </w:rPr>
        <w:t>30-41</w:t>
      </w:r>
      <w:r>
        <w:rPr>
          <w:rFonts w:ascii="Times New Roman" w:cs="Times New Roman"/>
          <w:kern w:val="2"/>
        </w:rPr>
        <w:t>厘米。雌较雄略大，翅阔而圆，尾较长。雄鸟上体暗灰色，雌鸟灰褐色，头后杂有少许白色。下体白色或淡灰白色，雄鸟具细密的红褐色横斑，雌鸟具褐色横斑。尾具</w:t>
      </w:r>
      <w:r>
        <w:rPr>
          <w:rFonts w:ascii="Times New Roman" w:cs="Times New Roman"/>
          <w:kern w:val="2"/>
        </w:rPr>
        <w:t>4-5</w:t>
      </w:r>
      <w:r>
        <w:rPr>
          <w:rFonts w:ascii="Times New Roman" w:cs="Times New Roman"/>
          <w:kern w:val="2"/>
        </w:rPr>
        <w:t>道黑褐色横斑，飞翔时翼后缘略为突出，翼下飞羽具数道黑褐色横带，通常快速鼓动两翅飞一阵后接着又滑翔一会。栖息于针叶林、混交林、阔叶林等山地森林和林缘地带。日出性。常单独生活。或飞翔于空中，或栖于树上和电柱上。以雀形目小鸟、昆虫和鼠类为食，也捕食鸽形目鸟类和榛鸡等小的鸡形目鸟类，有时亦捕食野兔、蛇、昆虫幼虫。</w:t>
      </w:r>
    </w:p>
    <w:p w:rsidR="00BD5820" w:rsidRDefault="00F64314">
      <w:pPr>
        <w:topLinePunct w:val="0"/>
        <w:adjustRightInd/>
        <w:spacing w:line="500" w:lineRule="exact"/>
        <w:ind w:left="60" w:right="100" w:firstLineChars="0" w:firstLine="482"/>
        <w:rPr>
          <w:rFonts w:ascii="Times New Roman" w:cs="Times New Roman"/>
          <w:kern w:val="2"/>
        </w:rPr>
      </w:pPr>
      <w:r>
        <w:rPr>
          <w:rFonts w:ascii="Times New Roman" w:cs="Times New Roman"/>
          <w:kern w:val="2"/>
        </w:rPr>
        <w:t>雀鹰的分布广泛，数量较多，特别是捕食大量的鼠类和害虫，对于农业、林业和牧业均十分有益，对维持生态平衡也起到了积极的作用。</w:t>
      </w:r>
    </w:p>
    <w:p w:rsidR="00BD5820" w:rsidRDefault="00F64314">
      <w:pPr>
        <w:topLinePunct w:val="0"/>
        <w:snapToGrid w:val="0"/>
        <w:spacing w:line="500" w:lineRule="exact"/>
        <w:ind w:firstLineChars="0" w:firstLine="482"/>
        <w:rPr>
          <w:rFonts w:ascii="Times New Roman" w:cs="Times New Roman"/>
          <w:kern w:val="2"/>
        </w:rPr>
      </w:pPr>
      <w:r>
        <w:rPr>
          <w:rFonts w:hAnsi="宋体" w:hint="eastAsia"/>
          <w:kern w:val="2"/>
        </w:rPr>
        <w:t>②</w:t>
      </w:r>
      <w:bookmarkStart w:id="340" w:name="OLE_LINK17"/>
      <w:bookmarkStart w:id="341" w:name="OLE_LINK15"/>
      <w:r>
        <w:rPr>
          <w:rFonts w:ascii="Times New Roman" w:cs="Times New Roman"/>
          <w:kern w:val="2"/>
        </w:rPr>
        <w:t>画眉</w:t>
      </w:r>
      <w:bookmarkEnd w:id="340"/>
      <w:bookmarkEnd w:id="341"/>
      <w:r>
        <w:rPr>
          <w:rFonts w:ascii="Times New Roman" w:cs="Times New Roman"/>
          <w:i/>
          <w:iCs/>
          <w:kern w:val="2"/>
        </w:rPr>
        <w:t>Garrulax canorus</w:t>
      </w:r>
    </w:p>
    <w:p w:rsidR="00BD5820" w:rsidRDefault="00F64314">
      <w:pPr>
        <w:topLinePunct w:val="0"/>
        <w:snapToGrid w:val="0"/>
        <w:spacing w:line="500" w:lineRule="exact"/>
        <w:ind w:firstLineChars="0" w:firstLine="482"/>
        <w:rPr>
          <w:rFonts w:ascii="Times New Roman" w:cs="Times New Roman"/>
          <w:kern w:val="2"/>
        </w:rPr>
      </w:pPr>
      <w:r>
        <w:rPr>
          <w:rFonts w:ascii="Times New Roman" w:cs="Times New Roman"/>
          <w:kern w:val="2"/>
        </w:rPr>
        <w:t>画眉鸟：是鸟纲、画眉科的中型鸟类。体长约</w:t>
      </w:r>
      <w:r>
        <w:rPr>
          <w:rFonts w:ascii="Times New Roman" w:cs="Times New Roman"/>
          <w:kern w:val="2"/>
        </w:rPr>
        <w:t>23</w:t>
      </w:r>
      <w:r>
        <w:rPr>
          <w:rFonts w:ascii="Times New Roman" w:cs="Times New Roman"/>
          <w:kern w:val="2"/>
        </w:rPr>
        <w:t>厘米。上体橄榄色，头顶至上背棕褐色具黑色纵纹，眼圈白色，并沿上缘形成一窄纹向后延伸至枕侧，形成清晰的眉纹，极为醒目。下体棕黄色，喉至上胸杂有黑色纵纹，腹中部灰色。虹膜橙黄色或黄色，上嘴橘色，下嘴橄榄黄色，跗蹠和趾黄褐色或浅角色。</w:t>
      </w:r>
    </w:p>
    <w:p w:rsidR="00BD5820" w:rsidRDefault="00F64314">
      <w:pPr>
        <w:topLinePunct w:val="0"/>
        <w:snapToGrid w:val="0"/>
        <w:spacing w:line="500" w:lineRule="exact"/>
        <w:ind w:firstLine="480"/>
        <w:rPr>
          <w:rFonts w:ascii="Times New Roman" w:cs="Times New Roman"/>
          <w:kern w:val="2"/>
        </w:rPr>
      </w:pPr>
      <w:r>
        <w:rPr>
          <w:rFonts w:ascii="Times New Roman" w:cs="Times New Roman"/>
          <w:kern w:val="2"/>
        </w:rPr>
        <w:t>栖息于山丘的灌丛和村落附近的灌丛或竹林中，机敏而胆怯，常在林下的草丛中觅食，不善作远距离飞翔。雄鸟在繁殖期常单独藏匿在杂草及树枝间极善鸣啭，声音十分洪亮，歌声悠扬婉转，非常动听。杂食性，主要取食昆虫，特别在繁殖季节嗜食昆虫；兼食草籽、野果。</w:t>
      </w:r>
    </w:p>
    <w:tbl>
      <w:tblPr>
        <w:tblW w:w="8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369"/>
        <w:gridCol w:w="4412"/>
      </w:tblGrid>
      <w:tr w:rsidR="00BD5820">
        <w:trPr>
          <w:jc w:val="center"/>
        </w:trPr>
        <w:tc>
          <w:tcPr>
            <w:tcW w:w="4369" w:type="dxa"/>
          </w:tcPr>
          <w:p w:rsidR="00BD5820" w:rsidRDefault="00F64314">
            <w:pPr>
              <w:pStyle w:val="Default"/>
              <w:jc w:val="center"/>
              <w:rPr>
                <w:rFonts w:ascii="Times New Roman" w:hAnsi="Times New Roman" w:cs="Times New Roman"/>
                <w:color w:val="auto"/>
                <w:kern w:val="2"/>
              </w:rPr>
            </w:pPr>
            <w:r>
              <w:rPr>
                <w:rFonts w:ascii="Times New Roman" w:hAnsi="Times New Roman" w:cs="Times New Roman"/>
                <w:noProof/>
                <w:color w:val="auto"/>
                <w:kern w:val="2"/>
              </w:rPr>
              <w:drawing>
                <wp:inline distT="0" distB="0" distL="0" distR="0">
                  <wp:extent cx="1809750" cy="2694305"/>
                  <wp:effectExtent l="19050" t="0" r="0" b="0"/>
                  <wp:docPr id="36" name="图片 24" descr="C:\Users\HUANG\Documents\WeChat Files\wxid_f0asumrra2c221\FileStorage\Temp\1658991435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4" descr="C:\Users\HUANG\Documents\WeChat Files\wxid_f0asumrra2c221\FileStorage\Temp\1658991435942.jpg"/>
                          <pic:cNvPicPr>
                            <a:picLocks noChangeAspect="1" noChangeArrowheads="1"/>
                          </pic:cNvPicPr>
                        </pic:nvPicPr>
                        <pic:blipFill>
                          <a:blip r:embed="rId70" cstate="print"/>
                          <a:srcRect/>
                          <a:stretch>
                            <a:fillRect/>
                          </a:stretch>
                        </pic:blipFill>
                        <pic:spPr>
                          <a:xfrm>
                            <a:off x="0" y="0"/>
                            <a:ext cx="1810727" cy="2696388"/>
                          </a:xfrm>
                          <a:prstGeom prst="rect">
                            <a:avLst/>
                          </a:prstGeom>
                          <a:noFill/>
                          <a:ln w="9525">
                            <a:noFill/>
                            <a:miter lim="800000"/>
                            <a:headEnd/>
                            <a:tailEnd/>
                          </a:ln>
                        </pic:spPr>
                      </pic:pic>
                    </a:graphicData>
                  </a:graphic>
                </wp:inline>
              </w:drawing>
            </w:r>
          </w:p>
        </w:tc>
        <w:tc>
          <w:tcPr>
            <w:tcW w:w="4412" w:type="dxa"/>
          </w:tcPr>
          <w:p w:rsidR="00BD5820" w:rsidRDefault="00F64314">
            <w:pPr>
              <w:pStyle w:val="Default"/>
              <w:jc w:val="center"/>
              <w:rPr>
                <w:rFonts w:ascii="Times New Roman" w:hAnsi="Times New Roman" w:cs="Times New Roman"/>
                <w:color w:val="auto"/>
                <w:kern w:val="2"/>
              </w:rPr>
            </w:pPr>
            <w:r>
              <w:rPr>
                <w:rFonts w:ascii="Times New Roman" w:hAnsi="Times New Roman" w:cs="Times New Roman"/>
                <w:noProof/>
                <w:color w:val="auto"/>
                <w:kern w:val="2"/>
              </w:rPr>
              <w:drawing>
                <wp:inline distT="0" distB="0" distL="0" distR="0">
                  <wp:extent cx="1828165" cy="2647315"/>
                  <wp:effectExtent l="19050" t="0" r="577" b="0"/>
                  <wp:docPr id="35" name="图片 23" descr="C:\Users\HUANG\Documents\WeChat Files\wxid_f0asumrra2c221\FileStorage\Temp\1658991418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3" descr="C:\Users\HUANG\Documents\WeChat Files\wxid_f0asumrra2c221\FileStorage\Temp\1658991418943.jpg"/>
                          <pic:cNvPicPr>
                            <a:picLocks noChangeAspect="1" noChangeArrowheads="1"/>
                          </pic:cNvPicPr>
                        </pic:nvPicPr>
                        <pic:blipFill>
                          <a:blip r:embed="rId71" cstate="print"/>
                          <a:srcRect/>
                          <a:stretch>
                            <a:fillRect/>
                          </a:stretch>
                        </pic:blipFill>
                        <pic:spPr>
                          <a:xfrm>
                            <a:off x="0" y="0"/>
                            <a:ext cx="1831520" cy="2652724"/>
                          </a:xfrm>
                          <a:prstGeom prst="rect">
                            <a:avLst/>
                          </a:prstGeom>
                          <a:noFill/>
                          <a:ln w="9525">
                            <a:noFill/>
                            <a:miter lim="800000"/>
                            <a:headEnd/>
                            <a:tailEnd/>
                          </a:ln>
                        </pic:spPr>
                      </pic:pic>
                    </a:graphicData>
                  </a:graphic>
                </wp:inline>
              </w:drawing>
            </w:r>
          </w:p>
        </w:tc>
      </w:tr>
      <w:tr w:rsidR="00BD5820">
        <w:trPr>
          <w:jc w:val="center"/>
        </w:trPr>
        <w:tc>
          <w:tcPr>
            <w:tcW w:w="4369" w:type="dxa"/>
          </w:tcPr>
          <w:p w:rsidR="00BD5820" w:rsidRDefault="00F64314">
            <w:pPr>
              <w:pStyle w:val="Default"/>
              <w:jc w:val="center"/>
              <w:rPr>
                <w:rFonts w:ascii="Times New Roman" w:hAnsi="Times New Roman" w:cs="Times New Roman"/>
                <w:color w:val="auto"/>
                <w:kern w:val="2"/>
                <w:sz w:val="21"/>
                <w:szCs w:val="21"/>
              </w:rPr>
            </w:pPr>
            <w:r>
              <w:rPr>
                <w:rFonts w:hAnsi="Times New Roman" w:hint="eastAsia"/>
                <w:color w:val="auto"/>
                <w:kern w:val="2"/>
                <w:sz w:val="21"/>
                <w:szCs w:val="21"/>
              </w:rPr>
              <w:t>雀鹰</w:t>
            </w:r>
          </w:p>
        </w:tc>
        <w:tc>
          <w:tcPr>
            <w:tcW w:w="4412" w:type="dxa"/>
          </w:tcPr>
          <w:p w:rsidR="00BD5820" w:rsidRDefault="00F64314">
            <w:pPr>
              <w:pStyle w:val="Default"/>
              <w:jc w:val="center"/>
              <w:rPr>
                <w:rFonts w:ascii="Times New Roman" w:hAnsi="Times New Roman" w:cs="Times New Roman"/>
                <w:color w:val="auto"/>
                <w:kern w:val="2"/>
                <w:sz w:val="21"/>
                <w:szCs w:val="21"/>
              </w:rPr>
            </w:pPr>
            <w:r>
              <w:rPr>
                <w:rFonts w:hAnsi="Times New Roman" w:hint="eastAsia"/>
                <w:color w:val="auto"/>
                <w:kern w:val="2"/>
                <w:sz w:val="21"/>
                <w:szCs w:val="21"/>
              </w:rPr>
              <w:t>画眉</w:t>
            </w:r>
          </w:p>
        </w:tc>
      </w:tr>
    </w:tbl>
    <w:p w:rsidR="00BD5820" w:rsidRDefault="00F64314">
      <w:pPr>
        <w:pStyle w:val="3"/>
        <w:rPr>
          <w:rFonts w:eastAsia="宋体"/>
        </w:rPr>
      </w:pPr>
      <w:r>
        <w:rPr>
          <w:rFonts w:eastAsia="宋体"/>
        </w:rPr>
        <w:lastRenderedPageBreak/>
        <w:t>5.2.</w:t>
      </w:r>
      <w:r>
        <w:rPr>
          <w:rFonts w:eastAsia="宋体" w:hint="eastAsia"/>
        </w:rPr>
        <w:t>11</w:t>
      </w:r>
      <w:r>
        <w:rPr>
          <w:rFonts w:eastAsia="宋体"/>
          <w:bCs/>
        </w:rPr>
        <w:t>物种多样性分析</w:t>
      </w:r>
    </w:p>
    <w:p w:rsidR="00BD5820" w:rsidRDefault="00F64314">
      <w:pPr>
        <w:topLinePunct w:val="0"/>
        <w:snapToGrid w:val="0"/>
        <w:ind w:firstLine="480"/>
        <w:rPr>
          <w:rFonts w:ascii="Times New Roman" w:cs="Times New Roman"/>
          <w:kern w:val="2"/>
        </w:rPr>
      </w:pPr>
      <w:r>
        <w:rPr>
          <w:rFonts w:ascii="Times New Roman" w:cs="Times New Roman"/>
        </w:rPr>
        <w:t>项目用地范围植被类型主要有</w:t>
      </w:r>
      <w:r>
        <w:rPr>
          <w:rFonts w:ascii="Times New Roman" w:cs="Times New Roman" w:hint="eastAsia"/>
        </w:rPr>
        <w:t>马尾松、柏木</w:t>
      </w:r>
      <w:r>
        <w:rPr>
          <w:rFonts w:ascii="Times New Roman" w:cs="Times New Roman"/>
        </w:rPr>
        <w:t>等针叶林植被和</w:t>
      </w:r>
      <w:r>
        <w:rPr>
          <w:rFonts w:ascii="Times New Roman" w:cs="Times New Roman" w:hint="eastAsia"/>
        </w:rPr>
        <w:t>麻栎、青冈、栓皮栎、枫香、响叶杨</w:t>
      </w:r>
      <w:r>
        <w:rPr>
          <w:rFonts w:ascii="Times New Roman" w:cs="Times New Roman"/>
        </w:rPr>
        <w:t>等阔叶林植被以及</w:t>
      </w:r>
      <w:r>
        <w:rPr>
          <w:rFonts w:ascii="Times New Roman" w:cs="Times New Roman" w:hint="eastAsia"/>
        </w:rPr>
        <w:t>槲栎、马桑、黄荆、火棘、荚蒾、盐肤木</w:t>
      </w:r>
      <w:r>
        <w:rPr>
          <w:rFonts w:ascii="Times New Roman" w:cs="Times New Roman"/>
        </w:rPr>
        <w:t>、</w:t>
      </w:r>
      <w:r>
        <w:rPr>
          <w:rFonts w:ascii="Times New Roman" w:cs="Times New Roman" w:hint="eastAsia"/>
        </w:rPr>
        <w:t>白茅、五节芒、芒、芒萁、野古草、斑茅、蕨</w:t>
      </w:r>
      <w:r>
        <w:rPr>
          <w:rFonts w:ascii="Times New Roman" w:cs="Times New Roman"/>
        </w:rPr>
        <w:t>等为主的灌草丛植被，群落结构和组成相对</w:t>
      </w:r>
      <w:r>
        <w:rPr>
          <w:rFonts w:ascii="Times New Roman" w:cs="Times New Roman" w:hint="eastAsia"/>
        </w:rPr>
        <w:t>复杂</w:t>
      </w:r>
      <w:r>
        <w:rPr>
          <w:rFonts w:ascii="Times New Roman" w:cs="Times New Roman"/>
        </w:rPr>
        <w:t>，且均为当地常见类型，分布较广。人类活动对当地野生动物影响较大，野生动物组成比较简单，种类较少，多为鸟类和小型啮齿类动物，物种多样性较简单。</w:t>
      </w:r>
    </w:p>
    <w:p w:rsidR="00BD5820" w:rsidRDefault="00F64314">
      <w:pPr>
        <w:pStyle w:val="2"/>
        <w:spacing w:before="120"/>
        <w:rPr>
          <w:rFonts w:cs="Times New Roman"/>
        </w:rPr>
      </w:pPr>
      <w:bookmarkStart w:id="342" w:name="_Toc21086"/>
      <w:r>
        <w:rPr>
          <w:rFonts w:cs="Times New Roman"/>
        </w:rPr>
        <w:t xml:space="preserve">5.3 </w:t>
      </w:r>
      <w:r>
        <w:rPr>
          <w:rFonts w:cs="Times New Roman"/>
        </w:rPr>
        <w:t>环境空气质量现状与评价</w:t>
      </w:r>
      <w:bookmarkEnd w:id="331"/>
      <w:bookmarkEnd w:id="332"/>
      <w:bookmarkEnd w:id="342"/>
    </w:p>
    <w:p w:rsidR="00BD5820" w:rsidRDefault="00F64314">
      <w:pPr>
        <w:pStyle w:val="affa"/>
        <w:ind w:firstLine="480"/>
      </w:pPr>
      <w:r>
        <w:t>本次评价采用了现场实测和资料复用相结合的方法。</w:t>
      </w:r>
    </w:p>
    <w:p w:rsidR="00BD5820" w:rsidRDefault="00F64314">
      <w:pPr>
        <w:pStyle w:val="affa"/>
        <w:ind w:firstLine="480"/>
      </w:pPr>
      <w:r>
        <w:t>根据项目工程特点和各工艺站场的具体情况，以项目涉及区域作为本项目大气环境质量现状调查、评价的对象。本评价对</w:t>
      </w:r>
      <w:r>
        <w:rPr>
          <w:rFonts w:hint="eastAsia"/>
        </w:rPr>
        <w:t>本项目站场</w:t>
      </w:r>
      <w:r>
        <w:t>所在地进行大气环境质量现状监测数据以及</w:t>
      </w:r>
      <w:r w:rsidRPr="006453D0">
        <w:rPr>
          <w:color w:val="FF0000"/>
        </w:rPr>
        <w:t>《</w:t>
      </w:r>
      <w:r w:rsidR="006453D0" w:rsidRPr="006453D0">
        <w:rPr>
          <w:color w:val="FF0000"/>
          <w:shd w:val="clear" w:color="auto" w:fill="FFFFFF"/>
        </w:rPr>
        <w:t>202</w:t>
      </w:r>
      <w:r w:rsidR="006453D0" w:rsidRPr="006453D0">
        <w:rPr>
          <w:rFonts w:hint="eastAsia"/>
          <w:color w:val="FF0000"/>
          <w:shd w:val="clear" w:color="auto" w:fill="FFFFFF"/>
        </w:rPr>
        <w:t>2</w:t>
      </w:r>
      <w:r w:rsidR="006453D0" w:rsidRPr="006453D0">
        <w:rPr>
          <w:color w:val="FF0000"/>
          <w:shd w:val="clear" w:color="auto" w:fill="FFFFFF"/>
        </w:rPr>
        <w:t>年</w:t>
      </w:r>
      <w:r w:rsidR="006453D0">
        <w:rPr>
          <w:rFonts w:hint="eastAsia"/>
          <w:color w:val="FF0000"/>
          <w:shd w:val="clear" w:color="auto" w:fill="FFFFFF"/>
        </w:rPr>
        <w:t>1~</w:t>
      </w:r>
      <w:r w:rsidR="006453D0" w:rsidRPr="006453D0">
        <w:rPr>
          <w:rFonts w:hint="eastAsia"/>
          <w:color w:val="FF0000"/>
          <w:shd w:val="clear" w:color="auto" w:fill="FFFFFF"/>
        </w:rPr>
        <w:t>12</w:t>
      </w:r>
      <w:r w:rsidR="006453D0" w:rsidRPr="006453D0">
        <w:rPr>
          <w:rFonts w:hint="eastAsia"/>
          <w:color w:val="FF0000"/>
          <w:shd w:val="clear" w:color="auto" w:fill="FFFFFF"/>
        </w:rPr>
        <w:t>月</w:t>
      </w:r>
      <w:r w:rsidR="006453D0" w:rsidRPr="006453D0">
        <w:rPr>
          <w:color w:val="FF0000"/>
          <w:shd w:val="clear" w:color="auto" w:fill="FFFFFF"/>
        </w:rPr>
        <w:t>达州市</w:t>
      </w:r>
      <w:r w:rsidR="006453D0" w:rsidRPr="006453D0">
        <w:rPr>
          <w:rFonts w:hint="eastAsia"/>
          <w:color w:val="FF0000"/>
          <w:shd w:val="clear" w:color="auto" w:fill="FFFFFF"/>
        </w:rPr>
        <w:t>各县（市、区）环境空气质量月报</w:t>
      </w:r>
      <w:r w:rsidRPr="006453D0">
        <w:rPr>
          <w:color w:val="FF0000"/>
        </w:rPr>
        <w:t>》</w:t>
      </w:r>
      <w:r>
        <w:t>环境空气质量公报数据。</w:t>
      </w:r>
    </w:p>
    <w:p w:rsidR="00BD5820" w:rsidRDefault="00F64314">
      <w:pPr>
        <w:pStyle w:val="a1"/>
        <w:ind w:firstLine="482"/>
        <w:rPr>
          <w:rFonts w:ascii="Times New Roman" w:cs="Times New Roman"/>
          <w:b/>
          <w:bCs/>
        </w:rPr>
      </w:pPr>
      <w:r>
        <w:rPr>
          <w:rFonts w:ascii="Times New Roman" w:cs="Times New Roman"/>
          <w:b/>
          <w:bCs/>
        </w:rPr>
        <w:t>1</w:t>
      </w:r>
      <w:r>
        <w:rPr>
          <w:rFonts w:ascii="Times New Roman" w:cs="Times New Roman"/>
          <w:b/>
          <w:bCs/>
        </w:rPr>
        <w:t>、达标判断</w:t>
      </w:r>
    </w:p>
    <w:p w:rsidR="00BD5820" w:rsidRDefault="00F64314">
      <w:pPr>
        <w:pStyle w:val="affa"/>
        <w:ind w:firstLine="480"/>
      </w:pPr>
      <w:r>
        <w:t>本项目位于达州市宣汉县，项目所在区环境空气功能分区为二类区。根据《环境影响评价技术导则</w:t>
      </w:r>
      <w:r>
        <w:t xml:space="preserve"> </w:t>
      </w:r>
      <w:r>
        <w:t>总纲》（</w:t>
      </w:r>
      <w:r>
        <w:t>HJ2.1-2016</w:t>
      </w:r>
      <w:r>
        <w:t>）与《环境影响评价技术导则</w:t>
      </w:r>
      <w:r>
        <w:t xml:space="preserve"> </w:t>
      </w:r>
      <w:r>
        <w:t>大气环境》（</w:t>
      </w:r>
      <w:r>
        <w:t>HJ2.2-2018</w:t>
      </w:r>
      <w:r>
        <w:t>）的要求，评价采用达州市</w:t>
      </w:r>
      <w:r>
        <w:rPr>
          <w:rFonts w:hint="eastAsia"/>
        </w:rPr>
        <w:t>生态环境</w:t>
      </w:r>
      <w:r>
        <w:t>局</w:t>
      </w:r>
      <w:r w:rsidR="002238C6" w:rsidRPr="002238C6">
        <w:rPr>
          <w:rFonts w:hint="eastAsia"/>
          <w:color w:val="FF0000"/>
        </w:rPr>
        <w:t>（</w:t>
      </w:r>
      <w:r w:rsidR="002238C6" w:rsidRPr="002238C6">
        <w:rPr>
          <w:color w:val="FF0000"/>
        </w:rPr>
        <w:t>http://sthjj.dazhou.gov.cn/</w:t>
      </w:r>
      <w:r w:rsidR="002238C6" w:rsidRPr="002238C6">
        <w:rPr>
          <w:rFonts w:hint="eastAsia"/>
          <w:color w:val="FF0000"/>
        </w:rPr>
        <w:t>）</w:t>
      </w:r>
      <w:r w:rsidRPr="002238C6">
        <w:rPr>
          <w:color w:val="FF0000"/>
        </w:rPr>
        <w:t>发布</w:t>
      </w:r>
      <w:r w:rsidR="006453D0" w:rsidRPr="002238C6">
        <w:rPr>
          <w:color w:val="FF0000"/>
        </w:rPr>
        <w:t>《</w:t>
      </w:r>
      <w:r w:rsidR="006453D0" w:rsidRPr="002238C6">
        <w:rPr>
          <w:color w:val="FF0000"/>
          <w:shd w:val="clear" w:color="auto" w:fill="FFFFFF"/>
        </w:rPr>
        <w:t>202</w:t>
      </w:r>
      <w:r w:rsidR="006453D0" w:rsidRPr="002238C6">
        <w:rPr>
          <w:rFonts w:hint="eastAsia"/>
          <w:color w:val="FF0000"/>
          <w:shd w:val="clear" w:color="auto" w:fill="FFFFFF"/>
        </w:rPr>
        <w:t>2</w:t>
      </w:r>
      <w:r w:rsidR="006453D0" w:rsidRPr="002238C6">
        <w:rPr>
          <w:color w:val="FF0000"/>
          <w:shd w:val="clear" w:color="auto" w:fill="FFFFFF"/>
        </w:rPr>
        <w:t>年</w:t>
      </w:r>
      <w:r w:rsidR="006453D0" w:rsidRPr="002238C6">
        <w:rPr>
          <w:rFonts w:hint="eastAsia"/>
          <w:color w:val="FF0000"/>
          <w:shd w:val="clear" w:color="auto" w:fill="FFFFFF"/>
        </w:rPr>
        <w:t>1~12</w:t>
      </w:r>
      <w:r w:rsidR="006453D0" w:rsidRPr="002238C6">
        <w:rPr>
          <w:rFonts w:hint="eastAsia"/>
          <w:color w:val="FF0000"/>
          <w:shd w:val="clear" w:color="auto" w:fill="FFFFFF"/>
        </w:rPr>
        <w:t>月</w:t>
      </w:r>
      <w:r w:rsidR="006453D0" w:rsidRPr="002238C6">
        <w:rPr>
          <w:color w:val="FF0000"/>
          <w:shd w:val="clear" w:color="auto" w:fill="FFFFFF"/>
        </w:rPr>
        <w:t>达州市</w:t>
      </w:r>
      <w:r w:rsidR="006453D0" w:rsidRPr="002238C6">
        <w:rPr>
          <w:rFonts w:hint="eastAsia"/>
          <w:color w:val="FF0000"/>
          <w:shd w:val="clear" w:color="auto" w:fill="FFFFFF"/>
        </w:rPr>
        <w:t>各县（市、区）环境空气质量月报</w:t>
      </w:r>
      <w:r w:rsidR="006453D0" w:rsidRPr="002238C6">
        <w:rPr>
          <w:color w:val="FF0000"/>
        </w:rPr>
        <w:t>》</w:t>
      </w:r>
      <w:r>
        <w:t>中的数据进行评价：</w:t>
      </w:r>
    </w:p>
    <w:p w:rsidR="00BD5820" w:rsidRPr="002238C6" w:rsidRDefault="00F64314">
      <w:pPr>
        <w:pStyle w:val="affa"/>
        <w:ind w:firstLine="480"/>
        <w:rPr>
          <w:color w:val="FF0000"/>
          <w:shd w:val="clear" w:color="auto" w:fill="FFFFFF"/>
        </w:rPr>
      </w:pPr>
      <w:r w:rsidRPr="002238C6">
        <w:rPr>
          <w:color w:val="FF0000"/>
        </w:rPr>
        <w:t>202</w:t>
      </w:r>
      <w:r w:rsidRPr="002238C6">
        <w:rPr>
          <w:rFonts w:hint="eastAsia"/>
          <w:color w:val="FF0000"/>
        </w:rPr>
        <w:t>2</w:t>
      </w:r>
      <w:r w:rsidRPr="002238C6">
        <w:rPr>
          <w:color w:val="FF0000"/>
        </w:rPr>
        <w:t>年</w:t>
      </w:r>
      <w:r w:rsidR="006453D0" w:rsidRPr="002238C6">
        <w:rPr>
          <w:rFonts w:hint="eastAsia"/>
          <w:color w:val="FF0000"/>
        </w:rPr>
        <w:t>，</w:t>
      </w:r>
      <w:r w:rsidRPr="002238C6">
        <w:rPr>
          <w:color w:val="FF0000"/>
          <w:shd w:val="clear" w:color="auto" w:fill="FFFFFF"/>
        </w:rPr>
        <w:t>万源市、宣汉县、高新区、开江县、通川区、渠县、达川区、大竹县环境空气质量达标率分别为</w:t>
      </w:r>
      <w:r w:rsidR="006453D0" w:rsidRPr="002238C6">
        <w:rPr>
          <w:rFonts w:hint="eastAsia"/>
          <w:color w:val="FF0000"/>
          <w:shd w:val="clear" w:color="auto" w:fill="FFFFFF"/>
        </w:rPr>
        <w:t>87.1~</w:t>
      </w:r>
      <w:r w:rsidR="002238C6" w:rsidRPr="002238C6">
        <w:rPr>
          <w:rFonts w:hint="eastAsia"/>
          <w:color w:val="FF0000"/>
          <w:shd w:val="clear" w:color="auto" w:fill="FFFFFF"/>
        </w:rPr>
        <w:t>100</w:t>
      </w:r>
      <w:r w:rsidRPr="002238C6">
        <w:rPr>
          <w:color w:val="FF0000"/>
          <w:shd w:val="clear" w:color="auto" w:fill="FFFFFF"/>
        </w:rPr>
        <w:t>%</w:t>
      </w:r>
      <w:r w:rsidRPr="002238C6">
        <w:rPr>
          <w:color w:val="FF0000"/>
          <w:shd w:val="clear" w:color="auto" w:fill="FFFFFF"/>
        </w:rPr>
        <w:t>、</w:t>
      </w:r>
      <w:r w:rsidRPr="002238C6">
        <w:rPr>
          <w:color w:val="FF0000"/>
          <w:shd w:val="clear" w:color="auto" w:fill="FFFFFF"/>
        </w:rPr>
        <w:t>83.9</w:t>
      </w:r>
      <w:r w:rsidR="002238C6" w:rsidRPr="002238C6">
        <w:rPr>
          <w:rFonts w:hint="eastAsia"/>
          <w:color w:val="FF0000"/>
          <w:shd w:val="clear" w:color="auto" w:fill="FFFFFF"/>
        </w:rPr>
        <w:t>~100</w:t>
      </w:r>
      <w:r w:rsidRPr="002238C6">
        <w:rPr>
          <w:color w:val="FF0000"/>
          <w:shd w:val="clear" w:color="auto" w:fill="FFFFFF"/>
        </w:rPr>
        <w:t>%</w:t>
      </w:r>
      <w:r w:rsidRPr="002238C6">
        <w:rPr>
          <w:color w:val="FF0000"/>
          <w:shd w:val="clear" w:color="auto" w:fill="FFFFFF"/>
        </w:rPr>
        <w:t>、</w:t>
      </w:r>
      <w:r w:rsidRPr="002238C6">
        <w:rPr>
          <w:color w:val="FF0000"/>
          <w:shd w:val="clear" w:color="auto" w:fill="FFFFFF"/>
        </w:rPr>
        <w:t>75.9</w:t>
      </w:r>
      <w:r w:rsidR="002238C6" w:rsidRPr="002238C6">
        <w:rPr>
          <w:rFonts w:hint="eastAsia"/>
          <w:color w:val="FF0000"/>
          <w:shd w:val="clear" w:color="auto" w:fill="FFFFFF"/>
        </w:rPr>
        <w:t>~96.8</w:t>
      </w:r>
      <w:r w:rsidRPr="002238C6">
        <w:rPr>
          <w:color w:val="FF0000"/>
          <w:shd w:val="clear" w:color="auto" w:fill="FFFFFF"/>
        </w:rPr>
        <w:t>%</w:t>
      </w:r>
      <w:r w:rsidRPr="002238C6">
        <w:rPr>
          <w:color w:val="FF0000"/>
          <w:shd w:val="clear" w:color="auto" w:fill="FFFFFF"/>
        </w:rPr>
        <w:t>、</w:t>
      </w:r>
      <w:r w:rsidR="002238C6" w:rsidRPr="002238C6">
        <w:rPr>
          <w:rFonts w:hint="eastAsia"/>
          <w:color w:val="FF0000"/>
          <w:shd w:val="clear" w:color="auto" w:fill="FFFFFF"/>
        </w:rPr>
        <w:t>66.7~100</w:t>
      </w:r>
      <w:r w:rsidRPr="002238C6">
        <w:rPr>
          <w:color w:val="FF0000"/>
          <w:shd w:val="clear" w:color="auto" w:fill="FFFFFF"/>
        </w:rPr>
        <w:t>%</w:t>
      </w:r>
      <w:r w:rsidRPr="002238C6">
        <w:rPr>
          <w:color w:val="FF0000"/>
          <w:shd w:val="clear" w:color="auto" w:fill="FFFFFF"/>
        </w:rPr>
        <w:t>、</w:t>
      </w:r>
      <w:r w:rsidR="002238C6" w:rsidRPr="002238C6">
        <w:rPr>
          <w:rFonts w:hint="eastAsia"/>
          <w:color w:val="FF0000"/>
          <w:shd w:val="clear" w:color="auto" w:fill="FFFFFF"/>
        </w:rPr>
        <w:t>66.7~100</w:t>
      </w:r>
      <w:r w:rsidRPr="002238C6">
        <w:rPr>
          <w:color w:val="FF0000"/>
          <w:shd w:val="clear" w:color="auto" w:fill="FFFFFF"/>
        </w:rPr>
        <w:t>%</w:t>
      </w:r>
      <w:r w:rsidRPr="002238C6">
        <w:rPr>
          <w:color w:val="FF0000"/>
          <w:shd w:val="clear" w:color="auto" w:fill="FFFFFF"/>
        </w:rPr>
        <w:t>、</w:t>
      </w:r>
      <w:r w:rsidRPr="002238C6">
        <w:rPr>
          <w:color w:val="FF0000"/>
          <w:shd w:val="clear" w:color="auto" w:fill="FFFFFF"/>
        </w:rPr>
        <w:t>64.5</w:t>
      </w:r>
      <w:r w:rsidR="002238C6" w:rsidRPr="002238C6">
        <w:rPr>
          <w:rFonts w:hint="eastAsia"/>
          <w:color w:val="FF0000"/>
          <w:shd w:val="clear" w:color="auto" w:fill="FFFFFF"/>
        </w:rPr>
        <w:t>~100</w:t>
      </w:r>
      <w:r w:rsidRPr="002238C6">
        <w:rPr>
          <w:color w:val="FF0000"/>
          <w:shd w:val="clear" w:color="auto" w:fill="FFFFFF"/>
        </w:rPr>
        <w:t>%</w:t>
      </w:r>
      <w:r w:rsidRPr="002238C6">
        <w:rPr>
          <w:color w:val="FF0000"/>
          <w:shd w:val="clear" w:color="auto" w:fill="FFFFFF"/>
        </w:rPr>
        <w:t>、</w:t>
      </w:r>
      <w:r w:rsidRPr="002238C6">
        <w:rPr>
          <w:color w:val="FF0000"/>
          <w:shd w:val="clear" w:color="auto" w:fill="FFFFFF"/>
        </w:rPr>
        <w:t>55.2</w:t>
      </w:r>
      <w:r w:rsidR="002238C6" w:rsidRPr="002238C6">
        <w:rPr>
          <w:rFonts w:hint="eastAsia"/>
          <w:color w:val="FF0000"/>
          <w:shd w:val="clear" w:color="auto" w:fill="FFFFFF"/>
        </w:rPr>
        <w:t>~100</w:t>
      </w:r>
      <w:r w:rsidRPr="002238C6">
        <w:rPr>
          <w:color w:val="FF0000"/>
          <w:shd w:val="clear" w:color="auto" w:fill="FFFFFF"/>
        </w:rPr>
        <w:t>%</w:t>
      </w:r>
      <w:r w:rsidRPr="002238C6">
        <w:rPr>
          <w:color w:val="FF0000"/>
          <w:shd w:val="clear" w:color="auto" w:fill="FFFFFF"/>
        </w:rPr>
        <w:t>、</w:t>
      </w:r>
      <w:r w:rsidRPr="002238C6">
        <w:rPr>
          <w:color w:val="FF0000"/>
          <w:shd w:val="clear" w:color="auto" w:fill="FFFFFF"/>
        </w:rPr>
        <w:t>54.8</w:t>
      </w:r>
      <w:r w:rsidR="002238C6" w:rsidRPr="002238C6">
        <w:rPr>
          <w:rFonts w:hint="eastAsia"/>
          <w:color w:val="FF0000"/>
          <w:shd w:val="clear" w:color="auto" w:fill="FFFFFF"/>
        </w:rPr>
        <w:t>~100</w:t>
      </w:r>
      <w:r w:rsidRPr="002238C6">
        <w:rPr>
          <w:color w:val="FF0000"/>
          <w:shd w:val="clear" w:color="auto" w:fill="FFFFFF"/>
        </w:rPr>
        <w:t>%</w:t>
      </w:r>
      <w:r w:rsidRPr="002238C6">
        <w:rPr>
          <w:color w:val="FF0000"/>
          <w:shd w:val="clear" w:color="auto" w:fill="FFFFFF"/>
        </w:rPr>
        <w:t>；各县（市）</w:t>
      </w:r>
      <w:r w:rsidRPr="002238C6">
        <w:rPr>
          <w:color w:val="FF0000"/>
          <w:shd w:val="clear" w:color="auto" w:fill="FFFFFF"/>
        </w:rPr>
        <w:t>SO</w:t>
      </w:r>
      <w:r w:rsidRPr="002238C6">
        <w:rPr>
          <w:color w:val="FF0000"/>
          <w:shd w:val="clear" w:color="auto" w:fill="FFFFFF"/>
          <w:vertAlign w:val="subscript"/>
        </w:rPr>
        <w:t>2</w:t>
      </w:r>
      <w:r w:rsidRPr="002238C6">
        <w:rPr>
          <w:color w:val="FF0000"/>
          <w:shd w:val="clear" w:color="auto" w:fill="FFFFFF"/>
        </w:rPr>
        <w:t>、</w:t>
      </w:r>
      <w:r w:rsidRPr="002238C6">
        <w:rPr>
          <w:color w:val="FF0000"/>
          <w:shd w:val="clear" w:color="auto" w:fill="FFFFFF"/>
        </w:rPr>
        <w:t>NO</w:t>
      </w:r>
      <w:r w:rsidRPr="002238C6">
        <w:rPr>
          <w:color w:val="FF0000"/>
          <w:shd w:val="clear" w:color="auto" w:fill="FFFFFF"/>
          <w:vertAlign w:val="subscript"/>
        </w:rPr>
        <w:t>2</w:t>
      </w:r>
      <w:r w:rsidRPr="002238C6">
        <w:rPr>
          <w:color w:val="FF0000"/>
          <w:shd w:val="clear" w:color="auto" w:fill="FFFFFF"/>
        </w:rPr>
        <w:t>、</w:t>
      </w:r>
      <w:r w:rsidRPr="002238C6">
        <w:rPr>
          <w:color w:val="FF0000"/>
          <w:shd w:val="clear" w:color="auto" w:fill="FFFFFF"/>
        </w:rPr>
        <w:t>PM</w:t>
      </w:r>
      <w:r w:rsidRPr="002238C6">
        <w:rPr>
          <w:color w:val="FF0000"/>
          <w:shd w:val="clear" w:color="auto" w:fill="FFFFFF"/>
          <w:vertAlign w:val="subscript"/>
        </w:rPr>
        <w:t>10</w:t>
      </w:r>
      <w:r w:rsidRPr="002238C6">
        <w:rPr>
          <w:color w:val="FF0000"/>
          <w:shd w:val="clear" w:color="auto" w:fill="FFFFFF"/>
        </w:rPr>
        <w:t>、</w:t>
      </w:r>
      <w:r w:rsidRPr="002238C6">
        <w:rPr>
          <w:color w:val="FF0000"/>
          <w:shd w:val="clear" w:color="auto" w:fill="FFFFFF"/>
        </w:rPr>
        <w:t>CO</w:t>
      </w:r>
      <w:r w:rsidRPr="002238C6">
        <w:rPr>
          <w:color w:val="FF0000"/>
          <w:shd w:val="clear" w:color="auto" w:fill="FFFFFF"/>
        </w:rPr>
        <w:t>、</w:t>
      </w:r>
      <w:r w:rsidRPr="002238C6">
        <w:rPr>
          <w:color w:val="FF0000"/>
          <w:shd w:val="clear" w:color="auto" w:fill="FFFFFF"/>
        </w:rPr>
        <w:t>O</w:t>
      </w:r>
      <w:r w:rsidRPr="002238C6">
        <w:rPr>
          <w:color w:val="FF0000"/>
          <w:shd w:val="clear" w:color="auto" w:fill="FFFFFF"/>
          <w:vertAlign w:val="subscript"/>
        </w:rPr>
        <w:t>3</w:t>
      </w:r>
      <w:r w:rsidRPr="002238C6">
        <w:rPr>
          <w:color w:val="FF0000"/>
          <w:shd w:val="clear" w:color="auto" w:fill="FFFFFF"/>
        </w:rPr>
        <w:t>和</w:t>
      </w:r>
      <w:r w:rsidRPr="002238C6">
        <w:rPr>
          <w:color w:val="FF0000"/>
          <w:shd w:val="clear" w:color="auto" w:fill="FFFFFF"/>
        </w:rPr>
        <w:t>PM</w:t>
      </w:r>
      <w:r w:rsidRPr="002238C6">
        <w:rPr>
          <w:color w:val="FF0000"/>
          <w:shd w:val="clear" w:color="auto" w:fill="FFFFFF"/>
          <w:vertAlign w:val="subscript"/>
        </w:rPr>
        <w:t>2.5</w:t>
      </w:r>
      <w:r w:rsidRPr="002238C6">
        <w:rPr>
          <w:color w:val="FF0000"/>
          <w:shd w:val="clear" w:color="auto" w:fill="FFFFFF"/>
        </w:rPr>
        <w:t>评价结果均达标。</w:t>
      </w:r>
    </w:p>
    <w:p w:rsidR="00BD5820" w:rsidRDefault="00F64314">
      <w:pPr>
        <w:pStyle w:val="affa"/>
        <w:ind w:firstLine="480"/>
      </w:pPr>
      <w:r>
        <w:t>综上可知，项目所在区</w:t>
      </w:r>
      <w:r>
        <w:rPr>
          <w:szCs w:val="24"/>
        </w:rPr>
        <w:t>SO</w:t>
      </w:r>
      <w:r>
        <w:rPr>
          <w:szCs w:val="24"/>
          <w:vertAlign w:val="subscript"/>
        </w:rPr>
        <w:t>2</w:t>
      </w:r>
      <w:r>
        <w:rPr>
          <w:szCs w:val="24"/>
        </w:rPr>
        <w:t>、</w:t>
      </w:r>
      <w:r>
        <w:rPr>
          <w:szCs w:val="24"/>
        </w:rPr>
        <w:t>NO</w:t>
      </w:r>
      <w:r>
        <w:rPr>
          <w:szCs w:val="24"/>
          <w:vertAlign w:val="subscript"/>
        </w:rPr>
        <w:t>2</w:t>
      </w:r>
      <w:r>
        <w:rPr>
          <w:szCs w:val="24"/>
        </w:rPr>
        <w:t>、</w:t>
      </w:r>
      <w:r>
        <w:rPr>
          <w:szCs w:val="24"/>
        </w:rPr>
        <w:t>PM</w:t>
      </w:r>
      <w:r>
        <w:rPr>
          <w:szCs w:val="24"/>
          <w:vertAlign w:val="subscript"/>
        </w:rPr>
        <w:t>10</w:t>
      </w:r>
      <w:r>
        <w:rPr>
          <w:szCs w:val="24"/>
        </w:rPr>
        <w:t>、</w:t>
      </w:r>
      <w:r>
        <w:rPr>
          <w:szCs w:val="24"/>
        </w:rPr>
        <w:t>CO</w:t>
      </w:r>
      <w:r>
        <w:rPr>
          <w:szCs w:val="24"/>
        </w:rPr>
        <w:t>、</w:t>
      </w:r>
      <w:r>
        <w:rPr>
          <w:szCs w:val="24"/>
        </w:rPr>
        <w:t>O</w:t>
      </w:r>
      <w:r>
        <w:rPr>
          <w:szCs w:val="24"/>
          <w:vertAlign w:val="subscript"/>
        </w:rPr>
        <w:t>3</w:t>
      </w:r>
      <w:r>
        <w:t>、</w:t>
      </w:r>
      <w:r>
        <w:rPr>
          <w:szCs w:val="24"/>
        </w:rPr>
        <w:t>PM</w:t>
      </w:r>
      <w:r>
        <w:rPr>
          <w:szCs w:val="24"/>
          <w:vertAlign w:val="subscript"/>
        </w:rPr>
        <w:t>2.5</w:t>
      </w:r>
      <w:r>
        <w:t>均达标，因此项目所在区判定为达标区。</w:t>
      </w:r>
    </w:p>
    <w:p w:rsidR="00BD5820" w:rsidRDefault="00F64314">
      <w:pPr>
        <w:pStyle w:val="affa"/>
        <w:ind w:firstLine="482"/>
        <w:rPr>
          <w:b/>
          <w:bCs/>
        </w:rPr>
      </w:pPr>
      <w:r>
        <w:rPr>
          <w:b/>
          <w:bCs/>
        </w:rPr>
        <w:t>2</w:t>
      </w:r>
      <w:r>
        <w:rPr>
          <w:b/>
          <w:bCs/>
        </w:rPr>
        <w:t>、特征污染物</w:t>
      </w:r>
    </w:p>
    <w:p w:rsidR="00BD5820" w:rsidRDefault="00F64314">
      <w:pPr>
        <w:pStyle w:val="affa"/>
        <w:ind w:firstLine="480"/>
      </w:pPr>
      <w:r>
        <w:t>（</w:t>
      </w:r>
      <w:r>
        <w:t>1</w:t>
      </w:r>
      <w:r>
        <w:t>）监测点布设</w:t>
      </w:r>
    </w:p>
    <w:p w:rsidR="00BD5820" w:rsidRDefault="00F64314">
      <w:pPr>
        <w:pStyle w:val="affa"/>
        <w:ind w:firstLine="480"/>
      </w:pPr>
      <w:r>
        <w:rPr>
          <w:rFonts w:hint="eastAsia"/>
        </w:rPr>
        <w:t>本次大气特征污染物委托四川省工业环境监测研究院于</w:t>
      </w:r>
      <w:r>
        <w:rPr>
          <w:rFonts w:hint="eastAsia"/>
        </w:rPr>
        <w:t>2023</w:t>
      </w:r>
      <w:r>
        <w:rPr>
          <w:rFonts w:hint="eastAsia"/>
        </w:rPr>
        <w:t>年</w:t>
      </w:r>
      <w:r>
        <w:rPr>
          <w:rFonts w:hint="eastAsia"/>
        </w:rPr>
        <w:t>7</w:t>
      </w:r>
      <w:r>
        <w:rPr>
          <w:rFonts w:hint="eastAsia"/>
        </w:rPr>
        <w:t>月</w:t>
      </w:r>
      <w:r>
        <w:rPr>
          <w:rFonts w:hint="eastAsia"/>
        </w:rPr>
        <w:t>5</w:t>
      </w:r>
      <w:r>
        <w:rPr>
          <w:rFonts w:hint="eastAsia"/>
        </w:rPr>
        <w:t>日</w:t>
      </w:r>
      <w:r>
        <w:rPr>
          <w:rFonts w:hint="eastAsia"/>
        </w:rPr>
        <w:t>~12</w:t>
      </w:r>
      <w:r>
        <w:rPr>
          <w:rFonts w:hint="eastAsia"/>
        </w:rPr>
        <w:t>日进行现状监测进行评价</w:t>
      </w:r>
      <w:r>
        <w:t>，共布设</w:t>
      </w:r>
      <w:r>
        <w:rPr>
          <w:rFonts w:hint="eastAsia"/>
        </w:rPr>
        <w:t>4</w:t>
      </w:r>
      <w:r>
        <w:t>个大气环境监测点，</w:t>
      </w:r>
      <w:bookmarkStart w:id="343" w:name="OLE_LINK16"/>
      <w:r>
        <w:rPr>
          <w:rFonts w:hint="eastAsia"/>
        </w:rPr>
        <w:t>分别为</w:t>
      </w:r>
      <w:bookmarkEnd w:id="343"/>
      <w:r>
        <w:rPr>
          <w:rFonts w:hint="eastAsia"/>
        </w:rPr>
        <w:t>：普光气田</w:t>
      </w:r>
      <w:r>
        <w:rPr>
          <w:rFonts w:hint="eastAsia"/>
        </w:rPr>
        <w:t>1#</w:t>
      </w:r>
      <w:r>
        <w:rPr>
          <w:rFonts w:hint="eastAsia"/>
        </w:rPr>
        <w:lastRenderedPageBreak/>
        <w:t>增压站所在地西南侧</w:t>
      </w:r>
      <w:r>
        <w:rPr>
          <w:rFonts w:hint="eastAsia"/>
        </w:rPr>
        <w:t>1#</w:t>
      </w:r>
      <w:r>
        <w:rPr>
          <w:rFonts w:hint="eastAsia"/>
        </w:rPr>
        <w:t>、</w:t>
      </w:r>
      <w:r>
        <w:rPr>
          <w:rFonts w:hint="eastAsia"/>
        </w:rPr>
        <w:t>P104</w:t>
      </w:r>
      <w:r>
        <w:rPr>
          <w:rFonts w:hint="eastAsia"/>
        </w:rPr>
        <w:t>集气站所在地西南侧</w:t>
      </w:r>
      <w:r>
        <w:rPr>
          <w:rFonts w:hint="eastAsia"/>
        </w:rPr>
        <w:t>2#</w:t>
      </w:r>
      <w:r>
        <w:rPr>
          <w:rFonts w:hint="eastAsia"/>
        </w:rPr>
        <w:t>、</w:t>
      </w:r>
      <w:r>
        <w:rPr>
          <w:rFonts w:hint="eastAsia"/>
        </w:rPr>
        <w:t>P106</w:t>
      </w:r>
      <w:r>
        <w:rPr>
          <w:rFonts w:hint="eastAsia"/>
        </w:rPr>
        <w:t>集气站所在地西南侧</w:t>
      </w:r>
      <w:r>
        <w:rPr>
          <w:rFonts w:hint="eastAsia"/>
        </w:rPr>
        <w:t>3#</w:t>
      </w:r>
      <w:r>
        <w:rPr>
          <w:rFonts w:hint="eastAsia"/>
        </w:rPr>
        <w:t>、普光气田</w:t>
      </w:r>
      <w:r>
        <w:rPr>
          <w:rFonts w:hint="eastAsia"/>
        </w:rPr>
        <w:t>2#</w:t>
      </w:r>
      <w:r>
        <w:rPr>
          <w:rFonts w:hint="eastAsia"/>
        </w:rPr>
        <w:t>增压站所在地西南侧</w:t>
      </w:r>
      <w:r>
        <w:rPr>
          <w:rFonts w:hint="eastAsia"/>
        </w:rPr>
        <w:t>4#</w:t>
      </w:r>
      <w:r>
        <w:t>。</w:t>
      </w:r>
    </w:p>
    <w:p w:rsidR="00BD5820" w:rsidRDefault="00F64314">
      <w:pPr>
        <w:pStyle w:val="affa"/>
        <w:ind w:firstLine="480"/>
      </w:pPr>
      <w:r>
        <w:t>（</w:t>
      </w:r>
      <w:r>
        <w:t>2</w:t>
      </w:r>
      <w:r>
        <w:t>）监测项目：</w:t>
      </w:r>
      <w:r>
        <w:rPr>
          <w:rFonts w:hint="eastAsia"/>
        </w:rPr>
        <w:t>TVOC</w:t>
      </w:r>
      <w:r>
        <w:t>、硫化氢。</w:t>
      </w:r>
    </w:p>
    <w:p w:rsidR="00BD5820" w:rsidRDefault="00F64314">
      <w:pPr>
        <w:pStyle w:val="affa"/>
        <w:ind w:firstLine="480"/>
      </w:pPr>
      <w:r>
        <w:t>（</w:t>
      </w:r>
      <w:r>
        <w:t>3</w:t>
      </w:r>
      <w:r>
        <w:t>）监测频次：连续采样</w:t>
      </w:r>
      <w:r>
        <w:t>7</w:t>
      </w:r>
      <w:r>
        <w:t>天。</w:t>
      </w:r>
    </w:p>
    <w:p w:rsidR="00BD5820" w:rsidRDefault="00F64314">
      <w:pPr>
        <w:pStyle w:val="affa"/>
        <w:ind w:firstLine="480"/>
      </w:pPr>
      <w:r>
        <w:t>（</w:t>
      </w:r>
      <w:r>
        <w:t>4</w:t>
      </w:r>
      <w:r>
        <w:t>）采样及分析方法</w:t>
      </w:r>
    </w:p>
    <w:p w:rsidR="00BD5820" w:rsidRDefault="00F64314">
      <w:pPr>
        <w:pStyle w:val="affa"/>
        <w:ind w:firstLine="480"/>
      </w:pPr>
      <w:r>
        <w:t>采样及分析方法按国家有关规定进行。</w:t>
      </w:r>
    </w:p>
    <w:p w:rsidR="00BD5820" w:rsidRDefault="00F64314">
      <w:pPr>
        <w:pStyle w:val="affa"/>
        <w:ind w:firstLine="480"/>
      </w:pPr>
      <w:r>
        <w:t>（</w:t>
      </w:r>
      <w:r>
        <w:t>5</w:t>
      </w:r>
      <w:r>
        <w:t>）评价标准</w:t>
      </w:r>
    </w:p>
    <w:p w:rsidR="00BD5820" w:rsidRDefault="00F64314">
      <w:pPr>
        <w:pStyle w:val="affa"/>
        <w:ind w:firstLine="480"/>
      </w:pPr>
      <w:r>
        <w:t>本次</w:t>
      </w:r>
      <w:r>
        <w:rPr>
          <w:rFonts w:hint="eastAsia"/>
        </w:rPr>
        <w:t>TVOC</w:t>
      </w:r>
      <w:r>
        <w:t>环境质量现状评价，执行标准采用《环境影响评价技术导则大气环境》（</w:t>
      </w:r>
      <w:r>
        <w:t>HJ2.2-2018</w:t>
      </w:r>
      <w:r>
        <w:t>）中附录</w:t>
      </w:r>
      <w:r>
        <w:t>D</w:t>
      </w:r>
      <w:r>
        <w:t>浓度限值</w:t>
      </w:r>
      <w:r>
        <w:rPr>
          <w:rFonts w:hint="eastAsia"/>
        </w:rPr>
        <w:t>600</w:t>
      </w:r>
      <w:r>
        <w:t>μg/m</w:t>
      </w:r>
      <w:r>
        <w:rPr>
          <w:vertAlign w:val="superscript"/>
        </w:rPr>
        <w:t>3</w:t>
      </w:r>
      <w:r>
        <w:t>；硫化氢环境质量现状评价，执行标准采用《环境影响评价技术导则大气环境》（</w:t>
      </w:r>
      <w:r>
        <w:t>HJ2.2-2018</w:t>
      </w:r>
      <w:r>
        <w:t>）中附录</w:t>
      </w:r>
      <w:r>
        <w:t>D</w:t>
      </w:r>
      <w:r>
        <w:t>浓度限值</w:t>
      </w:r>
      <w:r>
        <w:t>10μg/m</w:t>
      </w:r>
      <w:r>
        <w:rPr>
          <w:vertAlign w:val="superscript"/>
        </w:rPr>
        <w:t>3</w:t>
      </w:r>
      <w:r>
        <w:rPr>
          <w:rFonts w:hint="eastAsia"/>
        </w:rPr>
        <w:t>。</w:t>
      </w:r>
    </w:p>
    <w:p w:rsidR="00BD5820" w:rsidRDefault="00F64314">
      <w:pPr>
        <w:pStyle w:val="affa"/>
        <w:ind w:firstLine="480"/>
      </w:pPr>
      <w:r>
        <w:t>（</w:t>
      </w:r>
      <w:r>
        <w:t>6</w:t>
      </w:r>
      <w:r>
        <w:t>）评价方法</w:t>
      </w:r>
    </w:p>
    <w:p w:rsidR="00BD5820" w:rsidRDefault="00F64314">
      <w:pPr>
        <w:pStyle w:val="affa"/>
        <w:ind w:firstLine="480"/>
      </w:pPr>
      <w:r>
        <w:t>根据《环境影响评价技术导则大气环境》（</w:t>
      </w:r>
      <w:r>
        <w:t>HJ2.2-2018</w:t>
      </w:r>
      <w:r>
        <w:t>），采用最大监测浓度占标率对评价区域大气环境质量现状进行评价，评价模式如下：</w:t>
      </w:r>
    </w:p>
    <w:p w:rsidR="00BD5820" w:rsidRDefault="00EA3750">
      <w:pPr>
        <w:pStyle w:val="affa"/>
        <w:ind w:firstLine="480"/>
      </w:pPr>
      <m:oMathPara>
        <m:oMath>
          <m:sSub>
            <m:sSubPr>
              <m:ctrlPr>
                <w:rPr>
                  <w:rFonts w:ascii="Cambria Math" w:hAnsi="Cambria Math"/>
                  <w:kern w:val="2"/>
                </w:rPr>
              </m:ctrlPr>
            </m:sSubPr>
            <m:e>
              <m:r>
                <m:rPr>
                  <m:sty m:val="p"/>
                </m:rPr>
                <w:rPr>
                  <w:rFonts w:ascii="Cambria Math" w:hAnsi="Cambria Math"/>
                </w:rPr>
                <m:t>P</m:t>
              </m:r>
            </m:e>
            <m:sub>
              <m:r>
                <m:rPr>
                  <m:sty m:val="p"/>
                </m:rPr>
                <w:rPr>
                  <w:rFonts w:ascii="Cambria Math" w:hAnsi="Cambria Math"/>
                </w:rPr>
                <m:t>i</m:t>
              </m:r>
            </m:sub>
          </m:sSub>
          <m:r>
            <m:rPr>
              <m:sty m:val="p"/>
            </m:rPr>
            <w:rPr>
              <w:rFonts w:ascii="Cambria Math" w:hAnsi="Cambria Math"/>
            </w:rPr>
            <m:t>=</m:t>
          </m:r>
          <m:f>
            <m:fPr>
              <m:ctrlPr>
                <w:rPr>
                  <w:rFonts w:ascii="Cambria Math" w:hAnsi="Cambria Math"/>
                  <w:kern w:val="2"/>
                </w:rPr>
              </m:ctrlPr>
            </m:fPr>
            <m:num>
              <m:sSub>
                <m:sSubPr>
                  <m:ctrlPr>
                    <w:rPr>
                      <w:rFonts w:ascii="Cambria Math" w:hAnsi="Cambria Math"/>
                      <w:kern w:val="2"/>
                    </w:rPr>
                  </m:ctrlPr>
                </m:sSubPr>
                <m:e>
                  <m:r>
                    <m:rPr>
                      <m:sty m:val="p"/>
                    </m:rPr>
                    <w:rPr>
                      <w:rFonts w:ascii="Cambria Math" w:hAnsi="Cambria Math"/>
                    </w:rPr>
                    <m:t>C</m:t>
                  </m:r>
                </m:e>
                <m:sub>
                  <m:r>
                    <m:rPr>
                      <m:sty m:val="p"/>
                    </m:rPr>
                    <w:rPr>
                      <w:rFonts w:ascii="Cambria Math" w:hAnsi="Cambria Math"/>
                    </w:rPr>
                    <m:t>i</m:t>
                  </m:r>
                </m:sub>
              </m:sSub>
            </m:num>
            <m:den>
              <m:sSub>
                <m:sSubPr>
                  <m:ctrlPr>
                    <w:rPr>
                      <w:rFonts w:ascii="Cambria Math" w:hAnsi="Cambria Math"/>
                      <w:kern w:val="2"/>
                    </w:rPr>
                  </m:ctrlPr>
                </m:sSubPr>
                <m:e>
                  <m:r>
                    <m:rPr>
                      <m:sty m:val="p"/>
                    </m:rPr>
                    <w:rPr>
                      <w:rFonts w:ascii="Cambria Math" w:hAnsi="Cambria Math"/>
                    </w:rPr>
                    <m:t>C</m:t>
                  </m:r>
                </m:e>
                <m:sub>
                  <m:r>
                    <m:rPr>
                      <m:sty m:val="p"/>
                    </m:rPr>
                    <w:rPr>
                      <w:rFonts w:ascii="Cambria Math" w:hAnsi="Cambria Math"/>
                    </w:rPr>
                    <m:t>oi</m:t>
                  </m:r>
                </m:sub>
              </m:sSub>
              <m:ctrlPr>
                <w:rPr>
                  <w:rFonts w:ascii="Cambria Math" w:hAnsi="Cambria Math"/>
                  <w:i/>
                  <w:kern w:val="2"/>
                </w:rPr>
              </m:ctrlPr>
            </m:den>
          </m:f>
          <m:r>
            <m:rPr>
              <m:sty m:val="p"/>
            </m:rPr>
            <w:rPr>
              <w:rFonts w:ascii="Cambria Math" w:hAnsi="Cambria Math"/>
            </w:rPr>
            <m:t>×100%</m:t>
          </m:r>
        </m:oMath>
      </m:oMathPara>
    </w:p>
    <w:p w:rsidR="00BD5820" w:rsidRDefault="00F64314">
      <w:pPr>
        <w:pStyle w:val="affa"/>
        <w:ind w:firstLine="480"/>
      </w:pPr>
      <w:r>
        <w:t>P</w:t>
      </w:r>
      <w:r>
        <w:rPr>
          <w:sz w:val="16"/>
          <w:szCs w:val="16"/>
        </w:rPr>
        <w:t>i</w:t>
      </w:r>
      <w:r>
        <w:t>——</w:t>
      </w:r>
      <w:r>
        <w:t>为第</w:t>
      </w:r>
      <w:r>
        <w:t>i</w:t>
      </w:r>
      <w:r>
        <w:t>个污染物的最大监测浓度占标率，</w:t>
      </w:r>
      <w:r>
        <w:t>%</w:t>
      </w:r>
      <w:r>
        <w:t>；</w:t>
      </w:r>
    </w:p>
    <w:p w:rsidR="00BD5820" w:rsidRDefault="00F64314">
      <w:pPr>
        <w:pStyle w:val="affa"/>
        <w:ind w:firstLine="480"/>
      </w:pPr>
      <w:r>
        <w:t>C</w:t>
      </w:r>
      <w:r>
        <w:rPr>
          <w:sz w:val="16"/>
          <w:szCs w:val="16"/>
        </w:rPr>
        <w:t>i</w:t>
      </w:r>
      <w:r>
        <w:t>——</w:t>
      </w:r>
      <w:r>
        <w:t>为第</w:t>
      </w:r>
      <w:r>
        <w:t>i</w:t>
      </w:r>
      <w:r>
        <w:t>个污染因子的最大实测浓度（</w:t>
      </w:r>
      <w:r>
        <w:t>mg/m</w:t>
      </w:r>
      <w:r>
        <w:rPr>
          <w:vertAlign w:val="superscript"/>
        </w:rPr>
        <w:t>3</w:t>
      </w:r>
      <w:r>
        <w:t>）；</w:t>
      </w:r>
    </w:p>
    <w:p w:rsidR="00BD5820" w:rsidRDefault="00F64314">
      <w:pPr>
        <w:pStyle w:val="affa"/>
        <w:ind w:firstLine="480"/>
      </w:pPr>
      <w:r>
        <w:t>C</w:t>
      </w:r>
      <w:r>
        <w:rPr>
          <w:sz w:val="16"/>
          <w:szCs w:val="16"/>
        </w:rPr>
        <w:t>oi</w:t>
      </w:r>
      <w:r>
        <w:t>——</w:t>
      </w:r>
      <w:r>
        <w:t>为第</w:t>
      </w:r>
      <w:r>
        <w:t>i</w:t>
      </w:r>
      <w:r>
        <w:t>个污染物相对应的评价标准（</w:t>
      </w:r>
      <w:r>
        <w:t>mg/m</w:t>
      </w:r>
      <w:r>
        <w:rPr>
          <w:vertAlign w:val="superscript"/>
        </w:rPr>
        <w:t>3</w:t>
      </w:r>
      <w:r>
        <w:t>）。</w:t>
      </w:r>
    </w:p>
    <w:p w:rsidR="00BD5820" w:rsidRDefault="00F64314">
      <w:pPr>
        <w:pStyle w:val="affa"/>
        <w:ind w:firstLine="480"/>
      </w:pPr>
      <w:r>
        <w:t>根据</w:t>
      </w:r>
      <w:r>
        <w:t>HJ2.2-2018</w:t>
      </w:r>
      <w:r>
        <w:t>，现状监测结果以列表的方式给出各监测点大气污染物的不同取值时间的变化范围，并给出各取值时间最大浓度值占相应标准浓度限值的百分比和超标率，并评价达标情况。</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7</w:t>
      </w:r>
      <w:r>
        <w:rPr>
          <w:rFonts w:ascii="Times New Roman" w:cs="Times New Roman"/>
        </w:rPr>
        <w:t>）监测结果及评价结论</w:t>
      </w:r>
    </w:p>
    <w:p w:rsidR="00BD5820" w:rsidRDefault="00F64314">
      <w:pPr>
        <w:pStyle w:val="10"/>
        <w:rPr>
          <w:rStyle w:val="CharCharf0"/>
          <w:rFonts w:cs="Times New Roman"/>
          <w:sz w:val="21"/>
        </w:rPr>
      </w:pPr>
      <w:r>
        <w:rPr>
          <w:rStyle w:val="CharCharf0"/>
          <w:rFonts w:cs="Times New Roman"/>
          <w:sz w:val="21"/>
        </w:rPr>
        <w:t>表</w:t>
      </w:r>
      <w:r>
        <w:rPr>
          <w:rStyle w:val="CharCharf0"/>
          <w:rFonts w:cs="Times New Roman"/>
          <w:sz w:val="21"/>
        </w:rPr>
        <w:t xml:space="preserve">5.3-1  </w:t>
      </w:r>
      <w:r>
        <w:rPr>
          <w:rStyle w:val="CharCharf0"/>
          <w:rFonts w:cs="Times New Roman"/>
          <w:sz w:val="21"/>
        </w:rPr>
        <w:t>环境空气质量现状监测结果</w:t>
      </w:r>
      <w:r>
        <w:rPr>
          <w:rStyle w:val="CharCharf0"/>
          <w:rFonts w:cs="Times New Roman"/>
          <w:sz w:val="21"/>
        </w:rPr>
        <w:t xml:space="preserve">  </w:t>
      </w:r>
      <w:r>
        <w:rPr>
          <w:rStyle w:val="CharCharf0"/>
          <w:rFonts w:cs="Times New Roman"/>
          <w:sz w:val="21"/>
        </w:rPr>
        <w:t>单位：</w:t>
      </w:r>
      <w:r>
        <w:rPr>
          <w:rStyle w:val="CharCharf0"/>
          <w:rFonts w:cs="Times New Roman"/>
          <w:sz w:val="21"/>
        </w:rPr>
        <w:t>mg/m</w:t>
      </w:r>
      <w:r>
        <w:rPr>
          <w:rStyle w:val="CharCharf0"/>
          <w:rFonts w:cs="Times New Roman"/>
          <w:sz w:val="21"/>
          <w:vertAlign w:val="superscript"/>
        </w:rPr>
        <w:t>3</w:t>
      </w:r>
    </w:p>
    <w:tbl>
      <w:tblPr>
        <w:tblW w:w="9005" w:type="dxa"/>
        <w:jc w:val="center"/>
        <w:tblBorders>
          <w:top w:val="single" w:sz="12" w:space="0" w:color="auto"/>
          <w:bottom w:val="single" w:sz="12" w:space="0" w:color="auto"/>
          <w:insideH w:val="single" w:sz="2" w:space="0" w:color="auto"/>
          <w:insideV w:val="single" w:sz="2" w:space="0" w:color="auto"/>
        </w:tblBorders>
        <w:tblLayout w:type="fixed"/>
        <w:tblLook w:val="04A0"/>
      </w:tblPr>
      <w:tblGrid>
        <w:gridCol w:w="1276"/>
        <w:gridCol w:w="1276"/>
        <w:gridCol w:w="1276"/>
        <w:gridCol w:w="5177"/>
      </w:tblGrid>
      <w:tr w:rsidR="00BD5820">
        <w:trPr>
          <w:trHeight w:val="164"/>
          <w:jc w:val="center"/>
        </w:trPr>
        <w:tc>
          <w:tcPr>
            <w:tcW w:w="1276" w:type="dxa"/>
            <w:shd w:val="clear" w:color="auto" w:fill="auto"/>
            <w:vAlign w:val="center"/>
          </w:tcPr>
          <w:p w:rsidR="00BD5820" w:rsidRDefault="00F64314">
            <w:pPr>
              <w:pStyle w:val="afff1"/>
              <w:rPr>
                <w:b/>
                <w:bCs/>
              </w:rPr>
            </w:pPr>
            <w:r>
              <w:rPr>
                <w:b/>
                <w:bCs/>
              </w:rPr>
              <w:t>监测点位</w:t>
            </w:r>
          </w:p>
        </w:tc>
        <w:tc>
          <w:tcPr>
            <w:tcW w:w="1276" w:type="dxa"/>
            <w:shd w:val="clear" w:color="auto" w:fill="auto"/>
            <w:vAlign w:val="center"/>
          </w:tcPr>
          <w:p w:rsidR="00BD5820" w:rsidRDefault="00F64314">
            <w:pPr>
              <w:pStyle w:val="afff1"/>
              <w:rPr>
                <w:b/>
                <w:bCs/>
                <w:szCs w:val="21"/>
              </w:rPr>
            </w:pPr>
            <w:r>
              <w:rPr>
                <w:b/>
                <w:bCs/>
                <w:szCs w:val="21"/>
              </w:rPr>
              <w:t>监测日期</w:t>
            </w:r>
          </w:p>
        </w:tc>
        <w:tc>
          <w:tcPr>
            <w:tcW w:w="1276" w:type="dxa"/>
            <w:shd w:val="clear" w:color="auto" w:fill="auto"/>
            <w:vAlign w:val="center"/>
          </w:tcPr>
          <w:p w:rsidR="00BD5820" w:rsidRDefault="00F64314">
            <w:pPr>
              <w:pStyle w:val="afff1"/>
              <w:rPr>
                <w:b/>
                <w:bCs/>
                <w:szCs w:val="21"/>
              </w:rPr>
            </w:pPr>
            <w:r>
              <w:rPr>
                <w:b/>
                <w:bCs/>
                <w:szCs w:val="21"/>
              </w:rPr>
              <w:t>项目</w:t>
            </w:r>
          </w:p>
        </w:tc>
        <w:tc>
          <w:tcPr>
            <w:tcW w:w="5177" w:type="dxa"/>
            <w:shd w:val="clear" w:color="auto" w:fill="auto"/>
            <w:vAlign w:val="center"/>
          </w:tcPr>
          <w:p w:rsidR="00BD5820" w:rsidRDefault="00F64314">
            <w:pPr>
              <w:pStyle w:val="afff1"/>
              <w:rPr>
                <w:b/>
                <w:bCs/>
              </w:rPr>
            </w:pPr>
            <w:r>
              <w:rPr>
                <w:b/>
                <w:bCs/>
              </w:rPr>
              <w:t>监测结果</w:t>
            </w:r>
          </w:p>
        </w:tc>
      </w:tr>
      <w:tr w:rsidR="00BD5820">
        <w:trPr>
          <w:trHeight w:val="259"/>
          <w:jc w:val="center"/>
        </w:trPr>
        <w:tc>
          <w:tcPr>
            <w:tcW w:w="1276" w:type="dxa"/>
            <w:vMerge w:val="restart"/>
            <w:shd w:val="clear" w:color="auto" w:fill="auto"/>
            <w:vAlign w:val="center"/>
          </w:tcPr>
          <w:p w:rsidR="00BD5820" w:rsidRDefault="00F64314">
            <w:pPr>
              <w:pStyle w:val="afff1"/>
            </w:pPr>
            <w:bookmarkStart w:id="344" w:name="_Hlk105540542"/>
            <w:r>
              <w:rPr>
                <w:rFonts w:hint="eastAsia"/>
              </w:rPr>
              <w:t>普光气田</w:t>
            </w:r>
            <w:r>
              <w:rPr>
                <w:rFonts w:hint="eastAsia"/>
              </w:rPr>
              <w:t>1#</w:t>
            </w:r>
            <w:r>
              <w:rPr>
                <w:rFonts w:hint="eastAsia"/>
              </w:rPr>
              <w:t>增压站所在地西南侧</w:t>
            </w:r>
            <w:r>
              <w:rPr>
                <w:rFonts w:hint="eastAsia"/>
              </w:rPr>
              <w:t>1#</w:t>
            </w:r>
          </w:p>
        </w:tc>
        <w:tc>
          <w:tcPr>
            <w:tcW w:w="1276" w:type="dxa"/>
            <w:shd w:val="clear" w:color="auto" w:fill="auto"/>
          </w:tcPr>
          <w:p w:rsidR="00BD5820" w:rsidRDefault="00F64314">
            <w:pPr>
              <w:pStyle w:val="afff1"/>
              <w:rPr>
                <w:szCs w:val="21"/>
                <w:highlight w:val="red"/>
              </w:rPr>
            </w:pPr>
            <w:bookmarkStart w:id="345" w:name="OLE_LINK229"/>
            <w:bookmarkStart w:id="346" w:name="OLE_LINK230"/>
            <w:r>
              <w:rPr>
                <w:rFonts w:hint="eastAsia"/>
              </w:rPr>
              <w:t>7</w:t>
            </w:r>
            <w:r>
              <w:t>.</w:t>
            </w:r>
            <w:bookmarkEnd w:id="345"/>
            <w:bookmarkEnd w:id="346"/>
            <w:r>
              <w:rPr>
                <w:rFonts w:hint="eastAsia"/>
              </w:rPr>
              <w:t>5</w:t>
            </w:r>
          </w:p>
        </w:tc>
        <w:tc>
          <w:tcPr>
            <w:tcW w:w="1276" w:type="dxa"/>
            <w:vMerge w:val="restart"/>
            <w:shd w:val="clear" w:color="auto" w:fill="auto"/>
            <w:vAlign w:val="center"/>
          </w:tcPr>
          <w:p w:rsidR="00BD5820" w:rsidRDefault="00F64314">
            <w:pPr>
              <w:pStyle w:val="afff1"/>
              <w:rPr>
                <w:szCs w:val="21"/>
              </w:rPr>
            </w:pPr>
            <w:r>
              <w:rPr>
                <w:rFonts w:hint="eastAsia"/>
                <w:szCs w:val="21"/>
              </w:rPr>
              <w:t>TVOC</w:t>
            </w:r>
          </w:p>
        </w:tc>
        <w:tc>
          <w:tcPr>
            <w:tcW w:w="5177" w:type="dxa"/>
            <w:shd w:val="clear" w:color="auto" w:fill="auto"/>
            <w:vAlign w:val="center"/>
          </w:tcPr>
          <w:p w:rsidR="00BD5820" w:rsidRDefault="00F64314">
            <w:pPr>
              <w:pStyle w:val="afff1"/>
              <w:rPr>
                <w:szCs w:val="18"/>
              </w:rPr>
            </w:pPr>
            <w:r>
              <w:rPr>
                <w:szCs w:val="21"/>
              </w:rPr>
              <w:t>0.</w:t>
            </w:r>
            <w:r>
              <w:rPr>
                <w:rFonts w:hint="eastAsia"/>
                <w:szCs w:val="21"/>
              </w:rPr>
              <w:t>0078</w:t>
            </w:r>
          </w:p>
        </w:tc>
      </w:tr>
      <w:tr w:rsidR="00BD5820">
        <w:trPr>
          <w:trHeight w:val="218"/>
          <w:jc w:val="center"/>
        </w:trPr>
        <w:tc>
          <w:tcPr>
            <w:tcW w:w="1276" w:type="dxa"/>
            <w:vMerge/>
            <w:shd w:val="clear" w:color="auto" w:fill="auto"/>
            <w:vAlign w:val="center"/>
          </w:tcPr>
          <w:p w:rsidR="00BD5820" w:rsidRDefault="00BD5820">
            <w:pPr>
              <w:pStyle w:val="afff1"/>
            </w:pPr>
          </w:p>
        </w:tc>
        <w:tc>
          <w:tcPr>
            <w:tcW w:w="1276" w:type="dxa"/>
            <w:shd w:val="clear" w:color="auto" w:fill="auto"/>
          </w:tcPr>
          <w:p w:rsidR="00BD5820" w:rsidRDefault="00F64314">
            <w:pPr>
              <w:pStyle w:val="afff1"/>
              <w:rPr>
                <w:highlight w:val="red"/>
              </w:rPr>
            </w:pPr>
            <w:r>
              <w:rPr>
                <w:rFonts w:hint="eastAsia"/>
              </w:rPr>
              <w:t>7</w:t>
            </w:r>
            <w:r>
              <w:t>.</w:t>
            </w:r>
            <w:r>
              <w:rPr>
                <w:rFonts w:hint="eastAsia"/>
              </w:rPr>
              <w:t>6</w:t>
            </w:r>
          </w:p>
        </w:tc>
        <w:tc>
          <w:tcPr>
            <w:tcW w:w="1276" w:type="dxa"/>
            <w:vMerge/>
            <w:shd w:val="clear" w:color="auto" w:fill="auto"/>
            <w:vAlign w:val="center"/>
          </w:tcPr>
          <w:p w:rsidR="00BD5820" w:rsidRDefault="00BD5820">
            <w:pPr>
              <w:pStyle w:val="afff1"/>
            </w:pPr>
          </w:p>
        </w:tc>
        <w:tc>
          <w:tcPr>
            <w:tcW w:w="5177" w:type="dxa"/>
            <w:shd w:val="clear" w:color="auto" w:fill="auto"/>
            <w:vAlign w:val="center"/>
          </w:tcPr>
          <w:p w:rsidR="00BD5820" w:rsidRDefault="00F64314">
            <w:pPr>
              <w:pStyle w:val="afff1"/>
              <w:rPr>
                <w:szCs w:val="18"/>
              </w:rPr>
            </w:pPr>
            <w:r>
              <w:rPr>
                <w:szCs w:val="18"/>
              </w:rPr>
              <w:t>0.0</w:t>
            </w:r>
            <w:r>
              <w:rPr>
                <w:rFonts w:hint="eastAsia"/>
                <w:szCs w:val="18"/>
              </w:rPr>
              <w:t>083</w:t>
            </w:r>
          </w:p>
        </w:tc>
      </w:tr>
      <w:tr w:rsidR="00BD5820">
        <w:trPr>
          <w:trHeight w:val="218"/>
          <w:jc w:val="center"/>
        </w:trPr>
        <w:tc>
          <w:tcPr>
            <w:tcW w:w="1276" w:type="dxa"/>
            <w:vMerge/>
            <w:shd w:val="clear" w:color="auto" w:fill="auto"/>
            <w:vAlign w:val="center"/>
          </w:tcPr>
          <w:p w:rsidR="00BD5820" w:rsidRDefault="00BD5820">
            <w:pPr>
              <w:pStyle w:val="afff1"/>
            </w:pPr>
          </w:p>
        </w:tc>
        <w:tc>
          <w:tcPr>
            <w:tcW w:w="1276" w:type="dxa"/>
            <w:shd w:val="clear" w:color="auto" w:fill="auto"/>
          </w:tcPr>
          <w:p w:rsidR="00BD5820" w:rsidRDefault="00F64314">
            <w:pPr>
              <w:pStyle w:val="afff1"/>
              <w:rPr>
                <w:highlight w:val="red"/>
              </w:rPr>
            </w:pPr>
            <w:r>
              <w:rPr>
                <w:rFonts w:hint="eastAsia"/>
              </w:rPr>
              <w:t>7</w:t>
            </w:r>
            <w:r>
              <w:t>.</w:t>
            </w:r>
            <w:r>
              <w:rPr>
                <w:rFonts w:hint="eastAsia"/>
              </w:rPr>
              <w:t>7</w:t>
            </w:r>
          </w:p>
        </w:tc>
        <w:tc>
          <w:tcPr>
            <w:tcW w:w="1276" w:type="dxa"/>
            <w:vMerge/>
            <w:shd w:val="clear" w:color="auto" w:fill="auto"/>
            <w:vAlign w:val="center"/>
          </w:tcPr>
          <w:p w:rsidR="00BD5820" w:rsidRDefault="00BD5820">
            <w:pPr>
              <w:pStyle w:val="afff1"/>
            </w:pPr>
          </w:p>
        </w:tc>
        <w:tc>
          <w:tcPr>
            <w:tcW w:w="5177" w:type="dxa"/>
            <w:shd w:val="clear" w:color="auto" w:fill="auto"/>
            <w:vAlign w:val="center"/>
          </w:tcPr>
          <w:p w:rsidR="00BD5820" w:rsidRDefault="00F64314">
            <w:pPr>
              <w:pStyle w:val="afff1"/>
              <w:rPr>
                <w:szCs w:val="18"/>
              </w:rPr>
            </w:pPr>
            <w:r>
              <w:rPr>
                <w:szCs w:val="21"/>
              </w:rPr>
              <w:t>0.0</w:t>
            </w:r>
            <w:r>
              <w:rPr>
                <w:rFonts w:hint="eastAsia"/>
                <w:szCs w:val="21"/>
              </w:rPr>
              <w:t>079</w:t>
            </w:r>
          </w:p>
        </w:tc>
      </w:tr>
      <w:tr w:rsidR="00BD5820">
        <w:trPr>
          <w:trHeight w:val="218"/>
          <w:jc w:val="center"/>
        </w:trPr>
        <w:tc>
          <w:tcPr>
            <w:tcW w:w="1276" w:type="dxa"/>
            <w:vMerge/>
            <w:shd w:val="clear" w:color="auto" w:fill="auto"/>
            <w:vAlign w:val="center"/>
          </w:tcPr>
          <w:p w:rsidR="00BD5820" w:rsidRDefault="00BD5820">
            <w:pPr>
              <w:pStyle w:val="afff1"/>
            </w:pPr>
          </w:p>
        </w:tc>
        <w:tc>
          <w:tcPr>
            <w:tcW w:w="1276" w:type="dxa"/>
            <w:shd w:val="clear" w:color="auto" w:fill="auto"/>
          </w:tcPr>
          <w:p w:rsidR="00BD5820" w:rsidRDefault="00F64314">
            <w:pPr>
              <w:pStyle w:val="afff1"/>
              <w:rPr>
                <w:highlight w:val="red"/>
              </w:rPr>
            </w:pPr>
            <w:r>
              <w:rPr>
                <w:rFonts w:hint="eastAsia"/>
              </w:rPr>
              <w:t>7</w:t>
            </w:r>
            <w:r>
              <w:t>.</w:t>
            </w:r>
            <w:r>
              <w:rPr>
                <w:rFonts w:hint="eastAsia"/>
              </w:rPr>
              <w:t>8</w:t>
            </w:r>
          </w:p>
        </w:tc>
        <w:tc>
          <w:tcPr>
            <w:tcW w:w="1276" w:type="dxa"/>
            <w:vMerge/>
            <w:shd w:val="clear" w:color="auto" w:fill="auto"/>
            <w:vAlign w:val="center"/>
          </w:tcPr>
          <w:p w:rsidR="00BD5820" w:rsidRDefault="00BD5820">
            <w:pPr>
              <w:pStyle w:val="afff1"/>
            </w:pPr>
          </w:p>
        </w:tc>
        <w:tc>
          <w:tcPr>
            <w:tcW w:w="5177" w:type="dxa"/>
            <w:shd w:val="clear" w:color="auto" w:fill="auto"/>
            <w:vAlign w:val="center"/>
          </w:tcPr>
          <w:p w:rsidR="00BD5820" w:rsidRDefault="00F64314">
            <w:pPr>
              <w:pStyle w:val="afff1"/>
              <w:rPr>
                <w:szCs w:val="18"/>
              </w:rPr>
            </w:pPr>
            <w:r>
              <w:rPr>
                <w:szCs w:val="21"/>
              </w:rPr>
              <w:t>0.0</w:t>
            </w:r>
            <w:r>
              <w:rPr>
                <w:rFonts w:hint="eastAsia"/>
                <w:szCs w:val="21"/>
              </w:rPr>
              <w:t>103</w:t>
            </w:r>
          </w:p>
        </w:tc>
      </w:tr>
      <w:tr w:rsidR="00BD5820">
        <w:trPr>
          <w:trHeight w:val="218"/>
          <w:jc w:val="center"/>
        </w:trPr>
        <w:tc>
          <w:tcPr>
            <w:tcW w:w="1276" w:type="dxa"/>
            <w:vMerge/>
            <w:shd w:val="clear" w:color="auto" w:fill="auto"/>
            <w:vAlign w:val="center"/>
          </w:tcPr>
          <w:p w:rsidR="00BD5820" w:rsidRDefault="00BD5820">
            <w:pPr>
              <w:pStyle w:val="afff1"/>
            </w:pPr>
          </w:p>
        </w:tc>
        <w:tc>
          <w:tcPr>
            <w:tcW w:w="1276" w:type="dxa"/>
            <w:shd w:val="clear" w:color="auto" w:fill="auto"/>
          </w:tcPr>
          <w:p w:rsidR="00BD5820" w:rsidRDefault="00F64314">
            <w:pPr>
              <w:pStyle w:val="afff1"/>
              <w:rPr>
                <w:highlight w:val="red"/>
              </w:rPr>
            </w:pPr>
            <w:r>
              <w:rPr>
                <w:rFonts w:hint="eastAsia"/>
              </w:rPr>
              <w:t>7</w:t>
            </w:r>
            <w:r>
              <w:t>.</w:t>
            </w:r>
            <w:r>
              <w:rPr>
                <w:rFonts w:hint="eastAsia"/>
              </w:rPr>
              <w:t>9</w:t>
            </w:r>
          </w:p>
        </w:tc>
        <w:tc>
          <w:tcPr>
            <w:tcW w:w="1276" w:type="dxa"/>
            <w:vMerge/>
            <w:shd w:val="clear" w:color="auto" w:fill="auto"/>
            <w:vAlign w:val="center"/>
          </w:tcPr>
          <w:p w:rsidR="00BD5820" w:rsidRDefault="00BD5820">
            <w:pPr>
              <w:pStyle w:val="afff1"/>
            </w:pPr>
          </w:p>
        </w:tc>
        <w:tc>
          <w:tcPr>
            <w:tcW w:w="5177" w:type="dxa"/>
            <w:shd w:val="clear" w:color="auto" w:fill="auto"/>
            <w:vAlign w:val="center"/>
          </w:tcPr>
          <w:p w:rsidR="00BD5820" w:rsidRDefault="00F64314">
            <w:pPr>
              <w:pStyle w:val="afff1"/>
              <w:rPr>
                <w:szCs w:val="18"/>
              </w:rPr>
            </w:pPr>
            <w:r>
              <w:rPr>
                <w:szCs w:val="21"/>
              </w:rPr>
              <w:t>0.0</w:t>
            </w:r>
            <w:r>
              <w:rPr>
                <w:rFonts w:hint="eastAsia"/>
                <w:szCs w:val="21"/>
              </w:rPr>
              <w:t>120</w:t>
            </w:r>
          </w:p>
        </w:tc>
      </w:tr>
      <w:tr w:rsidR="00BD5820">
        <w:trPr>
          <w:trHeight w:val="218"/>
          <w:jc w:val="center"/>
        </w:trPr>
        <w:tc>
          <w:tcPr>
            <w:tcW w:w="1276" w:type="dxa"/>
            <w:vMerge/>
            <w:shd w:val="clear" w:color="auto" w:fill="auto"/>
            <w:vAlign w:val="center"/>
          </w:tcPr>
          <w:p w:rsidR="00BD5820" w:rsidRDefault="00BD5820">
            <w:pPr>
              <w:pStyle w:val="afff1"/>
            </w:pPr>
          </w:p>
        </w:tc>
        <w:tc>
          <w:tcPr>
            <w:tcW w:w="1276" w:type="dxa"/>
            <w:shd w:val="clear" w:color="auto" w:fill="auto"/>
          </w:tcPr>
          <w:p w:rsidR="00BD5820" w:rsidRDefault="00F64314">
            <w:pPr>
              <w:pStyle w:val="afff1"/>
              <w:rPr>
                <w:highlight w:val="red"/>
              </w:rPr>
            </w:pPr>
            <w:r>
              <w:rPr>
                <w:rFonts w:hint="eastAsia"/>
              </w:rPr>
              <w:t>7</w:t>
            </w:r>
            <w:r>
              <w:t>.</w:t>
            </w:r>
            <w:r>
              <w:rPr>
                <w:rFonts w:hint="eastAsia"/>
              </w:rPr>
              <w:t>10</w:t>
            </w:r>
          </w:p>
        </w:tc>
        <w:tc>
          <w:tcPr>
            <w:tcW w:w="1276" w:type="dxa"/>
            <w:vMerge/>
            <w:shd w:val="clear" w:color="auto" w:fill="auto"/>
            <w:vAlign w:val="center"/>
          </w:tcPr>
          <w:p w:rsidR="00BD5820" w:rsidRDefault="00BD5820">
            <w:pPr>
              <w:pStyle w:val="afff1"/>
            </w:pPr>
          </w:p>
        </w:tc>
        <w:tc>
          <w:tcPr>
            <w:tcW w:w="5177" w:type="dxa"/>
            <w:shd w:val="clear" w:color="auto" w:fill="auto"/>
            <w:vAlign w:val="center"/>
          </w:tcPr>
          <w:p w:rsidR="00BD5820" w:rsidRDefault="00F64314">
            <w:pPr>
              <w:pStyle w:val="afff1"/>
              <w:rPr>
                <w:szCs w:val="18"/>
              </w:rPr>
            </w:pPr>
            <w:r>
              <w:rPr>
                <w:szCs w:val="21"/>
              </w:rPr>
              <w:t>0.0</w:t>
            </w:r>
            <w:r>
              <w:rPr>
                <w:rFonts w:hint="eastAsia"/>
                <w:szCs w:val="21"/>
              </w:rPr>
              <w:t>123</w:t>
            </w:r>
          </w:p>
        </w:tc>
      </w:tr>
      <w:tr w:rsidR="00BD5820">
        <w:trPr>
          <w:trHeight w:val="89"/>
          <w:jc w:val="center"/>
        </w:trPr>
        <w:tc>
          <w:tcPr>
            <w:tcW w:w="1276" w:type="dxa"/>
            <w:vMerge/>
            <w:shd w:val="clear" w:color="auto" w:fill="auto"/>
            <w:vAlign w:val="center"/>
          </w:tcPr>
          <w:p w:rsidR="00BD5820" w:rsidRDefault="00BD5820">
            <w:pPr>
              <w:pStyle w:val="afff1"/>
            </w:pPr>
          </w:p>
        </w:tc>
        <w:tc>
          <w:tcPr>
            <w:tcW w:w="1276" w:type="dxa"/>
            <w:shd w:val="clear" w:color="auto" w:fill="auto"/>
          </w:tcPr>
          <w:p w:rsidR="00BD5820" w:rsidRDefault="00F64314">
            <w:pPr>
              <w:pStyle w:val="afff1"/>
              <w:rPr>
                <w:highlight w:val="red"/>
              </w:rPr>
            </w:pPr>
            <w:r>
              <w:rPr>
                <w:rFonts w:hint="eastAsia"/>
              </w:rPr>
              <w:t>7</w:t>
            </w:r>
            <w:r>
              <w:t>.</w:t>
            </w:r>
            <w:r>
              <w:rPr>
                <w:rFonts w:hint="eastAsia"/>
              </w:rPr>
              <w:t>11</w:t>
            </w:r>
          </w:p>
        </w:tc>
        <w:tc>
          <w:tcPr>
            <w:tcW w:w="1276" w:type="dxa"/>
            <w:vMerge/>
            <w:shd w:val="clear" w:color="auto" w:fill="auto"/>
            <w:vAlign w:val="center"/>
          </w:tcPr>
          <w:p w:rsidR="00BD5820" w:rsidRDefault="00BD5820">
            <w:pPr>
              <w:pStyle w:val="afff1"/>
            </w:pPr>
          </w:p>
        </w:tc>
        <w:tc>
          <w:tcPr>
            <w:tcW w:w="5177" w:type="dxa"/>
            <w:shd w:val="clear" w:color="auto" w:fill="auto"/>
            <w:vAlign w:val="center"/>
          </w:tcPr>
          <w:p w:rsidR="00BD5820" w:rsidRDefault="00F64314">
            <w:pPr>
              <w:pStyle w:val="afff1"/>
              <w:rPr>
                <w:szCs w:val="18"/>
              </w:rPr>
            </w:pPr>
            <w:r>
              <w:rPr>
                <w:szCs w:val="21"/>
              </w:rPr>
              <w:t>0.0</w:t>
            </w:r>
            <w:r>
              <w:rPr>
                <w:rFonts w:hint="eastAsia"/>
                <w:szCs w:val="21"/>
              </w:rPr>
              <w:t>252</w:t>
            </w:r>
          </w:p>
        </w:tc>
      </w:tr>
      <w:bookmarkEnd w:id="344"/>
      <w:tr w:rsidR="00BD5820">
        <w:trPr>
          <w:trHeight w:val="218"/>
          <w:jc w:val="center"/>
        </w:trPr>
        <w:tc>
          <w:tcPr>
            <w:tcW w:w="1276" w:type="dxa"/>
            <w:vMerge w:val="restart"/>
            <w:shd w:val="clear" w:color="auto" w:fill="auto"/>
            <w:vAlign w:val="center"/>
          </w:tcPr>
          <w:p w:rsidR="00BD5820" w:rsidRDefault="00F64314">
            <w:pPr>
              <w:pStyle w:val="afff1"/>
            </w:pPr>
            <w:r>
              <w:rPr>
                <w:rFonts w:hint="eastAsia"/>
              </w:rPr>
              <w:t>P104</w:t>
            </w:r>
            <w:r>
              <w:rPr>
                <w:rFonts w:hint="eastAsia"/>
              </w:rPr>
              <w:t>集气站所在地西</w:t>
            </w:r>
            <w:r>
              <w:rPr>
                <w:rFonts w:hint="eastAsia"/>
              </w:rPr>
              <w:lastRenderedPageBreak/>
              <w:t>南侧</w:t>
            </w:r>
            <w:r>
              <w:rPr>
                <w:rFonts w:hint="eastAsia"/>
              </w:rPr>
              <w:t>2#</w:t>
            </w:r>
          </w:p>
        </w:tc>
        <w:tc>
          <w:tcPr>
            <w:tcW w:w="1276" w:type="dxa"/>
            <w:shd w:val="clear" w:color="auto" w:fill="auto"/>
          </w:tcPr>
          <w:p w:rsidR="00BD5820" w:rsidRDefault="00F64314">
            <w:pPr>
              <w:pStyle w:val="afff1"/>
              <w:rPr>
                <w:szCs w:val="21"/>
                <w:highlight w:val="red"/>
              </w:rPr>
            </w:pPr>
            <w:r>
              <w:rPr>
                <w:rFonts w:hint="eastAsia"/>
              </w:rPr>
              <w:lastRenderedPageBreak/>
              <w:t>7</w:t>
            </w:r>
            <w:r>
              <w:t>.</w:t>
            </w:r>
            <w:r>
              <w:rPr>
                <w:rFonts w:hint="eastAsia"/>
              </w:rPr>
              <w:t>5</w:t>
            </w:r>
          </w:p>
        </w:tc>
        <w:tc>
          <w:tcPr>
            <w:tcW w:w="1276" w:type="dxa"/>
            <w:vMerge w:val="restart"/>
            <w:shd w:val="clear" w:color="auto" w:fill="auto"/>
            <w:vAlign w:val="center"/>
          </w:tcPr>
          <w:p w:rsidR="00BD5820" w:rsidRDefault="00F64314">
            <w:pPr>
              <w:pStyle w:val="afff1"/>
            </w:pPr>
            <w:r>
              <w:rPr>
                <w:rFonts w:hint="eastAsia"/>
                <w:szCs w:val="21"/>
              </w:rPr>
              <w:t>TVOC</w:t>
            </w:r>
          </w:p>
        </w:tc>
        <w:tc>
          <w:tcPr>
            <w:tcW w:w="5177" w:type="dxa"/>
            <w:shd w:val="clear" w:color="auto" w:fill="auto"/>
            <w:vAlign w:val="center"/>
          </w:tcPr>
          <w:p w:rsidR="00BD5820" w:rsidRDefault="00F64314">
            <w:pPr>
              <w:pStyle w:val="afff1"/>
              <w:rPr>
                <w:szCs w:val="18"/>
              </w:rPr>
            </w:pPr>
            <w:r>
              <w:rPr>
                <w:szCs w:val="21"/>
              </w:rPr>
              <w:t>0.</w:t>
            </w:r>
            <w:r>
              <w:rPr>
                <w:rFonts w:hint="eastAsia"/>
                <w:szCs w:val="21"/>
              </w:rPr>
              <w:t>0100</w:t>
            </w:r>
          </w:p>
        </w:tc>
      </w:tr>
      <w:tr w:rsidR="00BD5820">
        <w:trPr>
          <w:trHeight w:val="218"/>
          <w:jc w:val="center"/>
        </w:trPr>
        <w:tc>
          <w:tcPr>
            <w:tcW w:w="1276" w:type="dxa"/>
            <w:vMerge/>
            <w:shd w:val="clear" w:color="auto" w:fill="auto"/>
            <w:vAlign w:val="center"/>
          </w:tcPr>
          <w:p w:rsidR="00BD5820" w:rsidRDefault="00BD5820">
            <w:pPr>
              <w:pStyle w:val="afff1"/>
            </w:pPr>
          </w:p>
        </w:tc>
        <w:tc>
          <w:tcPr>
            <w:tcW w:w="1276" w:type="dxa"/>
            <w:shd w:val="clear" w:color="auto" w:fill="auto"/>
          </w:tcPr>
          <w:p w:rsidR="00BD5820" w:rsidRDefault="00F64314">
            <w:pPr>
              <w:pStyle w:val="afff1"/>
              <w:rPr>
                <w:highlight w:val="red"/>
              </w:rPr>
            </w:pPr>
            <w:r>
              <w:rPr>
                <w:rFonts w:hint="eastAsia"/>
              </w:rPr>
              <w:t>7</w:t>
            </w:r>
            <w:r>
              <w:t>.</w:t>
            </w:r>
            <w:r>
              <w:rPr>
                <w:rFonts w:hint="eastAsia"/>
              </w:rPr>
              <w:t>6</w:t>
            </w:r>
          </w:p>
        </w:tc>
        <w:tc>
          <w:tcPr>
            <w:tcW w:w="1276" w:type="dxa"/>
            <w:vMerge/>
            <w:shd w:val="clear" w:color="auto" w:fill="auto"/>
            <w:vAlign w:val="center"/>
          </w:tcPr>
          <w:p w:rsidR="00BD5820" w:rsidRDefault="00BD5820">
            <w:pPr>
              <w:pStyle w:val="afff1"/>
            </w:pPr>
          </w:p>
        </w:tc>
        <w:tc>
          <w:tcPr>
            <w:tcW w:w="5177" w:type="dxa"/>
            <w:shd w:val="clear" w:color="auto" w:fill="auto"/>
            <w:vAlign w:val="center"/>
          </w:tcPr>
          <w:p w:rsidR="00BD5820" w:rsidRDefault="00F64314">
            <w:pPr>
              <w:pStyle w:val="afff1"/>
              <w:rPr>
                <w:szCs w:val="18"/>
              </w:rPr>
            </w:pPr>
            <w:r>
              <w:rPr>
                <w:szCs w:val="21"/>
              </w:rPr>
              <w:t>0.0</w:t>
            </w:r>
            <w:r>
              <w:rPr>
                <w:rFonts w:hint="eastAsia"/>
                <w:szCs w:val="21"/>
              </w:rPr>
              <w:t>119</w:t>
            </w:r>
          </w:p>
        </w:tc>
      </w:tr>
      <w:tr w:rsidR="00BD5820">
        <w:trPr>
          <w:trHeight w:val="218"/>
          <w:jc w:val="center"/>
        </w:trPr>
        <w:tc>
          <w:tcPr>
            <w:tcW w:w="1276" w:type="dxa"/>
            <w:vMerge/>
            <w:shd w:val="clear" w:color="auto" w:fill="auto"/>
            <w:vAlign w:val="center"/>
          </w:tcPr>
          <w:p w:rsidR="00BD5820" w:rsidRDefault="00BD5820">
            <w:pPr>
              <w:pStyle w:val="afff1"/>
            </w:pPr>
          </w:p>
        </w:tc>
        <w:tc>
          <w:tcPr>
            <w:tcW w:w="1276" w:type="dxa"/>
            <w:shd w:val="clear" w:color="auto" w:fill="auto"/>
          </w:tcPr>
          <w:p w:rsidR="00BD5820" w:rsidRDefault="00F64314">
            <w:pPr>
              <w:pStyle w:val="afff1"/>
              <w:rPr>
                <w:highlight w:val="red"/>
              </w:rPr>
            </w:pPr>
            <w:r>
              <w:rPr>
                <w:rFonts w:hint="eastAsia"/>
              </w:rPr>
              <w:t>7</w:t>
            </w:r>
            <w:r>
              <w:t>.</w:t>
            </w:r>
            <w:r>
              <w:rPr>
                <w:rFonts w:hint="eastAsia"/>
              </w:rPr>
              <w:t>7</w:t>
            </w:r>
          </w:p>
        </w:tc>
        <w:tc>
          <w:tcPr>
            <w:tcW w:w="1276" w:type="dxa"/>
            <w:vMerge/>
            <w:shd w:val="clear" w:color="auto" w:fill="auto"/>
            <w:vAlign w:val="center"/>
          </w:tcPr>
          <w:p w:rsidR="00BD5820" w:rsidRDefault="00BD5820">
            <w:pPr>
              <w:pStyle w:val="afff1"/>
            </w:pPr>
          </w:p>
        </w:tc>
        <w:tc>
          <w:tcPr>
            <w:tcW w:w="5177" w:type="dxa"/>
            <w:shd w:val="clear" w:color="auto" w:fill="auto"/>
            <w:vAlign w:val="center"/>
          </w:tcPr>
          <w:p w:rsidR="00BD5820" w:rsidRDefault="00F64314">
            <w:pPr>
              <w:pStyle w:val="afff1"/>
              <w:rPr>
                <w:szCs w:val="18"/>
              </w:rPr>
            </w:pPr>
            <w:r>
              <w:rPr>
                <w:szCs w:val="21"/>
              </w:rPr>
              <w:t>0.0</w:t>
            </w:r>
            <w:r>
              <w:rPr>
                <w:rFonts w:hint="eastAsia"/>
                <w:szCs w:val="21"/>
              </w:rPr>
              <w:t>102</w:t>
            </w:r>
          </w:p>
        </w:tc>
      </w:tr>
      <w:tr w:rsidR="00BD5820">
        <w:trPr>
          <w:trHeight w:val="218"/>
          <w:jc w:val="center"/>
        </w:trPr>
        <w:tc>
          <w:tcPr>
            <w:tcW w:w="1276" w:type="dxa"/>
            <w:vMerge/>
            <w:shd w:val="clear" w:color="auto" w:fill="auto"/>
            <w:vAlign w:val="center"/>
          </w:tcPr>
          <w:p w:rsidR="00BD5820" w:rsidRDefault="00BD5820">
            <w:pPr>
              <w:pStyle w:val="afff1"/>
            </w:pPr>
          </w:p>
        </w:tc>
        <w:tc>
          <w:tcPr>
            <w:tcW w:w="1276" w:type="dxa"/>
            <w:shd w:val="clear" w:color="auto" w:fill="auto"/>
          </w:tcPr>
          <w:p w:rsidR="00BD5820" w:rsidRDefault="00F64314">
            <w:pPr>
              <w:pStyle w:val="afff1"/>
              <w:rPr>
                <w:highlight w:val="red"/>
              </w:rPr>
            </w:pPr>
            <w:r>
              <w:rPr>
                <w:rFonts w:hint="eastAsia"/>
              </w:rPr>
              <w:t>7</w:t>
            </w:r>
            <w:r>
              <w:t>.</w:t>
            </w:r>
            <w:r>
              <w:rPr>
                <w:rFonts w:hint="eastAsia"/>
              </w:rPr>
              <w:t>8</w:t>
            </w:r>
          </w:p>
        </w:tc>
        <w:tc>
          <w:tcPr>
            <w:tcW w:w="1276" w:type="dxa"/>
            <w:vMerge/>
            <w:shd w:val="clear" w:color="auto" w:fill="auto"/>
            <w:vAlign w:val="center"/>
          </w:tcPr>
          <w:p w:rsidR="00BD5820" w:rsidRDefault="00BD5820">
            <w:pPr>
              <w:pStyle w:val="afff1"/>
            </w:pPr>
          </w:p>
        </w:tc>
        <w:tc>
          <w:tcPr>
            <w:tcW w:w="5177" w:type="dxa"/>
            <w:shd w:val="clear" w:color="auto" w:fill="auto"/>
            <w:vAlign w:val="center"/>
          </w:tcPr>
          <w:p w:rsidR="00BD5820" w:rsidRDefault="00F64314">
            <w:pPr>
              <w:pStyle w:val="afff1"/>
              <w:rPr>
                <w:szCs w:val="18"/>
              </w:rPr>
            </w:pPr>
            <w:r>
              <w:rPr>
                <w:szCs w:val="21"/>
              </w:rPr>
              <w:t>0.0</w:t>
            </w:r>
            <w:r>
              <w:rPr>
                <w:rFonts w:hint="eastAsia"/>
                <w:szCs w:val="21"/>
              </w:rPr>
              <w:t>110</w:t>
            </w:r>
          </w:p>
        </w:tc>
      </w:tr>
      <w:tr w:rsidR="00BD5820">
        <w:trPr>
          <w:trHeight w:val="218"/>
          <w:jc w:val="center"/>
        </w:trPr>
        <w:tc>
          <w:tcPr>
            <w:tcW w:w="1276" w:type="dxa"/>
            <w:vMerge/>
            <w:shd w:val="clear" w:color="auto" w:fill="auto"/>
            <w:vAlign w:val="center"/>
          </w:tcPr>
          <w:p w:rsidR="00BD5820" w:rsidRDefault="00BD5820">
            <w:pPr>
              <w:pStyle w:val="afff1"/>
            </w:pPr>
          </w:p>
        </w:tc>
        <w:tc>
          <w:tcPr>
            <w:tcW w:w="1276" w:type="dxa"/>
            <w:shd w:val="clear" w:color="auto" w:fill="auto"/>
          </w:tcPr>
          <w:p w:rsidR="00BD5820" w:rsidRDefault="00F64314">
            <w:pPr>
              <w:pStyle w:val="afff1"/>
              <w:rPr>
                <w:highlight w:val="red"/>
              </w:rPr>
            </w:pPr>
            <w:r>
              <w:rPr>
                <w:rFonts w:hint="eastAsia"/>
              </w:rPr>
              <w:t>7</w:t>
            </w:r>
            <w:r>
              <w:t>.</w:t>
            </w:r>
            <w:r>
              <w:rPr>
                <w:rFonts w:hint="eastAsia"/>
              </w:rPr>
              <w:t>9</w:t>
            </w:r>
          </w:p>
        </w:tc>
        <w:tc>
          <w:tcPr>
            <w:tcW w:w="1276" w:type="dxa"/>
            <w:vMerge/>
            <w:shd w:val="clear" w:color="auto" w:fill="auto"/>
            <w:vAlign w:val="center"/>
          </w:tcPr>
          <w:p w:rsidR="00BD5820" w:rsidRDefault="00BD5820">
            <w:pPr>
              <w:pStyle w:val="afff1"/>
            </w:pPr>
          </w:p>
        </w:tc>
        <w:tc>
          <w:tcPr>
            <w:tcW w:w="5177" w:type="dxa"/>
            <w:shd w:val="clear" w:color="auto" w:fill="auto"/>
            <w:vAlign w:val="center"/>
          </w:tcPr>
          <w:p w:rsidR="00BD5820" w:rsidRDefault="00F64314">
            <w:pPr>
              <w:pStyle w:val="afff1"/>
              <w:rPr>
                <w:szCs w:val="18"/>
              </w:rPr>
            </w:pPr>
            <w:r>
              <w:rPr>
                <w:szCs w:val="21"/>
              </w:rPr>
              <w:t>0.0</w:t>
            </w:r>
            <w:r>
              <w:rPr>
                <w:rFonts w:hint="eastAsia"/>
                <w:szCs w:val="21"/>
              </w:rPr>
              <w:t>117</w:t>
            </w:r>
          </w:p>
        </w:tc>
      </w:tr>
      <w:tr w:rsidR="00BD5820">
        <w:trPr>
          <w:trHeight w:val="218"/>
          <w:jc w:val="center"/>
        </w:trPr>
        <w:tc>
          <w:tcPr>
            <w:tcW w:w="1276" w:type="dxa"/>
            <w:vMerge/>
            <w:shd w:val="clear" w:color="auto" w:fill="auto"/>
            <w:vAlign w:val="center"/>
          </w:tcPr>
          <w:p w:rsidR="00BD5820" w:rsidRDefault="00BD5820">
            <w:pPr>
              <w:pStyle w:val="afff1"/>
            </w:pPr>
          </w:p>
        </w:tc>
        <w:tc>
          <w:tcPr>
            <w:tcW w:w="1276" w:type="dxa"/>
            <w:shd w:val="clear" w:color="auto" w:fill="auto"/>
          </w:tcPr>
          <w:p w:rsidR="00BD5820" w:rsidRDefault="00F64314">
            <w:pPr>
              <w:pStyle w:val="afff1"/>
              <w:rPr>
                <w:highlight w:val="red"/>
              </w:rPr>
            </w:pPr>
            <w:r>
              <w:rPr>
                <w:rFonts w:hint="eastAsia"/>
              </w:rPr>
              <w:t>7</w:t>
            </w:r>
            <w:r>
              <w:t>.</w:t>
            </w:r>
            <w:r>
              <w:rPr>
                <w:rFonts w:hint="eastAsia"/>
              </w:rPr>
              <w:t>10</w:t>
            </w:r>
          </w:p>
        </w:tc>
        <w:tc>
          <w:tcPr>
            <w:tcW w:w="1276" w:type="dxa"/>
            <w:vMerge/>
            <w:shd w:val="clear" w:color="auto" w:fill="auto"/>
            <w:vAlign w:val="center"/>
          </w:tcPr>
          <w:p w:rsidR="00BD5820" w:rsidRDefault="00BD5820">
            <w:pPr>
              <w:pStyle w:val="afff1"/>
            </w:pPr>
          </w:p>
        </w:tc>
        <w:tc>
          <w:tcPr>
            <w:tcW w:w="5177" w:type="dxa"/>
            <w:shd w:val="clear" w:color="auto" w:fill="auto"/>
            <w:vAlign w:val="center"/>
          </w:tcPr>
          <w:p w:rsidR="00BD5820" w:rsidRDefault="00F64314">
            <w:pPr>
              <w:pStyle w:val="afff1"/>
              <w:rPr>
                <w:szCs w:val="18"/>
              </w:rPr>
            </w:pPr>
            <w:r>
              <w:rPr>
                <w:szCs w:val="21"/>
              </w:rPr>
              <w:t>0.0</w:t>
            </w:r>
            <w:r>
              <w:rPr>
                <w:rFonts w:hint="eastAsia"/>
                <w:szCs w:val="21"/>
              </w:rPr>
              <w:t>126</w:t>
            </w:r>
          </w:p>
        </w:tc>
      </w:tr>
      <w:tr w:rsidR="00BD5820">
        <w:trPr>
          <w:trHeight w:val="218"/>
          <w:jc w:val="center"/>
        </w:trPr>
        <w:tc>
          <w:tcPr>
            <w:tcW w:w="1276" w:type="dxa"/>
            <w:vMerge/>
            <w:shd w:val="clear" w:color="auto" w:fill="auto"/>
            <w:vAlign w:val="center"/>
          </w:tcPr>
          <w:p w:rsidR="00BD5820" w:rsidRDefault="00BD5820">
            <w:pPr>
              <w:pStyle w:val="afff1"/>
            </w:pPr>
          </w:p>
        </w:tc>
        <w:tc>
          <w:tcPr>
            <w:tcW w:w="1276" w:type="dxa"/>
            <w:shd w:val="clear" w:color="auto" w:fill="auto"/>
          </w:tcPr>
          <w:p w:rsidR="00BD5820" w:rsidRDefault="00F64314">
            <w:pPr>
              <w:pStyle w:val="afff1"/>
              <w:rPr>
                <w:highlight w:val="red"/>
              </w:rPr>
            </w:pPr>
            <w:r>
              <w:rPr>
                <w:rFonts w:hint="eastAsia"/>
              </w:rPr>
              <w:t>7</w:t>
            </w:r>
            <w:r>
              <w:t>.</w:t>
            </w:r>
            <w:r>
              <w:rPr>
                <w:rFonts w:hint="eastAsia"/>
              </w:rPr>
              <w:t>11</w:t>
            </w:r>
          </w:p>
        </w:tc>
        <w:tc>
          <w:tcPr>
            <w:tcW w:w="1276" w:type="dxa"/>
            <w:vMerge/>
            <w:shd w:val="clear" w:color="auto" w:fill="auto"/>
            <w:vAlign w:val="center"/>
          </w:tcPr>
          <w:p w:rsidR="00BD5820" w:rsidRDefault="00BD5820">
            <w:pPr>
              <w:pStyle w:val="afff1"/>
            </w:pPr>
          </w:p>
        </w:tc>
        <w:tc>
          <w:tcPr>
            <w:tcW w:w="5177" w:type="dxa"/>
            <w:shd w:val="clear" w:color="auto" w:fill="auto"/>
            <w:vAlign w:val="center"/>
          </w:tcPr>
          <w:p w:rsidR="00BD5820" w:rsidRDefault="00F64314">
            <w:pPr>
              <w:pStyle w:val="afff1"/>
              <w:rPr>
                <w:szCs w:val="18"/>
              </w:rPr>
            </w:pPr>
            <w:r>
              <w:rPr>
                <w:szCs w:val="21"/>
              </w:rPr>
              <w:t>0.0</w:t>
            </w:r>
            <w:r>
              <w:rPr>
                <w:rFonts w:hint="eastAsia"/>
                <w:szCs w:val="21"/>
              </w:rPr>
              <w:t>159</w:t>
            </w:r>
          </w:p>
        </w:tc>
      </w:tr>
      <w:tr w:rsidR="00BD5820">
        <w:trPr>
          <w:trHeight w:val="218"/>
          <w:jc w:val="center"/>
        </w:trPr>
        <w:tc>
          <w:tcPr>
            <w:tcW w:w="1276" w:type="dxa"/>
            <w:vMerge w:val="restart"/>
            <w:shd w:val="clear" w:color="auto" w:fill="auto"/>
            <w:vAlign w:val="center"/>
          </w:tcPr>
          <w:p w:rsidR="00BD5820" w:rsidRDefault="00F64314">
            <w:pPr>
              <w:pStyle w:val="afff1"/>
            </w:pPr>
            <w:r>
              <w:rPr>
                <w:rFonts w:hint="eastAsia"/>
              </w:rPr>
              <w:t>P106</w:t>
            </w:r>
            <w:r>
              <w:rPr>
                <w:rFonts w:hint="eastAsia"/>
              </w:rPr>
              <w:t>集气站所在地西南侧</w:t>
            </w:r>
            <w:r>
              <w:rPr>
                <w:rFonts w:hint="eastAsia"/>
              </w:rPr>
              <w:t>3#</w:t>
            </w:r>
          </w:p>
        </w:tc>
        <w:tc>
          <w:tcPr>
            <w:tcW w:w="1276" w:type="dxa"/>
            <w:shd w:val="clear" w:color="auto" w:fill="auto"/>
          </w:tcPr>
          <w:p w:rsidR="00BD5820" w:rsidRDefault="00F64314">
            <w:pPr>
              <w:pStyle w:val="afff1"/>
              <w:rPr>
                <w:szCs w:val="21"/>
                <w:highlight w:val="red"/>
              </w:rPr>
            </w:pPr>
            <w:r>
              <w:rPr>
                <w:rFonts w:hint="eastAsia"/>
              </w:rPr>
              <w:t>7</w:t>
            </w:r>
            <w:r>
              <w:t>.</w:t>
            </w:r>
            <w:r>
              <w:rPr>
                <w:rFonts w:hint="eastAsia"/>
              </w:rPr>
              <w:t>5</w:t>
            </w:r>
          </w:p>
        </w:tc>
        <w:tc>
          <w:tcPr>
            <w:tcW w:w="1276" w:type="dxa"/>
            <w:vMerge w:val="restart"/>
            <w:shd w:val="clear" w:color="auto" w:fill="auto"/>
            <w:vAlign w:val="center"/>
          </w:tcPr>
          <w:p w:rsidR="00BD5820" w:rsidRDefault="00F64314">
            <w:pPr>
              <w:pStyle w:val="afff1"/>
            </w:pPr>
            <w:r>
              <w:rPr>
                <w:rFonts w:hint="eastAsia"/>
                <w:szCs w:val="21"/>
              </w:rPr>
              <w:t>TVOC</w:t>
            </w:r>
          </w:p>
        </w:tc>
        <w:tc>
          <w:tcPr>
            <w:tcW w:w="5177" w:type="dxa"/>
            <w:shd w:val="clear" w:color="auto" w:fill="auto"/>
            <w:vAlign w:val="center"/>
          </w:tcPr>
          <w:p w:rsidR="00BD5820" w:rsidRDefault="00F64314">
            <w:pPr>
              <w:pStyle w:val="afff1"/>
              <w:rPr>
                <w:bCs/>
                <w:szCs w:val="21"/>
              </w:rPr>
            </w:pPr>
            <w:r>
              <w:rPr>
                <w:szCs w:val="21"/>
              </w:rPr>
              <w:t>0.</w:t>
            </w:r>
            <w:r>
              <w:rPr>
                <w:rFonts w:hint="eastAsia"/>
                <w:szCs w:val="21"/>
              </w:rPr>
              <w:t>0108</w:t>
            </w:r>
          </w:p>
        </w:tc>
      </w:tr>
      <w:tr w:rsidR="00BD5820">
        <w:trPr>
          <w:trHeight w:val="218"/>
          <w:jc w:val="center"/>
        </w:trPr>
        <w:tc>
          <w:tcPr>
            <w:tcW w:w="1276" w:type="dxa"/>
            <w:vMerge/>
            <w:shd w:val="clear" w:color="auto" w:fill="auto"/>
            <w:vAlign w:val="center"/>
          </w:tcPr>
          <w:p w:rsidR="00BD5820" w:rsidRDefault="00BD5820">
            <w:pPr>
              <w:pStyle w:val="afff1"/>
            </w:pPr>
          </w:p>
        </w:tc>
        <w:tc>
          <w:tcPr>
            <w:tcW w:w="1276" w:type="dxa"/>
            <w:shd w:val="clear" w:color="auto" w:fill="auto"/>
          </w:tcPr>
          <w:p w:rsidR="00BD5820" w:rsidRDefault="00F64314">
            <w:pPr>
              <w:pStyle w:val="afff1"/>
              <w:rPr>
                <w:highlight w:val="red"/>
              </w:rPr>
            </w:pPr>
            <w:r>
              <w:rPr>
                <w:rFonts w:hint="eastAsia"/>
              </w:rPr>
              <w:t>7</w:t>
            </w:r>
            <w:r>
              <w:t>.</w:t>
            </w:r>
            <w:r>
              <w:rPr>
                <w:rFonts w:hint="eastAsia"/>
              </w:rPr>
              <w:t>6</w:t>
            </w:r>
          </w:p>
        </w:tc>
        <w:tc>
          <w:tcPr>
            <w:tcW w:w="1276" w:type="dxa"/>
            <w:vMerge/>
            <w:shd w:val="clear" w:color="auto" w:fill="auto"/>
            <w:vAlign w:val="center"/>
          </w:tcPr>
          <w:p w:rsidR="00BD5820" w:rsidRDefault="00BD5820">
            <w:pPr>
              <w:pStyle w:val="afff1"/>
            </w:pPr>
          </w:p>
        </w:tc>
        <w:tc>
          <w:tcPr>
            <w:tcW w:w="5177" w:type="dxa"/>
            <w:shd w:val="clear" w:color="auto" w:fill="auto"/>
            <w:vAlign w:val="center"/>
          </w:tcPr>
          <w:p w:rsidR="00BD5820" w:rsidRDefault="00F64314">
            <w:pPr>
              <w:pStyle w:val="afff1"/>
              <w:rPr>
                <w:bCs/>
                <w:szCs w:val="21"/>
              </w:rPr>
            </w:pPr>
            <w:r>
              <w:rPr>
                <w:szCs w:val="21"/>
              </w:rPr>
              <w:t>0.0</w:t>
            </w:r>
            <w:r>
              <w:rPr>
                <w:rFonts w:hint="eastAsia"/>
                <w:szCs w:val="21"/>
              </w:rPr>
              <w:t>119</w:t>
            </w:r>
          </w:p>
        </w:tc>
      </w:tr>
      <w:tr w:rsidR="00BD5820">
        <w:trPr>
          <w:trHeight w:val="218"/>
          <w:jc w:val="center"/>
        </w:trPr>
        <w:tc>
          <w:tcPr>
            <w:tcW w:w="1276" w:type="dxa"/>
            <w:vMerge/>
            <w:shd w:val="clear" w:color="auto" w:fill="auto"/>
            <w:vAlign w:val="center"/>
          </w:tcPr>
          <w:p w:rsidR="00BD5820" w:rsidRDefault="00BD5820">
            <w:pPr>
              <w:pStyle w:val="afff1"/>
            </w:pPr>
          </w:p>
        </w:tc>
        <w:tc>
          <w:tcPr>
            <w:tcW w:w="1276" w:type="dxa"/>
            <w:shd w:val="clear" w:color="auto" w:fill="auto"/>
          </w:tcPr>
          <w:p w:rsidR="00BD5820" w:rsidRDefault="00F64314">
            <w:pPr>
              <w:pStyle w:val="afff1"/>
              <w:rPr>
                <w:highlight w:val="red"/>
              </w:rPr>
            </w:pPr>
            <w:r>
              <w:rPr>
                <w:rFonts w:hint="eastAsia"/>
              </w:rPr>
              <w:t>7</w:t>
            </w:r>
            <w:r>
              <w:t>.</w:t>
            </w:r>
            <w:r>
              <w:rPr>
                <w:rFonts w:hint="eastAsia"/>
              </w:rPr>
              <w:t>7</w:t>
            </w:r>
          </w:p>
        </w:tc>
        <w:tc>
          <w:tcPr>
            <w:tcW w:w="1276" w:type="dxa"/>
            <w:vMerge/>
            <w:shd w:val="clear" w:color="auto" w:fill="auto"/>
            <w:vAlign w:val="center"/>
          </w:tcPr>
          <w:p w:rsidR="00BD5820" w:rsidRDefault="00BD5820">
            <w:pPr>
              <w:pStyle w:val="afff1"/>
            </w:pPr>
          </w:p>
        </w:tc>
        <w:tc>
          <w:tcPr>
            <w:tcW w:w="5177" w:type="dxa"/>
            <w:shd w:val="clear" w:color="auto" w:fill="auto"/>
            <w:vAlign w:val="center"/>
          </w:tcPr>
          <w:p w:rsidR="00BD5820" w:rsidRDefault="00F64314">
            <w:pPr>
              <w:pStyle w:val="afff1"/>
              <w:rPr>
                <w:bCs/>
                <w:szCs w:val="21"/>
              </w:rPr>
            </w:pPr>
            <w:r>
              <w:rPr>
                <w:szCs w:val="21"/>
              </w:rPr>
              <w:t>0.0</w:t>
            </w:r>
            <w:r>
              <w:rPr>
                <w:rFonts w:hint="eastAsia"/>
                <w:szCs w:val="21"/>
              </w:rPr>
              <w:t>119</w:t>
            </w:r>
          </w:p>
        </w:tc>
      </w:tr>
      <w:tr w:rsidR="00BD5820">
        <w:trPr>
          <w:trHeight w:val="218"/>
          <w:jc w:val="center"/>
        </w:trPr>
        <w:tc>
          <w:tcPr>
            <w:tcW w:w="1276" w:type="dxa"/>
            <w:vMerge/>
            <w:shd w:val="clear" w:color="auto" w:fill="auto"/>
            <w:vAlign w:val="center"/>
          </w:tcPr>
          <w:p w:rsidR="00BD5820" w:rsidRDefault="00BD5820">
            <w:pPr>
              <w:pStyle w:val="afff1"/>
            </w:pPr>
          </w:p>
        </w:tc>
        <w:tc>
          <w:tcPr>
            <w:tcW w:w="1276" w:type="dxa"/>
            <w:shd w:val="clear" w:color="auto" w:fill="auto"/>
          </w:tcPr>
          <w:p w:rsidR="00BD5820" w:rsidRDefault="00F64314">
            <w:pPr>
              <w:pStyle w:val="afff1"/>
              <w:rPr>
                <w:highlight w:val="red"/>
              </w:rPr>
            </w:pPr>
            <w:r>
              <w:rPr>
                <w:rFonts w:hint="eastAsia"/>
              </w:rPr>
              <w:t>7</w:t>
            </w:r>
            <w:r>
              <w:t>.</w:t>
            </w:r>
            <w:r>
              <w:rPr>
                <w:rFonts w:hint="eastAsia"/>
              </w:rPr>
              <w:t>8</w:t>
            </w:r>
          </w:p>
        </w:tc>
        <w:tc>
          <w:tcPr>
            <w:tcW w:w="1276" w:type="dxa"/>
            <w:vMerge/>
            <w:shd w:val="clear" w:color="auto" w:fill="auto"/>
            <w:vAlign w:val="center"/>
          </w:tcPr>
          <w:p w:rsidR="00BD5820" w:rsidRDefault="00BD5820">
            <w:pPr>
              <w:pStyle w:val="afff1"/>
            </w:pPr>
          </w:p>
        </w:tc>
        <w:tc>
          <w:tcPr>
            <w:tcW w:w="5177" w:type="dxa"/>
            <w:shd w:val="clear" w:color="auto" w:fill="auto"/>
            <w:vAlign w:val="center"/>
          </w:tcPr>
          <w:p w:rsidR="00BD5820" w:rsidRDefault="00F64314">
            <w:pPr>
              <w:pStyle w:val="afff1"/>
              <w:rPr>
                <w:bCs/>
                <w:szCs w:val="21"/>
              </w:rPr>
            </w:pPr>
            <w:r>
              <w:rPr>
                <w:rFonts w:hint="eastAsia"/>
                <w:bCs/>
                <w:szCs w:val="21"/>
              </w:rPr>
              <w:t>0.0122</w:t>
            </w:r>
          </w:p>
        </w:tc>
      </w:tr>
      <w:tr w:rsidR="00BD5820">
        <w:trPr>
          <w:trHeight w:val="218"/>
          <w:jc w:val="center"/>
        </w:trPr>
        <w:tc>
          <w:tcPr>
            <w:tcW w:w="1276" w:type="dxa"/>
            <w:vMerge/>
            <w:shd w:val="clear" w:color="auto" w:fill="auto"/>
            <w:vAlign w:val="center"/>
          </w:tcPr>
          <w:p w:rsidR="00BD5820" w:rsidRDefault="00BD5820">
            <w:pPr>
              <w:pStyle w:val="afff1"/>
            </w:pPr>
          </w:p>
        </w:tc>
        <w:tc>
          <w:tcPr>
            <w:tcW w:w="1276" w:type="dxa"/>
            <w:shd w:val="clear" w:color="auto" w:fill="auto"/>
          </w:tcPr>
          <w:p w:rsidR="00BD5820" w:rsidRDefault="00F64314">
            <w:pPr>
              <w:pStyle w:val="afff1"/>
              <w:rPr>
                <w:highlight w:val="red"/>
              </w:rPr>
            </w:pPr>
            <w:r>
              <w:rPr>
                <w:rFonts w:hint="eastAsia"/>
              </w:rPr>
              <w:t>7</w:t>
            </w:r>
            <w:r>
              <w:t>.</w:t>
            </w:r>
            <w:r>
              <w:rPr>
                <w:rFonts w:hint="eastAsia"/>
              </w:rPr>
              <w:t>9</w:t>
            </w:r>
          </w:p>
        </w:tc>
        <w:tc>
          <w:tcPr>
            <w:tcW w:w="1276" w:type="dxa"/>
            <w:vMerge/>
            <w:shd w:val="clear" w:color="auto" w:fill="auto"/>
            <w:vAlign w:val="center"/>
          </w:tcPr>
          <w:p w:rsidR="00BD5820" w:rsidRDefault="00BD5820">
            <w:pPr>
              <w:pStyle w:val="afff1"/>
            </w:pPr>
          </w:p>
        </w:tc>
        <w:tc>
          <w:tcPr>
            <w:tcW w:w="5177" w:type="dxa"/>
            <w:shd w:val="clear" w:color="auto" w:fill="auto"/>
            <w:vAlign w:val="center"/>
          </w:tcPr>
          <w:p w:rsidR="00BD5820" w:rsidRDefault="00F64314">
            <w:pPr>
              <w:pStyle w:val="afff1"/>
              <w:rPr>
                <w:bCs/>
                <w:szCs w:val="21"/>
              </w:rPr>
            </w:pPr>
            <w:r>
              <w:rPr>
                <w:szCs w:val="21"/>
              </w:rPr>
              <w:t>0.0</w:t>
            </w:r>
            <w:r>
              <w:rPr>
                <w:rFonts w:hint="eastAsia"/>
                <w:szCs w:val="21"/>
              </w:rPr>
              <w:t>119</w:t>
            </w:r>
          </w:p>
        </w:tc>
      </w:tr>
      <w:tr w:rsidR="00BD5820">
        <w:trPr>
          <w:trHeight w:val="218"/>
          <w:jc w:val="center"/>
        </w:trPr>
        <w:tc>
          <w:tcPr>
            <w:tcW w:w="1276" w:type="dxa"/>
            <w:vMerge/>
            <w:shd w:val="clear" w:color="auto" w:fill="auto"/>
            <w:vAlign w:val="center"/>
          </w:tcPr>
          <w:p w:rsidR="00BD5820" w:rsidRDefault="00BD5820">
            <w:pPr>
              <w:pStyle w:val="afff1"/>
            </w:pPr>
          </w:p>
        </w:tc>
        <w:tc>
          <w:tcPr>
            <w:tcW w:w="1276" w:type="dxa"/>
            <w:shd w:val="clear" w:color="auto" w:fill="auto"/>
          </w:tcPr>
          <w:p w:rsidR="00BD5820" w:rsidRDefault="00F64314">
            <w:pPr>
              <w:pStyle w:val="afff1"/>
              <w:rPr>
                <w:highlight w:val="red"/>
              </w:rPr>
            </w:pPr>
            <w:r>
              <w:rPr>
                <w:rFonts w:hint="eastAsia"/>
              </w:rPr>
              <w:t>7</w:t>
            </w:r>
            <w:r>
              <w:t>.</w:t>
            </w:r>
            <w:r>
              <w:rPr>
                <w:rFonts w:hint="eastAsia"/>
              </w:rPr>
              <w:t>10</w:t>
            </w:r>
          </w:p>
        </w:tc>
        <w:tc>
          <w:tcPr>
            <w:tcW w:w="1276" w:type="dxa"/>
            <w:vMerge/>
            <w:shd w:val="clear" w:color="auto" w:fill="auto"/>
            <w:vAlign w:val="center"/>
          </w:tcPr>
          <w:p w:rsidR="00BD5820" w:rsidRDefault="00BD5820">
            <w:pPr>
              <w:pStyle w:val="afff1"/>
            </w:pPr>
          </w:p>
        </w:tc>
        <w:tc>
          <w:tcPr>
            <w:tcW w:w="5177" w:type="dxa"/>
            <w:shd w:val="clear" w:color="auto" w:fill="auto"/>
            <w:vAlign w:val="center"/>
          </w:tcPr>
          <w:p w:rsidR="00BD5820" w:rsidRDefault="00F64314">
            <w:pPr>
              <w:pStyle w:val="afff1"/>
              <w:rPr>
                <w:bCs/>
                <w:szCs w:val="21"/>
              </w:rPr>
            </w:pPr>
            <w:r>
              <w:rPr>
                <w:szCs w:val="21"/>
              </w:rPr>
              <w:t>0.0</w:t>
            </w:r>
            <w:r>
              <w:rPr>
                <w:rFonts w:hint="eastAsia"/>
                <w:szCs w:val="21"/>
              </w:rPr>
              <w:t>219</w:t>
            </w:r>
          </w:p>
        </w:tc>
      </w:tr>
      <w:tr w:rsidR="00BD5820">
        <w:trPr>
          <w:trHeight w:val="218"/>
          <w:jc w:val="center"/>
        </w:trPr>
        <w:tc>
          <w:tcPr>
            <w:tcW w:w="1276" w:type="dxa"/>
            <w:vMerge/>
            <w:shd w:val="clear" w:color="auto" w:fill="auto"/>
            <w:vAlign w:val="center"/>
          </w:tcPr>
          <w:p w:rsidR="00BD5820" w:rsidRDefault="00BD5820">
            <w:pPr>
              <w:pStyle w:val="afff1"/>
            </w:pPr>
          </w:p>
        </w:tc>
        <w:tc>
          <w:tcPr>
            <w:tcW w:w="1276" w:type="dxa"/>
            <w:shd w:val="clear" w:color="auto" w:fill="auto"/>
          </w:tcPr>
          <w:p w:rsidR="00BD5820" w:rsidRDefault="00F64314">
            <w:pPr>
              <w:pStyle w:val="afff1"/>
              <w:rPr>
                <w:highlight w:val="red"/>
              </w:rPr>
            </w:pPr>
            <w:r>
              <w:rPr>
                <w:rFonts w:hint="eastAsia"/>
              </w:rPr>
              <w:t>7</w:t>
            </w:r>
            <w:r>
              <w:t>.</w:t>
            </w:r>
            <w:r>
              <w:rPr>
                <w:rFonts w:hint="eastAsia"/>
              </w:rPr>
              <w:t>11</w:t>
            </w:r>
          </w:p>
        </w:tc>
        <w:tc>
          <w:tcPr>
            <w:tcW w:w="1276" w:type="dxa"/>
            <w:vMerge/>
            <w:shd w:val="clear" w:color="auto" w:fill="auto"/>
            <w:vAlign w:val="center"/>
          </w:tcPr>
          <w:p w:rsidR="00BD5820" w:rsidRDefault="00BD5820">
            <w:pPr>
              <w:pStyle w:val="afff1"/>
            </w:pPr>
          </w:p>
        </w:tc>
        <w:tc>
          <w:tcPr>
            <w:tcW w:w="5177" w:type="dxa"/>
            <w:shd w:val="clear" w:color="auto" w:fill="auto"/>
            <w:vAlign w:val="center"/>
          </w:tcPr>
          <w:p w:rsidR="00BD5820" w:rsidRDefault="00F64314">
            <w:pPr>
              <w:pStyle w:val="afff1"/>
              <w:rPr>
                <w:bCs/>
                <w:szCs w:val="21"/>
              </w:rPr>
            </w:pPr>
            <w:r>
              <w:rPr>
                <w:szCs w:val="21"/>
              </w:rPr>
              <w:t>0.</w:t>
            </w:r>
            <w:r>
              <w:rPr>
                <w:rFonts w:hint="eastAsia"/>
                <w:szCs w:val="21"/>
              </w:rPr>
              <w:t>0124</w:t>
            </w:r>
          </w:p>
        </w:tc>
      </w:tr>
      <w:tr w:rsidR="00BD5820">
        <w:trPr>
          <w:trHeight w:val="218"/>
          <w:jc w:val="center"/>
        </w:trPr>
        <w:tc>
          <w:tcPr>
            <w:tcW w:w="1276" w:type="dxa"/>
            <w:vMerge w:val="restart"/>
            <w:shd w:val="clear" w:color="auto" w:fill="auto"/>
            <w:vAlign w:val="center"/>
          </w:tcPr>
          <w:p w:rsidR="00BD5820" w:rsidRDefault="00F64314">
            <w:pPr>
              <w:pStyle w:val="afff1"/>
            </w:pPr>
            <w:r>
              <w:rPr>
                <w:rFonts w:hint="eastAsia"/>
              </w:rPr>
              <w:t>普光气田</w:t>
            </w:r>
            <w:r>
              <w:rPr>
                <w:rFonts w:hint="eastAsia"/>
              </w:rPr>
              <w:t>2#</w:t>
            </w:r>
            <w:r>
              <w:rPr>
                <w:rFonts w:hint="eastAsia"/>
              </w:rPr>
              <w:t>增压站所在地西南侧</w:t>
            </w:r>
            <w:r>
              <w:rPr>
                <w:rFonts w:hint="eastAsia"/>
              </w:rPr>
              <w:t>4#</w:t>
            </w:r>
          </w:p>
        </w:tc>
        <w:tc>
          <w:tcPr>
            <w:tcW w:w="1276" w:type="dxa"/>
            <w:shd w:val="clear" w:color="auto" w:fill="auto"/>
          </w:tcPr>
          <w:p w:rsidR="00BD5820" w:rsidRDefault="00F64314">
            <w:pPr>
              <w:pStyle w:val="afff1"/>
              <w:rPr>
                <w:szCs w:val="21"/>
                <w:highlight w:val="red"/>
              </w:rPr>
            </w:pPr>
            <w:r>
              <w:rPr>
                <w:rFonts w:hint="eastAsia"/>
              </w:rPr>
              <w:t>7</w:t>
            </w:r>
            <w:r>
              <w:t>.</w:t>
            </w:r>
            <w:r>
              <w:rPr>
                <w:rFonts w:hint="eastAsia"/>
              </w:rPr>
              <w:t>5</w:t>
            </w:r>
          </w:p>
        </w:tc>
        <w:tc>
          <w:tcPr>
            <w:tcW w:w="1276" w:type="dxa"/>
            <w:vMerge w:val="restart"/>
            <w:shd w:val="clear" w:color="auto" w:fill="auto"/>
            <w:vAlign w:val="center"/>
          </w:tcPr>
          <w:p w:rsidR="00BD5820" w:rsidRDefault="00F64314">
            <w:pPr>
              <w:pStyle w:val="afff1"/>
            </w:pPr>
            <w:r>
              <w:rPr>
                <w:rFonts w:hint="eastAsia"/>
                <w:szCs w:val="21"/>
              </w:rPr>
              <w:t>TVOC</w:t>
            </w:r>
          </w:p>
        </w:tc>
        <w:tc>
          <w:tcPr>
            <w:tcW w:w="5177" w:type="dxa"/>
            <w:shd w:val="clear" w:color="auto" w:fill="auto"/>
            <w:vAlign w:val="center"/>
          </w:tcPr>
          <w:p w:rsidR="00BD5820" w:rsidRDefault="00F64314">
            <w:pPr>
              <w:pStyle w:val="afff1"/>
              <w:rPr>
                <w:szCs w:val="21"/>
              </w:rPr>
            </w:pPr>
            <w:r>
              <w:rPr>
                <w:szCs w:val="21"/>
              </w:rPr>
              <w:t>0.</w:t>
            </w:r>
            <w:r>
              <w:rPr>
                <w:rFonts w:hint="eastAsia"/>
                <w:szCs w:val="21"/>
              </w:rPr>
              <w:t>0090</w:t>
            </w:r>
          </w:p>
        </w:tc>
      </w:tr>
      <w:tr w:rsidR="00BD5820">
        <w:trPr>
          <w:trHeight w:val="218"/>
          <w:jc w:val="center"/>
        </w:trPr>
        <w:tc>
          <w:tcPr>
            <w:tcW w:w="1276" w:type="dxa"/>
            <w:vMerge/>
            <w:shd w:val="clear" w:color="auto" w:fill="auto"/>
            <w:vAlign w:val="center"/>
          </w:tcPr>
          <w:p w:rsidR="00BD5820" w:rsidRDefault="00BD5820">
            <w:pPr>
              <w:pStyle w:val="afff1"/>
            </w:pPr>
          </w:p>
        </w:tc>
        <w:tc>
          <w:tcPr>
            <w:tcW w:w="1276" w:type="dxa"/>
            <w:shd w:val="clear" w:color="auto" w:fill="auto"/>
          </w:tcPr>
          <w:p w:rsidR="00BD5820" w:rsidRDefault="00F64314">
            <w:pPr>
              <w:pStyle w:val="afff1"/>
              <w:rPr>
                <w:highlight w:val="red"/>
              </w:rPr>
            </w:pPr>
            <w:r>
              <w:rPr>
                <w:rFonts w:hint="eastAsia"/>
              </w:rPr>
              <w:t>7</w:t>
            </w:r>
            <w:r>
              <w:t>.</w:t>
            </w:r>
            <w:r>
              <w:rPr>
                <w:rFonts w:hint="eastAsia"/>
              </w:rPr>
              <w:t>6</w:t>
            </w:r>
          </w:p>
        </w:tc>
        <w:tc>
          <w:tcPr>
            <w:tcW w:w="1276" w:type="dxa"/>
            <w:vMerge/>
            <w:shd w:val="clear" w:color="auto" w:fill="auto"/>
            <w:vAlign w:val="center"/>
          </w:tcPr>
          <w:p w:rsidR="00BD5820" w:rsidRDefault="00BD5820">
            <w:pPr>
              <w:pStyle w:val="afff1"/>
            </w:pPr>
          </w:p>
        </w:tc>
        <w:tc>
          <w:tcPr>
            <w:tcW w:w="5177" w:type="dxa"/>
            <w:shd w:val="clear" w:color="auto" w:fill="auto"/>
            <w:vAlign w:val="center"/>
          </w:tcPr>
          <w:p w:rsidR="00BD5820" w:rsidRDefault="00F64314">
            <w:pPr>
              <w:pStyle w:val="afff1"/>
              <w:rPr>
                <w:szCs w:val="21"/>
              </w:rPr>
            </w:pPr>
            <w:r>
              <w:rPr>
                <w:szCs w:val="21"/>
              </w:rPr>
              <w:t>0.</w:t>
            </w:r>
            <w:r>
              <w:rPr>
                <w:rFonts w:hint="eastAsia"/>
                <w:szCs w:val="21"/>
              </w:rPr>
              <w:t>0137</w:t>
            </w:r>
          </w:p>
        </w:tc>
      </w:tr>
      <w:tr w:rsidR="00BD5820">
        <w:trPr>
          <w:trHeight w:val="218"/>
          <w:jc w:val="center"/>
        </w:trPr>
        <w:tc>
          <w:tcPr>
            <w:tcW w:w="1276" w:type="dxa"/>
            <w:vMerge/>
            <w:shd w:val="clear" w:color="auto" w:fill="auto"/>
            <w:vAlign w:val="center"/>
          </w:tcPr>
          <w:p w:rsidR="00BD5820" w:rsidRDefault="00BD5820">
            <w:pPr>
              <w:pStyle w:val="afff1"/>
            </w:pPr>
          </w:p>
        </w:tc>
        <w:tc>
          <w:tcPr>
            <w:tcW w:w="1276" w:type="dxa"/>
            <w:shd w:val="clear" w:color="auto" w:fill="auto"/>
          </w:tcPr>
          <w:p w:rsidR="00BD5820" w:rsidRDefault="00F64314">
            <w:pPr>
              <w:pStyle w:val="afff1"/>
              <w:rPr>
                <w:highlight w:val="red"/>
              </w:rPr>
            </w:pPr>
            <w:r>
              <w:rPr>
                <w:rFonts w:hint="eastAsia"/>
              </w:rPr>
              <w:t>7</w:t>
            </w:r>
            <w:r>
              <w:t>.</w:t>
            </w:r>
            <w:r>
              <w:rPr>
                <w:rFonts w:hint="eastAsia"/>
              </w:rPr>
              <w:t>7</w:t>
            </w:r>
          </w:p>
        </w:tc>
        <w:tc>
          <w:tcPr>
            <w:tcW w:w="1276" w:type="dxa"/>
            <w:vMerge/>
            <w:shd w:val="clear" w:color="auto" w:fill="auto"/>
            <w:vAlign w:val="center"/>
          </w:tcPr>
          <w:p w:rsidR="00BD5820" w:rsidRDefault="00BD5820">
            <w:pPr>
              <w:pStyle w:val="afff1"/>
            </w:pPr>
          </w:p>
        </w:tc>
        <w:tc>
          <w:tcPr>
            <w:tcW w:w="5177" w:type="dxa"/>
            <w:shd w:val="clear" w:color="auto" w:fill="auto"/>
            <w:vAlign w:val="center"/>
          </w:tcPr>
          <w:p w:rsidR="00BD5820" w:rsidRDefault="00F64314">
            <w:pPr>
              <w:pStyle w:val="afff1"/>
              <w:rPr>
                <w:szCs w:val="21"/>
              </w:rPr>
            </w:pPr>
            <w:r>
              <w:rPr>
                <w:szCs w:val="21"/>
              </w:rPr>
              <w:t>0.</w:t>
            </w:r>
            <w:r>
              <w:rPr>
                <w:rFonts w:hint="eastAsia"/>
                <w:szCs w:val="21"/>
              </w:rPr>
              <w:t>0106</w:t>
            </w:r>
          </w:p>
        </w:tc>
      </w:tr>
      <w:tr w:rsidR="00BD5820">
        <w:trPr>
          <w:trHeight w:val="218"/>
          <w:jc w:val="center"/>
        </w:trPr>
        <w:tc>
          <w:tcPr>
            <w:tcW w:w="1276" w:type="dxa"/>
            <w:vMerge/>
            <w:shd w:val="clear" w:color="auto" w:fill="auto"/>
            <w:vAlign w:val="center"/>
          </w:tcPr>
          <w:p w:rsidR="00BD5820" w:rsidRDefault="00BD5820">
            <w:pPr>
              <w:pStyle w:val="afff1"/>
            </w:pPr>
          </w:p>
        </w:tc>
        <w:tc>
          <w:tcPr>
            <w:tcW w:w="1276" w:type="dxa"/>
            <w:shd w:val="clear" w:color="auto" w:fill="auto"/>
          </w:tcPr>
          <w:p w:rsidR="00BD5820" w:rsidRDefault="00F64314">
            <w:pPr>
              <w:pStyle w:val="afff1"/>
              <w:rPr>
                <w:highlight w:val="red"/>
              </w:rPr>
            </w:pPr>
            <w:r>
              <w:rPr>
                <w:rFonts w:hint="eastAsia"/>
              </w:rPr>
              <w:t>7</w:t>
            </w:r>
            <w:r>
              <w:t>.</w:t>
            </w:r>
            <w:r>
              <w:rPr>
                <w:rFonts w:hint="eastAsia"/>
              </w:rPr>
              <w:t>8</w:t>
            </w:r>
          </w:p>
        </w:tc>
        <w:tc>
          <w:tcPr>
            <w:tcW w:w="1276" w:type="dxa"/>
            <w:vMerge/>
            <w:shd w:val="clear" w:color="auto" w:fill="auto"/>
            <w:vAlign w:val="center"/>
          </w:tcPr>
          <w:p w:rsidR="00BD5820" w:rsidRDefault="00BD5820">
            <w:pPr>
              <w:pStyle w:val="afff1"/>
            </w:pPr>
          </w:p>
        </w:tc>
        <w:tc>
          <w:tcPr>
            <w:tcW w:w="5177" w:type="dxa"/>
            <w:shd w:val="clear" w:color="auto" w:fill="auto"/>
            <w:vAlign w:val="center"/>
          </w:tcPr>
          <w:p w:rsidR="00BD5820" w:rsidRDefault="00F64314">
            <w:pPr>
              <w:pStyle w:val="afff1"/>
              <w:rPr>
                <w:szCs w:val="21"/>
              </w:rPr>
            </w:pPr>
            <w:r>
              <w:rPr>
                <w:szCs w:val="21"/>
              </w:rPr>
              <w:t>0.</w:t>
            </w:r>
            <w:r>
              <w:rPr>
                <w:rFonts w:hint="eastAsia"/>
                <w:szCs w:val="21"/>
              </w:rPr>
              <w:t>0146</w:t>
            </w:r>
          </w:p>
        </w:tc>
      </w:tr>
      <w:tr w:rsidR="00BD5820">
        <w:trPr>
          <w:trHeight w:val="218"/>
          <w:jc w:val="center"/>
        </w:trPr>
        <w:tc>
          <w:tcPr>
            <w:tcW w:w="1276" w:type="dxa"/>
            <w:vMerge/>
            <w:shd w:val="clear" w:color="auto" w:fill="auto"/>
            <w:vAlign w:val="center"/>
          </w:tcPr>
          <w:p w:rsidR="00BD5820" w:rsidRDefault="00BD5820">
            <w:pPr>
              <w:pStyle w:val="afff1"/>
            </w:pPr>
          </w:p>
        </w:tc>
        <w:tc>
          <w:tcPr>
            <w:tcW w:w="1276" w:type="dxa"/>
            <w:shd w:val="clear" w:color="auto" w:fill="auto"/>
          </w:tcPr>
          <w:p w:rsidR="00BD5820" w:rsidRDefault="00F64314">
            <w:pPr>
              <w:pStyle w:val="afff1"/>
              <w:rPr>
                <w:highlight w:val="red"/>
              </w:rPr>
            </w:pPr>
            <w:r>
              <w:rPr>
                <w:rFonts w:hint="eastAsia"/>
              </w:rPr>
              <w:t>7</w:t>
            </w:r>
            <w:r>
              <w:t>.</w:t>
            </w:r>
            <w:r>
              <w:rPr>
                <w:rFonts w:hint="eastAsia"/>
              </w:rPr>
              <w:t>9</w:t>
            </w:r>
          </w:p>
        </w:tc>
        <w:tc>
          <w:tcPr>
            <w:tcW w:w="1276" w:type="dxa"/>
            <w:vMerge/>
            <w:shd w:val="clear" w:color="auto" w:fill="auto"/>
            <w:vAlign w:val="center"/>
          </w:tcPr>
          <w:p w:rsidR="00BD5820" w:rsidRDefault="00BD5820">
            <w:pPr>
              <w:pStyle w:val="afff1"/>
            </w:pPr>
          </w:p>
        </w:tc>
        <w:tc>
          <w:tcPr>
            <w:tcW w:w="5177" w:type="dxa"/>
            <w:shd w:val="clear" w:color="auto" w:fill="auto"/>
            <w:vAlign w:val="center"/>
          </w:tcPr>
          <w:p w:rsidR="00BD5820" w:rsidRDefault="00F64314">
            <w:pPr>
              <w:pStyle w:val="afff1"/>
              <w:rPr>
                <w:szCs w:val="21"/>
              </w:rPr>
            </w:pPr>
            <w:r>
              <w:rPr>
                <w:szCs w:val="21"/>
              </w:rPr>
              <w:t>0.</w:t>
            </w:r>
            <w:r>
              <w:rPr>
                <w:rFonts w:hint="eastAsia"/>
                <w:szCs w:val="21"/>
              </w:rPr>
              <w:t>0119</w:t>
            </w:r>
          </w:p>
        </w:tc>
      </w:tr>
      <w:tr w:rsidR="00BD5820">
        <w:trPr>
          <w:trHeight w:val="218"/>
          <w:jc w:val="center"/>
        </w:trPr>
        <w:tc>
          <w:tcPr>
            <w:tcW w:w="1276" w:type="dxa"/>
            <w:vMerge/>
            <w:shd w:val="clear" w:color="auto" w:fill="auto"/>
            <w:vAlign w:val="center"/>
          </w:tcPr>
          <w:p w:rsidR="00BD5820" w:rsidRDefault="00BD5820">
            <w:pPr>
              <w:pStyle w:val="afff1"/>
            </w:pPr>
          </w:p>
        </w:tc>
        <w:tc>
          <w:tcPr>
            <w:tcW w:w="1276" w:type="dxa"/>
            <w:shd w:val="clear" w:color="auto" w:fill="auto"/>
          </w:tcPr>
          <w:p w:rsidR="00BD5820" w:rsidRDefault="00F64314">
            <w:pPr>
              <w:pStyle w:val="afff1"/>
              <w:rPr>
                <w:highlight w:val="red"/>
              </w:rPr>
            </w:pPr>
            <w:r>
              <w:rPr>
                <w:rFonts w:hint="eastAsia"/>
              </w:rPr>
              <w:t>7</w:t>
            </w:r>
            <w:r>
              <w:t>.</w:t>
            </w:r>
            <w:r>
              <w:rPr>
                <w:rFonts w:hint="eastAsia"/>
              </w:rPr>
              <w:t>10</w:t>
            </w:r>
          </w:p>
        </w:tc>
        <w:tc>
          <w:tcPr>
            <w:tcW w:w="1276" w:type="dxa"/>
            <w:vMerge/>
            <w:shd w:val="clear" w:color="auto" w:fill="auto"/>
            <w:vAlign w:val="center"/>
          </w:tcPr>
          <w:p w:rsidR="00BD5820" w:rsidRDefault="00BD5820">
            <w:pPr>
              <w:pStyle w:val="afff1"/>
            </w:pPr>
          </w:p>
        </w:tc>
        <w:tc>
          <w:tcPr>
            <w:tcW w:w="5177" w:type="dxa"/>
            <w:shd w:val="clear" w:color="auto" w:fill="auto"/>
            <w:vAlign w:val="center"/>
          </w:tcPr>
          <w:p w:rsidR="00BD5820" w:rsidRDefault="00F64314">
            <w:pPr>
              <w:pStyle w:val="afff1"/>
              <w:rPr>
                <w:szCs w:val="21"/>
              </w:rPr>
            </w:pPr>
            <w:r>
              <w:rPr>
                <w:szCs w:val="21"/>
              </w:rPr>
              <w:t>0.</w:t>
            </w:r>
            <w:r>
              <w:rPr>
                <w:rFonts w:hint="eastAsia"/>
                <w:szCs w:val="21"/>
              </w:rPr>
              <w:t>0112</w:t>
            </w:r>
          </w:p>
        </w:tc>
      </w:tr>
      <w:tr w:rsidR="00BD5820">
        <w:trPr>
          <w:trHeight w:val="218"/>
          <w:jc w:val="center"/>
        </w:trPr>
        <w:tc>
          <w:tcPr>
            <w:tcW w:w="1276" w:type="dxa"/>
            <w:vMerge/>
            <w:shd w:val="clear" w:color="auto" w:fill="auto"/>
            <w:vAlign w:val="center"/>
          </w:tcPr>
          <w:p w:rsidR="00BD5820" w:rsidRDefault="00BD5820">
            <w:pPr>
              <w:pStyle w:val="afff1"/>
            </w:pPr>
          </w:p>
        </w:tc>
        <w:tc>
          <w:tcPr>
            <w:tcW w:w="1276" w:type="dxa"/>
            <w:shd w:val="clear" w:color="auto" w:fill="auto"/>
          </w:tcPr>
          <w:p w:rsidR="00BD5820" w:rsidRDefault="00F64314">
            <w:pPr>
              <w:pStyle w:val="afff1"/>
              <w:rPr>
                <w:highlight w:val="red"/>
              </w:rPr>
            </w:pPr>
            <w:r>
              <w:rPr>
                <w:rFonts w:hint="eastAsia"/>
              </w:rPr>
              <w:t>7</w:t>
            </w:r>
            <w:r>
              <w:t>.</w:t>
            </w:r>
            <w:r>
              <w:rPr>
                <w:rFonts w:hint="eastAsia"/>
              </w:rPr>
              <w:t>11</w:t>
            </w:r>
          </w:p>
        </w:tc>
        <w:tc>
          <w:tcPr>
            <w:tcW w:w="1276" w:type="dxa"/>
            <w:vMerge/>
            <w:shd w:val="clear" w:color="auto" w:fill="auto"/>
            <w:vAlign w:val="center"/>
          </w:tcPr>
          <w:p w:rsidR="00BD5820" w:rsidRDefault="00BD5820">
            <w:pPr>
              <w:pStyle w:val="afff1"/>
            </w:pPr>
          </w:p>
        </w:tc>
        <w:tc>
          <w:tcPr>
            <w:tcW w:w="5177" w:type="dxa"/>
            <w:shd w:val="clear" w:color="auto" w:fill="auto"/>
            <w:vAlign w:val="center"/>
          </w:tcPr>
          <w:p w:rsidR="00BD5820" w:rsidRDefault="00F64314">
            <w:pPr>
              <w:pStyle w:val="afff1"/>
              <w:rPr>
                <w:szCs w:val="21"/>
              </w:rPr>
            </w:pPr>
            <w:r>
              <w:rPr>
                <w:szCs w:val="21"/>
              </w:rPr>
              <w:t>0.</w:t>
            </w:r>
            <w:r>
              <w:rPr>
                <w:rFonts w:hint="eastAsia"/>
                <w:szCs w:val="21"/>
              </w:rPr>
              <w:t>0113</w:t>
            </w:r>
          </w:p>
        </w:tc>
      </w:tr>
    </w:tbl>
    <w:p w:rsidR="00BD5820" w:rsidRDefault="00F64314">
      <w:pPr>
        <w:pStyle w:val="10"/>
        <w:rPr>
          <w:rStyle w:val="CharCharf0"/>
          <w:rFonts w:cs="Times New Roman"/>
          <w:sz w:val="21"/>
        </w:rPr>
      </w:pPr>
      <w:r>
        <w:rPr>
          <w:rStyle w:val="CharCharf0"/>
          <w:rFonts w:cs="Times New Roman"/>
          <w:sz w:val="21"/>
        </w:rPr>
        <w:t>表</w:t>
      </w:r>
      <w:r>
        <w:rPr>
          <w:rStyle w:val="CharCharf0"/>
          <w:rFonts w:cs="Times New Roman"/>
          <w:sz w:val="21"/>
        </w:rPr>
        <w:t xml:space="preserve">5.3-2  </w:t>
      </w:r>
      <w:r>
        <w:rPr>
          <w:rStyle w:val="CharCharf0"/>
          <w:rFonts w:cs="Times New Roman"/>
          <w:sz w:val="21"/>
        </w:rPr>
        <w:t>环境空气质量现状监测结果</w:t>
      </w:r>
      <w:r>
        <w:rPr>
          <w:rStyle w:val="CharCharf0"/>
          <w:rFonts w:cs="Times New Roman"/>
          <w:sz w:val="21"/>
        </w:rPr>
        <w:t xml:space="preserve"> </w:t>
      </w:r>
      <w:r>
        <w:rPr>
          <w:rStyle w:val="CharCharf0"/>
          <w:rFonts w:cs="Times New Roman"/>
          <w:sz w:val="21"/>
        </w:rPr>
        <w:t>单位：</w:t>
      </w:r>
      <w:r>
        <w:rPr>
          <w:rStyle w:val="CharCharf0"/>
          <w:rFonts w:cs="Times New Roman"/>
          <w:sz w:val="21"/>
        </w:rPr>
        <w:t>mg/m</w:t>
      </w:r>
      <w:r>
        <w:rPr>
          <w:rStyle w:val="CharCharf0"/>
          <w:rFonts w:cs="Times New Roman"/>
          <w:sz w:val="21"/>
          <w:vertAlign w:val="superscript"/>
        </w:rPr>
        <w:t>3</w:t>
      </w:r>
    </w:p>
    <w:tbl>
      <w:tblPr>
        <w:tblW w:w="8796" w:type="dxa"/>
        <w:jc w:val="center"/>
        <w:tblBorders>
          <w:top w:val="single" w:sz="12" w:space="0" w:color="auto"/>
          <w:bottom w:val="single" w:sz="12" w:space="0" w:color="auto"/>
          <w:insideH w:val="single" w:sz="2" w:space="0" w:color="auto"/>
          <w:insideV w:val="single" w:sz="2" w:space="0" w:color="auto"/>
        </w:tblBorders>
        <w:tblLayout w:type="fixed"/>
        <w:tblLook w:val="04A0"/>
      </w:tblPr>
      <w:tblGrid>
        <w:gridCol w:w="1304"/>
        <w:gridCol w:w="1096"/>
        <w:gridCol w:w="1389"/>
        <w:gridCol w:w="1418"/>
        <w:gridCol w:w="1362"/>
        <w:gridCol w:w="1140"/>
        <w:gridCol w:w="1087"/>
      </w:tblGrid>
      <w:tr w:rsidR="00BD5820">
        <w:trPr>
          <w:trHeight w:val="183"/>
          <w:jc w:val="center"/>
        </w:trPr>
        <w:tc>
          <w:tcPr>
            <w:tcW w:w="1304" w:type="dxa"/>
            <w:tcBorders>
              <w:top w:val="single" w:sz="12" w:space="0" w:color="auto"/>
              <w:bottom w:val="single" w:sz="2" w:space="0" w:color="auto"/>
              <w:right w:val="single" w:sz="2" w:space="0" w:color="auto"/>
            </w:tcBorders>
            <w:shd w:val="clear" w:color="auto" w:fill="auto"/>
            <w:vAlign w:val="center"/>
          </w:tcPr>
          <w:p w:rsidR="00BD5820" w:rsidRDefault="00F64314">
            <w:pPr>
              <w:pStyle w:val="afff1"/>
              <w:rPr>
                <w:b/>
                <w:bCs/>
              </w:rPr>
            </w:pPr>
            <w:r>
              <w:rPr>
                <w:b/>
                <w:bCs/>
              </w:rPr>
              <w:t>监测点位</w:t>
            </w:r>
          </w:p>
        </w:tc>
        <w:tc>
          <w:tcPr>
            <w:tcW w:w="1096" w:type="dxa"/>
            <w:tcBorders>
              <w:top w:val="single" w:sz="1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b/>
                <w:bCs/>
                <w:szCs w:val="21"/>
              </w:rPr>
            </w:pPr>
            <w:r>
              <w:rPr>
                <w:b/>
                <w:bCs/>
                <w:szCs w:val="21"/>
              </w:rPr>
              <w:t>监测日期</w:t>
            </w:r>
          </w:p>
        </w:tc>
        <w:tc>
          <w:tcPr>
            <w:tcW w:w="1389" w:type="dxa"/>
            <w:tcBorders>
              <w:top w:val="single" w:sz="1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b/>
                <w:bCs/>
                <w:szCs w:val="21"/>
              </w:rPr>
            </w:pPr>
            <w:r>
              <w:rPr>
                <w:b/>
                <w:bCs/>
                <w:szCs w:val="21"/>
              </w:rPr>
              <w:t>项目</w:t>
            </w:r>
          </w:p>
        </w:tc>
        <w:tc>
          <w:tcPr>
            <w:tcW w:w="1418" w:type="dxa"/>
            <w:tcBorders>
              <w:top w:val="single" w:sz="1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b/>
                <w:bCs/>
              </w:rPr>
            </w:pPr>
            <w:r>
              <w:rPr>
                <w:rFonts w:hint="eastAsia"/>
                <w:b/>
                <w:bCs/>
              </w:rPr>
              <w:t>第一次</w:t>
            </w:r>
          </w:p>
        </w:tc>
        <w:tc>
          <w:tcPr>
            <w:tcW w:w="1362" w:type="dxa"/>
            <w:tcBorders>
              <w:top w:val="single" w:sz="1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b/>
                <w:bCs/>
              </w:rPr>
            </w:pPr>
            <w:r>
              <w:rPr>
                <w:rFonts w:hint="eastAsia"/>
                <w:b/>
                <w:bCs/>
              </w:rPr>
              <w:t>第二次</w:t>
            </w:r>
          </w:p>
        </w:tc>
        <w:tc>
          <w:tcPr>
            <w:tcW w:w="1140" w:type="dxa"/>
            <w:tcBorders>
              <w:top w:val="single" w:sz="1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b/>
                <w:bCs/>
              </w:rPr>
            </w:pPr>
            <w:r>
              <w:rPr>
                <w:rFonts w:hint="eastAsia"/>
                <w:b/>
                <w:bCs/>
              </w:rPr>
              <w:t>第三次</w:t>
            </w:r>
          </w:p>
        </w:tc>
        <w:tc>
          <w:tcPr>
            <w:tcW w:w="1087" w:type="dxa"/>
            <w:tcBorders>
              <w:top w:val="single" w:sz="12" w:space="0" w:color="auto"/>
              <w:left w:val="single" w:sz="2" w:space="0" w:color="auto"/>
              <w:bottom w:val="single" w:sz="2" w:space="0" w:color="auto"/>
            </w:tcBorders>
            <w:shd w:val="clear" w:color="auto" w:fill="auto"/>
            <w:vAlign w:val="center"/>
          </w:tcPr>
          <w:p w:rsidR="00BD5820" w:rsidRDefault="00F64314">
            <w:pPr>
              <w:pStyle w:val="afff1"/>
              <w:rPr>
                <w:b/>
                <w:bCs/>
              </w:rPr>
            </w:pPr>
            <w:r>
              <w:rPr>
                <w:rFonts w:hint="eastAsia"/>
                <w:b/>
                <w:bCs/>
              </w:rPr>
              <w:t>第四次</w:t>
            </w:r>
          </w:p>
        </w:tc>
      </w:tr>
      <w:tr w:rsidR="00BD5820">
        <w:trPr>
          <w:trHeight w:val="288"/>
          <w:jc w:val="center"/>
        </w:trPr>
        <w:tc>
          <w:tcPr>
            <w:tcW w:w="1304" w:type="dxa"/>
            <w:vMerge w:val="restart"/>
            <w:tcBorders>
              <w:top w:val="single" w:sz="2" w:space="0" w:color="auto"/>
              <w:bottom w:val="single" w:sz="2" w:space="0" w:color="auto"/>
              <w:right w:val="single" w:sz="2" w:space="0" w:color="auto"/>
            </w:tcBorders>
            <w:shd w:val="clear" w:color="auto" w:fill="auto"/>
            <w:vAlign w:val="center"/>
          </w:tcPr>
          <w:p w:rsidR="00BD5820" w:rsidRDefault="00F64314">
            <w:pPr>
              <w:pStyle w:val="afff1"/>
            </w:pPr>
            <w:r>
              <w:rPr>
                <w:rFonts w:hint="eastAsia"/>
              </w:rPr>
              <w:t>普光气田</w:t>
            </w:r>
            <w:r>
              <w:rPr>
                <w:rFonts w:hint="eastAsia"/>
              </w:rPr>
              <w:t>1#</w:t>
            </w:r>
            <w:r>
              <w:rPr>
                <w:rFonts w:hint="eastAsia"/>
              </w:rPr>
              <w:t>增压站所在地西南侧</w:t>
            </w:r>
            <w:r>
              <w:rPr>
                <w:rFonts w:hint="eastAsia"/>
              </w:rPr>
              <w:t>1#</w:t>
            </w: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BD5820" w:rsidRDefault="00F64314">
            <w:pPr>
              <w:pStyle w:val="afff1"/>
              <w:rPr>
                <w:szCs w:val="21"/>
                <w:highlight w:val="red"/>
              </w:rPr>
            </w:pPr>
            <w:r>
              <w:rPr>
                <w:rFonts w:hint="eastAsia"/>
              </w:rPr>
              <w:t>7</w:t>
            </w:r>
            <w:r>
              <w:t>.</w:t>
            </w:r>
            <w:r>
              <w:rPr>
                <w:rFonts w:hint="eastAsia"/>
              </w:rPr>
              <w:t>5</w:t>
            </w:r>
          </w:p>
        </w:tc>
        <w:tc>
          <w:tcPr>
            <w:tcW w:w="1389"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21"/>
              </w:rPr>
            </w:pPr>
            <w:r>
              <w:rPr>
                <w:szCs w:val="21"/>
              </w:rPr>
              <w:t>硫化氢</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21"/>
              </w:rPr>
              <w:t>/</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21"/>
              </w:rPr>
              <w:t>/</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087" w:type="dxa"/>
            <w:tcBorders>
              <w:top w:val="single" w:sz="2" w:space="0" w:color="auto"/>
              <w:left w:val="single" w:sz="2" w:space="0" w:color="auto"/>
              <w:bottom w:val="single" w:sz="2" w:space="0" w:color="auto"/>
            </w:tcBorders>
            <w:shd w:val="clear" w:color="auto" w:fill="auto"/>
            <w:vAlign w:val="center"/>
          </w:tcPr>
          <w:p w:rsidR="00BD5820" w:rsidRDefault="00F64314">
            <w:pPr>
              <w:pStyle w:val="afff1"/>
              <w:rPr>
                <w:szCs w:val="18"/>
              </w:rPr>
            </w:pPr>
            <w:r>
              <w:rPr>
                <w:rFonts w:hint="eastAsia"/>
                <w:szCs w:val="18"/>
              </w:rPr>
              <w:t>&lt;0.002</w:t>
            </w:r>
          </w:p>
        </w:tc>
      </w:tr>
      <w:tr w:rsidR="00BD5820">
        <w:trPr>
          <w:trHeight w:val="242"/>
          <w:jc w:val="center"/>
        </w:trPr>
        <w:tc>
          <w:tcPr>
            <w:tcW w:w="1304" w:type="dxa"/>
            <w:vMerge/>
            <w:tcBorders>
              <w:top w:val="single" w:sz="2" w:space="0" w:color="auto"/>
              <w:bottom w:val="single" w:sz="2" w:space="0" w:color="auto"/>
              <w:right w:val="single" w:sz="2" w:space="0" w:color="auto"/>
            </w:tcBorders>
            <w:shd w:val="clear" w:color="auto" w:fill="auto"/>
            <w:vAlign w:val="center"/>
          </w:tcPr>
          <w:p w:rsidR="00BD5820" w:rsidRDefault="00BD5820">
            <w:pPr>
              <w:pStyle w:val="afff1"/>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BD5820" w:rsidRDefault="00F64314">
            <w:pPr>
              <w:pStyle w:val="afff1"/>
              <w:rPr>
                <w:highlight w:val="red"/>
              </w:rPr>
            </w:pPr>
            <w:r>
              <w:rPr>
                <w:rFonts w:hint="eastAsia"/>
              </w:rPr>
              <w:t>7</w:t>
            </w:r>
            <w:r>
              <w:t>.</w:t>
            </w:r>
            <w:r>
              <w:rPr>
                <w:rFonts w:hint="eastAsia"/>
              </w:rPr>
              <w:t>6</w:t>
            </w:r>
          </w:p>
        </w:tc>
        <w:tc>
          <w:tcPr>
            <w:tcW w:w="1389" w:type="dxa"/>
            <w:vMerge/>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BD5820">
            <w:pPr>
              <w:pStyle w:val="afff1"/>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087" w:type="dxa"/>
            <w:tcBorders>
              <w:top w:val="single" w:sz="2" w:space="0" w:color="auto"/>
              <w:left w:val="single" w:sz="2" w:space="0" w:color="auto"/>
              <w:bottom w:val="single" w:sz="2" w:space="0" w:color="auto"/>
            </w:tcBorders>
            <w:shd w:val="clear" w:color="auto" w:fill="auto"/>
            <w:vAlign w:val="center"/>
          </w:tcPr>
          <w:p w:rsidR="00BD5820" w:rsidRDefault="00F64314">
            <w:pPr>
              <w:pStyle w:val="afff1"/>
              <w:rPr>
                <w:szCs w:val="18"/>
              </w:rPr>
            </w:pPr>
            <w:r>
              <w:rPr>
                <w:rFonts w:hint="eastAsia"/>
                <w:szCs w:val="18"/>
              </w:rPr>
              <w:t>&lt;0.002</w:t>
            </w:r>
          </w:p>
        </w:tc>
      </w:tr>
      <w:tr w:rsidR="00BD5820">
        <w:trPr>
          <w:trHeight w:val="242"/>
          <w:jc w:val="center"/>
        </w:trPr>
        <w:tc>
          <w:tcPr>
            <w:tcW w:w="1304" w:type="dxa"/>
            <w:vMerge/>
            <w:tcBorders>
              <w:top w:val="single" w:sz="2" w:space="0" w:color="auto"/>
              <w:bottom w:val="single" w:sz="2" w:space="0" w:color="auto"/>
              <w:right w:val="single" w:sz="2" w:space="0" w:color="auto"/>
            </w:tcBorders>
            <w:shd w:val="clear" w:color="auto" w:fill="auto"/>
            <w:vAlign w:val="center"/>
          </w:tcPr>
          <w:p w:rsidR="00BD5820" w:rsidRDefault="00BD5820">
            <w:pPr>
              <w:pStyle w:val="afff1"/>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BD5820" w:rsidRDefault="00F64314">
            <w:pPr>
              <w:pStyle w:val="afff1"/>
              <w:rPr>
                <w:highlight w:val="red"/>
              </w:rPr>
            </w:pPr>
            <w:r>
              <w:rPr>
                <w:rFonts w:hint="eastAsia"/>
              </w:rPr>
              <w:t>7</w:t>
            </w:r>
            <w:r>
              <w:t>.</w:t>
            </w:r>
            <w:r>
              <w:rPr>
                <w:rFonts w:hint="eastAsia"/>
              </w:rPr>
              <w:t>7</w:t>
            </w:r>
          </w:p>
        </w:tc>
        <w:tc>
          <w:tcPr>
            <w:tcW w:w="1389" w:type="dxa"/>
            <w:vMerge/>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BD5820">
            <w:pPr>
              <w:pStyle w:val="afff1"/>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087" w:type="dxa"/>
            <w:tcBorders>
              <w:top w:val="single" w:sz="2" w:space="0" w:color="auto"/>
              <w:left w:val="single" w:sz="2" w:space="0" w:color="auto"/>
              <w:bottom w:val="single" w:sz="2" w:space="0" w:color="auto"/>
            </w:tcBorders>
            <w:shd w:val="clear" w:color="auto" w:fill="auto"/>
            <w:vAlign w:val="center"/>
          </w:tcPr>
          <w:p w:rsidR="00BD5820" w:rsidRDefault="00F64314">
            <w:pPr>
              <w:pStyle w:val="afff1"/>
              <w:rPr>
                <w:szCs w:val="18"/>
              </w:rPr>
            </w:pPr>
            <w:r>
              <w:rPr>
                <w:rFonts w:hint="eastAsia"/>
                <w:szCs w:val="18"/>
              </w:rPr>
              <w:t>&lt;0.002</w:t>
            </w:r>
          </w:p>
        </w:tc>
      </w:tr>
      <w:tr w:rsidR="00BD5820">
        <w:trPr>
          <w:trHeight w:val="242"/>
          <w:jc w:val="center"/>
        </w:trPr>
        <w:tc>
          <w:tcPr>
            <w:tcW w:w="1304" w:type="dxa"/>
            <w:vMerge/>
            <w:tcBorders>
              <w:top w:val="single" w:sz="2" w:space="0" w:color="auto"/>
              <w:bottom w:val="single" w:sz="2" w:space="0" w:color="auto"/>
              <w:right w:val="single" w:sz="2" w:space="0" w:color="auto"/>
            </w:tcBorders>
            <w:shd w:val="clear" w:color="auto" w:fill="auto"/>
            <w:vAlign w:val="center"/>
          </w:tcPr>
          <w:p w:rsidR="00BD5820" w:rsidRDefault="00BD5820">
            <w:pPr>
              <w:pStyle w:val="afff1"/>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BD5820" w:rsidRDefault="00F64314">
            <w:pPr>
              <w:pStyle w:val="afff1"/>
              <w:rPr>
                <w:highlight w:val="red"/>
              </w:rPr>
            </w:pPr>
            <w:r>
              <w:rPr>
                <w:rFonts w:hint="eastAsia"/>
              </w:rPr>
              <w:t>7</w:t>
            </w:r>
            <w:r>
              <w:t>.</w:t>
            </w:r>
            <w:r>
              <w:rPr>
                <w:rFonts w:hint="eastAsia"/>
              </w:rPr>
              <w:t>8</w:t>
            </w:r>
          </w:p>
        </w:tc>
        <w:tc>
          <w:tcPr>
            <w:tcW w:w="1389" w:type="dxa"/>
            <w:vMerge/>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BD5820">
            <w:pPr>
              <w:pStyle w:val="afff1"/>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087" w:type="dxa"/>
            <w:tcBorders>
              <w:top w:val="single" w:sz="2" w:space="0" w:color="auto"/>
              <w:left w:val="single" w:sz="2" w:space="0" w:color="auto"/>
              <w:bottom w:val="single" w:sz="2" w:space="0" w:color="auto"/>
            </w:tcBorders>
            <w:shd w:val="clear" w:color="auto" w:fill="auto"/>
            <w:vAlign w:val="center"/>
          </w:tcPr>
          <w:p w:rsidR="00BD5820" w:rsidRDefault="00F64314">
            <w:pPr>
              <w:pStyle w:val="afff1"/>
              <w:rPr>
                <w:szCs w:val="18"/>
              </w:rPr>
            </w:pPr>
            <w:r>
              <w:rPr>
                <w:rFonts w:hint="eastAsia"/>
                <w:szCs w:val="18"/>
              </w:rPr>
              <w:t>&lt;0.002</w:t>
            </w:r>
          </w:p>
        </w:tc>
      </w:tr>
      <w:tr w:rsidR="00BD5820">
        <w:trPr>
          <w:trHeight w:val="242"/>
          <w:jc w:val="center"/>
        </w:trPr>
        <w:tc>
          <w:tcPr>
            <w:tcW w:w="1304" w:type="dxa"/>
            <w:vMerge/>
            <w:tcBorders>
              <w:top w:val="single" w:sz="2" w:space="0" w:color="auto"/>
              <w:bottom w:val="single" w:sz="2" w:space="0" w:color="auto"/>
              <w:right w:val="single" w:sz="2" w:space="0" w:color="auto"/>
            </w:tcBorders>
            <w:shd w:val="clear" w:color="auto" w:fill="auto"/>
            <w:vAlign w:val="center"/>
          </w:tcPr>
          <w:p w:rsidR="00BD5820" w:rsidRDefault="00BD5820">
            <w:pPr>
              <w:pStyle w:val="afff1"/>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BD5820" w:rsidRDefault="00F64314">
            <w:pPr>
              <w:pStyle w:val="afff1"/>
              <w:rPr>
                <w:highlight w:val="red"/>
              </w:rPr>
            </w:pPr>
            <w:r>
              <w:rPr>
                <w:rFonts w:hint="eastAsia"/>
              </w:rPr>
              <w:t>7</w:t>
            </w:r>
            <w:r>
              <w:t>.</w:t>
            </w:r>
            <w:r>
              <w:rPr>
                <w:rFonts w:hint="eastAsia"/>
              </w:rPr>
              <w:t>9</w:t>
            </w:r>
          </w:p>
        </w:tc>
        <w:tc>
          <w:tcPr>
            <w:tcW w:w="1389" w:type="dxa"/>
            <w:vMerge/>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BD5820">
            <w:pPr>
              <w:pStyle w:val="afff1"/>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087" w:type="dxa"/>
            <w:tcBorders>
              <w:top w:val="single" w:sz="2" w:space="0" w:color="auto"/>
              <w:left w:val="single" w:sz="2" w:space="0" w:color="auto"/>
              <w:bottom w:val="single" w:sz="2" w:space="0" w:color="auto"/>
            </w:tcBorders>
            <w:shd w:val="clear" w:color="auto" w:fill="auto"/>
            <w:vAlign w:val="center"/>
          </w:tcPr>
          <w:p w:rsidR="00BD5820" w:rsidRDefault="00F64314">
            <w:pPr>
              <w:pStyle w:val="afff1"/>
              <w:rPr>
                <w:szCs w:val="18"/>
              </w:rPr>
            </w:pPr>
            <w:r>
              <w:rPr>
                <w:rFonts w:hint="eastAsia"/>
                <w:szCs w:val="18"/>
              </w:rPr>
              <w:t>&lt;0.002</w:t>
            </w:r>
          </w:p>
        </w:tc>
      </w:tr>
      <w:tr w:rsidR="00BD5820">
        <w:trPr>
          <w:trHeight w:val="242"/>
          <w:jc w:val="center"/>
        </w:trPr>
        <w:tc>
          <w:tcPr>
            <w:tcW w:w="1304" w:type="dxa"/>
            <w:vMerge/>
            <w:tcBorders>
              <w:top w:val="single" w:sz="2" w:space="0" w:color="auto"/>
              <w:bottom w:val="single" w:sz="2" w:space="0" w:color="auto"/>
              <w:right w:val="single" w:sz="2" w:space="0" w:color="auto"/>
            </w:tcBorders>
            <w:shd w:val="clear" w:color="auto" w:fill="auto"/>
            <w:vAlign w:val="center"/>
          </w:tcPr>
          <w:p w:rsidR="00BD5820" w:rsidRDefault="00BD5820">
            <w:pPr>
              <w:pStyle w:val="afff1"/>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BD5820" w:rsidRDefault="00F64314">
            <w:pPr>
              <w:pStyle w:val="afff1"/>
              <w:rPr>
                <w:highlight w:val="red"/>
              </w:rPr>
            </w:pPr>
            <w:r>
              <w:rPr>
                <w:rFonts w:hint="eastAsia"/>
              </w:rPr>
              <w:t>7</w:t>
            </w:r>
            <w:r>
              <w:t>.</w:t>
            </w:r>
            <w:r>
              <w:rPr>
                <w:rFonts w:hint="eastAsia"/>
              </w:rPr>
              <w:t>10</w:t>
            </w:r>
          </w:p>
        </w:tc>
        <w:tc>
          <w:tcPr>
            <w:tcW w:w="1389" w:type="dxa"/>
            <w:vMerge/>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BD5820">
            <w:pPr>
              <w:pStyle w:val="afff1"/>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087" w:type="dxa"/>
            <w:tcBorders>
              <w:top w:val="single" w:sz="2" w:space="0" w:color="auto"/>
              <w:left w:val="single" w:sz="2" w:space="0" w:color="auto"/>
              <w:bottom w:val="single" w:sz="2" w:space="0" w:color="auto"/>
            </w:tcBorders>
            <w:shd w:val="clear" w:color="auto" w:fill="auto"/>
            <w:vAlign w:val="center"/>
          </w:tcPr>
          <w:p w:rsidR="00BD5820" w:rsidRDefault="00F64314">
            <w:pPr>
              <w:pStyle w:val="afff1"/>
              <w:rPr>
                <w:szCs w:val="18"/>
              </w:rPr>
            </w:pPr>
            <w:r>
              <w:rPr>
                <w:rFonts w:hint="eastAsia"/>
                <w:szCs w:val="18"/>
              </w:rPr>
              <w:t>&lt;0.002</w:t>
            </w:r>
          </w:p>
        </w:tc>
      </w:tr>
      <w:tr w:rsidR="00BD5820">
        <w:trPr>
          <w:trHeight w:val="242"/>
          <w:jc w:val="center"/>
        </w:trPr>
        <w:tc>
          <w:tcPr>
            <w:tcW w:w="1304" w:type="dxa"/>
            <w:vMerge/>
            <w:tcBorders>
              <w:top w:val="single" w:sz="2" w:space="0" w:color="auto"/>
              <w:bottom w:val="single" w:sz="2" w:space="0" w:color="auto"/>
              <w:right w:val="single" w:sz="2" w:space="0" w:color="auto"/>
            </w:tcBorders>
            <w:shd w:val="clear" w:color="auto" w:fill="auto"/>
            <w:vAlign w:val="center"/>
          </w:tcPr>
          <w:p w:rsidR="00BD5820" w:rsidRDefault="00BD5820">
            <w:pPr>
              <w:pStyle w:val="afff1"/>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BD5820" w:rsidRDefault="00F64314">
            <w:pPr>
              <w:pStyle w:val="afff1"/>
              <w:rPr>
                <w:highlight w:val="red"/>
              </w:rPr>
            </w:pPr>
            <w:r>
              <w:rPr>
                <w:rFonts w:hint="eastAsia"/>
              </w:rPr>
              <w:t>7</w:t>
            </w:r>
            <w:r>
              <w:t>.</w:t>
            </w:r>
            <w:r>
              <w:rPr>
                <w:rFonts w:hint="eastAsia"/>
              </w:rPr>
              <w:t>11</w:t>
            </w:r>
          </w:p>
        </w:tc>
        <w:tc>
          <w:tcPr>
            <w:tcW w:w="1389" w:type="dxa"/>
            <w:vMerge/>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BD5820">
            <w:pPr>
              <w:pStyle w:val="afff1"/>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087" w:type="dxa"/>
            <w:tcBorders>
              <w:top w:val="single" w:sz="2" w:space="0" w:color="auto"/>
              <w:left w:val="single" w:sz="2" w:space="0" w:color="auto"/>
              <w:bottom w:val="single" w:sz="2" w:space="0" w:color="auto"/>
            </w:tcBorders>
            <w:shd w:val="clear" w:color="auto" w:fill="auto"/>
            <w:vAlign w:val="center"/>
          </w:tcPr>
          <w:p w:rsidR="00BD5820" w:rsidRDefault="00F64314">
            <w:pPr>
              <w:pStyle w:val="afff1"/>
              <w:rPr>
                <w:szCs w:val="18"/>
              </w:rPr>
            </w:pPr>
            <w:r>
              <w:rPr>
                <w:rFonts w:hint="eastAsia"/>
                <w:szCs w:val="18"/>
              </w:rPr>
              <w:t>&lt;0.002</w:t>
            </w:r>
          </w:p>
        </w:tc>
      </w:tr>
      <w:tr w:rsidR="00BD5820">
        <w:trPr>
          <w:trHeight w:val="100"/>
          <w:jc w:val="center"/>
        </w:trPr>
        <w:tc>
          <w:tcPr>
            <w:tcW w:w="1304" w:type="dxa"/>
            <w:vMerge/>
            <w:tcBorders>
              <w:top w:val="single" w:sz="2" w:space="0" w:color="auto"/>
              <w:bottom w:val="single" w:sz="2" w:space="0" w:color="auto"/>
              <w:right w:val="single" w:sz="2" w:space="0" w:color="auto"/>
            </w:tcBorders>
            <w:shd w:val="clear" w:color="auto" w:fill="auto"/>
            <w:vAlign w:val="center"/>
          </w:tcPr>
          <w:p w:rsidR="00BD5820" w:rsidRDefault="00BD5820">
            <w:pPr>
              <w:pStyle w:val="afff1"/>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BD5820" w:rsidRDefault="00F64314">
            <w:pPr>
              <w:pStyle w:val="afff1"/>
              <w:rPr>
                <w:highlight w:val="red"/>
              </w:rPr>
            </w:pPr>
            <w:r>
              <w:rPr>
                <w:rFonts w:hint="eastAsia"/>
              </w:rPr>
              <w:t>7.12</w:t>
            </w:r>
          </w:p>
        </w:tc>
        <w:tc>
          <w:tcPr>
            <w:tcW w:w="1389" w:type="dxa"/>
            <w:vMerge/>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BD5820">
            <w:pPr>
              <w:pStyle w:val="afff1"/>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21"/>
              </w:rPr>
              <w:t>/</w:t>
            </w:r>
          </w:p>
        </w:tc>
        <w:tc>
          <w:tcPr>
            <w:tcW w:w="1087" w:type="dxa"/>
            <w:tcBorders>
              <w:top w:val="single" w:sz="2" w:space="0" w:color="auto"/>
              <w:left w:val="single" w:sz="2" w:space="0" w:color="auto"/>
              <w:bottom w:val="single" w:sz="2" w:space="0" w:color="auto"/>
            </w:tcBorders>
            <w:shd w:val="clear" w:color="auto" w:fill="auto"/>
            <w:vAlign w:val="center"/>
          </w:tcPr>
          <w:p w:rsidR="00BD5820" w:rsidRDefault="00F64314">
            <w:pPr>
              <w:pStyle w:val="afff1"/>
              <w:rPr>
                <w:szCs w:val="18"/>
              </w:rPr>
            </w:pPr>
            <w:r>
              <w:rPr>
                <w:rFonts w:hint="eastAsia"/>
                <w:szCs w:val="21"/>
              </w:rPr>
              <w:t>/</w:t>
            </w:r>
          </w:p>
        </w:tc>
      </w:tr>
      <w:tr w:rsidR="00BD5820">
        <w:trPr>
          <w:trHeight w:val="242"/>
          <w:jc w:val="center"/>
        </w:trPr>
        <w:tc>
          <w:tcPr>
            <w:tcW w:w="1304" w:type="dxa"/>
            <w:vMerge w:val="restart"/>
            <w:tcBorders>
              <w:top w:val="single" w:sz="2" w:space="0" w:color="auto"/>
              <w:bottom w:val="single" w:sz="2" w:space="0" w:color="auto"/>
              <w:right w:val="single" w:sz="2" w:space="0" w:color="auto"/>
            </w:tcBorders>
            <w:shd w:val="clear" w:color="auto" w:fill="auto"/>
            <w:vAlign w:val="center"/>
          </w:tcPr>
          <w:p w:rsidR="00BD5820" w:rsidRDefault="00F64314">
            <w:pPr>
              <w:pStyle w:val="afff1"/>
            </w:pPr>
            <w:r>
              <w:rPr>
                <w:rFonts w:hint="eastAsia"/>
              </w:rPr>
              <w:t>P104</w:t>
            </w:r>
            <w:r>
              <w:rPr>
                <w:rFonts w:hint="eastAsia"/>
              </w:rPr>
              <w:t>集气站所在地西南侧</w:t>
            </w:r>
            <w:r>
              <w:rPr>
                <w:rFonts w:hint="eastAsia"/>
              </w:rPr>
              <w:t>2#</w:t>
            </w: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BD5820" w:rsidRDefault="00F64314">
            <w:pPr>
              <w:pStyle w:val="afff1"/>
              <w:rPr>
                <w:szCs w:val="21"/>
                <w:highlight w:val="red"/>
              </w:rPr>
            </w:pPr>
            <w:r>
              <w:rPr>
                <w:rFonts w:hint="eastAsia"/>
              </w:rPr>
              <w:t>7</w:t>
            </w:r>
            <w:r>
              <w:t>.</w:t>
            </w:r>
            <w:r>
              <w:rPr>
                <w:rFonts w:hint="eastAsia"/>
              </w:rPr>
              <w:t>5</w:t>
            </w:r>
          </w:p>
        </w:tc>
        <w:tc>
          <w:tcPr>
            <w:tcW w:w="1389"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pPr>
            <w:r>
              <w:rPr>
                <w:szCs w:val="21"/>
              </w:rPr>
              <w:t>硫化氢</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21"/>
              </w:rPr>
              <w:t>/</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21"/>
              </w:rPr>
              <w:t>/</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087" w:type="dxa"/>
            <w:tcBorders>
              <w:top w:val="single" w:sz="2" w:space="0" w:color="auto"/>
              <w:left w:val="single" w:sz="2" w:space="0" w:color="auto"/>
              <w:bottom w:val="single" w:sz="2" w:space="0" w:color="auto"/>
            </w:tcBorders>
            <w:shd w:val="clear" w:color="auto" w:fill="auto"/>
            <w:vAlign w:val="center"/>
          </w:tcPr>
          <w:p w:rsidR="00BD5820" w:rsidRDefault="00F64314">
            <w:pPr>
              <w:pStyle w:val="afff1"/>
              <w:rPr>
                <w:szCs w:val="18"/>
              </w:rPr>
            </w:pPr>
            <w:r>
              <w:rPr>
                <w:rFonts w:hint="eastAsia"/>
                <w:szCs w:val="18"/>
              </w:rPr>
              <w:t>&lt;0.002</w:t>
            </w:r>
          </w:p>
        </w:tc>
      </w:tr>
      <w:tr w:rsidR="00BD5820">
        <w:trPr>
          <w:trHeight w:val="242"/>
          <w:jc w:val="center"/>
        </w:trPr>
        <w:tc>
          <w:tcPr>
            <w:tcW w:w="1304" w:type="dxa"/>
            <w:vMerge/>
            <w:tcBorders>
              <w:top w:val="single" w:sz="2" w:space="0" w:color="auto"/>
              <w:bottom w:val="single" w:sz="2" w:space="0" w:color="auto"/>
              <w:right w:val="single" w:sz="2" w:space="0" w:color="auto"/>
            </w:tcBorders>
            <w:shd w:val="clear" w:color="auto" w:fill="auto"/>
            <w:vAlign w:val="center"/>
          </w:tcPr>
          <w:p w:rsidR="00BD5820" w:rsidRDefault="00BD5820">
            <w:pPr>
              <w:pStyle w:val="afff1"/>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BD5820" w:rsidRDefault="00F64314">
            <w:pPr>
              <w:pStyle w:val="afff1"/>
              <w:rPr>
                <w:highlight w:val="red"/>
              </w:rPr>
            </w:pPr>
            <w:r>
              <w:rPr>
                <w:rFonts w:hint="eastAsia"/>
              </w:rPr>
              <w:t>7</w:t>
            </w:r>
            <w:r>
              <w:t>.</w:t>
            </w:r>
            <w:r>
              <w:rPr>
                <w:rFonts w:hint="eastAsia"/>
              </w:rPr>
              <w:t>6</w:t>
            </w:r>
          </w:p>
        </w:tc>
        <w:tc>
          <w:tcPr>
            <w:tcW w:w="1389" w:type="dxa"/>
            <w:vMerge/>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BD5820">
            <w:pPr>
              <w:pStyle w:val="afff1"/>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087" w:type="dxa"/>
            <w:tcBorders>
              <w:top w:val="single" w:sz="2" w:space="0" w:color="auto"/>
              <w:left w:val="single" w:sz="2" w:space="0" w:color="auto"/>
              <w:bottom w:val="single" w:sz="2" w:space="0" w:color="auto"/>
            </w:tcBorders>
            <w:shd w:val="clear" w:color="auto" w:fill="auto"/>
            <w:vAlign w:val="center"/>
          </w:tcPr>
          <w:p w:rsidR="00BD5820" w:rsidRDefault="00F64314">
            <w:pPr>
              <w:pStyle w:val="afff1"/>
              <w:rPr>
                <w:szCs w:val="18"/>
              </w:rPr>
            </w:pPr>
            <w:r>
              <w:rPr>
                <w:rFonts w:hint="eastAsia"/>
                <w:szCs w:val="18"/>
              </w:rPr>
              <w:t>&lt;0.002</w:t>
            </w:r>
          </w:p>
        </w:tc>
      </w:tr>
      <w:tr w:rsidR="00BD5820">
        <w:trPr>
          <w:trHeight w:val="242"/>
          <w:jc w:val="center"/>
        </w:trPr>
        <w:tc>
          <w:tcPr>
            <w:tcW w:w="1304" w:type="dxa"/>
            <w:vMerge/>
            <w:tcBorders>
              <w:top w:val="single" w:sz="2" w:space="0" w:color="auto"/>
              <w:bottom w:val="single" w:sz="2" w:space="0" w:color="auto"/>
              <w:right w:val="single" w:sz="2" w:space="0" w:color="auto"/>
            </w:tcBorders>
            <w:shd w:val="clear" w:color="auto" w:fill="auto"/>
            <w:vAlign w:val="center"/>
          </w:tcPr>
          <w:p w:rsidR="00BD5820" w:rsidRDefault="00BD5820">
            <w:pPr>
              <w:pStyle w:val="afff1"/>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BD5820" w:rsidRDefault="00F64314">
            <w:pPr>
              <w:pStyle w:val="afff1"/>
              <w:rPr>
                <w:highlight w:val="red"/>
              </w:rPr>
            </w:pPr>
            <w:r>
              <w:rPr>
                <w:rFonts w:hint="eastAsia"/>
              </w:rPr>
              <w:t>7</w:t>
            </w:r>
            <w:r>
              <w:t>.</w:t>
            </w:r>
            <w:r>
              <w:rPr>
                <w:rFonts w:hint="eastAsia"/>
              </w:rPr>
              <w:t>7</w:t>
            </w:r>
          </w:p>
        </w:tc>
        <w:tc>
          <w:tcPr>
            <w:tcW w:w="1389" w:type="dxa"/>
            <w:vMerge/>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BD5820">
            <w:pPr>
              <w:pStyle w:val="afff1"/>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087" w:type="dxa"/>
            <w:tcBorders>
              <w:top w:val="single" w:sz="2" w:space="0" w:color="auto"/>
              <w:left w:val="single" w:sz="2" w:space="0" w:color="auto"/>
              <w:bottom w:val="single" w:sz="2" w:space="0" w:color="auto"/>
            </w:tcBorders>
            <w:shd w:val="clear" w:color="auto" w:fill="auto"/>
            <w:vAlign w:val="center"/>
          </w:tcPr>
          <w:p w:rsidR="00BD5820" w:rsidRDefault="00F64314">
            <w:pPr>
              <w:pStyle w:val="afff1"/>
              <w:rPr>
                <w:szCs w:val="18"/>
              </w:rPr>
            </w:pPr>
            <w:r>
              <w:rPr>
                <w:rFonts w:hint="eastAsia"/>
                <w:szCs w:val="18"/>
              </w:rPr>
              <w:t>&lt;0.002</w:t>
            </w:r>
          </w:p>
        </w:tc>
      </w:tr>
      <w:tr w:rsidR="00BD5820">
        <w:trPr>
          <w:trHeight w:val="242"/>
          <w:jc w:val="center"/>
        </w:trPr>
        <w:tc>
          <w:tcPr>
            <w:tcW w:w="1304" w:type="dxa"/>
            <w:vMerge/>
            <w:tcBorders>
              <w:top w:val="single" w:sz="2" w:space="0" w:color="auto"/>
              <w:bottom w:val="single" w:sz="2" w:space="0" w:color="auto"/>
              <w:right w:val="single" w:sz="2" w:space="0" w:color="auto"/>
            </w:tcBorders>
            <w:shd w:val="clear" w:color="auto" w:fill="auto"/>
            <w:vAlign w:val="center"/>
          </w:tcPr>
          <w:p w:rsidR="00BD5820" w:rsidRDefault="00BD5820">
            <w:pPr>
              <w:pStyle w:val="afff1"/>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BD5820" w:rsidRDefault="00F64314">
            <w:pPr>
              <w:pStyle w:val="afff1"/>
              <w:rPr>
                <w:highlight w:val="red"/>
              </w:rPr>
            </w:pPr>
            <w:r>
              <w:rPr>
                <w:rFonts w:hint="eastAsia"/>
              </w:rPr>
              <w:t>7</w:t>
            </w:r>
            <w:r>
              <w:t>.</w:t>
            </w:r>
            <w:r>
              <w:rPr>
                <w:rFonts w:hint="eastAsia"/>
              </w:rPr>
              <w:t>8</w:t>
            </w:r>
          </w:p>
        </w:tc>
        <w:tc>
          <w:tcPr>
            <w:tcW w:w="1389" w:type="dxa"/>
            <w:vMerge/>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BD5820">
            <w:pPr>
              <w:pStyle w:val="afff1"/>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087" w:type="dxa"/>
            <w:tcBorders>
              <w:top w:val="single" w:sz="2" w:space="0" w:color="auto"/>
              <w:left w:val="single" w:sz="2" w:space="0" w:color="auto"/>
              <w:bottom w:val="single" w:sz="2" w:space="0" w:color="auto"/>
            </w:tcBorders>
            <w:shd w:val="clear" w:color="auto" w:fill="auto"/>
            <w:vAlign w:val="center"/>
          </w:tcPr>
          <w:p w:rsidR="00BD5820" w:rsidRDefault="00F64314">
            <w:pPr>
              <w:pStyle w:val="afff1"/>
              <w:rPr>
                <w:szCs w:val="18"/>
              </w:rPr>
            </w:pPr>
            <w:r>
              <w:rPr>
                <w:rFonts w:hint="eastAsia"/>
                <w:szCs w:val="18"/>
              </w:rPr>
              <w:t>&lt;0.002</w:t>
            </w:r>
          </w:p>
        </w:tc>
      </w:tr>
      <w:tr w:rsidR="00BD5820">
        <w:trPr>
          <w:trHeight w:val="242"/>
          <w:jc w:val="center"/>
        </w:trPr>
        <w:tc>
          <w:tcPr>
            <w:tcW w:w="1304" w:type="dxa"/>
            <w:vMerge/>
            <w:tcBorders>
              <w:top w:val="single" w:sz="2" w:space="0" w:color="auto"/>
              <w:bottom w:val="single" w:sz="2" w:space="0" w:color="auto"/>
              <w:right w:val="single" w:sz="2" w:space="0" w:color="auto"/>
            </w:tcBorders>
            <w:shd w:val="clear" w:color="auto" w:fill="auto"/>
            <w:vAlign w:val="center"/>
          </w:tcPr>
          <w:p w:rsidR="00BD5820" w:rsidRDefault="00BD5820">
            <w:pPr>
              <w:pStyle w:val="afff1"/>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BD5820" w:rsidRDefault="00F64314">
            <w:pPr>
              <w:pStyle w:val="afff1"/>
              <w:rPr>
                <w:highlight w:val="red"/>
              </w:rPr>
            </w:pPr>
            <w:r>
              <w:rPr>
                <w:rFonts w:hint="eastAsia"/>
              </w:rPr>
              <w:t>7</w:t>
            </w:r>
            <w:r>
              <w:t>.</w:t>
            </w:r>
            <w:r>
              <w:rPr>
                <w:rFonts w:hint="eastAsia"/>
              </w:rPr>
              <w:t>9</w:t>
            </w:r>
          </w:p>
        </w:tc>
        <w:tc>
          <w:tcPr>
            <w:tcW w:w="1389" w:type="dxa"/>
            <w:vMerge/>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BD5820">
            <w:pPr>
              <w:pStyle w:val="afff1"/>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087" w:type="dxa"/>
            <w:tcBorders>
              <w:top w:val="single" w:sz="2" w:space="0" w:color="auto"/>
              <w:left w:val="single" w:sz="2" w:space="0" w:color="auto"/>
              <w:bottom w:val="single" w:sz="2" w:space="0" w:color="auto"/>
            </w:tcBorders>
            <w:shd w:val="clear" w:color="auto" w:fill="auto"/>
            <w:vAlign w:val="center"/>
          </w:tcPr>
          <w:p w:rsidR="00BD5820" w:rsidRDefault="00F64314">
            <w:pPr>
              <w:pStyle w:val="afff1"/>
              <w:rPr>
                <w:szCs w:val="18"/>
              </w:rPr>
            </w:pPr>
            <w:r>
              <w:rPr>
                <w:rFonts w:hint="eastAsia"/>
                <w:szCs w:val="18"/>
              </w:rPr>
              <w:t>&lt;0.002</w:t>
            </w:r>
          </w:p>
        </w:tc>
      </w:tr>
      <w:tr w:rsidR="00BD5820">
        <w:trPr>
          <w:trHeight w:val="242"/>
          <w:jc w:val="center"/>
        </w:trPr>
        <w:tc>
          <w:tcPr>
            <w:tcW w:w="1304" w:type="dxa"/>
            <w:vMerge/>
            <w:tcBorders>
              <w:top w:val="single" w:sz="2" w:space="0" w:color="auto"/>
              <w:bottom w:val="single" w:sz="2" w:space="0" w:color="auto"/>
              <w:right w:val="single" w:sz="2" w:space="0" w:color="auto"/>
            </w:tcBorders>
            <w:shd w:val="clear" w:color="auto" w:fill="auto"/>
            <w:vAlign w:val="center"/>
          </w:tcPr>
          <w:p w:rsidR="00BD5820" w:rsidRDefault="00BD5820">
            <w:pPr>
              <w:pStyle w:val="afff1"/>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BD5820" w:rsidRDefault="00F64314">
            <w:pPr>
              <w:pStyle w:val="afff1"/>
              <w:rPr>
                <w:highlight w:val="red"/>
              </w:rPr>
            </w:pPr>
            <w:r>
              <w:rPr>
                <w:rFonts w:hint="eastAsia"/>
              </w:rPr>
              <w:t>7</w:t>
            </w:r>
            <w:r>
              <w:t>.</w:t>
            </w:r>
            <w:r>
              <w:rPr>
                <w:rFonts w:hint="eastAsia"/>
              </w:rPr>
              <w:t>10</w:t>
            </w:r>
          </w:p>
        </w:tc>
        <w:tc>
          <w:tcPr>
            <w:tcW w:w="1389" w:type="dxa"/>
            <w:vMerge/>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BD5820">
            <w:pPr>
              <w:pStyle w:val="afff1"/>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087" w:type="dxa"/>
            <w:tcBorders>
              <w:top w:val="single" w:sz="2" w:space="0" w:color="auto"/>
              <w:left w:val="single" w:sz="2" w:space="0" w:color="auto"/>
              <w:bottom w:val="single" w:sz="2" w:space="0" w:color="auto"/>
            </w:tcBorders>
            <w:shd w:val="clear" w:color="auto" w:fill="auto"/>
            <w:vAlign w:val="center"/>
          </w:tcPr>
          <w:p w:rsidR="00BD5820" w:rsidRDefault="00F64314">
            <w:pPr>
              <w:pStyle w:val="afff1"/>
              <w:rPr>
                <w:szCs w:val="18"/>
              </w:rPr>
            </w:pPr>
            <w:r>
              <w:rPr>
                <w:rFonts w:hint="eastAsia"/>
                <w:szCs w:val="18"/>
              </w:rPr>
              <w:t>&lt;0.002</w:t>
            </w:r>
          </w:p>
        </w:tc>
      </w:tr>
      <w:tr w:rsidR="00BD5820">
        <w:trPr>
          <w:trHeight w:val="242"/>
          <w:jc w:val="center"/>
        </w:trPr>
        <w:tc>
          <w:tcPr>
            <w:tcW w:w="1304" w:type="dxa"/>
            <w:vMerge/>
            <w:tcBorders>
              <w:top w:val="single" w:sz="2" w:space="0" w:color="auto"/>
              <w:bottom w:val="single" w:sz="2" w:space="0" w:color="auto"/>
              <w:right w:val="single" w:sz="2" w:space="0" w:color="auto"/>
            </w:tcBorders>
            <w:shd w:val="clear" w:color="auto" w:fill="auto"/>
            <w:vAlign w:val="center"/>
          </w:tcPr>
          <w:p w:rsidR="00BD5820" w:rsidRDefault="00BD5820">
            <w:pPr>
              <w:pStyle w:val="afff1"/>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BD5820" w:rsidRDefault="00F64314">
            <w:pPr>
              <w:pStyle w:val="afff1"/>
              <w:rPr>
                <w:highlight w:val="red"/>
              </w:rPr>
            </w:pPr>
            <w:r>
              <w:rPr>
                <w:rFonts w:hint="eastAsia"/>
              </w:rPr>
              <w:t>7</w:t>
            </w:r>
            <w:r>
              <w:t>.</w:t>
            </w:r>
            <w:r>
              <w:rPr>
                <w:rFonts w:hint="eastAsia"/>
              </w:rPr>
              <w:t>11</w:t>
            </w:r>
          </w:p>
        </w:tc>
        <w:tc>
          <w:tcPr>
            <w:tcW w:w="1389" w:type="dxa"/>
            <w:vMerge/>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BD5820">
            <w:pPr>
              <w:pStyle w:val="afff1"/>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087" w:type="dxa"/>
            <w:tcBorders>
              <w:top w:val="single" w:sz="2" w:space="0" w:color="auto"/>
              <w:left w:val="single" w:sz="2" w:space="0" w:color="auto"/>
              <w:bottom w:val="single" w:sz="2" w:space="0" w:color="auto"/>
            </w:tcBorders>
            <w:shd w:val="clear" w:color="auto" w:fill="auto"/>
            <w:vAlign w:val="center"/>
          </w:tcPr>
          <w:p w:rsidR="00BD5820" w:rsidRDefault="00F64314">
            <w:pPr>
              <w:pStyle w:val="afff1"/>
              <w:rPr>
                <w:szCs w:val="18"/>
              </w:rPr>
            </w:pPr>
            <w:r>
              <w:rPr>
                <w:rFonts w:hint="eastAsia"/>
                <w:szCs w:val="18"/>
              </w:rPr>
              <w:t>&lt;0.002</w:t>
            </w:r>
          </w:p>
        </w:tc>
      </w:tr>
      <w:tr w:rsidR="00BD5820">
        <w:trPr>
          <w:trHeight w:val="242"/>
          <w:jc w:val="center"/>
        </w:trPr>
        <w:tc>
          <w:tcPr>
            <w:tcW w:w="1304" w:type="dxa"/>
            <w:vMerge/>
            <w:tcBorders>
              <w:top w:val="single" w:sz="2" w:space="0" w:color="auto"/>
              <w:bottom w:val="single" w:sz="2" w:space="0" w:color="auto"/>
              <w:right w:val="single" w:sz="2" w:space="0" w:color="auto"/>
            </w:tcBorders>
            <w:shd w:val="clear" w:color="auto" w:fill="auto"/>
            <w:vAlign w:val="center"/>
          </w:tcPr>
          <w:p w:rsidR="00BD5820" w:rsidRDefault="00BD5820">
            <w:pPr>
              <w:pStyle w:val="afff1"/>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BD5820" w:rsidRDefault="00F64314">
            <w:pPr>
              <w:pStyle w:val="afff1"/>
              <w:rPr>
                <w:highlight w:val="red"/>
              </w:rPr>
            </w:pPr>
            <w:r>
              <w:rPr>
                <w:rFonts w:hint="eastAsia"/>
              </w:rPr>
              <w:t>7.12</w:t>
            </w:r>
          </w:p>
        </w:tc>
        <w:tc>
          <w:tcPr>
            <w:tcW w:w="1389" w:type="dxa"/>
            <w:vMerge/>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BD5820">
            <w:pPr>
              <w:pStyle w:val="afff1"/>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21"/>
              </w:rPr>
              <w:t>/</w:t>
            </w:r>
          </w:p>
        </w:tc>
        <w:tc>
          <w:tcPr>
            <w:tcW w:w="1087" w:type="dxa"/>
            <w:tcBorders>
              <w:top w:val="single" w:sz="2" w:space="0" w:color="auto"/>
              <w:left w:val="single" w:sz="2" w:space="0" w:color="auto"/>
              <w:bottom w:val="single" w:sz="2" w:space="0" w:color="auto"/>
            </w:tcBorders>
            <w:shd w:val="clear" w:color="auto" w:fill="auto"/>
            <w:vAlign w:val="center"/>
          </w:tcPr>
          <w:p w:rsidR="00BD5820" w:rsidRDefault="00F64314">
            <w:pPr>
              <w:pStyle w:val="afff1"/>
              <w:rPr>
                <w:szCs w:val="18"/>
              </w:rPr>
            </w:pPr>
            <w:r>
              <w:rPr>
                <w:rFonts w:hint="eastAsia"/>
                <w:szCs w:val="21"/>
              </w:rPr>
              <w:t>/</w:t>
            </w:r>
          </w:p>
        </w:tc>
      </w:tr>
      <w:tr w:rsidR="00BD5820">
        <w:trPr>
          <w:trHeight w:val="242"/>
          <w:jc w:val="center"/>
        </w:trPr>
        <w:tc>
          <w:tcPr>
            <w:tcW w:w="1304" w:type="dxa"/>
            <w:vMerge w:val="restart"/>
            <w:tcBorders>
              <w:top w:val="single" w:sz="2" w:space="0" w:color="auto"/>
              <w:right w:val="single" w:sz="2" w:space="0" w:color="auto"/>
            </w:tcBorders>
            <w:shd w:val="clear" w:color="auto" w:fill="auto"/>
            <w:vAlign w:val="center"/>
          </w:tcPr>
          <w:p w:rsidR="00BD5820" w:rsidRDefault="00F64314">
            <w:pPr>
              <w:pStyle w:val="afff1"/>
            </w:pPr>
            <w:r>
              <w:rPr>
                <w:rFonts w:hint="eastAsia"/>
              </w:rPr>
              <w:t>P106</w:t>
            </w:r>
            <w:r>
              <w:rPr>
                <w:rFonts w:hint="eastAsia"/>
              </w:rPr>
              <w:t>集气站所在地西南侧</w:t>
            </w:r>
            <w:r>
              <w:rPr>
                <w:rFonts w:hint="eastAsia"/>
              </w:rPr>
              <w:t>3#</w:t>
            </w: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BD5820" w:rsidRDefault="00F64314">
            <w:pPr>
              <w:pStyle w:val="afff1"/>
              <w:rPr>
                <w:szCs w:val="21"/>
                <w:highlight w:val="red"/>
              </w:rPr>
            </w:pPr>
            <w:r>
              <w:rPr>
                <w:rFonts w:hint="eastAsia"/>
              </w:rPr>
              <w:t>7</w:t>
            </w:r>
            <w:r>
              <w:t>.</w:t>
            </w:r>
            <w:r>
              <w:rPr>
                <w:rFonts w:hint="eastAsia"/>
              </w:rPr>
              <w:t>5</w:t>
            </w:r>
          </w:p>
        </w:tc>
        <w:tc>
          <w:tcPr>
            <w:tcW w:w="1389" w:type="dxa"/>
            <w:vMerge w:val="restart"/>
            <w:tcBorders>
              <w:top w:val="single" w:sz="2" w:space="0" w:color="auto"/>
              <w:left w:val="single" w:sz="2" w:space="0" w:color="auto"/>
              <w:right w:val="single" w:sz="2" w:space="0" w:color="auto"/>
            </w:tcBorders>
            <w:shd w:val="clear" w:color="auto" w:fill="auto"/>
            <w:vAlign w:val="center"/>
          </w:tcPr>
          <w:p w:rsidR="00BD5820" w:rsidRDefault="00F64314">
            <w:pPr>
              <w:pStyle w:val="afff1"/>
            </w:pPr>
            <w:r>
              <w:rPr>
                <w:szCs w:val="21"/>
              </w:rPr>
              <w:t>硫化氢</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21"/>
              </w:rPr>
              <w:t>/</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21"/>
              </w:rPr>
              <w:t>/</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087" w:type="dxa"/>
            <w:tcBorders>
              <w:top w:val="single" w:sz="2" w:space="0" w:color="auto"/>
              <w:left w:val="single" w:sz="2" w:space="0" w:color="auto"/>
              <w:bottom w:val="single" w:sz="2" w:space="0" w:color="auto"/>
            </w:tcBorders>
            <w:shd w:val="clear" w:color="auto" w:fill="auto"/>
            <w:vAlign w:val="center"/>
          </w:tcPr>
          <w:p w:rsidR="00BD5820" w:rsidRDefault="00F64314">
            <w:pPr>
              <w:pStyle w:val="afff1"/>
              <w:rPr>
                <w:szCs w:val="18"/>
              </w:rPr>
            </w:pPr>
            <w:r>
              <w:rPr>
                <w:rFonts w:hint="eastAsia"/>
                <w:szCs w:val="18"/>
              </w:rPr>
              <w:t>&lt;0.002</w:t>
            </w:r>
          </w:p>
        </w:tc>
      </w:tr>
      <w:tr w:rsidR="00BD5820">
        <w:trPr>
          <w:trHeight w:val="242"/>
          <w:jc w:val="center"/>
        </w:trPr>
        <w:tc>
          <w:tcPr>
            <w:tcW w:w="1304" w:type="dxa"/>
            <w:vMerge/>
            <w:tcBorders>
              <w:right w:val="single" w:sz="2" w:space="0" w:color="auto"/>
            </w:tcBorders>
            <w:shd w:val="clear" w:color="auto" w:fill="auto"/>
            <w:vAlign w:val="center"/>
          </w:tcPr>
          <w:p w:rsidR="00BD5820" w:rsidRDefault="00BD5820">
            <w:pPr>
              <w:pStyle w:val="afff1"/>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BD5820" w:rsidRDefault="00F64314">
            <w:pPr>
              <w:pStyle w:val="afff1"/>
              <w:rPr>
                <w:highlight w:val="red"/>
              </w:rPr>
            </w:pPr>
            <w:r>
              <w:rPr>
                <w:rFonts w:hint="eastAsia"/>
              </w:rPr>
              <w:t>7</w:t>
            </w:r>
            <w:r>
              <w:t>.</w:t>
            </w:r>
            <w:r>
              <w:rPr>
                <w:rFonts w:hint="eastAsia"/>
              </w:rPr>
              <w:t>6</w:t>
            </w:r>
          </w:p>
        </w:tc>
        <w:tc>
          <w:tcPr>
            <w:tcW w:w="1389" w:type="dxa"/>
            <w:vMerge/>
            <w:tcBorders>
              <w:left w:val="single" w:sz="2" w:space="0" w:color="auto"/>
              <w:right w:val="single" w:sz="2" w:space="0" w:color="auto"/>
            </w:tcBorders>
            <w:shd w:val="clear" w:color="auto" w:fill="auto"/>
            <w:vAlign w:val="center"/>
          </w:tcPr>
          <w:p w:rsidR="00BD5820" w:rsidRDefault="00BD5820">
            <w:pPr>
              <w:pStyle w:val="afff1"/>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087" w:type="dxa"/>
            <w:tcBorders>
              <w:top w:val="single" w:sz="2" w:space="0" w:color="auto"/>
              <w:left w:val="single" w:sz="2" w:space="0" w:color="auto"/>
              <w:bottom w:val="single" w:sz="2" w:space="0" w:color="auto"/>
            </w:tcBorders>
            <w:shd w:val="clear" w:color="auto" w:fill="auto"/>
            <w:vAlign w:val="center"/>
          </w:tcPr>
          <w:p w:rsidR="00BD5820" w:rsidRDefault="00F64314">
            <w:pPr>
              <w:pStyle w:val="afff1"/>
              <w:rPr>
                <w:szCs w:val="18"/>
              </w:rPr>
            </w:pPr>
            <w:r>
              <w:rPr>
                <w:rFonts w:hint="eastAsia"/>
                <w:szCs w:val="18"/>
              </w:rPr>
              <w:t>&lt;0.002</w:t>
            </w:r>
          </w:p>
        </w:tc>
      </w:tr>
      <w:tr w:rsidR="00BD5820">
        <w:trPr>
          <w:trHeight w:val="242"/>
          <w:jc w:val="center"/>
        </w:trPr>
        <w:tc>
          <w:tcPr>
            <w:tcW w:w="1304" w:type="dxa"/>
            <w:vMerge/>
            <w:tcBorders>
              <w:right w:val="single" w:sz="2" w:space="0" w:color="auto"/>
            </w:tcBorders>
            <w:shd w:val="clear" w:color="auto" w:fill="auto"/>
            <w:vAlign w:val="center"/>
          </w:tcPr>
          <w:p w:rsidR="00BD5820" w:rsidRDefault="00BD5820">
            <w:pPr>
              <w:pStyle w:val="afff1"/>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BD5820" w:rsidRDefault="00F64314">
            <w:pPr>
              <w:pStyle w:val="afff1"/>
              <w:rPr>
                <w:highlight w:val="red"/>
              </w:rPr>
            </w:pPr>
            <w:r>
              <w:rPr>
                <w:rFonts w:hint="eastAsia"/>
              </w:rPr>
              <w:t>7</w:t>
            </w:r>
            <w:r>
              <w:t>.</w:t>
            </w:r>
            <w:r>
              <w:rPr>
                <w:rFonts w:hint="eastAsia"/>
              </w:rPr>
              <w:t>7</w:t>
            </w:r>
          </w:p>
        </w:tc>
        <w:tc>
          <w:tcPr>
            <w:tcW w:w="1389" w:type="dxa"/>
            <w:vMerge/>
            <w:tcBorders>
              <w:left w:val="single" w:sz="2" w:space="0" w:color="auto"/>
              <w:right w:val="single" w:sz="2" w:space="0" w:color="auto"/>
            </w:tcBorders>
            <w:shd w:val="clear" w:color="auto" w:fill="auto"/>
            <w:vAlign w:val="center"/>
          </w:tcPr>
          <w:p w:rsidR="00BD5820" w:rsidRDefault="00BD5820">
            <w:pPr>
              <w:pStyle w:val="afff1"/>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087" w:type="dxa"/>
            <w:tcBorders>
              <w:top w:val="single" w:sz="2" w:space="0" w:color="auto"/>
              <w:left w:val="single" w:sz="2" w:space="0" w:color="auto"/>
              <w:bottom w:val="single" w:sz="2" w:space="0" w:color="auto"/>
            </w:tcBorders>
            <w:shd w:val="clear" w:color="auto" w:fill="auto"/>
            <w:vAlign w:val="center"/>
          </w:tcPr>
          <w:p w:rsidR="00BD5820" w:rsidRDefault="00F64314">
            <w:pPr>
              <w:pStyle w:val="afff1"/>
              <w:rPr>
                <w:szCs w:val="18"/>
              </w:rPr>
            </w:pPr>
            <w:r>
              <w:rPr>
                <w:rFonts w:hint="eastAsia"/>
                <w:szCs w:val="18"/>
              </w:rPr>
              <w:t>&lt;0.002</w:t>
            </w:r>
          </w:p>
        </w:tc>
      </w:tr>
      <w:tr w:rsidR="00BD5820">
        <w:trPr>
          <w:trHeight w:val="242"/>
          <w:jc w:val="center"/>
        </w:trPr>
        <w:tc>
          <w:tcPr>
            <w:tcW w:w="1304" w:type="dxa"/>
            <w:vMerge/>
            <w:tcBorders>
              <w:right w:val="single" w:sz="2" w:space="0" w:color="auto"/>
            </w:tcBorders>
            <w:shd w:val="clear" w:color="auto" w:fill="auto"/>
            <w:vAlign w:val="center"/>
          </w:tcPr>
          <w:p w:rsidR="00BD5820" w:rsidRDefault="00BD5820">
            <w:pPr>
              <w:pStyle w:val="afff1"/>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BD5820" w:rsidRDefault="00F64314">
            <w:pPr>
              <w:pStyle w:val="afff1"/>
              <w:rPr>
                <w:highlight w:val="red"/>
              </w:rPr>
            </w:pPr>
            <w:r>
              <w:rPr>
                <w:rFonts w:hint="eastAsia"/>
              </w:rPr>
              <w:t>7</w:t>
            </w:r>
            <w:r>
              <w:t>.</w:t>
            </w:r>
            <w:r>
              <w:rPr>
                <w:rFonts w:hint="eastAsia"/>
              </w:rPr>
              <w:t>8</w:t>
            </w:r>
          </w:p>
        </w:tc>
        <w:tc>
          <w:tcPr>
            <w:tcW w:w="1389" w:type="dxa"/>
            <w:vMerge/>
            <w:tcBorders>
              <w:left w:val="single" w:sz="2" w:space="0" w:color="auto"/>
              <w:right w:val="single" w:sz="2" w:space="0" w:color="auto"/>
            </w:tcBorders>
            <w:shd w:val="clear" w:color="auto" w:fill="auto"/>
            <w:vAlign w:val="center"/>
          </w:tcPr>
          <w:p w:rsidR="00BD5820" w:rsidRDefault="00BD5820">
            <w:pPr>
              <w:pStyle w:val="afff1"/>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087" w:type="dxa"/>
            <w:tcBorders>
              <w:top w:val="single" w:sz="2" w:space="0" w:color="auto"/>
              <w:left w:val="single" w:sz="2" w:space="0" w:color="auto"/>
              <w:bottom w:val="single" w:sz="2" w:space="0" w:color="auto"/>
            </w:tcBorders>
            <w:shd w:val="clear" w:color="auto" w:fill="auto"/>
            <w:vAlign w:val="center"/>
          </w:tcPr>
          <w:p w:rsidR="00BD5820" w:rsidRDefault="00F64314">
            <w:pPr>
              <w:pStyle w:val="afff1"/>
              <w:rPr>
                <w:szCs w:val="18"/>
              </w:rPr>
            </w:pPr>
            <w:r>
              <w:rPr>
                <w:rFonts w:hint="eastAsia"/>
                <w:szCs w:val="18"/>
              </w:rPr>
              <w:t>&lt;0.002</w:t>
            </w:r>
          </w:p>
        </w:tc>
      </w:tr>
      <w:tr w:rsidR="00BD5820">
        <w:trPr>
          <w:trHeight w:val="242"/>
          <w:jc w:val="center"/>
        </w:trPr>
        <w:tc>
          <w:tcPr>
            <w:tcW w:w="1304" w:type="dxa"/>
            <w:vMerge/>
            <w:tcBorders>
              <w:right w:val="single" w:sz="2" w:space="0" w:color="auto"/>
            </w:tcBorders>
            <w:shd w:val="clear" w:color="auto" w:fill="auto"/>
            <w:vAlign w:val="center"/>
          </w:tcPr>
          <w:p w:rsidR="00BD5820" w:rsidRDefault="00BD5820">
            <w:pPr>
              <w:pStyle w:val="afff1"/>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BD5820" w:rsidRDefault="00F64314">
            <w:pPr>
              <w:pStyle w:val="afff1"/>
              <w:rPr>
                <w:highlight w:val="red"/>
              </w:rPr>
            </w:pPr>
            <w:r>
              <w:rPr>
                <w:rFonts w:hint="eastAsia"/>
              </w:rPr>
              <w:t>7</w:t>
            </w:r>
            <w:r>
              <w:t>.</w:t>
            </w:r>
            <w:r>
              <w:rPr>
                <w:rFonts w:hint="eastAsia"/>
              </w:rPr>
              <w:t>9</w:t>
            </w:r>
          </w:p>
        </w:tc>
        <w:tc>
          <w:tcPr>
            <w:tcW w:w="1389" w:type="dxa"/>
            <w:vMerge/>
            <w:tcBorders>
              <w:left w:val="single" w:sz="2" w:space="0" w:color="auto"/>
              <w:right w:val="single" w:sz="2" w:space="0" w:color="auto"/>
            </w:tcBorders>
            <w:shd w:val="clear" w:color="auto" w:fill="auto"/>
            <w:vAlign w:val="center"/>
          </w:tcPr>
          <w:p w:rsidR="00BD5820" w:rsidRDefault="00BD5820">
            <w:pPr>
              <w:pStyle w:val="afff1"/>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087" w:type="dxa"/>
            <w:tcBorders>
              <w:top w:val="single" w:sz="2" w:space="0" w:color="auto"/>
              <w:left w:val="single" w:sz="2" w:space="0" w:color="auto"/>
              <w:bottom w:val="single" w:sz="2" w:space="0" w:color="auto"/>
            </w:tcBorders>
            <w:shd w:val="clear" w:color="auto" w:fill="auto"/>
            <w:vAlign w:val="center"/>
          </w:tcPr>
          <w:p w:rsidR="00BD5820" w:rsidRDefault="00F64314">
            <w:pPr>
              <w:pStyle w:val="afff1"/>
              <w:rPr>
                <w:szCs w:val="18"/>
              </w:rPr>
            </w:pPr>
            <w:r>
              <w:rPr>
                <w:rFonts w:hint="eastAsia"/>
                <w:szCs w:val="18"/>
              </w:rPr>
              <w:t>&lt;0.002</w:t>
            </w:r>
          </w:p>
        </w:tc>
      </w:tr>
      <w:tr w:rsidR="00BD5820">
        <w:trPr>
          <w:trHeight w:val="242"/>
          <w:jc w:val="center"/>
        </w:trPr>
        <w:tc>
          <w:tcPr>
            <w:tcW w:w="1304" w:type="dxa"/>
            <w:vMerge/>
            <w:tcBorders>
              <w:right w:val="single" w:sz="2" w:space="0" w:color="auto"/>
            </w:tcBorders>
            <w:shd w:val="clear" w:color="auto" w:fill="auto"/>
            <w:vAlign w:val="center"/>
          </w:tcPr>
          <w:p w:rsidR="00BD5820" w:rsidRDefault="00BD5820">
            <w:pPr>
              <w:pStyle w:val="afff1"/>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BD5820" w:rsidRDefault="00F64314">
            <w:pPr>
              <w:pStyle w:val="afff1"/>
              <w:rPr>
                <w:highlight w:val="red"/>
              </w:rPr>
            </w:pPr>
            <w:r>
              <w:rPr>
                <w:rFonts w:hint="eastAsia"/>
              </w:rPr>
              <w:t>7</w:t>
            </w:r>
            <w:r>
              <w:t>.</w:t>
            </w:r>
            <w:r>
              <w:rPr>
                <w:rFonts w:hint="eastAsia"/>
              </w:rPr>
              <w:t>10</w:t>
            </w:r>
          </w:p>
        </w:tc>
        <w:tc>
          <w:tcPr>
            <w:tcW w:w="1389" w:type="dxa"/>
            <w:vMerge/>
            <w:tcBorders>
              <w:left w:val="single" w:sz="2" w:space="0" w:color="auto"/>
              <w:right w:val="single" w:sz="2" w:space="0" w:color="auto"/>
            </w:tcBorders>
            <w:shd w:val="clear" w:color="auto" w:fill="auto"/>
            <w:vAlign w:val="center"/>
          </w:tcPr>
          <w:p w:rsidR="00BD5820" w:rsidRDefault="00BD5820">
            <w:pPr>
              <w:pStyle w:val="afff1"/>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087" w:type="dxa"/>
            <w:tcBorders>
              <w:top w:val="single" w:sz="2" w:space="0" w:color="auto"/>
              <w:left w:val="single" w:sz="2" w:space="0" w:color="auto"/>
              <w:bottom w:val="single" w:sz="2" w:space="0" w:color="auto"/>
            </w:tcBorders>
            <w:shd w:val="clear" w:color="auto" w:fill="auto"/>
            <w:vAlign w:val="center"/>
          </w:tcPr>
          <w:p w:rsidR="00BD5820" w:rsidRDefault="00F64314">
            <w:pPr>
              <w:pStyle w:val="afff1"/>
              <w:rPr>
                <w:szCs w:val="18"/>
              </w:rPr>
            </w:pPr>
            <w:r>
              <w:rPr>
                <w:rFonts w:hint="eastAsia"/>
                <w:szCs w:val="18"/>
              </w:rPr>
              <w:t>&lt;0.002</w:t>
            </w:r>
          </w:p>
        </w:tc>
      </w:tr>
      <w:tr w:rsidR="00BD5820">
        <w:trPr>
          <w:trHeight w:val="242"/>
          <w:jc w:val="center"/>
        </w:trPr>
        <w:tc>
          <w:tcPr>
            <w:tcW w:w="1304" w:type="dxa"/>
            <w:vMerge/>
            <w:tcBorders>
              <w:right w:val="single" w:sz="2" w:space="0" w:color="auto"/>
            </w:tcBorders>
            <w:shd w:val="clear" w:color="auto" w:fill="auto"/>
            <w:vAlign w:val="center"/>
          </w:tcPr>
          <w:p w:rsidR="00BD5820" w:rsidRDefault="00BD5820">
            <w:pPr>
              <w:pStyle w:val="afff1"/>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BD5820" w:rsidRDefault="00F64314">
            <w:pPr>
              <w:pStyle w:val="afff1"/>
              <w:rPr>
                <w:highlight w:val="red"/>
              </w:rPr>
            </w:pPr>
            <w:r>
              <w:rPr>
                <w:rFonts w:hint="eastAsia"/>
              </w:rPr>
              <w:t>7</w:t>
            </w:r>
            <w:r>
              <w:t>.</w:t>
            </w:r>
            <w:r>
              <w:rPr>
                <w:rFonts w:hint="eastAsia"/>
              </w:rPr>
              <w:t>11</w:t>
            </w:r>
          </w:p>
        </w:tc>
        <w:tc>
          <w:tcPr>
            <w:tcW w:w="1389" w:type="dxa"/>
            <w:vMerge/>
            <w:tcBorders>
              <w:left w:val="single" w:sz="2" w:space="0" w:color="auto"/>
              <w:right w:val="single" w:sz="2" w:space="0" w:color="auto"/>
            </w:tcBorders>
            <w:shd w:val="clear" w:color="auto" w:fill="auto"/>
            <w:vAlign w:val="center"/>
          </w:tcPr>
          <w:p w:rsidR="00BD5820" w:rsidRDefault="00BD5820">
            <w:pPr>
              <w:pStyle w:val="afff1"/>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087" w:type="dxa"/>
            <w:tcBorders>
              <w:top w:val="single" w:sz="2" w:space="0" w:color="auto"/>
              <w:left w:val="single" w:sz="2" w:space="0" w:color="auto"/>
              <w:bottom w:val="single" w:sz="2" w:space="0" w:color="auto"/>
            </w:tcBorders>
            <w:shd w:val="clear" w:color="auto" w:fill="auto"/>
            <w:vAlign w:val="center"/>
          </w:tcPr>
          <w:p w:rsidR="00BD5820" w:rsidRDefault="00F64314">
            <w:pPr>
              <w:pStyle w:val="afff1"/>
              <w:rPr>
                <w:szCs w:val="18"/>
              </w:rPr>
            </w:pPr>
            <w:r>
              <w:rPr>
                <w:rFonts w:hint="eastAsia"/>
                <w:szCs w:val="18"/>
              </w:rPr>
              <w:t>&lt;0.002</w:t>
            </w:r>
          </w:p>
        </w:tc>
      </w:tr>
      <w:tr w:rsidR="00BD5820">
        <w:trPr>
          <w:trHeight w:val="242"/>
          <w:jc w:val="center"/>
        </w:trPr>
        <w:tc>
          <w:tcPr>
            <w:tcW w:w="1304" w:type="dxa"/>
            <w:vMerge/>
            <w:tcBorders>
              <w:bottom w:val="single" w:sz="2" w:space="0" w:color="auto"/>
              <w:right w:val="single" w:sz="2" w:space="0" w:color="auto"/>
            </w:tcBorders>
            <w:shd w:val="clear" w:color="auto" w:fill="auto"/>
            <w:vAlign w:val="center"/>
          </w:tcPr>
          <w:p w:rsidR="00BD5820" w:rsidRDefault="00BD5820">
            <w:pPr>
              <w:pStyle w:val="afff1"/>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BD5820" w:rsidRDefault="00F64314">
            <w:pPr>
              <w:pStyle w:val="afff1"/>
              <w:rPr>
                <w:highlight w:val="red"/>
              </w:rPr>
            </w:pPr>
            <w:r>
              <w:rPr>
                <w:rFonts w:hint="eastAsia"/>
              </w:rPr>
              <w:t>7.12</w:t>
            </w:r>
          </w:p>
        </w:tc>
        <w:tc>
          <w:tcPr>
            <w:tcW w:w="1389" w:type="dxa"/>
            <w:vMerge/>
            <w:tcBorders>
              <w:left w:val="single" w:sz="2" w:space="0" w:color="auto"/>
              <w:bottom w:val="single" w:sz="2" w:space="0" w:color="auto"/>
              <w:right w:val="single" w:sz="2" w:space="0" w:color="auto"/>
            </w:tcBorders>
            <w:shd w:val="clear" w:color="auto" w:fill="auto"/>
            <w:vAlign w:val="center"/>
          </w:tcPr>
          <w:p w:rsidR="00BD5820" w:rsidRDefault="00BD5820">
            <w:pPr>
              <w:pStyle w:val="afff1"/>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21"/>
              </w:rPr>
              <w:t>/</w:t>
            </w:r>
          </w:p>
        </w:tc>
        <w:tc>
          <w:tcPr>
            <w:tcW w:w="1087" w:type="dxa"/>
            <w:tcBorders>
              <w:top w:val="single" w:sz="2" w:space="0" w:color="auto"/>
              <w:left w:val="single" w:sz="2" w:space="0" w:color="auto"/>
              <w:bottom w:val="single" w:sz="2" w:space="0" w:color="auto"/>
            </w:tcBorders>
            <w:shd w:val="clear" w:color="auto" w:fill="auto"/>
            <w:vAlign w:val="center"/>
          </w:tcPr>
          <w:p w:rsidR="00BD5820" w:rsidRDefault="00F64314">
            <w:pPr>
              <w:pStyle w:val="afff1"/>
              <w:rPr>
                <w:szCs w:val="18"/>
              </w:rPr>
            </w:pPr>
            <w:r>
              <w:rPr>
                <w:rFonts w:hint="eastAsia"/>
                <w:szCs w:val="21"/>
              </w:rPr>
              <w:t>/</w:t>
            </w:r>
          </w:p>
        </w:tc>
      </w:tr>
      <w:tr w:rsidR="00BD5820">
        <w:trPr>
          <w:trHeight w:val="242"/>
          <w:jc w:val="center"/>
        </w:trPr>
        <w:tc>
          <w:tcPr>
            <w:tcW w:w="1304" w:type="dxa"/>
            <w:vMerge w:val="restart"/>
            <w:tcBorders>
              <w:right w:val="single" w:sz="2" w:space="0" w:color="auto"/>
            </w:tcBorders>
            <w:shd w:val="clear" w:color="auto" w:fill="auto"/>
            <w:vAlign w:val="center"/>
          </w:tcPr>
          <w:p w:rsidR="00BD5820" w:rsidRDefault="00F64314">
            <w:pPr>
              <w:pStyle w:val="afff1"/>
            </w:pPr>
            <w:r>
              <w:rPr>
                <w:rFonts w:hint="eastAsia"/>
              </w:rPr>
              <w:t>普光气田</w:t>
            </w:r>
            <w:r>
              <w:rPr>
                <w:rFonts w:hint="eastAsia"/>
              </w:rPr>
              <w:t>2#</w:t>
            </w:r>
            <w:r>
              <w:rPr>
                <w:rFonts w:hint="eastAsia"/>
              </w:rPr>
              <w:t>增压站所在地西南侧</w:t>
            </w:r>
            <w:r>
              <w:rPr>
                <w:rFonts w:hint="eastAsia"/>
              </w:rPr>
              <w:t>4#</w:t>
            </w: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BD5820" w:rsidRDefault="00F64314">
            <w:pPr>
              <w:pStyle w:val="afff1"/>
              <w:rPr>
                <w:szCs w:val="21"/>
                <w:highlight w:val="red"/>
              </w:rPr>
            </w:pPr>
            <w:r>
              <w:rPr>
                <w:rFonts w:hint="eastAsia"/>
              </w:rPr>
              <w:t>7</w:t>
            </w:r>
            <w:r>
              <w:t>.</w:t>
            </w:r>
            <w:r>
              <w:rPr>
                <w:rFonts w:hint="eastAsia"/>
              </w:rPr>
              <w:t>5</w:t>
            </w:r>
          </w:p>
        </w:tc>
        <w:tc>
          <w:tcPr>
            <w:tcW w:w="1389" w:type="dxa"/>
            <w:vMerge w:val="restart"/>
            <w:tcBorders>
              <w:left w:val="single" w:sz="2" w:space="0" w:color="auto"/>
              <w:right w:val="single" w:sz="2" w:space="0" w:color="auto"/>
            </w:tcBorders>
            <w:shd w:val="clear" w:color="auto" w:fill="auto"/>
            <w:vAlign w:val="center"/>
          </w:tcPr>
          <w:p w:rsidR="00BD5820" w:rsidRDefault="00F64314">
            <w:pPr>
              <w:pStyle w:val="afff1"/>
            </w:pPr>
            <w:r>
              <w:rPr>
                <w:szCs w:val="21"/>
              </w:rPr>
              <w:t>硫化氢</w:t>
            </w: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21"/>
              </w:rPr>
              <w:t>/</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21"/>
              </w:rPr>
              <w:t>/</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087" w:type="dxa"/>
            <w:tcBorders>
              <w:top w:val="single" w:sz="2" w:space="0" w:color="auto"/>
              <w:left w:val="single" w:sz="2" w:space="0" w:color="auto"/>
              <w:bottom w:val="single" w:sz="2" w:space="0" w:color="auto"/>
            </w:tcBorders>
            <w:shd w:val="clear" w:color="auto" w:fill="auto"/>
            <w:vAlign w:val="center"/>
          </w:tcPr>
          <w:p w:rsidR="00BD5820" w:rsidRDefault="00F64314">
            <w:pPr>
              <w:pStyle w:val="afff1"/>
              <w:rPr>
                <w:szCs w:val="18"/>
              </w:rPr>
            </w:pPr>
            <w:r>
              <w:rPr>
                <w:rFonts w:hint="eastAsia"/>
                <w:szCs w:val="18"/>
              </w:rPr>
              <w:t>&lt;0.002</w:t>
            </w:r>
          </w:p>
        </w:tc>
      </w:tr>
      <w:tr w:rsidR="00BD5820">
        <w:trPr>
          <w:trHeight w:val="242"/>
          <w:jc w:val="center"/>
        </w:trPr>
        <w:tc>
          <w:tcPr>
            <w:tcW w:w="1304" w:type="dxa"/>
            <w:vMerge/>
            <w:tcBorders>
              <w:right w:val="single" w:sz="2" w:space="0" w:color="auto"/>
            </w:tcBorders>
            <w:shd w:val="clear" w:color="auto" w:fill="auto"/>
            <w:vAlign w:val="center"/>
          </w:tcPr>
          <w:p w:rsidR="00BD5820" w:rsidRDefault="00BD5820">
            <w:pPr>
              <w:pStyle w:val="afff1"/>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BD5820" w:rsidRDefault="00F64314">
            <w:pPr>
              <w:pStyle w:val="afff1"/>
              <w:rPr>
                <w:highlight w:val="red"/>
              </w:rPr>
            </w:pPr>
            <w:r>
              <w:rPr>
                <w:rFonts w:hint="eastAsia"/>
              </w:rPr>
              <w:t>7</w:t>
            </w:r>
            <w:r>
              <w:t>.</w:t>
            </w:r>
            <w:r>
              <w:rPr>
                <w:rFonts w:hint="eastAsia"/>
              </w:rPr>
              <w:t>6</w:t>
            </w:r>
          </w:p>
        </w:tc>
        <w:tc>
          <w:tcPr>
            <w:tcW w:w="1389" w:type="dxa"/>
            <w:vMerge/>
            <w:tcBorders>
              <w:left w:val="single" w:sz="2" w:space="0" w:color="auto"/>
              <w:right w:val="single" w:sz="2" w:space="0" w:color="auto"/>
            </w:tcBorders>
            <w:shd w:val="clear" w:color="auto" w:fill="auto"/>
            <w:vAlign w:val="center"/>
          </w:tcPr>
          <w:p w:rsidR="00BD5820" w:rsidRDefault="00BD5820">
            <w:pPr>
              <w:pStyle w:val="afff1"/>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087" w:type="dxa"/>
            <w:tcBorders>
              <w:top w:val="single" w:sz="2" w:space="0" w:color="auto"/>
              <w:left w:val="single" w:sz="2" w:space="0" w:color="auto"/>
              <w:bottom w:val="single" w:sz="2" w:space="0" w:color="auto"/>
            </w:tcBorders>
            <w:shd w:val="clear" w:color="auto" w:fill="auto"/>
            <w:vAlign w:val="center"/>
          </w:tcPr>
          <w:p w:rsidR="00BD5820" w:rsidRDefault="00F64314">
            <w:pPr>
              <w:pStyle w:val="afff1"/>
              <w:rPr>
                <w:szCs w:val="18"/>
              </w:rPr>
            </w:pPr>
            <w:r>
              <w:rPr>
                <w:rFonts w:hint="eastAsia"/>
                <w:szCs w:val="18"/>
              </w:rPr>
              <w:t>&lt;0.002</w:t>
            </w:r>
          </w:p>
        </w:tc>
      </w:tr>
      <w:tr w:rsidR="00BD5820">
        <w:trPr>
          <w:trHeight w:val="242"/>
          <w:jc w:val="center"/>
        </w:trPr>
        <w:tc>
          <w:tcPr>
            <w:tcW w:w="1304" w:type="dxa"/>
            <w:vMerge/>
            <w:tcBorders>
              <w:right w:val="single" w:sz="2" w:space="0" w:color="auto"/>
            </w:tcBorders>
            <w:shd w:val="clear" w:color="auto" w:fill="auto"/>
            <w:vAlign w:val="center"/>
          </w:tcPr>
          <w:p w:rsidR="00BD5820" w:rsidRDefault="00BD5820">
            <w:pPr>
              <w:pStyle w:val="afff1"/>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BD5820" w:rsidRDefault="00F64314">
            <w:pPr>
              <w:pStyle w:val="afff1"/>
              <w:rPr>
                <w:highlight w:val="red"/>
              </w:rPr>
            </w:pPr>
            <w:r>
              <w:rPr>
                <w:rFonts w:hint="eastAsia"/>
              </w:rPr>
              <w:t>7</w:t>
            </w:r>
            <w:r>
              <w:t>.</w:t>
            </w:r>
            <w:r>
              <w:rPr>
                <w:rFonts w:hint="eastAsia"/>
              </w:rPr>
              <w:t>7</w:t>
            </w:r>
          </w:p>
        </w:tc>
        <w:tc>
          <w:tcPr>
            <w:tcW w:w="1389" w:type="dxa"/>
            <w:vMerge/>
            <w:tcBorders>
              <w:left w:val="single" w:sz="2" w:space="0" w:color="auto"/>
              <w:right w:val="single" w:sz="2" w:space="0" w:color="auto"/>
            </w:tcBorders>
            <w:shd w:val="clear" w:color="auto" w:fill="auto"/>
            <w:vAlign w:val="center"/>
          </w:tcPr>
          <w:p w:rsidR="00BD5820" w:rsidRDefault="00BD5820">
            <w:pPr>
              <w:pStyle w:val="afff1"/>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087" w:type="dxa"/>
            <w:tcBorders>
              <w:top w:val="single" w:sz="2" w:space="0" w:color="auto"/>
              <w:left w:val="single" w:sz="2" w:space="0" w:color="auto"/>
              <w:bottom w:val="single" w:sz="2" w:space="0" w:color="auto"/>
            </w:tcBorders>
            <w:shd w:val="clear" w:color="auto" w:fill="auto"/>
            <w:vAlign w:val="center"/>
          </w:tcPr>
          <w:p w:rsidR="00BD5820" w:rsidRDefault="00F64314">
            <w:pPr>
              <w:pStyle w:val="afff1"/>
              <w:rPr>
                <w:szCs w:val="18"/>
              </w:rPr>
            </w:pPr>
            <w:r>
              <w:rPr>
                <w:rFonts w:hint="eastAsia"/>
                <w:szCs w:val="18"/>
              </w:rPr>
              <w:t>&lt;0.002</w:t>
            </w:r>
          </w:p>
        </w:tc>
      </w:tr>
      <w:tr w:rsidR="00BD5820">
        <w:trPr>
          <w:trHeight w:val="242"/>
          <w:jc w:val="center"/>
        </w:trPr>
        <w:tc>
          <w:tcPr>
            <w:tcW w:w="1304" w:type="dxa"/>
            <w:vMerge/>
            <w:tcBorders>
              <w:right w:val="single" w:sz="2" w:space="0" w:color="auto"/>
            </w:tcBorders>
            <w:shd w:val="clear" w:color="auto" w:fill="auto"/>
            <w:vAlign w:val="center"/>
          </w:tcPr>
          <w:p w:rsidR="00BD5820" w:rsidRDefault="00BD5820">
            <w:pPr>
              <w:pStyle w:val="afff1"/>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BD5820" w:rsidRDefault="00F64314">
            <w:pPr>
              <w:pStyle w:val="afff1"/>
              <w:rPr>
                <w:highlight w:val="red"/>
              </w:rPr>
            </w:pPr>
            <w:r>
              <w:rPr>
                <w:rFonts w:hint="eastAsia"/>
              </w:rPr>
              <w:t>7</w:t>
            </w:r>
            <w:r>
              <w:t>.</w:t>
            </w:r>
            <w:r>
              <w:rPr>
                <w:rFonts w:hint="eastAsia"/>
              </w:rPr>
              <w:t>8</w:t>
            </w:r>
          </w:p>
        </w:tc>
        <w:tc>
          <w:tcPr>
            <w:tcW w:w="1389" w:type="dxa"/>
            <w:vMerge/>
            <w:tcBorders>
              <w:left w:val="single" w:sz="2" w:space="0" w:color="auto"/>
              <w:right w:val="single" w:sz="2" w:space="0" w:color="auto"/>
            </w:tcBorders>
            <w:shd w:val="clear" w:color="auto" w:fill="auto"/>
            <w:vAlign w:val="center"/>
          </w:tcPr>
          <w:p w:rsidR="00BD5820" w:rsidRDefault="00BD5820">
            <w:pPr>
              <w:pStyle w:val="afff1"/>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087" w:type="dxa"/>
            <w:tcBorders>
              <w:top w:val="single" w:sz="2" w:space="0" w:color="auto"/>
              <w:left w:val="single" w:sz="2" w:space="0" w:color="auto"/>
              <w:bottom w:val="single" w:sz="2" w:space="0" w:color="auto"/>
            </w:tcBorders>
            <w:shd w:val="clear" w:color="auto" w:fill="auto"/>
            <w:vAlign w:val="center"/>
          </w:tcPr>
          <w:p w:rsidR="00BD5820" w:rsidRDefault="00F64314">
            <w:pPr>
              <w:pStyle w:val="afff1"/>
              <w:rPr>
                <w:szCs w:val="18"/>
              </w:rPr>
            </w:pPr>
            <w:r>
              <w:rPr>
                <w:rFonts w:hint="eastAsia"/>
                <w:szCs w:val="18"/>
              </w:rPr>
              <w:t>&lt;0.002</w:t>
            </w:r>
          </w:p>
        </w:tc>
      </w:tr>
      <w:tr w:rsidR="00BD5820">
        <w:trPr>
          <w:trHeight w:val="242"/>
          <w:jc w:val="center"/>
        </w:trPr>
        <w:tc>
          <w:tcPr>
            <w:tcW w:w="1304" w:type="dxa"/>
            <w:vMerge/>
            <w:tcBorders>
              <w:right w:val="single" w:sz="2" w:space="0" w:color="auto"/>
            </w:tcBorders>
            <w:shd w:val="clear" w:color="auto" w:fill="auto"/>
            <w:vAlign w:val="center"/>
          </w:tcPr>
          <w:p w:rsidR="00BD5820" w:rsidRDefault="00BD5820">
            <w:pPr>
              <w:pStyle w:val="afff1"/>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BD5820" w:rsidRDefault="00F64314">
            <w:pPr>
              <w:pStyle w:val="afff1"/>
              <w:rPr>
                <w:highlight w:val="red"/>
              </w:rPr>
            </w:pPr>
            <w:r>
              <w:rPr>
                <w:rFonts w:hint="eastAsia"/>
              </w:rPr>
              <w:t>7</w:t>
            </w:r>
            <w:r>
              <w:t>.</w:t>
            </w:r>
            <w:r>
              <w:rPr>
                <w:rFonts w:hint="eastAsia"/>
              </w:rPr>
              <w:t>9</w:t>
            </w:r>
          </w:p>
        </w:tc>
        <w:tc>
          <w:tcPr>
            <w:tcW w:w="1389" w:type="dxa"/>
            <w:vMerge/>
            <w:tcBorders>
              <w:left w:val="single" w:sz="2" w:space="0" w:color="auto"/>
              <w:right w:val="single" w:sz="2" w:space="0" w:color="auto"/>
            </w:tcBorders>
            <w:shd w:val="clear" w:color="auto" w:fill="auto"/>
            <w:vAlign w:val="center"/>
          </w:tcPr>
          <w:p w:rsidR="00BD5820" w:rsidRDefault="00BD5820">
            <w:pPr>
              <w:pStyle w:val="afff1"/>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087" w:type="dxa"/>
            <w:tcBorders>
              <w:top w:val="single" w:sz="2" w:space="0" w:color="auto"/>
              <w:left w:val="single" w:sz="2" w:space="0" w:color="auto"/>
              <w:bottom w:val="single" w:sz="2" w:space="0" w:color="auto"/>
            </w:tcBorders>
            <w:shd w:val="clear" w:color="auto" w:fill="auto"/>
            <w:vAlign w:val="center"/>
          </w:tcPr>
          <w:p w:rsidR="00BD5820" w:rsidRDefault="00F64314">
            <w:pPr>
              <w:pStyle w:val="afff1"/>
              <w:rPr>
                <w:szCs w:val="18"/>
              </w:rPr>
            </w:pPr>
            <w:r>
              <w:rPr>
                <w:rFonts w:hint="eastAsia"/>
                <w:szCs w:val="18"/>
              </w:rPr>
              <w:t>&lt;0.002</w:t>
            </w:r>
          </w:p>
        </w:tc>
      </w:tr>
      <w:tr w:rsidR="00BD5820">
        <w:trPr>
          <w:trHeight w:val="242"/>
          <w:jc w:val="center"/>
        </w:trPr>
        <w:tc>
          <w:tcPr>
            <w:tcW w:w="1304" w:type="dxa"/>
            <w:vMerge/>
            <w:tcBorders>
              <w:right w:val="single" w:sz="2" w:space="0" w:color="auto"/>
            </w:tcBorders>
            <w:shd w:val="clear" w:color="auto" w:fill="auto"/>
            <w:vAlign w:val="center"/>
          </w:tcPr>
          <w:p w:rsidR="00BD5820" w:rsidRDefault="00BD5820">
            <w:pPr>
              <w:pStyle w:val="afff1"/>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BD5820" w:rsidRDefault="00F64314">
            <w:pPr>
              <w:pStyle w:val="afff1"/>
              <w:rPr>
                <w:highlight w:val="red"/>
              </w:rPr>
            </w:pPr>
            <w:r>
              <w:rPr>
                <w:rFonts w:hint="eastAsia"/>
              </w:rPr>
              <w:t>7</w:t>
            </w:r>
            <w:r>
              <w:t>.</w:t>
            </w:r>
            <w:r>
              <w:rPr>
                <w:rFonts w:hint="eastAsia"/>
              </w:rPr>
              <w:t>10</w:t>
            </w:r>
          </w:p>
        </w:tc>
        <w:tc>
          <w:tcPr>
            <w:tcW w:w="1389" w:type="dxa"/>
            <w:vMerge/>
            <w:tcBorders>
              <w:left w:val="single" w:sz="2" w:space="0" w:color="auto"/>
              <w:right w:val="single" w:sz="2" w:space="0" w:color="auto"/>
            </w:tcBorders>
            <w:shd w:val="clear" w:color="auto" w:fill="auto"/>
            <w:vAlign w:val="center"/>
          </w:tcPr>
          <w:p w:rsidR="00BD5820" w:rsidRDefault="00BD5820">
            <w:pPr>
              <w:pStyle w:val="afff1"/>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087" w:type="dxa"/>
            <w:tcBorders>
              <w:top w:val="single" w:sz="2" w:space="0" w:color="auto"/>
              <w:left w:val="single" w:sz="2" w:space="0" w:color="auto"/>
              <w:bottom w:val="single" w:sz="2" w:space="0" w:color="auto"/>
            </w:tcBorders>
            <w:shd w:val="clear" w:color="auto" w:fill="auto"/>
            <w:vAlign w:val="center"/>
          </w:tcPr>
          <w:p w:rsidR="00BD5820" w:rsidRDefault="00F64314">
            <w:pPr>
              <w:pStyle w:val="afff1"/>
              <w:rPr>
                <w:szCs w:val="18"/>
              </w:rPr>
            </w:pPr>
            <w:r>
              <w:rPr>
                <w:rFonts w:hint="eastAsia"/>
                <w:szCs w:val="18"/>
              </w:rPr>
              <w:t>&lt;0.002</w:t>
            </w:r>
          </w:p>
        </w:tc>
      </w:tr>
      <w:tr w:rsidR="00BD5820">
        <w:trPr>
          <w:trHeight w:val="242"/>
          <w:jc w:val="center"/>
        </w:trPr>
        <w:tc>
          <w:tcPr>
            <w:tcW w:w="1304" w:type="dxa"/>
            <w:vMerge/>
            <w:tcBorders>
              <w:right w:val="single" w:sz="2" w:space="0" w:color="auto"/>
            </w:tcBorders>
            <w:shd w:val="clear" w:color="auto" w:fill="auto"/>
            <w:vAlign w:val="center"/>
          </w:tcPr>
          <w:p w:rsidR="00BD5820" w:rsidRDefault="00BD5820">
            <w:pPr>
              <w:pStyle w:val="afff1"/>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BD5820" w:rsidRDefault="00F64314">
            <w:pPr>
              <w:pStyle w:val="afff1"/>
              <w:rPr>
                <w:highlight w:val="red"/>
              </w:rPr>
            </w:pPr>
            <w:r>
              <w:rPr>
                <w:rFonts w:hint="eastAsia"/>
              </w:rPr>
              <w:t>7</w:t>
            </w:r>
            <w:r>
              <w:t>.</w:t>
            </w:r>
            <w:r>
              <w:rPr>
                <w:rFonts w:hint="eastAsia"/>
              </w:rPr>
              <w:t>11</w:t>
            </w:r>
          </w:p>
        </w:tc>
        <w:tc>
          <w:tcPr>
            <w:tcW w:w="1389" w:type="dxa"/>
            <w:vMerge/>
            <w:tcBorders>
              <w:left w:val="single" w:sz="2" w:space="0" w:color="auto"/>
              <w:right w:val="single" w:sz="2" w:space="0" w:color="auto"/>
            </w:tcBorders>
            <w:shd w:val="clear" w:color="auto" w:fill="auto"/>
            <w:vAlign w:val="center"/>
          </w:tcPr>
          <w:p w:rsidR="00BD5820" w:rsidRDefault="00BD5820">
            <w:pPr>
              <w:pStyle w:val="afff1"/>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087" w:type="dxa"/>
            <w:tcBorders>
              <w:top w:val="single" w:sz="2" w:space="0" w:color="auto"/>
              <w:left w:val="single" w:sz="2" w:space="0" w:color="auto"/>
              <w:bottom w:val="single" w:sz="2" w:space="0" w:color="auto"/>
            </w:tcBorders>
            <w:shd w:val="clear" w:color="auto" w:fill="auto"/>
            <w:vAlign w:val="center"/>
          </w:tcPr>
          <w:p w:rsidR="00BD5820" w:rsidRDefault="00F64314">
            <w:pPr>
              <w:pStyle w:val="afff1"/>
              <w:rPr>
                <w:szCs w:val="18"/>
              </w:rPr>
            </w:pPr>
            <w:r>
              <w:rPr>
                <w:rFonts w:hint="eastAsia"/>
                <w:szCs w:val="18"/>
              </w:rPr>
              <w:t>&lt;0.002</w:t>
            </w:r>
          </w:p>
        </w:tc>
      </w:tr>
      <w:tr w:rsidR="00BD5820">
        <w:trPr>
          <w:trHeight w:val="242"/>
          <w:jc w:val="center"/>
        </w:trPr>
        <w:tc>
          <w:tcPr>
            <w:tcW w:w="1304" w:type="dxa"/>
            <w:vMerge/>
            <w:tcBorders>
              <w:bottom w:val="single" w:sz="2" w:space="0" w:color="auto"/>
              <w:right w:val="single" w:sz="2" w:space="0" w:color="auto"/>
            </w:tcBorders>
            <w:shd w:val="clear" w:color="auto" w:fill="auto"/>
            <w:vAlign w:val="center"/>
          </w:tcPr>
          <w:p w:rsidR="00BD5820" w:rsidRDefault="00BD5820">
            <w:pPr>
              <w:pStyle w:val="afff1"/>
            </w:pPr>
          </w:p>
        </w:tc>
        <w:tc>
          <w:tcPr>
            <w:tcW w:w="1096" w:type="dxa"/>
            <w:tcBorders>
              <w:top w:val="single" w:sz="2" w:space="0" w:color="auto"/>
              <w:left w:val="single" w:sz="2" w:space="0" w:color="auto"/>
              <w:bottom w:val="single" w:sz="2" w:space="0" w:color="auto"/>
              <w:right w:val="single" w:sz="2" w:space="0" w:color="auto"/>
            </w:tcBorders>
            <w:shd w:val="clear" w:color="auto" w:fill="auto"/>
          </w:tcPr>
          <w:p w:rsidR="00BD5820" w:rsidRDefault="00F64314">
            <w:pPr>
              <w:pStyle w:val="afff1"/>
              <w:rPr>
                <w:highlight w:val="red"/>
              </w:rPr>
            </w:pPr>
            <w:r>
              <w:rPr>
                <w:rFonts w:hint="eastAsia"/>
              </w:rPr>
              <w:t>7.12</w:t>
            </w:r>
          </w:p>
        </w:tc>
        <w:tc>
          <w:tcPr>
            <w:tcW w:w="1389" w:type="dxa"/>
            <w:vMerge/>
            <w:tcBorders>
              <w:left w:val="single" w:sz="2" w:space="0" w:color="auto"/>
              <w:bottom w:val="single" w:sz="2" w:space="0" w:color="auto"/>
              <w:right w:val="single" w:sz="2" w:space="0" w:color="auto"/>
            </w:tcBorders>
            <w:shd w:val="clear" w:color="auto" w:fill="auto"/>
            <w:vAlign w:val="center"/>
          </w:tcPr>
          <w:p w:rsidR="00BD5820" w:rsidRDefault="00BD5820">
            <w:pPr>
              <w:pStyle w:val="afff1"/>
            </w:pPr>
          </w:p>
        </w:tc>
        <w:tc>
          <w:tcPr>
            <w:tcW w:w="1418"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362"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18"/>
              </w:rPr>
              <w:t>&lt;0.002</w:t>
            </w:r>
          </w:p>
        </w:tc>
        <w:tc>
          <w:tcPr>
            <w:tcW w:w="1140" w:type="dxa"/>
            <w:tcBorders>
              <w:top w:val="single" w:sz="2" w:space="0" w:color="auto"/>
              <w:left w:val="single" w:sz="2" w:space="0" w:color="auto"/>
              <w:bottom w:val="single" w:sz="2" w:space="0" w:color="auto"/>
              <w:right w:val="single" w:sz="2" w:space="0" w:color="auto"/>
            </w:tcBorders>
            <w:shd w:val="clear" w:color="auto" w:fill="auto"/>
            <w:vAlign w:val="center"/>
          </w:tcPr>
          <w:p w:rsidR="00BD5820" w:rsidRDefault="00F64314">
            <w:pPr>
              <w:pStyle w:val="afff1"/>
              <w:rPr>
                <w:szCs w:val="18"/>
              </w:rPr>
            </w:pPr>
            <w:r>
              <w:rPr>
                <w:rFonts w:hint="eastAsia"/>
                <w:szCs w:val="21"/>
              </w:rPr>
              <w:t>/</w:t>
            </w:r>
          </w:p>
        </w:tc>
        <w:tc>
          <w:tcPr>
            <w:tcW w:w="1087" w:type="dxa"/>
            <w:tcBorders>
              <w:top w:val="single" w:sz="2" w:space="0" w:color="auto"/>
              <w:left w:val="single" w:sz="2" w:space="0" w:color="auto"/>
              <w:bottom w:val="single" w:sz="2" w:space="0" w:color="auto"/>
            </w:tcBorders>
            <w:shd w:val="clear" w:color="auto" w:fill="auto"/>
            <w:vAlign w:val="center"/>
          </w:tcPr>
          <w:p w:rsidR="00BD5820" w:rsidRDefault="00F64314">
            <w:pPr>
              <w:pStyle w:val="afff1"/>
              <w:rPr>
                <w:szCs w:val="18"/>
              </w:rPr>
            </w:pPr>
            <w:r>
              <w:rPr>
                <w:rFonts w:hint="eastAsia"/>
                <w:szCs w:val="21"/>
              </w:rPr>
              <w:t>/</w:t>
            </w:r>
          </w:p>
        </w:tc>
      </w:tr>
      <w:tr w:rsidR="00BD5820">
        <w:trPr>
          <w:trHeight w:val="242"/>
          <w:jc w:val="center"/>
        </w:trPr>
        <w:tc>
          <w:tcPr>
            <w:tcW w:w="8796" w:type="dxa"/>
            <w:gridSpan w:val="7"/>
            <w:tcBorders>
              <w:top w:val="single" w:sz="2" w:space="0" w:color="auto"/>
              <w:bottom w:val="single" w:sz="12" w:space="0" w:color="auto"/>
            </w:tcBorders>
            <w:shd w:val="clear" w:color="auto" w:fill="auto"/>
            <w:vAlign w:val="center"/>
          </w:tcPr>
          <w:p w:rsidR="00BD5820" w:rsidRDefault="00F64314">
            <w:pPr>
              <w:pStyle w:val="afff1"/>
              <w:jc w:val="both"/>
              <w:rPr>
                <w:szCs w:val="18"/>
              </w:rPr>
            </w:pPr>
            <w:r>
              <w:rPr>
                <w:szCs w:val="18"/>
              </w:rPr>
              <w:t>备注：</w:t>
            </w:r>
            <w:r>
              <w:rPr>
                <w:szCs w:val="21"/>
              </w:rPr>
              <w:t>ND</w:t>
            </w:r>
            <w:r>
              <w:rPr>
                <w:szCs w:val="21"/>
              </w:rPr>
              <w:t>表示检测结果低于方法检出限或未检出</w:t>
            </w:r>
            <w:r>
              <w:rPr>
                <w:szCs w:val="18"/>
              </w:rPr>
              <w:t>。</w:t>
            </w:r>
          </w:p>
        </w:tc>
      </w:tr>
    </w:tbl>
    <w:p w:rsidR="00BD5820" w:rsidRDefault="00F64314">
      <w:pPr>
        <w:pStyle w:val="10"/>
        <w:rPr>
          <w:rFonts w:cs="Times New Roman"/>
          <w:vertAlign w:val="superscript"/>
        </w:rPr>
      </w:pPr>
      <w:r>
        <w:rPr>
          <w:rFonts w:cs="Times New Roman"/>
        </w:rPr>
        <w:t>表</w:t>
      </w:r>
      <w:r>
        <w:rPr>
          <w:rFonts w:cs="Times New Roman"/>
        </w:rPr>
        <w:t xml:space="preserve">5.3-3  </w:t>
      </w:r>
      <w:r>
        <w:rPr>
          <w:rFonts w:cs="Times New Roman"/>
        </w:rPr>
        <w:t>环境空气质量现状及评价</w:t>
      </w:r>
      <w:r>
        <w:rPr>
          <w:rFonts w:cs="Times New Roman"/>
        </w:rPr>
        <w:t xml:space="preserve">  </w:t>
      </w:r>
      <w:r>
        <w:rPr>
          <w:rFonts w:cs="Times New Roman"/>
        </w:rPr>
        <w:t>单位：</w:t>
      </w:r>
      <w:r>
        <w:rPr>
          <w:rFonts w:cs="Times New Roman"/>
        </w:rPr>
        <w:t>mg/m</w:t>
      </w:r>
      <w:r>
        <w:rPr>
          <w:rFonts w:cs="Times New Roman"/>
          <w:vertAlign w:val="superscript"/>
        </w:rPr>
        <w:t>3</w:t>
      </w:r>
    </w:p>
    <w:tbl>
      <w:tblPr>
        <w:tblW w:w="8791" w:type="dxa"/>
        <w:jc w:val="center"/>
        <w:tblBorders>
          <w:top w:val="single" w:sz="12" w:space="0" w:color="000000"/>
          <w:bottom w:val="single" w:sz="12" w:space="0" w:color="000000"/>
          <w:insideH w:val="single" w:sz="6" w:space="0" w:color="000000"/>
          <w:insideV w:val="single" w:sz="6" w:space="0" w:color="000000"/>
        </w:tblBorders>
        <w:tblLayout w:type="fixed"/>
        <w:tblLook w:val="04A0"/>
      </w:tblPr>
      <w:tblGrid>
        <w:gridCol w:w="1661"/>
        <w:gridCol w:w="735"/>
        <w:gridCol w:w="1290"/>
        <w:gridCol w:w="709"/>
        <w:gridCol w:w="1826"/>
        <w:gridCol w:w="1149"/>
        <w:gridCol w:w="700"/>
        <w:gridCol w:w="721"/>
      </w:tblGrid>
      <w:tr w:rsidR="00BD5820">
        <w:trPr>
          <w:trHeight w:val="188"/>
          <w:jc w:val="center"/>
        </w:trPr>
        <w:tc>
          <w:tcPr>
            <w:tcW w:w="1661" w:type="dxa"/>
            <w:vAlign w:val="center"/>
          </w:tcPr>
          <w:p w:rsidR="00BD5820" w:rsidRDefault="00F64314">
            <w:pPr>
              <w:pStyle w:val="afff1"/>
              <w:rPr>
                <w:b/>
                <w:bCs/>
              </w:rPr>
            </w:pPr>
            <w:r>
              <w:rPr>
                <w:b/>
                <w:bCs/>
              </w:rPr>
              <w:lastRenderedPageBreak/>
              <w:t>监测点位</w:t>
            </w:r>
          </w:p>
        </w:tc>
        <w:tc>
          <w:tcPr>
            <w:tcW w:w="735" w:type="dxa"/>
            <w:vAlign w:val="center"/>
          </w:tcPr>
          <w:p w:rsidR="00BD5820" w:rsidRDefault="00F64314">
            <w:pPr>
              <w:pStyle w:val="afff1"/>
              <w:rPr>
                <w:b/>
                <w:bCs/>
              </w:rPr>
            </w:pPr>
            <w:r>
              <w:rPr>
                <w:b/>
                <w:bCs/>
              </w:rPr>
              <w:t>采样时间</w:t>
            </w:r>
          </w:p>
        </w:tc>
        <w:tc>
          <w:tcPr>
            <w:tcW w:w="1290" w:type="dxa"/>
            <w:vAlign w:val="center"/>
          </w:tcPr>
          <w:p w:rsidR="00BD5820" w:rsidRDefault="00F64314">
            <w:pPr>
              <w:pStyle w:val="afff1"/>
              <w:rPr>
                <w:b/>
                <w:bCs/>
              </w:rPr>
            </w:pPr>
            <w:r>
              <w:rPr>
                <w:b/>
                <w:bCs/>
              </w:rPr>
              <w:t>监测项目</w:t>
            </w:r>
          </w:p>
        </w:tc>
        <w:tc>
          <w:tcPr>
            <w:tcW w:w="709" w:type="dxa"/>
            <w:tcBorders>
              <w:left w:val="single" w:sz="4" w:space="0" w:color="auto"/>
            </w:tcBorders>
            <w:vAlign w:val="center"/>
          </w:tcPr>
          <w:p w:rsidR="00BD5820" w:rsidRDefault="00F64314">
            <w:pPr>
              <w:pStyle w:val="afff1"/>
              <w:rPr>
                <w:b/>
                <w:bCs/>
              </w:rPr>
            </w:pPr>
            <w:r>
              <w:rPr>
                <w:b/>
                <w:bCs/>
              </w:rPr>
              <w:t>采样个数</w:t>
            </w:r>
          </w:p>
        </w:tc>
        <w:tc>
          <w:tcPr>
            <w:tcW w:w="1826" w:type="dxa"/>
            <w:tcBorders>
              <w:left w:val="single" w:sz="4" w:space="0" w:color="auto"/>
            </w:tcBorders>
            <w:vAlign w:val="center"/>
          </w:tcPr>
          <w:p w:rsidR="00BD5820" w:rsidRDefault="00F64314">
            <w:pPr>
              <w:pStyle w:val="afff1"/>
              <w:rPr>
                <w:b/>
                <w:bCs/>
              </w:rPr>
            </w:pPr>
            <w:r>
              <w:rPr>
                <w:b/>
                <w:bCs/>
              </w:rPr>
              <w:t>浓度范围</w:t>
            </w:r>
          </w:p>
          <w:p w:rsidR="00BD5820" w:rsidRDefault="00F64314">
            <w:pPr>
              <w:pStyle w:val="afff1"/>
              <w:rPr>
                <w:b/>
                <w:bCs/>
              </w:rPr>
            </w:pPr>
            <w:r>
              <w:rPr>
                <w:b/>
                <w:bCs/>
              </w:rPr>
              <w:t>m</w:t>
            </w:r>
            <w:r>
              <w:rPr>
                <w:b/>
                <w:bCs/>
                <w:lang w:val="zh-CN"/>
              </w:rPr>
              <w:t>g</w:t>
            </w:r>
            <w:r>
              <w:rPr>
                <w:b/>
                <w:bCs/>
              </w:rPr>
              <w:t>/m</w:t>
            </w:r>
            <w:r>
              <w:rPr>
                <w:b/>
                <w:bCs/>
                <w:vertAlign w:val="superscript"/>
              </w:rPr>
              <w:t>3</w:t>
            </w:r>
          </w:p>
        </w:tc>
        <w:tc>
          <w:tcPr>
            <w:tcW w:w="1149" w:type="dxa"/>
            <w:vAlign w:val="center"/>
          </w:tcPr>
          <w:p w:rsidR="00BD5820" w:rsidRDefault="00F64314">
            <w:pPr>
              <w:pStyle w:val="afff1"/>
              <w:rPr>
                <w:b/>
                <w:bCs/>
              </w:rPr>
            </w:pPr>
            <w:r>
              <w:rPr>
                <w:b/>
                <w:bCs/>
              </w:rPr>
              <w:t>最大浓度占标率</w:t>
            </w:r>
            <w:r>
              <w:rPr>
                <w:b/>
                <w:bCs/>
              </w:rPr>
              <w:t>P</w:t>
            </w:r>
            <w:r>
              <w:rPr>
                <w:b/>
                <w:bCs/>
                <w:vertAlign w:val="subscript"/>
              </w:rPr>
              <w:t>i</w:t>
            </w:r>
          </w:p>
        </w:tc>
        <w:tc>
          <w:tcPr>
            <w:tcW w:w="700" w:type="dxa"/>
            <w:tcBorders>
              <w:left w:val="single" w:sz="4" w:space="0" w:color="auto"/>
            </w:tcBorders>
            <w:vAlign w:val="center"/>
          </w:tcPr>
          <w:p w:rsidR="00BD5820" w:rsidRDefault="00F64314">
            <w:pPr>
              <w:pStyle w:val="afff1"/>
              <w:rPr>
                <w:b/>
                <w:bCs/>
              </w:rPr>
            </w:pPr>
            <w:r>
              <w:rPr>
                <w:b/>
                <w:bCs/>
              </w:rPr>
              <w:t>超标率</w:t>
            </w:r>
          </w:p>
        </w:tc>
        <w:tc>
          <w:tcPr>
            <w:tcW w:w="721" w:type="dxa"/>
            <w:tcBorders>
              <w:left w:val="single" w:sz="4" w:space="0" w:color="auto"/>
            </w:tcBorders>
            <w:vAlign w:val="center"/>
          </w:tcPr>
          <w:p w:rsidR="00BD5820" w:rsidRDefault="00F64314">
            <w:pPr>
              <w:pStyle w:val="afff1"/>
              <w:rPr>
                <w:b/>
                <w:bCs/>
              </w:rPr>
            </w:pPr>
            <w:r>
              <w:rPr>
                <w:b/>
                <w:bCs/>
              </w:rPr>
              <w:t>达标</w:t>
            </w:r>
          </w:p>
          <w:p w:rsidR="00BD5820" w:rsidRDefault="00F64314">
            <w:pPr>
              <w:pStyle w:val="afff1"/>
              <w:rPr>
                <w:b/>
                <w:bCs/>
              </w:rPr>
            </w:pPr>
            <w:r>
              <w:rPr>
                <w:b/>
                <w:bCs/>
              </w:rPr>
              <w:t>情况</w:t>
            </w:r>
          </w:p>
        </w:tc>
      </w:tr>
      <w:tr w:rsidR="00BD5820">
        <w:trPr>
          <w:trHeight w:val="382"/>
          <w:jc w:val="center"/>
        </w:trPr>
        <w:tc>
          <w:tcPr>
            <w:tcW w:w="1661" w:type="dxa"/>
            <w:vMerge w:val="restart"/>
            <w:vAlign w:val="center"/>
          </w:tcPr>
          <w:p w:rsidR="00BD5820" w:rsidRDefault="00F64314">
            <w:pPr>
              <w:pStyle w:val="afff1"/>
            </w:pPr>
            <w:r>
              <w:rPr>
                <w:rFonts w:hint="eastAsia"/>
              </w:rPr>
              <w:t>普光气田</w:t>
            </w:r>
            <w:r>
              <w:rPr>
                <w:rFonts w:hint="eastAsia"/>
              </w:rPr>
              <w:t>1#</w:t>
            </w:r>
            <w:r>
              <w:rPr>
                <w:rFonts w:hint="eastAsia"/>
              </w:rPr>
              <w:t>增压站所在地西南侧</w:t>
            </w:r>
            <w:r>
              <w:rPr>
                <w:rFonts w:hint="eastAsia"/>
              </w:rPr>
              <w:t>1#</w:t>
            </w:r>
          </w:p>
        </w:tc>
        <w:tc>
          <w:tcPr>
            <w:tcW w:w="735" w:type="dxa"/>
            <w:vMerge w:val="restart"/>
            <w:vAlign w:val="center"/>
          </w:tcPr>
          <w:p w:rsidR="00BD5820" w:rsidRDefault="00F64314">
            <w:pPr>
              <w:pStyle w:val="afff1"/>
            </w:pPr>
            <w:r>
              <w:t>202</w:t>
            </w:r>
            <w:r>
              <w:rPr>
                <w:rFonts w:hint="eastAsia"/>
              </w:rPr>
              <w:t>3</w:t>
            </w:r>
            <w:r>
              <w:t>.</w:t>
            </w:r>
            <w:r>
              <w:rPr>
                <w:rFonts w:hint="eastAsia"/>
              </w:rPr>
              <w:t>7</w:t>
            </w:r>
            <w:r>
              <w:t>.</w:t>
            </w:r>
            <w:r>
              <w:rPr>
                <w:rFonts w:hint="eastAsia"/>
              </w:rPr>
              <w:t>5</w:t>
            </w:r>
            <w:r>
              <w:t>~</w:t>
            </w:r>
            <w:r>
              <w:rPr>
                <w:rFonts w:hint="eastAsia"/>
              </w:rPr>
              <w:t>7</w:t>
            </w:r>
            <w:r>
              <w:t>.</w:t>
            </w:r>
            <w:r>
              <w:rPr>
                <w:rFonts w:hint="eastAsia"/>
              </w:rPr>
              <w:t>12</w:t>
            </w:r>
          </w:p>
        </w:tc>
        <w:tc>
          <w:tcPr>
            <w:tcW w:w="1290" w:type="dxa"/>
            <w:vAlign w:val="center"/>
          </w:tcPr>
          <w:p w:rsidR="00BD5820" w:rsidRDefault="00F64314">
            <w:pPr>
              <w:pStyle w:val="afff1"/>
            </w:pPr>
            <w:r>
              <w:rPr>
                <w:rFonts w:hint="eastAsia"/>
                <w:szCs w:val="21"/>
              </w:rPr>
              <w:t>TVOC</w:t>
            </w:r>
          </w:p>
        </w:tc>
        <w:tc>
          <w:tcPr>
            <w:tcW w:w="709" w:type="dxa"/>
            <w:tcBorders>
              <w:left w:val="single" w:sz="4" w:space="0" w:color="auto"/>
            </w:tcBorders>
            <w:vAlign w:val="center"/>
          </w:tcPr>
          <w:p w:rsidR="00BD5820" w:rsidRDefault="00F64314">
            <w:pPr>
              <w:pStyle w:val="afff1"/>
            </w:pPr>
            <w:r>
              <w:rPr>
                <w:rFonts w:hint="eastAsia"/>
              </w:rPr>
              <w:t>7</w:t>
            </w:r>
          </w:p>
        </w:tc>
        <w:tc>
          <w:tcPr>
            <w:tcW w:w="1826" w:type="dxa"/>
            <w:tcBorders>
              <w:left w:val="single" w:sz="4" w:space="0" w:color="auto"/>
            </w:tcBorders>
            <w:vAlign w:val="center"/>
          </w:tcPr>
          <w:p w:rsidR="00BD5820" w:rsidRDefault="00F64314">
            <w:pPr>
              <w:pStyle w:val="afff1"/>
            </w:pPr>
            <w:r>
              <w:rPr>
                <w:szCs w:val="21"/>
              </w:rPr>
              <w:t>0.</w:t>
            </w:r>
            <w:r>
              <w:rPr>
                <w:rFonts w:hint="eastAsia"/>
                <w:szCs w:val="21"/>
              </w:rPr>
              <w:t>0078</w:t>
            </w:r>
            <w:r>
              <w:t>~</w:t>
            </w:r>
            <w:r>
              <w:rPr>
                <w:szCs w:val="21"/>
              </w:rPr>
              <w:t>0.</w:t>
            </w:r>
            <w:r>
              <w:rPr>
                <w:rFonts w:hint="eastAsia"/>
                <w:szCs w:val="21"/>
              </w:rPr>
              <w:t>0252</w:t>
            </w:r>
          </w:p>
        </w:tc>
        <w:tc>
          <w:tcPr>
            <w:tcW w:w="1149" w:type="dxa"/>
            <w:vAlign w:val="center"/>
          </w:tcPr>
          <w:p w:rsidR="00BD5820" w:rsidRDefault="00F64314">
            <w:pPr>
              <w:pStyle w:val="afff1"/>
            </w:pPr>
            <w:r>
              <w:rPr>
                <w:rFonts w:hint="eastAsia"/>
              </w:rPr>
              <w:t>4.2</w:t>
            </w:r>
            <w:r>
              <w:t>%</w:t>
            </w:r>
          </w:p>
        </w:tc>
        <w:tc>
          <w:tcPr>
            <w:tcW w:w="700" w:type="dxa"/>
            <w:tcBorders>
              <w:left w:val="single" w:sz="4" w:space="0" w:color="auto"/>
            </w:tcBorders>
            <w:vAlign w:val="center"/>
          </w:tcPr>
          <w:p w:rsidR="00BD5820" w:rsidRDefault="00F64314">
            <w:pPr>
              <w:pStyle w:val="afff1"/>
            </w:pPr>
            <w:r>
              <w:t>0</w:t>
            </w:r>
          </w:p>
        </w:tc>
        <w:tc>
          <w:tcPr>
            <w:tcW w:w="721" w:type="dxa"/>
            <w:tcBorders>
              <w:left w:val="single" w:sz="4" w:space="0" w:color="auto"/>
            </w:tcBorders>
            <w:vAlign w:val="center"/>
          </w:tcPr>
          <w:p w:rsidR="00BD5820" w:rsidRDefault="00F64314">
            <w:pPr>
              <w:pStyle w:val="afff1"/>
            </w:pPr>
            <w:r>
              <w:rPr>
                <w:bCs/>
              </w:rPr>
              <w:t>达标</w:t>
            </w:r>
          </w:p>
        </w:tc>
      </w:tr>
      <w:tr w:rsidR="00BD5820">
        <w:trPr>
          <w:trHeight w:val="188"/>
          <w:jc w:val="center"/>
        </w:trPr>
        <w:tc>
          <w:tcPr>
            <w:tcW w:w="1661" w:type="dxa"/>
            <w:vMerge/>
            <w:vAlign w:val="center"/>
          </w:tcPr>
          <w:p w:rsidR="00BD5820" w:rsidRDefault="00BD5820">
            <w:pPr>
              <w:pStyle w:val="afff1"/>
            </w:pPr>
          </w:p>
        </w:tc>
        <w:tc>
          <w:tcPr>
            <w:tcW w:w="735" w:type="dxa"/>
            <w:vMerge/>
            <w:vAlign w:val="center"/>
          </w:tcPr>
          <w:p w:rsidR="00BD5820" w:rsidRDefault="00BD5820">
            <w:pPr>
              <w:pStyle w:val="afff1"/>
            </w:pPr>
          </w:p>
        </w:tc>
        <w:tc>
          <w:tcPr>
            <w:tcW w:w="1290" w:type="dxa"/>
            <w:vAlign w:val="center"/>
          </w:tcPr>
          <w:p w:rsidR="00BD5820" w:rsidRDefault="00F64314">
            <w:pPr>
              <w:pStyle w:val="afff1"/>
            </w:pPr>
            <w:r>
              <w:t>硫化氢</w:t>
            </w:r>
          </w:p>
        </w:tc>
        <w:tc>
          <w:tcPr>
            <w:tcW w:w="709" w:type="dxa"/>
            <w:tcBorders>
              <w:left w:val="single" w:sz="4" w:space="0" w:color="auto"/>
            </w:tcBorders>
            <w:vAlign w:val="center"/>
          </w:tcPr>
          <w:p w:rsidR="00BD5820" w:rsidRDefault="00F64314">
            <w:pPr>
              <w:pStyle w:val="afff1"/>
            </w:pPr>
            <w:r>
              <w:t>28</w:t>
            </w:r>
          </w:p>
        </w:tc>
        <w:tc>
          <w:tcPr>
            <w:tcW w:w="1826" w:type="dxa"/>
            <w:tcBorders>
              <w:left w:val="single" w:sz="4" w:space="0" w:color="auto"/>
            </w:tcBorders>
            <w:vAlign w:val="center"/>
          </w:tcPr>
          <w:p w:rsidR="00BD5820" w:rsidRDefault="00F64314">
            <w:pPr>
              <w:pStyle w:val="afff1"/>
            </w:pPr>
            <w:r>
              <w:rPr>
                <w:rFonts w:hint="eastAsia"/>
                <w:szCs w:val="18"/>
              </w:rPr>
              <w:t>&lt;0.002</w:t>
            </w:r>
          </w:p>
        </w:tc>
        <w:tc>
          <w:tcPr>
            <w:tcW w:w="1149" w:type="dxa"/>
            <w:vAlign w:val="center"/>
          </w:tcPr>
          <w:p w:rsidR="00BD5820" w:rsidRDefault="00F64314">
            <w:pPr>
              <w:pStyle w:val="afff1"/>
            </w:pPr>
            <w:r>
              <w:rPr>
                <w:rFonts w:hint="eastAsia"/>
                <w:szCs w:val="21"/>
              </w:rPr>
              <w:t>/</w:t>
            </w:r>
          </w:p>
        </w:tc>
        <w:tc>
          <w:tcPr>
            <w:tcW w:w="700" w:type="dxa"/>
            <w:tcBorders>
              <w:left w:val="single" w:sz="4" w:space="0" w:color="auto"/>
            </w:tcBorders>
            <w:vAlign w:val="center"/>
          </w:tcPr>
          <w:p w:rsidR="00BD5820" w:rsidRDefault="00F64314">
            <w:pPr>
              <w:pStyle w:val="afff1"/>
            </w:pPr>
            <w:r>
              <w:t>0</w:t>
            </w:r>
          </w:p>
        </w:tc>
        <w:tc>
          <w:tcPr>
            <w:tcW w:w="721" w:type="dxa"/>
            <w:tcBorders>
              <w:left w:val="single" w:sz="4" w:space="0" w:color="auto"/>
            </w:tcBorders>
            <w:vAlign w:val="center"/>
          </w:tcPr>
          <w:p w:rsidR="00BD5820" w:rsidRDefault="00F64314">
            <w:pPr>
              <w:pStyle w:val="afff1"/>
              <w:rPr>
                <w:bCs/>
              </w:rPr>
            </w:pPr>
            <w:r>
              <w:rPr>
                <w:bCs/>
              </w:rPr>
              <w:t>达标</w:t>
            </w:r>
          </w:p>
        </w:tc>
      </w:tr>
      <w:tr w:rsidR="00BD5820">
        <w:trPr>
          <w:trHeight w:val="400"/>
          <w:jc w:val="center"/>
        </w:trPr>
        <w:tc>
          <w:tcPr>
            <w:tcW w:w="1661" w:type="dxa"/>
            <w:vMerge w:val="restart"/>
            <w:vAlign w:val="center"/>
          </w:tcPr>
          <w:p w:rsidR="00BD5820" w:rsidRDefault="00F64314">
            <w:pPr>
              <w:pStyle w:val="afff1"/>
            </w:pPr>
            <w:r>
              <w:rPr>
                <w:rFonts w:hint="eastAsia"/>
              </w:rPr>
              <w:t>P104</w:t>
            </w:r>
            <w:r>
              <w:rPr>
                <w:rFonts w:hint="eastAsia"/>
              </w:rPr>
              <w:t>集气站所在地西南侧</w:t>
            </w:r>
            <w:r>
              <w:rPr>
                <w:rFonts w:hint="eastAsia"/>
              </w:rPr>
              <w:t>2#</w:t>
            </w:r>
          </w:p>
        </w:tc>
        <w:tc>
          <w:tcPr>
            <w:tcW w:w="735" w:type="dxa"/>
            <w:vMerge w:val="restart"/>
            <w:vAlign w:val="center"/>
          </w:tcPr>
          <w:p w:rsidR="00BD5820" w:rsidRDefault="00F64314">
            <w:pPr>
              <w:pStyle w:val="afff1"/>
            </w:pPr>
            <w:r>
              <w:t>202</w:t>
            </w:r>
            <w:r>
              <w:rPr>
                <w:rFonts w:hint="eastAsia"/>
              </w:rPr>
              <w:t>3</w:t>
            </w:r>
            <w:r>
              <w:t>.</w:t>
            </w:r>
            <w:r>
              <w:rPr>
                <w:rFonts w:hint="eastAsia"/>
              </w:rPr>
              <w:t>7</w:t>
            </w:r>
            <w:r>
              <w:t>.</w:t>
            </w:r>
            <w:r>
              <w:rPr>
                <w:rFonts w:hint="eastAsia"/>
              </w:rPr>
              <w:t>5</w:t>
            </w:r>
            <w:r>
              <w:t>~</w:t>
            </w:r>
            <w:r>
              <w:rPr>
                <w:rFonts w:hint="eastAsia"/>
              </w:rPr>
              <w:t>7</w:t>
            </w:r>
            <w:r>
              <w:t>.</w:t>
            </w:r>
            <w:r>
              <w:rPr>
                <w:rFonts w:hint="eastAsia"/>
              </w:rPr>
              <w:t>12</w:t>
            </w:r>
          </w:p>
        </w:tc>
        <w:tc>
          <w:tcPr>
            <w:tcW w:w="1290" w:type="dxa"/>
            <w:vAlign w:val="center"/>
          </w:tcPr>
          <w:p w:rsidR="00BD5820" w:rsidRDefault="00F64314">
            <w:pPr>
              <w:pStyle w:val="afff1"/>
            </w:pPr>
            <w:r>
              <w:rPr>
                <w:rFonts w:hint="eastAsia"/>
                <w:szCs w:val="21"/>
              </w:rPr>
              <w:t>TVOC</w:t>
            </w:r>
          </w:p>
        </w:tc>
        <w:tc>
          <w:tcPr>
            <w:tcW w:w="709" w:type="dxa"/>
            <w:tcBorders>
              <w:left w:val="single" w:sz="4" w:space="0" w:color="auto"/>
            </w:tcBorders>
            <w:vAlign w:val="center"/>
          </w:tcPr>
          <w:p w:rsidR="00BD5820" w:rsidRDefault="00F64314">
            <w:pPr>
              <w:pStyle w:val="afff1"/>
            </w:pPr>
            <w:r>
              <w:rPr>
                <w:rFonts w:hint="eastAsia"/>
              </w:rPr>
              <w:t>7</w:t>
            </w:r>
          </w:p>
        </w:tc>
        <w:tc>
          <w:tcPr>
            <w:tcW w:w="1826" w:type="dxa"/>
            <w:tcBorders>
              <w:left w:val="single" w:sz="4" w:space="0" w:color="auto"/>
            </w:tcBorders>
            <w:vAlign w:val="center"/>
          </w:tcPr>
          <w:p w:rsidR="00BD5820" w:rsidRDefault="00F64314">
            <w:pPr>
              <w:pStyle w:val="afff1"/>
            </w:pPr>
            <w:r>
              <w:rPr>
                <w:szCs w:val="21"/>
              </w:rPr>
              <w:t>0.</w:t>
            </w:r>
            <w:r>
              <w:rPr>
                <w:rFonts w:hint="eastAsia"/>
                <w:szCs w:val="21"/>
              </w:rPr>
              <w:t>0100</w:t>
            </w:r>
            <w:r>
              <w:t>~</w:t>
            </w:r>
            <w:r>
              <w:rPr>
                <w:szCs w:val="21"/>
              </w:rPr>
              <w:t>0</w:t>
            </w:r>
            <w:r>
              <w:rPr>
                <w:rFonts w:hint="eastAsia"/>
                <w:szCs w:val="21"/>
              </w:rPr>
              <w:t>.0159</w:t>
            </w:r>
          </w:p>
        </w:tc>
        <w:tc>
          <w:tcPr>
            <w:tcW w:w="1149" w:type="dxa"/>
            <w:vAlign w:val="center"/>
          </w:tcPr>
          <w:p w:rsidR="00BD5820" w:rsidRDefault="00F64314">
            <w:pPr>
              <w:pStyle w:val="afff1"/>
            </w:pPr>
            <w:r>
              <w:rPr>
                <w:rFonts w:hint="eastAsia"/>
              </w:rPr>
              <w:t>2.65</w:t>
            </w:r>
            <w:r>
              <w:t>%</w:t>
            </w:r>
          </w:p>
        </w:tc>
        <w:tc>
          <w:tcPr>
            <w:tcW w:w="700" w:type="dxa"/>
            <w:tcBorders>
              <w:left w:val="single" w:sz="4" w:space="0" w:color="auto"/>
            </w:tcBorders>
            <w:vAlign w:val="center"/>
          </w:tcPr>
          <w:p w:rsidR="00BD5820" w:rsidRDefault="00F64314">
            <w:pPr>
              <w:pStyle w:val="afff1"/>
            </w:pPr>
            <w:r>
              <w:t>0</w:t>
            </w:r>
          </w:p>
        </w:tc>
        <w:tc>
          <w:tcPr>
            <w:tcW w:w="721" w:type="dxa"/>
            <w:tcBorders>
              <w:left w:val="single" w:sz="4" w:space="0" w:color="auto"/>
            </w:tcBorders>
            <w:vAlign w:val="center"/>
          </w:tcPr>
          <w:p w:rsidR="00BD5820" w:rsidRDefault="00F64314">
            <w:pPr>
              <w:pStyle w:val="afff1"/>
              <w:rPr>
                <w:bCs/>
              </w:rPr>
            </w:pPr>
            <w:r>
              <w:rPr>
                <w:bCs/>
              </w:rPr>
              <w:t>达标</w:t>
            </w:r>
          </w:p>
        </w:tc>
      </w:tr>
      <w:tr w:rsidR="00BD5820">
        <w:trPr>
          <w:trHeight w:val="188"/>
          <w:jc w:val="center"/>
        </w:trPr>
        <w:tc>
          <w:tcPr>
            <w:tcW w:w="1661" w:type="dxa"/>
            <w:vMerge/>
            <w:vAlign w:val="center"/>
          </w:tcPr>
          <w:p w:rsidR="00BD5820" w:rsidRDefault="00BD5820">
            <w:pPr>
              <w:pStyle w:val="afff1"/>
            </w:pPr>
          </w:p>
        </w:tc>
        <w:tc>
          <w:tcPr>
            <w:tcW w:w="735" w:type="dxa"/>
            <w:vMerge/>
            <w:vAlign w:val="center"/>
          </w:tcPr>
          <w:p w:rsidR="00BD5820" w:rsidRDefault="00BD5820">
            <w:pPr>
              <w:pStyle w:val="afff1"/>
            </w:pPr>
          </w:p>
        </w:tc>
        <w:tc>
          <w:tcPr>
            <w:tcW w:w="1290" w:type="dxa"/>
            <w:vAlign w:val="center"/>
          </w:tcPr>
          <w:p w:rsidR="00BD5820" w:rsidRDefault="00F64314">
            <w:pPr>
              <w:pStyle w:val="afff1"/>
            </w:pPr>
            <w:r>
              <w:t>硫化氢</w:t>
            </w:r>
          </w:p>
        </w:tc>
        <w:tc>
          <w:tcPr>
            <w:tcW w:w="709" w:type="dxa"/>
            <w:tcBorders>
              <w:left w:val="single" w:sz="4" w:space="0" w:color="auto"/>
            </w:tcBorders>
            <w:vAlign w:val="center"/>
          </w:tcPr>
          <w:p w:rsidR="00BD5820" w:rsidRDefault="00F64314">
            <w:pPr>
              <w:pStyle w:val="afff1"/>
            </w:pPr>
            <w:r>
              <w:t>28</w:t>
            </w:r>
          </w:p>
        </w:tc>
        <w:tc>
          <w:tcPr>
            <w:tcW w:w="1826" w:type="dxa"/>
            <w:tcBorders>
              <w:left w:val="single" w:sz="4" w:space="0" w:color="auto"/>
            </w:tcBorders>
            <w:vAlign w:val="center"/>
          </w:tcPr>
          <w:p w:rsidR="00BD5820" w:rsidRDefault="00F64314">
            <w:pPr>
              <w:pStyle w:val="afff1"/>
            </w:pPr>
            <w:r>
              <w:rPr>
                <w:rFonts w:hint="eastAsia"/>
                <w:szCs w:val="18"/>
              </w:rPr>
              <w:t>&lt;0.002</w:t>
            </w:r>
          </w:p>
        </w:tc>
        <w:tc>
          <w:tcPr>
            <w:tcW w:w="1149" w:type="dxa"/>
            <w:vAlign w:val="center"/>
          </w:tcPr>
          <w:p w:rsidR="00BD5820" w:rsidRDefault="00F64314">
            <w:pPr>
              <w:pStyle w:val="afff1"/>
            </w:pPr>
            <w:r>
              <w:rPr>
                <w:rFonts w:hint="eastAsia"/>
                <w:szCs w:val="21"/>
              </w:rPr>
              <w:t>/</w:t>
            </w:r>
          </w:p>
        </w:tc>
        <w:tc>
          <w:tcPr>
            <w:tcW w:w="700" w:type="dxa"/>
            <w:tcBorders>
              <w:left w:val="single" w:sz="4" w:space="0" w:color="auto"/>
            </w:tcBorders>
            <w:vAlign w:val="center"/>
          </w:tcPr>
          <w:p w:rsidR="00BD5820" w:rsidRDefault="00F64314">
            <w:pPr>
              <w:pStyle w:val="afff1"/>
            </w:pPr>
            <w:r>
              <w:t>0</w:t>
            </w:r>
          </w:p>
        </w:tc>
        <w:tc>
          <w:tcPr>
            <w:tcW w:w="721" w:type="dxa"/>
            <w:tcBorders>
              <w:left w:val="single" w:sz="4" w:space="0" w:color="auto"/>
            </w:tcBorders>
            <w:vAlign w:val="center"/>
          </w:tcPr>
          <w:p w:rsidR="00BD5820" w:rsidRDefault="00F64314">
            <w:pPr>
              <w:pStyle w:val="afff1"/>
              <w:rPr>
                <w:bCs/>
              </w:rPr>
            </w:pPr>
            <w:r>
              <w:rPr>
                <w:bCs/>
              </w:rPr>
              <w:t>达标</w:t>
            </w:r>
          </w:p>
        </w:tc>
      </w:tr>
      <w:tr w:rsidR="00BD5820">
        <w:trPr>
          <w:trHeight w:val="188"/>
          <w:jc w:val="center"/>
        </w:trPr>
        <w:tc>
          <w:tcPr>
            <w:tcW w:w="1661" w:type="dxa"/>
            <w:vMerge w:val="restart"/>
            <w:vAlign w:val="center"/>
          </w:tcPr>
          <w:p w:rsidR="00BD5820" w:rsidRDefault="00F64314">
            <w:pPr>
              <w:pStyle w:val="afff1"/>
            </w:pPr>
            <w:r>
              <w:rPr>
                <w:rFonts w:hint="eastAsia"/>
              </w:rPr>
              <w:t>P106</w:t>
            </w:r>
            <w:r>
              <w:rPr>
                <w:rFonts w:hint="eastAsia"/>
              </w:rPr>
              <w:t>集气站所在地西南侧</w:t>
            </w:r>
            <w:r>
              <w:rPr>
                <w:rFonts w:hint="eastAsia"/>
              </w:rPr>
              <w:t>3#</w:t>
            </w:r>
          </w:p>
        </w:tc>
        <w:tc>
          <w:tcPr>
            <w:tcW w:w="735" w:type="dxa"/>
            <w:vMerge w:val="restart"/>
            <w:vAlign w:val="center"/>
          </w:tcPr>
          <w:p w:rsidR="00BD5820" w:rsidRDefault="00F64314">
            <w:pPr>
              <w:pStyle w:val="afff1"/>
            </w:pPr>
            <w:r>
              <w:t>202</w:t>
            </w:r>
            <w:r>
              <w:rPr>
                <w:rFonts w:hint="eastAsia"/>
              </w:rPr>
              <w:t>3</w:t>
            </w:r>
            <w:r>
              <w:t>.</w:t>
            </w:r>
            <w:r>
              <w:rPr>
                <w:rFonts w:hint="eastAsia"/>
              </w:rPr>
              <w:t>7</w:t>
            </w:r>
            <w:r>
              <w:t>.</w:t>
            </w:r>
            <w:r>
              <w:rPr>
                <w:rFonts w:hint="eastAsia"/>
              </w:rPr>
              <w:t>5</w:t>
            </w:r>
            <w:r>
              <w:t>~</w:t>
            </w:r>
            <w:r>
              <w:rPr>
                <w:rFonts w:hint="eastAsia"/>
              </w:rPr>
              <w:t>7</w:t>
            </w:r>
            <w:r>
              <w:t>.</w:t>
            </w:r>
            <w:r>
              <w:rPr>
                <w:rFonts w:hint="eastAsia"/>
              </w:rPr>
              <w:t>12</w:t>
            </w:r>
          </w:p>
        </w:tc>
        <w:tc>
          <w:tcPr>
            <w:tcW w:w="1290" w:type="dxa"/>
            <w:vAlign w:val="center"/>
          </w:tcPr>
          <w:p w:rsidR="00BD5820" w:rsidRDefault="00F64314">
            <w:pPr>
              <w:pStyle w:val="afff1"/>
            </w:pPr>
            <w:r>
              <w:rPr>
                <w:rFonts w:hint="eastAsia"/>
                <w:szCs w:val="21"/>
              </w:rPr>
              <w:t>TVOC</w:t>
            </w:r>
          </w:p>
        </w:tc>
        <w:tc>
          <w:tcPr>
            <w:tcW w:w="709" w:type="dxa"/>
            <w:tcBorders>
              <w:left w:val="single" w:sz="4" w:space="0" w:color="auto"/>
            </w:tcBorders>
            <w:vAlign w:val="center"/>
          </w:tcPr>
          <w:p w:rsidR="00BD5820" w:rsidRDefault="00F64314">
            <w:pPr>
              <w:pStyle w:val="afff1"/>
            </w:pPr>
            <w:r>
              <w:rPr>
                <w:rFonts w:hint="eastAsia"/>
              </w:rPr>
              <w:t>7</w:t>
            </w:r>
          </w:p>
        </w:tc>
        <w:tc>
          <w:tcPr>
            <w:tcW w:w="1826" w:type="dxa"/>
            <w:tcBorders>
              <w:left w:val="single" w:sz="4" w:space="0" w:color="auto"/>
            </w:tcBorders>
            <w:vAlign w:val="center"/>
          </w:tcPr>
          <w:p w:rsidR="00BD5820" w:rsidRDefault="00F64314">
            <w:pPr>
              <w:pStyle w:val="afff1"/>
            </w:pPr>
            <w:r>
              <w:rPr>
                <w:szCs w:val="21"/>
              </w:rPr>
              <w:t>0.0</w:t>
            </w:r>
            <w:r>
              <w:rPr>
                <w:rFonts w:hint="eastAsia"/>
                <w:szCs w:val="21"/>
              </w:rPr>
              <w:t>108</w:t>
            </w:r>
            <w:r>
              <w:t>~</w:t>
            </w:r>
            <w:r>
              <w:rPr>
                <w:szCs w:val="21"/>
              </w:rPr>
              <w:t>0.0</w:t>
            </w:r>
            <w:r>
              <w:rPr>
                <w:rFonts w:hint="eastAsia"/>
                <w:szCs w:val="21"/>
              </w:rPr>
              <w:t>219</w:t>
            </w:r>
          </w:p>
        </w:tc>
        <w:tc>
          <w:tcPr>
            <w:tcW w:w="1149" w:type="dxa"/>
            <w:vAlign w:val="center"/>
          </w:tcPr>
          <w:p w:rsidR="00BD5820" w:rsidRDefault="00F64314">
            <w:pPr>
              <w:pStyle w:val="afff1"/>
            </w:pPr>
            <w:r>
              <w:rPr>
                <w:rFonts w:hint="eastAsia"/>
              </w:rPr>
              <w:t>3.65</w:t>
            </w:r>
            <w:r>
              <w:t>%</w:t>
            </w:r>
          </w:p>
        </w:tc>
        <w:tc>
          <w:tcPr>
            <w:tcW w:w="700" w:type="dxa"/>
            <w:tcBorders>
              <w:left w:val="single" w:sz="4" w:space="0" w:color="auto"/>
            </w:tcBorders>
            <w:vAlign w:val="center"/>
          </w:tcPr>
          <w:p w:rsidR="00BD5820" w:rsidRDefault="00F64314">
            <w:pPr>
              <w:pStyle w:val="afff1"/>
            </w:pPr>
            <w:r>
              <w:t>0</w:t>
            </w:r>
          </w:p>
        </w:tc>
        <w:tc>
          <w:tcPr>
            <w:tcW w:w="721" w:type="dxa"/>
            <w:tcBorders>
              <w:left w:val="single" w:sz="4" w:space="0" w:color="auto"/>
            </w:tcBorders>
            <w:vAlign w:val="center"/>
          </w:tcPr>
          <w:p w:rsidR="00BD5820" w:rsidRDefault="00F64314">
            <w:pPr>
              <w:pStyle w:val="afff1"/>
              <w:rPr>
                <w:bCs/>
              </w:rPr>
            </w:pPr>
            <w:r>
              <w:rPr>
                <w:bCs/>
              </w:rPr>
              <w:t>达标</w:t>
            </w:r>
          </w:p>
        </w:tc>
      </w:tr>
      <w:tr w:rsidR="00BD5820">
        <w:trPr>
          <w:trHeight w:val="188"/>
          <w:jc w:val="center"/>
        </w:trPr>
        <w:tc>
          <w:tcPr>
            <w:tcW w:w="1661" w:type="dxa"/>
            <w:vMerge/>
            <w:vAlign w:val="center"/>
          </w:tcPr>
          <w:p w:rsidR="00BD5820" w:rsidRDefault="00BD5820">
            <w:pPr>
              <w:pStyle w:val="afff1"/>
            </w:pPr>
          </w:p>
        </w:tc>
        <w:tc>
          <w:tcPr>
            <w:tcW w:w="735" w:type="dxa"/>
            <w:vMerge/>
            <w:vAlign w:val="center"/>
          </w:tcPr>
          <w:p w:rsidR="00BD5820" w:rsidRDefault="00BD5820">
            <w:pPr>
              <w:pStyle w:val="afff1"/>
            </w:pPr>
          </w:p>
        </w:tc>
        <w:tc>
          <w:tcPr>
            <w:tcW w:w="1290" w:type="dxa"/>
            <w:vAlign w:val="center"/>
          </w:tcPr>
          <w:p w:rsidR="00BD5820" w:rsidRDefault="00F64314">
            <w:pPr>
              <w:pStyle w:val="afff1"/>
            </w:pPr>
            <w:r>
              <w:t>硫化氢</w:t>
            </w:r>
          </w:p>
        </w:tc>
        <w:tc>
          <w:tcPr>
            <w:tcW w:w="709" w:type="dxa"/>
            <w:tcBorders>
              <w:left w:val="single" w:sz="4" w:space="0" w:color="auto"/>
            </w:tcBorders>
            <w:vAlign w:val="center"/>
          </w:tcPr>
          <w:p w:rsidR="00BD5820" w:rsidRDefault="00F64314">
            <w:pPr>
              <w:pStyle w:val="afff1"/>
            </w:pPr>
            <w:r>
              <w:t>28</w:t>
            </w:r>
          </w:p>
        </w:tc>
        <w:tc>
          <w:tcPr>
            <w:tcW w:w="1826" w:type="dxa"/>
            <w:tcBorders>
              <w:left w:val="single" w:sz="4" w:space="0" w:color="auto"/>
            </w:tcBorders>
            <w:vAlign w:val="center"/>
          </w:tcPr>
          <w:p w:rsidR="00BD5820" w:rsidRDefault="00F64314">
            <w:pPr>
              <w:pStyle w:val="afff1"/>
            </w:pPr>
            <w:r>
              <w:rPr>
                <w:rFonts w:hint="eastAsia"/>
                <w:szCs w:val="18"/>
              </w:rPr>
              <w:t>&lt;0.002</w:t>
            </w:r>
          </w:p>
        </w:tc>
        <w:tc>
          <w:tcPr>
            <w:tcW w:w="1149" w:type="dxa"/>
            <w:vAlign w:val="center"/>
          </w:tcPr>
          <w:p w:rsidR="00BD5820" w:rsidRDefault="00F64314">
            <w:pPr>
              <w:pStyle w:val="afff1"/>
            </w:pPr>
            <w:r>
              <w:rPr>
                <w:rFonts w:hint="eastAsia"/>
                <w:szCs w:val="21"/>
              </w:rPr>
              <w:t>/</w:t>
            </w:r>
          </w:p>
        </w:tc>
        <w:tc>
          <w:tcPr>
            <w:tcW w:w="700" w:type="dxa"/>
            <w:tcBorders>
              <w:left w:val="single" w:sz="4" w:space="0" w:color="auto"/>
            </w:tcBorders>
            <w:vAlign w:val="center"/>
          </w:tcPr>
          <w:p w:rsidR="00BD5820" w:rsidRDefault="00F64314">
            <w:pPr>
              <w:pStyle w:val="afff1"/>
            </w:pPr>
            <w:r>
              <w:t>0</w:t>
            </w:r>
          </w:p>
        </w:tc>
        <w:tc>
          <w:tcPr>
            <w:tcW w:w="721" w:type="dxa"/>
            <w:tcBorders>
              <w:left w:val="single" w:sz="4" w:space="0" w:color="auto"/>
            </w:tcBorders>
            <w:vAlign w:val="center"/>
          </w:tcPr>
          <w:p w:rsidR="00BD5820" w:rsidRDefault="00F64314">
            <w:pPr>
              <w:pStyle w:val="afff1"/>
              <w:rPr>
                <w:bCs/>
              </w:rPr>
            </w:pPr>
            <w:r>
              <w:rPr>
                <w:bCs/>
              </w:rPr>
              <w:t>达标</w:t>
            </w:r>
          </w:p>
        </w:tc>
      </w:tr>
      <w:tr w:rsidR="00BD5820">
        <w:trPr>
          <w:trHeight w:val="188"/>
          <w:jc w:val="center"/>
        </w:trPr>
        <w:tc>
          <w:tcPr>
            <w:tcW w:w="1661" w:type="dxa"/>
            <w:vMerge w:val="restart"/>
            <w:vAlign w:val="center"/>
          </w:tcPr>
          <w:p w:rsidR="00BD5820" w:rsidRDefault="00F64314">
            <w:pPr>
              <w:pStyle w:val="afff1"/>
            </w:pPr>
            <w:r>
              <w:rPr>
                <w:rFonts w:hint="eastAsia"/>
              </w:rPr>
              <w:t>普光气田</w:t>
            </w:r>
            <w:r>
              <w:rPr>
                <w:rFonts w:hint="eastAsia"/>
              </w:rPr>
              <w:t>2#</w:t>
            </w:r>
            <w:r>
              <w:rPr>
                <w:rFonts w:hint="eastAsia"/>
              </w:rPr>
              <w:t>增压站所在地西南侧</w:t>
            </w:r>
            <w:r>
              <w:rPr>
                <w:rFonts w:hint="eastAsia"/>
              </w:rPr>
              <w:t>4#</w:t>
            </w:r>
          </w:p>
        </w:tc>
        <w:tc>
          <w:tcPr>
            <w:tcW w:w="735" w:type="dxa"/>
            <w:vMerge w:val="restart"/>
            <w:vAlign w:val="center"/>
          </w:tcPr>
          <w:p w:rsidR="00BD5820" w:rsidRDefault="00F64314">
            <w:pPr>
              <w:pStyle w:val="afff1"/>
            </w:pPr>
            <w:r>
              <w:t>202</w:t>
            </w:r>
            <w:r>
              <w:rPr>
                <w:rFonts w:hint="eastAsia"/>
              </w:rPr>
              <w:t>3</w:t>
            </w:r>
            <w:r>
              <w:t>.</w:t>
            </w:r>
            <w:r>
              <w:rPr>
                <w:rFonts w:hint="eastAsia"/>
              </w:rPr>
              <w:t>7</w:t>
            </w:r>
            <w:r>
              <w:t>.</w:t>
            </w:r>
            <w:r>
              <w:rPr>
                <w:rFonts w:hint="eastAsia"/>
              </w:rPr>
              <w:t>5</w:t>
            </w:r>
            <w:r>
              <w:t>~</w:t>
            </w:r>
            <w:r>
              <w:rPr>
                <w:rFonts w:hint="eastAsia"/>
              </w:rPr>
              <w:t>7</w:t>
            </w:r>
            <w:r>
              <w:t>.</w:t>
            </w:r>
            <w:r>
              <w:rPr>
                <w:rFonts w:hint="eastAsia"/>
              </w:rPr>
              <w:t>12</w:t>
            </w:r>
          </w:p>
        </w:tc>
        <w:tc>
          <w:tcPr>
            <w:tcW w:w="1290" w:type="dxa"/>
            <w:vAlign w:val="center"/>
          </w:tcPr>
          <w:p w:rsidR="00BD5820" w:rsidRDefault="00F64314">
            <w:pPr>
              <w:pStyle w:val="afff1"/>
            </w:pPr>
            <w:r>
              <w:rPr>
                <w:rFonts w:hint="eastAsia"/>
                <w:szCs w:val="21"/>
              </w:rPr>
              <w:t>TVOC</w:t>
            </w:r>
          </w:p>
        </w:tc>
        <w:tc>
          <w:tcPr>
            <w:tcW w:w="709" w:type="dxa"/>
            <w:tcBorders>
              <w:left w:val="single" w:sz="4" w:space="0" w:color="auto"/>
            </w:tcBorders>
            <w:vAlign w:val="center"/>
          </w:tcPr>
          <w:p w:rsidR="00BD5820" w:rsidRDefault="00F64314">
            <w:pPr>
              <w:pStyle w:val="afff1"/>
            </w:pPr>
            <w:r>
              <w:rPr>
                <w:rFonts w:hint="eastAsia"/>
              </w:rPr>
              <w:t>7</w:t>
            </w:r>
          </w:p>
        </w:tc>
        <w:tc>
          <w:tcPr>
            <w:tcW w:w="1826" w:type="dxa"/>
            <w:tcBorders>
              <w:left w:val="single" w:sz="4" w:space="0" w:color="auto"/>
            </w:tcBorders>
            <w:vAlign w:val="center"/>
          </w:tcPr>
          <w:p w:rsidR="00BD5820" w:rsidRDefault="00F64314">
            <w:pPr>
              <w:pStyle w:val="afff1"/>
            </w:pPr>
            <w:r>
              <w:rPr>
                <w:szCs w:val="21"/>
              </w:rPr>
              <w:t>0.</w:t>
            </w:r>
            <w:r>
              <w:rPr>
                <w:rFonts w:hint="eastAsia"/>
                <w:szCs w:val="21"/>
              </w:rPr>
              <w:t>0090</w:t>
            </w:r>
            <w:r>
              <w:t>~</w:t>
            </w:r>
            <w:r>
              <w:rPr>
                <w:rFonts w:hint="eastAsia"/>
              </w:rPr>
              <w:t>0.0146</w:t>
            </w:r>
          </w:p>
        </w:tc>
        <w:tc>
          <w:tcPr>
            <w:tcW w:w="1149" w:type="dxa"/>
            <w:vAlign w:val="center"/>
          </w:tcPr>
          <w:p w:rsidR="00BD5820" w:rsidRDefault="00F64314">
            <w:pPr>
              <w:pStyle w:val="afff1"/>
              <w:rPr>
                <w:szCs w:val="21"/>
              </w:rPr>
            </w:pPr>
            <w:r>
              <w:rPr>
                <w:rFonts w:hint="eastAsia"/>
                <w:szCs w:val="21"/>
              </w:rPr>
              <w:t>2.43</w:t>
            </w:r>
            <w:r>
              <w:t>%</w:t>
            </w:r>
          </w:p>
        </w:tc>
        <w:tc>
          <w:tcPr>
            <w:tcW w:w="700" w:type="dxa"/>
            <w:tcBorders>
              <w:left w:val="single" w:sz="4" w:space="0" w:color="auto"/>
            </w:tcBorders>
            <w:vAlign w:val="center"/>
          </w:tcPr>
          <w:p w:rsidR="00BD5820" w:rsidRDefault="00F64314">
            <w:pPr>
              <w:pStyle w:val="afff1"/>
            </w:pPr>
            <w:r>
              <w:t>0</w:t>
            </w:r>
          </w:p>
        </w:tc>
        <w:tc>
          <w:tcPr>
            <w:tcW w:w="721" w:type="dxa"/>
            <w:tcBorders>
              <w:left w:val="single" w:sz="4" w:space="0" w:color="auto"/>
            </w:tcBorders>
            <w:vAlign w:val="center"/>
          </w:tcPr>
          <w:p w:rsidR="00BD5820" w:rsidRDefault="00F64314">
            <w:pPr>
              <w:pStyle w:val="afff1"/>
              <w:rPr>
                <w:bCs/>
              </w:rPr>
            </w:pPr>
            <w:r>
              <w:rPr>
                <w:bCs/>
              </w:rPr>
              <w:t>达标</w:t>
            </w:r>
          </w:p>
        </w:tc>
      </w:tr>
      <w:tr w:rsidR="00BD5820">
        <w:trPr>
          <w:trHeight w:val="188"/>
          <w:jc w:val="center"/>
        </w:trPr>
        <w:tc>
          <w:tcPr>
            <w:tcW w:w="1661" w:type="dxa"/>
            <w:vMerge/>
            <w:vAlign w:val="center"/>
          </w:tcPr>
          <w:p w:rsidR="00BD5820" w:rsidRDefault="00BD5820">
            <w:pPr>
              <w:pStyle w:val="afff1"/>
            </w:pPr>
          </w:p>
        </w:tc>
        <w:tc>
          <w:tcPr>
            <w:tcW w:w="735" w:type="dxa"/>
            <w:vMerge/>
            <w:vAlign w:val="center"/>
          </w:tcPr>
          <w:p w:rsidR="00BD5820" w:rsidRDefault="00BD5820">
            <w:pPr>
              <w:pStyle w:val="afff1"/>
            </w:pPr>
          </w:p>
        </w:tc>
        <w:tc>
          <w:tcPr>
            <w:tcW w:w="1290" w:type="dxa"/>
            <w:vAlign w:val="center"/>
          </w:tcPr>
          <w:p w:rsidR="00BD5820" w:rsidRDefault="00F64314">
            <w:pPr>
              <w:pStyle w:val="afff1"/>
            </w:pPr>
            <w:r>
              <w:t>硫化氢</w:t>
            </w:r>
          </w:p>
        </w:tc>
        <w:tc>
          <w:tcPr>
            <w:tcW w:w="709" w:type="dxa"/>
            <w:tcBorders>
              <w:left w:val="single" w:sz="4" w:space="0" w:color="auto"/>
            </w:tcBorders>
            <w:vAlign w:val="center"/>
          </w:tcPr>
          <w:p w:rsidR="00BD5820" w:rsidRDefault="00F64314">
            <w:pPr>
              <w:pStyle w:val="afff1"/>
            </w:pPr>
            <w:r>
              <w:t>28</w:t>
            </w:r>
          </w:p>
        </w:tc>
        <w:tc>
          <w:tcPr>
            <w:tcW w:w="1826" w:type="dxa"/>
            <w:tcBorders>
              <w:left w:val="single" w:sz="4" w:space="0" w:color="auto"/>
            </w:tcBorders>
            <w:vAlign w:val="center"/>
          </w:tcPr>
          <w:p w:rsidR="00BD5820" w:rsidRDefault="00F64314">
            <w:pPr>
              <w:pStyle w:val="afff1"/>
            </w:pPr>
            <w:r>
              <w:rPr>
                <w:rFonts w:hint="eastAsia"/>
                <w:szCs w:val="18"/>
              </w:rPr>
              <w:t>&lt;0.002</w:t>
            </w:r>
          </w:p>
        </w:tc>
        <w:tc>
          <w:tcPr>
            <w:tcW w:w="1149" w:type="dxa"/>
            <w:vAlign w:val="center"/>
          </w:tcPr>
          <w:p w:rsidR="00BD5820" w:rsidRDefault="00F64314">
            <w:pPr>
              <w:pStyle w:val="afff1"/>
              <w:rPr>
                <w:szCs w:val="21"/>
              </w:rPr>
            </w:pPr>
            <w:r>
              <w:rPr>
                <w:rFonts w:hint="eastAsia"/>
                <w:szCs w:val="21"/>
              </w:rPr>
              <w:t>/</w:t>
            </w:r>
          </w:p>
        </w:tc>
        <w:tc>
          <w:tcPr>
            <w:tcW w:w="700" w:type="dxa"/>
            <w:tcBorders>
              <w:left w:val="single" w:sz="4" w:space="0" w:color="auto"/>
            </w:tcBorders>
            <w:vAlign w:val="center"/>
          </w:tcPr>
          <w:p w:rsidR="00BD5820" w:rsidRDefault="00F64314">
            <w:pPr>
              <w:pStyle w:val="afff1"/>
            </w:pPr>
            <w:r>
              <w:t>0</w:t>
            </w:r>
          </w:p>
        </w:tc>
        <w:tc>
          <w:tcPr>
            <w:tcW w:w="721" w:type="dxa"/>
            <w:tcBorders>
              <w:left w:val="single" w:sz="4" w:space="0" w:color="auto"/>
            </w:tcBorders>
            <w:vAlign w:val="center"/>
          </w:tcPr>
          <w:p w:rsidR="00BD5820" w:rsidRDefault="00F64314">
            <w:pPr>
              <w:pStyle w:val="afff1"/>
              <w:rPr>
                <w:bCs/>
              </w:rPr>
            </w:pPr>
            <w:r>
              <w:rPr>
                <w:bCs/>
              </w:rPr>
              <w:t>达标</w:t>
            </w:r>
          </w:p>
        </w:tc>
      </w:tr>
    </w:tbl>
    <w:p w:rsidR="00BD5820" w:rsidRDefault="00F64314">
      <w:pPr>
        <w:pStyle w:val="affa"/>
        <w:ind w:firstLine="480"/>
        <w:rPr>
          <w:lang w:val="zh-TW"/>
        </w:rPr>
      </w:pPr>
      <w:r>
        <w:rPr>
          <w:lang w:val="zh-TW"/>
        </w:rPr>
        <w:t>评价结论：本项目拟建地环境空气中特征污染物</w:t>
      </w:r>
      <w:r>
        <w:rPr>
          <w:rFonts w:hint="eastAsia"/>
        </w:rPr>
        <w:t>TVOC</w:t>
      </w:r>
      <w:r>
        <w:rPr>
          <w:rFonts w:hint="eastAsia"/>
        </w:rPr>
        <w:t>、</w:t>
      </w:r>
      <w:r>
        <w:rPr>
          <w:lang w:val="zh-TW"/>
        </w:rPr>
        <w:t>硫化氢现状监测值均低于《环境影响评价技术导则大气环境》（</w:t>
      </w:r>
      <w:r>
        <w:rPr>
          <w:lang w:val="zh-TW"/>
        </w:rPr>
        <w:t>HJ2.2-2018</w:t>
      </w:r>
      <w:r>
        <w:rPr>
          <w:lang w:val="zh-TW"/>
        </w:rPr>
        <w:t>）中附录</w:t>
      </w:r>
      <w:r>
        <w:rPr>
          <w:lang w:val="zh-TW"/>
        </w:rPr>
        <w:t>D</w:t>
      </w:r>
      <w:r>
        <w:rPr>
          <w:lang w:val="zh-TW"/>
        </w:rPr>
        <w:t>标准限值。</w:t>
      </w:r>
    </w:p>
    <w:p w:rsidR="00BD5820" w:rsidRDefault="00F64314">
      <w:pPr>
        <w:pStyle w:val="2"/>
        <w:spacing w:before="120"/>
        <w:rPr>
          <w:rFonts w:cs="Times New Roman"/>
        </w:rPr>
      </w:pPr>
      <w:bookmarkStart w:id="347" w:name="_Toc12288562"/>
      <w:bookmarkStart w:id="348" w:name="_Toc19816015"/>
      <w:bookmarkStart w:id="349" w:name="_Toc13392"/>
      <w:r>
        <w:rPr>
          <w:rFonts w:cs="Times New Roman"/>
        </w:rPr>
        <w:t xml:space="preserve">5.4 </w:t>
      </w:r>
      <w:r>
        <w:rPr>
          <w:rFonts w:cs="Times New Roman"/>
        </w:rPr>
        <w:t>地表水环境质量现状与评价</w:t>
      </w:r>
      <w:bookmarkEnd w:id="347"/>
      <w:bookmarkEnd w:id="348"/>
      <w:bookmarkEnd w:id="349"/>
    </w:p>
    <w:p w:rsidR="00BD5820" w:rsidRDefault="00F64314">
      <w:pPr>
        <w:pStyle w:val="a1"/>
        <w:ind w:firstLine="480"/>
        <w:rPr>
          <w:rFonts w:ascii="Times New Roman" w:cs="Times New Roman"/>
        </w:rPr>
      </w:pPr>
      <w:r>
        <w:rPr>
          <w:rFonts w:ascii="Times New Roman" w:cs="Times New Roman" w:hint="eastAsia"/>
        </w:rPr>
        <w:t>本项目位于后河</w:t>
      </w:r>
      <w:r w:rsidR="00511129" w:rsidRPr="00511129">
        <w:rPr>
          <w:rFonts w:ascii="Times New Roman" w:cs="Times New Roman" w:hint="eastAsia"/>
          <w:color w:val="FF0000"/>
        </w:rPr>
        <w:t>和中河</w:t>
      </w:r>
      <w:r>
        <w:rPr>
          <w:rFonts w:ascii="Times New Roman" w:cs="Times New Roman" w:hint="eastAsia"/>
        </w:rPr>
        <w:t>流域，</w:t>
      </w:r>
      <w:r w:rsidR="00511129">
        <w:rPr>
          <w:rFonts w:ascii="Times New Roman" w:cs="Times New Roman" w:hint="eastAsia"/>
        </w:rPr>
        <w:t>后河</w:t>
      </w:r>
      <w:r w:rsidR="00511129" w:rsidRPr="00511129">
        <w:rPr>
          <w:rFonts w:ascii="Times New Roman" w:cs="Times New Roman" w:hint="eastAsia"/>
          <w:color w:val="FF0000"/>
        </w:rPr>
        <w:t>和中河</w:t>
      </w:r>
      <w:r w:rsidR="00511129">
        <w:rPr>
          <w:rFonts w:ascii="Times New Roman" w:cs="Times New Roman" w:hint="eastAsia"/>
          <w:color w:val="FF0000"/>
        </w:rPr>
        <w:t>均</w:t>
      </w:r>
      <w:r>
        <w:rPr>
          <w:rFonts w:ascii="Times New Roman" w:cs="Times New Roman" w:hint="eastAsia"/>
        </w:rPr>
        <w:t>属于渠江流域，</w:t>
      </w:r>
      <w:r w:rsidRPr="005B07B6">
        <w:rPr>
          <w:rFonts w:ascii="Times New Roman" w:cs="Times New Roman" w:hint="eastAsia"/>
          <w:color w:val="FF0000"/>
        </w:rPr>
        <w:t>根据《</w:t>
      </w:r>
      <w:r w:rsidRPr="005B07B6">
        <w:rPr>
          <w:rFonts w:ascii="Times New Roman" w:cs="Times New Roman" w:hint="eastAsia"/>
          <w:color w:val="FF0000"/>
        </w:rPr>
        <w:t>2022</w:t>
      </w:r>
      <w:r w:rsidRPr="005B07B6">
        <w:rPr>
          <w:rFonts w:ascii="Times New Roman" w:cs="Times New Roman" w:hint="eastAsia"/>
          <w:color w:val="FF0000"/>
        </w:rPr>
        <w:t>年</w:t>
      </w:r>
      <w:r w:rsidR="005B07B6" w:rsidRPr="005B07B6">
        <w:rPr>
          <w:rFonts w:ascii="Times New Roman" w:cs="Times New Roman" w:hint="eastAsia"/>
          <w:color w:val="FF0000"/>
        </w:rPr>
        <w:t>1~12</w:t>
      </w:r>
      <w:r w:rsidR="005B07B6" w:rsidRPr="005B07B6">
        <w:rPr>
          <w:rFonts w:ascii="Times New Roman" w:cs="Times New Roman" w:hint="eastAsia"/>
          <w:color w:val="FF0000"/>
        </w:rPr>
        <w:t>月</w:t>
      </w:r>
      <w:r w:rsidRPr="005B07B6">
        <w:rPr>
          <w:rFonts w:ascii="Times New Roman" w:cs="Times New Roman" w:hint="eastAsia"/>
          <w:color w:val="FF0000"/>
        </w:rPr>
        <w:t>月达州市地表水水质月报》（</w:t>
      </w:r>
      <w:r w:rsidR="005B07B6" w:rsidRPr="005B07B6">
        <w:rPr>
          <w:rFonts w:ascii="Times New Roman" w:cs="Times New Roman"/>
          <w:color w:val="FF0000"/>
        </w:rPr>
        <w:t>http://sthjj.dazhou.gov.cn/</w:t>
      </w:r>
      <w:r w:rsidRPr="005B07B6">
        <w:rPr>
          <w:rFonts w:ascii="Times New Roman" w:cs="Times New Roman" w:hint="eastAsia"/>
          <w:color w:val="FF0000"/>
        </w:rPr>
        <w:t>）</w:t>
      </w:r>
      <w:r>
        <w:rPr>
          <w:rFonts w:ascii="Times New Roman" w:cs="Times New Roman" w:hint="eastAsia"/>
        </w:rPr>
        <w:t>，后河漩坑坝断面和渠江白兔乡断面水质均符合《地表水环境质量标准》（</w:t>
      </w:r>
      <w:r>
        <w:rPr>
          <w:rFonts w:ascii="Times New Roman" w:cs="Times New Roman" w:hint="eastAsia"/>
        </w:rPr>
        <w:t>GB3838-2002</w:t>
      </w:r>
      <w:r>
        <w:rPr>
          <w:rFonts w:ascii="Times New Roman" w:cs="Times New Roman" w:hint="eastAsia"/>
        </w:rPr>
        <w:t>）中Ⅲ类水质标准限值要求</w:t>
      </w:r>
      <w:r>
        <w:rPr>
          <w:rFonts w:ascii="Times New Roman" w:cs="Times New Roman"/>
        </w:rPr>
        <w:t>。</w:t>
      </w:r>
    </w:p>
    <w:p w:rsidR="00BD5820" w:rsidRDefault="00F64314">
      <w:pPr>
        <w:pStyle w:val="2"/>
        <w:spacing w:before="120"/>
        <w:rPr>
          <w:rFonts w:cs="Times New Roman"/>
        </w:rPr>
      </w:pPr>
      <w:bookmarkStart w:id="350" w:name="_Toc12288568"/>
      <w:bookmarkStart w:id="351" w:name="_Toc19816016"/>
      <w:bookmarkStart w:id="352" w:name="_Toc30840"/>
      <w:r>
        <w:rPr>
          <w:rFonts w:cs="Times New Roman"/>
        </w:rPr>
        <w:t xml:space="preserve">5.5 </w:t>
      </w:r>
      <w:r>
        <w:rPr>
          <w:rFonts w:cs="Times New Roman"/>
        </w:rPr>
        <w:t>地下水环境质量现状与评价</w:t>
      </w:r>
      <w:bookmarkEnd w:id="350"/>
      <w:bookmarkEnd w:id="351"/>
      <w:bookmarkEnd w:id="352"/>
    </w:p>
    <w:p w:rsidR="00BD5820" w:rsidRDefault="00F64314">
      <w:pPr>
        <w:pStyle w:val="a1"/>
        <w:ind w:firstLine="480"/>
        <w:rPr>
          <w:rFonts w:ascii="Times New Roman" w:cs="Times New Roman"/>
        </w:rPr>
      </w:pPr>
      <w:r>
        <w:rPr>
          <w:rFonts w:ascii="Times New Roman" w:eastAsiaTheme="minorEastAsia" w:hAnsiTheme="minorEastAsia" w:cs="Times New Roman"/>
        </w:rPr>
        <w:t>本项目涉及的</w:t>
      </w:r>
      <w:r>
        <w:rPr>
          <w:rFonts w:eastAsiaTheme="minorEastAsia" w:hAnsiTheme="minorEastAsia" w:hint="eastAsia"/>
        </w:rPr>
        <w:t>普光</w:t>
      </w:r>
      <w:r>
        <w:rPr>
          <w:rFonts w:ascii="Times New Roman" w:eastAsiaTheme="minorEastAsia" w:cs="Times New Roman"/>
        </w:rPr>
        <w:t>气田</w:t>
      </w:r>
      <w:r>
        <w:rPr>
          <w:rFonts w:ascii="Times New Roman" w:eastAsiaTheme="minorEastAsia" w:cs="Times New Roman"/>
        </w:rPr>
        <w:t>1#</w:t>
      </w:r>
      <w:r>
        <w:rPr>
          <w:rFonts w:ascii="Times New Roman" w:eastAsiaTheme="minorEastAsia" w:cs="Times New Roman"/>
        </w:rPr>
        <w:t>增</w:t>
      </w:r>
      <w:r>
        <w:rPr>
          <w:rFonts w:eastAsiaTheme="minorEastAsia" w:hAnsiTheme="minorEastAsia" w:hint="eastAsia"/>
        </w:rPr>
        <w:t>压站涉及的地下水评价范围与普光气田</w:t>
      </w:r>
      <w:r>
        <w:rPr>
          <w:rFonts w:ascii="Times New Roman" w:eastAsiaTheme="minorEastAsia" w:hAnsiTheme="minorEastAsia" w:cs="Times New Roman"/>
        </w:rPr>
        <w:t>普陆</w:t>
      </w:r>
      <w:r>
        <w:rPr>
          <w:rFonts w:ascii="Times New Roman" w:eastAsiaTheme="minorEastAsia" w:cs="Times New Roman"/>
        </w:rPr>
        <w:t>3-1</w:t>
      </w:r>
      <w:r>
        <w:rPr>
          <w:rFonts w:ascii="Times New Roman" w:eastAsiaTheme="minorEastAsia" w:hAnsiTheme="minorEastAsia" w:cs="Times New Roman"/>
        </w:rPr>
        <w:t>井、普陆</w:t>
      </w:r>
      <w:r>
        <w:rPr>
          <w:rFonts w:ascii="Times New Roman" w:eastAsiaTheme="minorEastAsia" w:cs="Times New Roman"/>
        </w:rPr>
        <w:t>3-2</w:t>
      </w:r>
      <w:r>
        <w:rPr>
          <w:rFonts w:ascii="Times New Roman" w:eastAsiaTheme="minorEastAsia" w:hAnsiTheme="minorEastAsia" w:cs="Times New Roman"/>
        </w:rPr>
        <w:t>井钻井及试采工程一致，</w:t>
      </w:r>
      <w:r>
        <w:rPr>
          <w:rFonts w:ascii="Times New Roman" w:cs="Times New Roman" w:hint="eastAsia"/>
        </w:rPr>
        <w:t>属于同一水文地质单元，</w:t>
      </w:r>
      <w:r>
        <w:rPr>
          <w:rFonts w:hint="eastAsia"/>
        </w:rPr>
        <w:t>因此，本次</w:t>
      </w:r>
      <w:r>
        <w:rPr>
          <w:rFonts w:eastAsiaTheme="minorEastAsia" w:hAnsiTheme="minorEastAsia" w:hint="eastAsia"/>
        </w:rPr>
        <w:t>普光</w:t>
      </w:r>
      <w:r>
        <w:rPr>
          <w:rFonts w:ascii="Times New Roman" w:eastAsiaTheme="minorEastAsia" w:cs="Times New Roman"/>
        </w:rPr>
        <w:t>气田</w:t>
      </w:r>
      <w:r>
        <w:rPr>
          <w:rFonts w:ascii="Times New Roman" w:eastAsiaTheme="minorEastAsia" w:cs="Times New Roman"/>
        </w:rPr>
        <w:t>1#</w:t>
      </w:r>
      <w:r>
        <w:rPr>
          <w:rFonts w:ascii="Times New Roman" w:eastAsiaTheme="minorEastAsia" w:cs="Times New Roman"/>
        </w:rPr>
        <w:t>增</w:t>
      </w:r>
      <w:r>
        <w:rPr>
          <w:rFonts w:eastAsiaTheme="minorEastAsia" w:hAnsiTheme="minorEastAsia" w:hint="eastAsia"/>
        </w:rPr>
        <w:t>压站</w:t>
      </w:r>
      <w:r>
        <w:rPr>
          <w:rFonts w:hint="eastAsia"/>
        </w:rPr>
        <w:t>地下水环境质量现状评价引用《</w:t>
      </w:r>
      <w:r>
        <w:rPr>
          <w:rFonts w:eastAsiaTheme="minorEastAsia" w:hAnsiTheme="minorEastAsia" w:hint="eastAsia"/>
        </w:rPr>
        <w:t>普光气田</w:t>
      </w:r>
      <w:r>
        <w:rPr>
          <w:rFonts w:ascii="Times New Roman" w:eastAsiaTheme="minorEastAsia" w:hAnsiTheme="minorEastAsia" w:cs="Times New Roman"/>
        </w:rPr>
        <w:t>普陆</w:t>
      </w:r>
      <w:r>
        <w:rPr>
          <w:rFonts w:ascii="Times New Roman" w:eastAsiaTheme="minorEastAsia" w:cs="Times New Roman"/>
        </w:rPr>
        <w:t>3-1</w:t>
      </w:r>
      <w:r>
        <w:rPr>
          <w:rFonts w:ascii="Times New Roman" w:eastAsiaTheme="minorEastAsia" w:hAnsiTheme="minorEastAsia" w:cs="Times New Roman"/>
        </w:rPr>
        <w:t>井、普陆</w:t>
      </w:r>
      <w:r>
        <w:rPr>
          <w:rFonts w:ascii="Times New Roman" w:eastAsiaTheme="minorEastAsia" w:cs="Times New Roman"/>
        </w:rPr>
        <w:t>3-2</w:t>
      </w:r>
      <w:r>
        <w:rPr>
          <w:rFonts w:ascii="Times New Roman" w:eastAsiaTheme="minorEastAsia" w:hAnsiTheme="minorEastAsia" w:cs="Times New Roman"/>
        </w:rPr>
        <w:t>井钻井及试采工程</w:t>
      </w:r>
      <w:r>
        <w:rPr>
          <w:rFonts w:eastAsiaTheme="minorEastAsia" w:hAnsiTheme="minorEastAsia" w:hint="eastAsia"/>
        </w:rPr>
        <w:t>环境影响报告书书</w:t>
      </w:r>
      <w:r>
        <w:rPr>
          <w:rFonts w:hint="eastAsia"/>
        </w:rPr>
        <w:t>》中的地下水环境监测数据进行评价，监测时间为</w:t>
      </w:r>
      <w:r>
        <w:rPr>
          <w:rFonts w:ascii="Times New Roman" w:cs="Times New Roman"/>
        </w:rPr>
        <w:t>2022</w:t>
      </w:r>
      <w:r>
        <w:rPr>
          <w:rFonts w:ascii="Times New Roman" w:cs="Times New Roman"/>
        </w:rPr>
        <w:t>年</w:t>
      </w:r>
      <w:r>
        <w:rPr>
          <w:rFonts w:ascii="Times New Roman" w:cs="Times New Roman"/>
        </w:rPr>
        <w:t>6</w:t>
      </w:r>
      <w:r>
        <w:rPr>
          <w:rFonts w:ascii="Times New Roman" w:cs="Times New Roman"/>
        </w:rPr>
        <w:t>月</w:t>
      </w:r>
      <w:r>
        <w:rPr>
          <w:rFonts w:ascii="Times New Roman" w:cs="Times New Roman"/>
        </w:rPr>
        <w:t>2</w:t>
      </w:r>
      <w:r>
        <w:rPr>
          <w:rFonts w:ascii="Times New Roman" w:cs="Times New Roman" w:hint="eastAsia"/>
        </w:rPr>
        <w:t>1</w:t>
      </w:r>
      <w:r>
        <w:rPr>
          <w:rFonts w:ascii="Times New Roman" w:cs="Times New Roman"/>
        </w:rPr>
        <w:t>日</w:t>
      </w:r>
      <w:r w:rsidR="00BD3852">
        <w:rPr>
          <w:rFonts w:hint="eastAsia"/>
        </w:rPr>
        <w:t>，符合导则要求；同时</w:t>
      </w:r>
      <w:r w:rsidR="00BD3852" w:rsidRPr="00BD3852">
        <w:rPr>
          <w:rFonts w:hint="eastAsia"/>
          <w:color w:val="FF0000"/>
        </w:rPr>
        <w:t>本次评价</w:t>
      </w:r>
      <w:r w:rsidRPr="00BD3852">
        <w:rPr>
          <w:rFonts w:hint="eastAsia"/>
          <w:color w:val="FF0000"/>
        </w:rPr>
        <w:t>委托</w:t>
      </w:r>
      <w:r>
        <w:rPr>
          <w:rFonts w:hint="eastAsia"/>
        </w:rPr>
        <w:t>四川省工业环境监测研究院于</w:t>
      </w:r>
      <w:r>
        <w:rPr>
          <w:rFonts w:ascii="Times New Roman" w:cs="Times New Roman" w:hint="eastAsia"/>
        </w:rPr>
        <w:t>2023</w:t>
      </w:r>
      <w:r>
        <w:rPr>
          <w:rFonts w:ascii="Times New Roman" w:cs="Times New Roman" w:hint="eastAsia"/>
        </w:rPr>
        <w:t>年</w:t>
      </w:r>
      <w:r>
        <w:rPr>
          <w:rFonts w:ascii="Times New Roman" w:cs="Times New Roman" w:hint="eastAsia"/>
        </w:rPr>
        <w:t>7</w:t>
      </w:r>
      <w:r>
        <w:rPr>
          <w:rFonts w:ascii="Times New Roman" w:cs="Times New Roman" w:hint="eastAsia"/>
        </w:rPr>
        <w:t>月</w:t>
      </w:r>
      <w:r>
        <w:rPr>
          <w:rFonts w:ascii="Times New Roman" w:cs="Times New Roman" w:hint="eastAsia"/>
        </w:rPr>
        <w:t>8</w:t>
      </w:r>
      <w:r>
        <w:rPr>
          <w:rFonts w:ascii="Times New Roman" w:cs="Times New Roman" w:hint="eastAsia"/>
        </w:rPr>
        <w:t>日对</w:t>
      </w:r>
      <w:r>
        <w:rPr>
          <w:rFonts w:eastAsiaTheme="minorEastAsia" w:hAnsiTheme="minorEastAsia" w:hint="eastAsia"/>
        </w:rPr>
        <w:t>普光</w:t>
      </w:r>
      <w:r>
        <w:rPr>
          <w:rFonts w:ascii="Times New Roman" w:eastAsiaTheme="minorEastAsia" w:cs="Times New Roman"/>
        </w:rPr>
        <w:t>气田</w:t>
      </w:r>
      <w:r>
        <w:rPr>
          <w:rFonts w:ascii="Times New Roman" w:eastAsiaTheme="minorEastAsia" w:cs="Times New Roman" w:hint="eastAsia"/>
        </w:rPr>
        <w:t>2</w:t>
      </w:r>
      <w:r>
        <w:rPr>
          <w:rFonts w:ascii="Times New Roman" w:eastAsiaTheme="minorEastAsia" w:cs="Times New Roman"/>
        </w:rPr>
        <w:t>#</w:t>
      </w:r>
      <w:r>
        <w:rPr>
          <w:rFonts w:ascii="Times New Roman" w:eastAsiaTheme="minorEastAsia" w:cs="Times New Roman"/>
        </w:rPr>
        <w:t>增</w:t>
      </w:r>
      <w:r>
        <w:rPr>
          <w:rFonts w:eastAsiaTheme="minorEastAsia" w:hAnsiTheme="minorEastAsia" w:hint="eastAsia"/>
        </w:rPr>
        <w:t>压站所在地地下水环境质量进行了</w:t>
      </w:r>
      <w:r>
        <w:rPr>
          <w:rFonts w:hint="eastAsia"/>
        </w:rPr>
        <w:t>现状监测</w:t>
      </w:r>
      <w:r>
        <w:rPr>
          <w:rFonts w:ascii="Times New Roman" w:cs="Times New Roman"/>
        </w:rPr>
        <w:t>。</w:t>
      </w:r>
    </w:p>
    <w:p w:rsidR="00BD5820" w:rsidRDefault="00F64314">
      <w:pPr>
        <w:pStyle w:val="a1"/>
        <w:ind w:firstLine="482"/>
        <w:rPr>
          <w:rFonts w:ascii="Times New Roman" w:cs="Times New Roman"/>
          <w:b/>
        </w:rPr>
      </w:pPr>
      <w:bookmarkStart w:id="353" w:name="_Toc12288569"/>
      <w:r>
        <w:rPr>
          <w:rFonts w:ascii="Times New Roman" w:cs="Times New Roman"/>
          <w:b/>
        </w:rPr>
        <w:t>1</w:t>
      </w:r>
      <w:r>
        <w:rPr>
          <w:rFonts w:ascii="Times New Roman" w:cs="Times New Roman"/>
          <w:b/>
        </w:rPr>
        <w:t>、监测</w:t>
      </w:r>
      <w:r>
        <w:rPr>
          <w:rFonts w:ascii="Times New Roman" w:cs="Times New Roman" w:hint="eastAsia"/>
          <w:b/>
        </w:rPr>
        <w:t>点位</w:t>
      </w:r>
      <w:r>
        <w:rPr>
          <w:rFonts w:ascii="Times New Roman" w:cs="Times New Roman"/>
          <w:b/>
        </w:rPr>
        <w:t>布设</w:t>
      </w:r>
      <w:bookmarkEnd w:id="353"/>
    </w:p>
    <w:p w:rsidR="00BD5820" w:rsidRDefault="00F64314">
      <w:pPr>
        <w:pStyle w:val="a1"/>
        <w:ind w:firstLine="480"/>
        <w:rPr>
          <w:rFonts w:ascii="Times New Roman" w:cs="Times New Roman"/>
        </w:rPr>
      </w:pPr>
      <w:r>
        <w:rPr>
          <w:rFonts w:ascii="Times New Roman" w:cs="Times New Roman" w:hint="eastAsia"/>
        </w:rPr>
        <w:t>（</w:t>
      </w:r>
      <w:r>
        <w:rPr>
          <w:rFonts w:ascii="Times New Roman" w:cs="Times New Roman" w:hint="eastAsia"/>
        </w:rPr>
        <w:t>1</w:t>
      </w:r>
      <w:r>
        <w:rPr>
          <w:rFonts w:ascii="Times New Roman" w:cs="Times New Roman" w:hint="eastAsia"/>
        </w:rPr>
        <w:t>）</w:t>
      </w:r>
      <w:r>
        <w:rPr>
          <w:rFonts w:eastAsiaTheme="minorEastAsia" w:hAnsiTheme="minorEastAsia" w:hint="eastAsia"/>
        </w:rPr>
        <w:t>普光</w:t>
      </w:r>
      <w:r>
        <w:rPr>
          <w:rFonts w:ascii="Times New Roman" w:eastAsiaTheme="minorEastAsia" w:cs="Times New Roman"/>
        </w:rPr>
        <w:t>气田</w:t>
      </w:r>
      <w:r>
        <w:rPr>
          <w:rFonts w:ascii="Times New Roman" w:eastAsiaTheme="minorEastAsia" w:cs="Times New Roman"/>
        </w:rPr>
        <w:t>1#</w:t>
      </w:r>
      <w:r>
        <w:rPr>
          <w:rFonts w:ascii="Times New Roman" w:eastAsiaTheme="minorEastAsia" w:cs="Times New Roman"/>
        </w:rPr>
        <w:t>增</w:t>
      </w:r>
      <w:r>
        <w:rPr>
          <w:rFonts w:eastAsiaTheme="minorEastAsia" w:hAnsiTheme="minorEastAsia" w:hint="eastAsia"/>
        </w:rPr>
        <w:t>压站</w:t>
      </w:r>
      <w:r>
        <w:rPr>
          <w:rFonts w:ascii="Times New Roman" w:cs="Times New Roman" w:hint="eastAsia"/>
        </w:rPr>
        <w:t>：</w:t>
      </w:r>
    </w:p>
    <w:p w:rsidR="00BD5820" w:rsidRDefault="00F64314">
      <w:pPr>
        <w:pStyle w:val="a1"/>
        <w:ind w:firstLine="480"/>
        <w:rPr>
          <w:rFonts w:ascii="Times New Roman" w:cs="Times New Roman"/>
        </w:rPr>
      </w:pPr>
      <w:r>
        <w:rPr>
          <w:rFonts w:ascii="Times New Roman" w:cs="Times New Roman"/>
        </w:rPr>
        <w:t>根据工程情况，本次评价对项目所在地周边</w:t>
      </w:r>
      <w:r>
        <w:rPr>
          <w:rFonts w:ascii="Times New Roman" w:cs="Times New Roman" w:hint="eastAsia"/>
        </w:rPr>
        <w:t>10</w:t>
      </w:r>
      <w:r>
        <w:rPr>
          <w:rFonts w:ascii="Times New Roman" w:cs="Times New Roman" w:hint="eastAsia"/>
        </w:rPr>
        <w:t>个地下水监测点位进行了现在监测</w:t>
      </w:r>
      <w:r>
        <w:rPr>
          <w:rFonts w:ascii="Times New Roman" w:cs="Times New Roman"/>
        </w:rPr>
        <w:t>，具体位置见监测布点图。</w:t>
      </w:r>
    </w:p>
    <w:p w:rsidR="00BD5820" w:rsidRDefault="00F64314">
      <w:pPr>
        <w:pStyle w:val="a1"/>
        <w:ind w:firstLine="480"/>
        <w:rPr>
          <w:rFonts w:ascii="Times New Roman" w:cs="Times New Roman"/>
          <w:bCs/>
        </w:rPr>
      </w:pPr>
      <w:r>
        <w:rPr>
          <w:rFonts w:ascii="Times New Roman" w:cs="Times New Roman"/>
          <w:bCs/>
        </w:rPr>
        <w:t>WX1</w:t>
      </w:r>
      <w:r>
        <w:rPr>
          <w:rFonts w:ascii="Times New Roman" w:cs="Times New Roman" w:hint="eastAsia"/>
          <w:bCs/>
        </w:rPr>
        <w:t>-</w:t>
      </w:r>
      <w:r>
        <w:rPr>
          <w:rFonts w:ascii="Times New Roman" w:cs="Times New Roman" w:hint="eastAsia"/>
          <w:bCs/>
        </w:rPr>
        <w:t>普光</w:t>
      </w:r>
      <w:r>
        <w:rPr>
          <w:rFonts w:ascii="Times New Roman" w:cs="Times New Roman" w:hint="eastAsia"/>
          <w:bCs/>
        </w:rPr>
        <w:t>12</w:t>
      </w:r>
      <w:r>
        <w:rPr>
          <w:rFonts w:ascii="Times New Roman" w:cs="Times New Roman" w:hint="eastAsia"/>
          <w:bCs/>
        </w:rPr>
        <w:t>平台南侧约</w:t>
      </w:r>
      <w:r>
        <w:rPr>
          <w:rFonts w:ascii="Times New Roman" w:cs="Times New Roman" w:hint="eastAsia"/>
          <w:bCs/>
        </w:rPr>
        <w:t>260m</w:t>
      </w:r>
      <w:r>
        <w:rPr>
          <w:rFonts w:ascii="Times New Roman" w:cs="Times New Roman" w:hint="eastAsia"/>
          <w:bCs/>
        </w:rPr>
        <w:t>处（普光气田</w:t>
      </w:r>
      <w:r>
        <w:rPr>
          <w:rFonts w:ascii="Times New Roman" w:cs="Times New Roman" w:hint="eastAsia"/>
          <w:bCs/>
        </w:rPr>
        <w:t>1#</w:t>
      </w:r>
      <w:r>
        <w:rPr>
          <w:rFonts w:ascii="Times New Roman" w:cs="Times New Roman" w:hint="eastAsia"/>
          <w:bCs/>
        </w:rPr>
        <w:t>增压站东侧</w:t>
      </w:r>
      <w:r>
        <w:rPr>
          <w:rFonts w:ascii="Times New Roman" w:cs="Times New Roman" w:hint="eastAsia"/>
          <w:bCs/>
        </w:rPr>
        <w:t>2540m</w:t>
      </w:r>
      <w:r>
        <w:rPr>
          <w:rFonts w:ascii="Times New Roman" w:cs="Times New Roman" w:hint="eastAsia"/>
          <w:bCs/>
        </w:rPr>
        <w:t>），</w:t>
      </w:r>
    </w:p>
    <w:p w:rsidR="00BD5820" w:rsidRDefault="00F64314">
      <w:pPr>
        <w:pStyle w:val="a1"/>
        <w:ind w:firstLine="480"/>
        <w:rPr>
          <w:rFonts w:ascii="Times New Roman" w:cs="Times New Roman"/>
          <w:bCs/>
        </w:rPr>
      </w:pPr>
      <w:r>
        <w:rPr>
          <w:rFonts w:ascii="Times New Roman" w:cs="Times New Roman"/>
          <w:bCs/>
        </w:rPr>
        <w:lastRenderedPageBreak/>
        <w:t>WX</w:t>
      </w:r>
      <w:r>
        <w:rPr>
          <w:rFonts w:ascii="Times New Roman" w:cs="Times New Roman" w:hint="eastAsia"/>
          <w:bCs/>
        </w:rPr>
        <w:t>2-</w:t>
      </w:r>
      <w:r>
        <w:rPr>
          <w:rFonts w:ascii="Times New Roman" w:cs="Times New Roman" w:hint="eastAsia"/>
          <w:bCs/>
        </w:rPr>
        <w:t>普光</w:t>
      </w:r>
      <w:r>
        <w:rPr>
          <w:rFonts w:ascii="Times New Roman" w:cs="Times New Roman" w:hint="eastAsia"/>
          <w:bCs/>
        </w:rPr>
        <w:t>12</w:t>
      </w:r>
      <w:r>
        <w:rPr>
          <w:rFonts w:ascii="Times New Roman" w:cs="Times New Roman" w:hint="eastAsia"/>
          <w:bCs/>
        </w:rPr>
        <w:t>平台西北侧约</w:t>
      </w:r>
      <w:r>
        <w:rPr>
          <w:rFonts w:ascii="Times New Roman" w:cs="Times New Roman" w:hint="eastAsia"/>
          <w:bCs/>
        </w:rPr>
        <w:t>660m</w:t>
      </w:r>
      <w:r>
        <w:rPr>
          <w:rFonts w:ascii="Times New Roman" w:cs="Times New Roman" w:hint="eastAsia"/>
          <w:bCs/>
        </w:rPr>
        <w:t>处（普光气田</w:t>
      </w:r>
      <w:r>
        <w:rPr>
          <w:rFonts w:ascii="Times New Roman" w:cs="Times New Roman" w:hint="eastAsia"/>
          <w:bCs/>
        </w:rPr>
        <w:t>1#</w:t>
      </w:r>
      <w:r>
        <w:rPr>
          <w:rFonts w:ascii="Times New Roman" w:cs="Times New Roman" w:hint="eastAsia"/>
          <w:bCs/>
        </w:rPr>
        <w:t>增压站东北侧</w:t>
      </w:r>
      <w:r>
        <w:rPr>
          <w:rFonts w:ascii="Times New Roman" w:cs="Times New Roman" w:hint="eastAsia"/>
          <w:bCs/>
        </w:rPr>
        <w:t>2180m</w:t>
      </w:r>
      <w:r>
        <w:rPr>
          <w:rFonts w:ascii="Times New Roman" w:cs="Times New Roman" w:hint="eastAsia"/>
          <w:bCs/>
        </w:rPr>
        <w:t>），</w:t>
      </w:r>
    </w:p>
    <w:p w:rsidR="00BD5820" w:rsidRDefault="00F64314">
      <w:pPr>
        <w:pStyle w:val="a1"/>
        <w:ind w:firstLine="480"/>
        <w:rPr>
          <w:rFonts w:ascii="Times New Roman" w:cs="Times New Roman"/>
          <w:bCs/>
        </w:rPr>
      </w:pPr>
      <w:r>
        <w:rPr>
          <w:rFonts w:ascii="Times New Roman" w:cs="Times New Roman"/>
          <w:bCs/>
        </w:rPr>
        <w:t>WX</w:t>
      </w:r>
      <w:r>
        <w:rPr>
          <w:rFonts w:ascii="Times New Roman" w:cs="Times New Roman" w:hint="eastAsia"/>
          <w:bCs/>
        </w:rPr>
        <w:t>3-</w:t>
      </w:r>
      <w:r>
        <w:rPr>
          <w:rFonts w:ascii="Times New Roman" w:cs="Times New Roman" w:hint="eastAsia"/>
          <w:bCs/>
        </w:rPr>
        <w:t>普光</w:t>
      </w:r>
      <w:r>
        <w:rPr>
          <w:rFonts w:ascii="Times New Roman" w:cs="Times New Roman" w:hint="eastAsia"/>
          <w:bCs/>
        </w:rPr>
        <w:t>12</w:t>
      </w:r>
      <w:r>
        <w:rPr>
          <w:rFonts w:ascii="Times New Roman" w:cs="Times New Roman" w:hint="eastAsia"/>
          <w:bCs/>
        </w:rPr>
        <w:t>平台东北侧约</w:t>
      </w:r>
      <w:r>
        <w:rPr>
          <w:rFonts w:ascii="Times New Roman" w:cs="Times New Roman" w:hint="eastAsia"/>
          <w:bCs/>
        </w:rPr>
        <w:t>750m</w:t>
      </w:r>
      <w:r>
        <w:rPr>
          <w:rFonts w:ascii="Times New Roman" w:cs="Times New Roman" w:hint="eastAsia"/>
          <w:bCs/>
        </w:rPr>
        <w:t>处（普光气田</w:t>
      </w:r>
      <w:r>
        <w:rPr>
          <w:rFonts w:ascii="Times New Roman" w:cs="Times New Roman" w:hint="eastAsia"/>
          <w:bCs/>
        </w:rPr>
        <w:t>1#</w:t>
      </w:r>
      <w:r>
        <w:rPr>
          <w:rFonts w:ascii="Times New Roman" w:cs="Times New Roman" w:hint="eastAsia"/>
          <w:bCs/>
        </w:rPr>
        <w:t>增压站东侧</w:t>
      </w:r>
      <w:r>
        <w:rPr>
          <w:rFonts w:ascii="Times New Roman" w:cs="Times New Roman" w:hint="eastAsia"/>
          <w:bCs/>
        </w:rPr>
        <w:t>3310m</w:t>
      </w:r>
      <w:r>
        <w:rPr>
          <w:rFonts w:ascii="Times New Roman" w:cs="Times New Roman" w:hint="eastAsia"/>
          <w:bCs/>
        </w:rPr>
        <w:t>），</w:t>
      </w:r>
    </w:p>
    <w:p w:rsidR="00BD5820" w:rsidRDefault="00F64314">
      <w:pPr>
        <w:pStyle w:val="a1"/>
        <w:ind w:firstLine="480"/>
        <w:rPr>
          <w:rFonts w:ascii="Times New Roman" w:cs="Times New Roman"/>
          <w:bCs/>
        </w:rPr>
      </w:pPr>
      <w:r>
        <w:rPr>
          <w:rFonts w:ascii="Times New Roman" w:cs="Times New Roman"/>
          <w:bCs/>
        </w:rPr>
        <w:t>WX</w:t>
      </w:r>
      <w:r>
        <w:rPr>
          <w:rFonts w:ascii="Times New Roman" w:cs="Times New Roman" w:hint="eastAsia"/>
          <w:bCs/>
        </w:rPr>
        <w:t>4-</w:t>
      </w:r>
      <w:r>
        <w:rPr>
          <w:rFonts w:ascii="Times New Roman" w:cs="Times New Roman" w:hint="eastAsia"/>
          <w:bCs/>
        </w:rPr>
        <w:t>普光</w:t>
      </w:r>
      <w:r>
        <w:rPr>
          <w:rFonts w:ascii="Times New Roman" w:cs="Times New Roman" w:hint="eastAsia"/>
          <w:bCs/>
        </w:rPr>
        <w:t>12</w:t>
      </w:r>
      <w:r>
        <w:rPr>
          <w:rFonts w:ascii="Times New Roman" w:cs="Times New Roman" w:hint="eastAsia"/>
          <w:bCs/>
        </w:rPr>
        <w:t>平台北侧约</w:t>
      </w:r>
      <w:r>
        <w:rPr>
          <w:rFonts w:ascii="Times New Roman" w:cs="Times New Roman" w:hint="eastAsia"/>
          <w:bCs/>
        </w:rPr>
        <w:t>440m</w:t>
      </w:r>
      <w:r>
        <w:rPr>
          <w:rFonts w:ascii="Times New Roman" w:cs="Times New Roman" w:hint="eastAsia"/>
          <w:bCs/>
        </w:rPr>
        <w:t>处（普光气田</w:t>
      </w:r>
      <w:r>
        <w:rPr>
          <w:rFonts w:ascii="Times New Roman" w:cs="Times New Roman" w:hint="eastAsia"/>
          <w:bCs/>
        </w:rPr>
        <w:t>1#</w:t>
      </w:r>
      <w:r>
        <w:rPr>
          <w:rFonts w:ascii="Times New Roman" w:cs="Times New Roman" w:hint="eastAsia"/>
          <w:bCs/>
        </w:rPr>
        <w:t>增压站东侧</w:t>
      </w:r>
      <w:r>
        <w:rPr>
          <w:rFonts w:ascii="Times New Roman" w:cs="Times New Roman" w:hint="eastAsia"/>
          <w:bCs/>
        </w:rPr>
        <w:t>2100m</w:t>
      </w:r>
      <w:r>
        <w:rPr>
          <w:rFonts w:ascii="Times New Roman" w:cs="Times New Roman" w:hint="eastAsia"/>
          <w:bCs/>
        </w:rPr>
        <w:t>），</w:t>
      </w:r>
    </w:p>
    <w:p w:rsidR="00BD5820" w:rsidRDefault="00F64314">
      <w:pPr>
        <w:pStyle w:val="a1"/>
        <w:ind w:firstLine="480"/>
        <w:rPr>
          <w:rFonts w:ascii="Times New Roman" w:cs="Times New Roman"/>
        </w:rPr>
      </w:pPr>
      <w:r>
        <w:rPr>
          <w:rFonts w:ascii="Times New Roman" w:cs="Times New Roman"/>
          <w:bCs/>
        </w:rPr>
        <w:t>WX</w:t>
      </w:r>
      <w:r>
        <w:rPr>
          <w:rFonts w:ascii="Times New Roman" w:cs="Times New Roman" w:hint="eastAsia"/>
          <w:bCs/>
        </w:rPr>
        <w:t>5-</w:t>
      </w:r>
      <w:r>
        <w:rPr>
          <w:rFonts w:ascii="Times New Roman" w:cs="Times New Roman" w:hint="eastAsia"/>
          <w:bCs/>
        </w:rPr>
        <w:t>普光</w:t>
      </w:r>
      <w:r>
        <w:rPr>
          <w:rFonts w:ascii="Times New Roman" w:cs="Times New Roman" w:hint="eastAsia"/>
          <w:bCs/>
        </w:rPr>
        <w:t>12</w:t>
      </w:r>
      <w:r>
        <w:rPr>
          <w:rFonts w:ascii="Times New Roman" w:cs="Times New Roman" w:hint="eastAsia"/>
          <w:bCs/>
        </w:rPr>
        <w:t>平台西侧约</w:t>
      </w:r>
      <w:r>
        <w:rPr>
          <w:rFonts w:ascii="Times New Roman" w:cs="Times New Roman" w:hint="eastAsia"/>
          <w:bCs/>
        </w:rPr>
        <w:t>960m</w:t>
      </w:r>
      <w:r>
        <w:rPr>
          <w:rFonts w:ascii="Times New Roman" w:cs="Times New Roman" w:hint="eastAsia"/>
          <w:bCs/>
        </w:rPr>
        <w:t>处（普光气田</w:t>
      </w:r>
      <w:r>
        <w:rPr>
          <w:rFonts w:ascii="Times New Roman" w:cs="Times New Roman" w:hint="eastAsia"/>
          <w:bCs/>
        </w:rPr>
        <w:t>1#</w:t>
      </w:r>
      <w:r>
        <w:rPr>
          <w:rFonts w:ascii="Times New Roman" w:cs="Times New Roman" w:hint="eastAsia"/>
          <w:bCs/>
        </w:rPr>
        <w:t>增压站东南侧</w:t>
      </w:r>
      <w:r>
        <w:rPr>
          <w:rFonts w:ascii="Times New Roman" w:cs="Times New Roman" w:hint="eastAsia"/>
          <w:bCs/>
        </w:rPr>
        <w:t>1650m</w:t>
      </w:r>
      <w:r>
        <w:rPr>
          <w:rFonts w:ascii="Times New Roman" w:cs="Times New Roman" w:hint="eastAsia"/>
          <w:bCs/>
        </w:rPr>
        <w:t>），</w:t>
      </w:r>
    </w:p>
    <w:p w:rsidR="00BD5820" w:rsidRDefault="00F64314">
      <w:pPr>
        <w:pStyle w:val="a1"/>
        <w:ind w:firstLine="480"/>
        <w:rPr>
          <w:rFonts w:ascii="Times New Roman" w:cs="Times New Roman"/>
          <w:bCs/>
        </w:rPr>
      </w:pPr>
      <w:r>
        <w:rPr>
          <w:rFonts w:ascii="Times New Roman" w:cs="Times New Roman"/>
          <w:bCs/>
        </w:rPr>
        <w:t>WX</w:t>
      </w:r>
      <w:r>
        <w:rPr>
          <w:rFonts w:ascii="Times New Roman" w:cs="Times New Roman" w:hint="eastAsia"/>
          <w:bCs/>
        </w:rPr>
        <w:t>6-</w:t>
      </w:r>
      <w:r>
        <w:rPr>
          <w:rFonts w:ascii="Times New Roman" w:cs="Times New Roman" w:hint="eastAsia"/>
          <w:bCs/>
        </w:rPr>
        <w:t>普光</w:t>
      </w:r>
      <w:r>
        <w:rPr>
          <w:rFonts w:ascii="Times New Roman" w:cs="Times New Roman" w:hint="eastAsia"/>
          <w:bCs/>
        </w:rPr>
        <w:t>12</w:t>
      </w:r>
      <w:r>
        <w:rPr>
          <w:rFonts w:ascii="Times New Roman" w:cs="Times New Roman" w:hint="eastAsia"/>
          <w:bCs/>
        </w:rPr>
        <w:t>平台东南侧约</w:t>
      </w:r>
      <w:r>
        <w:rPr>
          <w:rFonts w:ascii="Times New Roman" w:cs="Times New Roman" w:hint="eastAsia"/>
          <w:bCs/>
        </w:rPr>
        <w:t>870m</w:t>
      </w:r>
      <w:r>
        <w:rPr>
          <w:rFonts w:ascii="Times New Roman" w:cs="Times New Roman" w:hint="eastAsia"/>
          <w:bCs/>
        </w:rPr>
        <w:t>处（普光气田</w:t>
      </w:r>
      <w:r>
        <w:rPr>
          <w:rFonts w:ascii="Times New Roman" w:cs="Times New Roman" w:hint="eastAsia"/>
          <w:bCs/>
        </w:rPr>
        <w:t>1#</w:t>
      </w:r>
      <w:r>
        <w:rPr>
          <w:rFonts w:ascii="Times New Roman" w:cs="Times New Roman" w:hint="eastAsia"/>
          <w:bCs/>
        </w:rPr>
        <w:t>增压站东侧</w:t>
      </w:r>
      <w:r>
        <w:rPr>
          <w:rFonts w:ascii="Times New Roman" w:cs="Times New Roman" w:hint="eastAsia"/>
          <w:bCs/>
        </w:rPr>
        <w:t>3630m</w:t>
      </w:r>
      <w:r>
        <w:rPr>
          <w:rFonts w:ascii="Times New Roman" w:cs="Times New Roman" w:hint="eastAsia"/>
          <w:bCs/>
        </w:rPr>
        <w:t>），</w:t>
      </w:r>
    </w:p>
    <w:p w:rsidR="00BD5820" w:rsidRDefault="00F64314">
      <w:pPr>
        <w:pStyle w:val="a1"/>
        <w:ind w:firstLine="480"/>
        <w:rPr>
          <w:rFonts w:ascii="Times New Roman" w:cs="Times New Roman"/>
          <w:bCs/>
        </w:rPr>
      </w:pPr>
      <w:r>
        <w:rPr>
          <w:rFonts w:ascii="Times New Roman" w:cs="Times New Roman"/>
          <w:bCs/>
        </w:rPr>
        <w:t>WX</w:t>
      </w:r>
      <w:r>
        <w:rPr>
          <w:rFonts w:ascii="Times New Roman" w:cs="Times New Roman" w:hint="eastAsia"/>
          <w:bCs/>
        </w:rPr>
        <w:t>7-</w:t>
      </w:r>
      <w:r>
        <w:rPr>
          <w:rFonts w:ascii="Times New Roman" w:cs="Times New Roman" w:hint="eastAsia"/>
          <w:bCs/>
        </w:rPr>
        <w:t>普光</w:t>
      </w:r>
      <w:r>
        <w:rPr>
          <w:rFonts w:ascii="Times New Roman" w:cs="Times New Roman" w:hint="eastAsia"/>
          <w:bCs/>
        </w:rPr>
        <w:t>12</w:t>
      </w:r>
      <w:r>
        <w:rPr>
          <w:rFonts w:ascii="Times New Roman" w:cs="Times New Roman" w:hint="eastAsia"/>
          <w:bCs/>
        </w:rPr>
        <w:t>平台东南侧约</w:t>
      </w:r>
      <w:r>
        <w:rPr>
          <w:rFonts w:ascii="Times New Roman" w:cs="Times New Roman" w:hint="eastAsia"/>
          <w:bCs/>
        </w:rPr>
        <w:t>650m</w:t>
      </w:r>
      <w:r>
        <w:rPr>
          <w:rFonts w:ascii="Times New Roman" w:cs="Times New Roman" w:hint="eastAsia"/>
          <w:bCs/>
        </w:rPr>
        <w:t>处（普光气田</w:t>
      </w:r>
      <w:r>
        <w:rPr>
          <w:rFonts w:ascii="Times New Roman" w:cs="Times New Roman" w:hint="eastAsia"/>
          <w:bCs/>
        </w:rPr>
        <w:t>1#</w:t>
      </w:r>
      <w:r>
        <w:rPr>
          <w:rFonts w:ascii="Times New Roman" w:cs="Times New Roman" w:hint="eastAsia"/>
          <w:bCs/>
        </w:rPr>
        <w:t>增压站东侧</w:t>
      </w:r>
      <w:r>
        <w:rPr>
          <w:rFonts w:ascii="Times New Roman" w:cs="Times New Roman" w:hint="eastAsia"/>
          <w:bCs/>
        </w:rPr>
        <w:t>3160m</w:t>
      </w:r>
      <w:r>
        <w:rPr>
          <w:rFonts w:ascii="Times New Roman" w:cs="Times New Roman" w:hint="eastAsia"/>
          <w:bCs/>
        </w:rPr>
        <w:t>），</w:t>
      </w:r>
    </w:p>
    <w:p w:rsidR="00BD5820" w:rsidRDefault="00F64314">
      <w:pPr>
        <w:pStyle w:val="a1"/>
        <w:ind w:firstLine="480"/>
        <w:rPr>
          <w:rFonts w:ascii="Times New Roman" w:cs="Times New Roman"/>
          <w:bCs/>
        </w:rPr>
      </w:pPr>
      <w:r>
        <w:rPr>
          <w:rFonts w:ascii="Times New Roman" w:cs="Times New Roman"/>
          <w:bCs/>
        </w:rPr>
        <w:t>WX</w:t>
      </w:r>
      <w:r>
        <w:rPr>
          <w:rFonts w:ascii="Times New Roman" w:cs="Times New Roman" w:hint="eastAsia"/>
          <w:bCs/>
        </w:rPr>
        <w:t>8-</w:t>
      </w:r>
      <w:r>
        <w:rPr>
          <w:rFonts w:ascii="Times New Roman" w:cs="Times New Roman" w:hint="eastAsia"/>
          <w:bCs/>
        </w:rPr>
        <w:t>普光</w:t>
      </w:r>
      <w:r>
        <w:rPr>
          <w:rFonts w:ascii="Times New Roman" w:cs="Times New Roman" w:hint="eastAsia"/>
          <w:bCs/>
        </w:rPr>
        <w:t>12</w:t>
      </w:r>
      <w:r>
        <w:rPr>
          <w:rFonts w:ascii="Times New Roman" w:cs="Times New Roman" w:hint="eastAsia"/>
          <w:bCs/>
        </w:rPr>
        <w:t>平台东北侧约</w:t>
      </w:r>
      <w:r>
        <w:rPr>
          <w:rFonts w:ascii="Times New Roman" w:cs="Times New Roman" w:hint="eastAsia"/>
          <w:bCs/>
        </w:rPr>
        <w:t>540m</w:t>
      </w:r>
      <w:r>
        <w:rPr>
          <w:rFonts w:ascii="Times New Roman" w:cs="Times New Roman" w:hint="eastAsia"/>
          <w:bCs/>
        </w:rPr>
        <w:t>处（普光气田</w:t>
      </w:r>
      <w:r>
        <w:rPr>
          <w:rFonts w:ascii="Times New Roman" w:cs="Times New Roman" w:hint="eastAsia"/>
          <w:bCs/>
        </w:rPr>
        <w:t>1#</w:t>
      </w:r>
      <w:r>
        <w:rPr>
          <w:rFonts w:ascii="Times New Roman" w:cs="Times New Roman" w:hint="eastAsia"/>
          <w:bCs/>
        </w:rPr>
        <w:t>增压站东北侧</w:t>
      </w:r>
      <w:r>
        <w:rPr>
          <w:rFonts w:ascii="Times New Roman" w:cs="Times New Roman" w:hint="eastAsia"/>
          <w:bCs/>
        </w:rPr>
        <w:t>2880m</w:t>
      </w:r>
      <w:r>
        <w:rPr>
          <w:rFonts w:ascii="Times New Roman" w:cs="Times New Roman" w:hint="eastAsia"/>
          <w:bCs/>
        </w:rPr>
        <w:t>），</w:t>
      </w:r>
    </w:p>
    <w:p w:rsidR="00BD5820" w:rsidRDefault="00F64314">
      <w:pPr>
        <w:pStyle w:val="a1"/>
        <w:ind w:firstLine="480"/>
        <w:rPr>
          <w:rFonts w:ascii="Times New Roman" w:cs="Times New Roman"/>
          <w:bCs/>
        </w:rPr>
      </w:pPr>
      <w:r>
        <w:rPr>
          <w:rFonts w:ascii="Times New Roman" w:cs="Times New Roman"/>
          <w:bCs/>
        </w:rPr>
        <w:t>WX</w:t>
      </w:r>
      <w:r>
        <w:rPr>
          <w:rFonts w:ascii="Times New Roman" w:cs="Times New Roman" w:hint="eastAsia"/>
          <w:bCs/>
        </w:rPr>
        <w:t>9-</w:t>
      </w:r>
      <w:r>
        <w:rPr>
          <w:rFonts w:ascii="Times New Roman" w:cs="Times New Roman" w:hint="eastAsia"/>
          <w:bCs/>
        </w:rPr>
        <w:t>普光</w:t>
      </w:r>
      <w:r>
        <w:rPr>
          <w:rFonts w:ascii="Times New Roman" w:cs="Times New Roman" w:hint="eastAsia"/>
          <w:bCs/>
        </w:rPr>
        <w:t>12</w:t>
      </w:r>
      <w:r>
        <w:rPr>
          <w:rFonts w:ascii="Times New Roman" w:cs="Times New Roman" w:hint="eastAsia"/>
          <w:bCs/>
        </w:rPr>
        <w:t>平台西北侧约</w:t>
      </w:r>
      <w:r>
        <w:rPr>
          <w:rFonts w:ascii="Times New Roman" w:cs="Times New Roman" w:hint="eastAsia"/>
          <w:bCs/>
        </w:rPr>
        <w:t>790m</w:t>
      </w:r>
      <w:r>
        <w:rPr>
          <w:rFonts w:ascii="Times New Roman" w:cs="Times New Roman" w:hint="eastAsia"/>
          <w:bCs/>
        </w:rPr>
        <w:t>处（普光气田</w:t>
      </w:r>
      <w:r>
        <w:rPr>
          <w:rFonts w:ascii="Times New Roman" w:cs="Times New Roman" w:hint="eastAsia"/>
          <w:bCs/>
        </w:rPr>
        <w:t>1#</w:t>
      </w:r>
      <w:r>
        <w:rPr>
          <w:rFonts w:ascii="Times New Roman" w:cs="Times New Roman" w:hint="eastAsia"/>
          <w:bCs/>
        </w:rPr>
        <w:t>增压站东侧</w:t>
      </w:r>
      <w:r>
        <w:rPr>
          <w:rFonts w:ascii="Times New Roman" w:cs="Times New Roman" w:hint="eastAsia"/>
          <w:bCs/>
        </w:rPr>
        <w:t>1870m</w:t>
      </w:r>
      <w:r>
        <w:rPr>
          <w:rFonts w:ascii="Times New Roman" w:cs="Times New Roman" w:hint="eastAsia"/>
          <w:bCs/>
        </w:rPr>
        <w:t>），</w:t>
      </w:r>
    </w:p>
    <w:p w:rsidR="00BD5820" w:rsidRDefault="00F64314">
      <w:pPr>
        <w:pStyle w:val="a1"/>
        <w:ind w:firstLine="480"/>
        <w:rPr>
          <w:rFonts w:ascii="Times New Roman" w:cs="Times New Roman"/>
        </w:rPr>
      </w:pPr>
      <w:r>
        <w:rPr>
          <w:rFonts w:ascii="Times New Roman" w:cs="Times New Roman"/>
          <w:bCs/>
        </w:rPr>
        <w:t>WX</w:t>
      </w:r>
      <w:r>
        <w:rPr>
          <w:rFonts w:ascii="Times New Roman" w:cs="Times New Roman" w:hint="eastAsia"/>
          <w:bCs/>
        </w:rPr>
        <w:t>10-</w:t>
      </w:r>
      <w:r>
        <w:rPr>
          <w:rFonts w:ascii="Times New Roman" w:cs="Times New Roman" w:hint="eastAsia"/>
          <w:bCs/>
        </w:rPr>
        <w:t>普光</w:t>
      </w:r>
      <w:r>
        <w:rPr>
          <w:rFonts w:ascii="Times New Roman" w:cs="Times New Roman" w:hint="eastAsia"/>
          <w:bCs/>
        </w:rPr>
        <w:t>12</w:t>
      </w:r>
      <w:r>
        <w:rPr>
          <w:rFonts w:ascii="Times New Roman" w:cs="Times New Roman" w:hint="eastAsia"/>
          <w:bCs/>
        </w:rPr>
        <w:t>平台北侧约</w:t>
      </w:r>
      <w:r>
        <w:rPr>
          <w:rFonts w:ascii="Times New Roman" w:cs="Times New Roman" w:hint="eastAsia"/>
          <w:bCs/>
        </w:rPr>
        <w:t>540m</w:t>
      </w:r>
      <w:r>
        <w:rPr>
          <w:rFonts w:ascii="Times New Roman" w:cs="Times New Roman" w:hint="eastAsia"/>
          <w:bCs/>
        </w:rPr>
        <w:t>处（普光气田</w:t>
      </w:r>
      <w:r>
        <w:rPr>
          <w:rFonts w:ascii="Times New Roman" w:cs="Times New Roman" w:hint="eastAsia"/>
          <w:bCs/>
        </w:rPr>
        <w:t>1#</w:t>
      </w:r>
      <w:r>
        <w:rPr>
          <w:rFonts w:ascii="Times New Roman" w:cs="Times New Roman" w:hint="eastAsia"/>
          <w:bCs/>
        </w:rPr>
        <w:t>增压站东侧</w:t>
      </w:r>
      <w:r>
        <w:rPr>
          <w:rFonts w:ascii="Times New Roman" w:cs="Times New Roman" w:hint="eastAsia"/>
          <w:bCs/>
        </w:rPr>
        <w:t>3000m</w:t>
      </w:r>
      <w:r>
        <w:rPr>
          <w:rFonts w:ascii="Times New Roman" w:cs="Times New Roman" w:hint="eastAsia"/>
          <w:bCs/>
        </w:rPr>
        <w:t>）。</w:t>
      </w:r>
    </w:p>
    <w:p w:rsidR="00BD5820" w:rsidRDefault="00F64314" w:rsidP="00C74272">
      <w:pPr>
        <w:pStyle w:val="a1"/>
        <w:ind w:firstLine="482"/>
        <w:rPr>
          <w:rFonts w:ascii="Times New Roman" w:cs="Times New Roman"/>
        </w:rPr>
      </w:pPr>
      <w:r>
        <w:rPr>
          <w:rFonts w:ascii="Times New Roman" w:cs="Times New Roman"/>
          <w:b/>
          <w:bCs/>
        </w:rPr>
        <w:t>WX1~WX</w:t>
      </w:r>
      <w:r>
        <w:rPr>
          <w:rFonts w:ascii="Times New Roman" w:cs="Times New Roman" w:hint="eastAsia"/>
          <w:b/>
          <w:bCs/>
        </w:rPr>
        <w:t>5</w:t>
      </w:r>
      <w:r>
        <w:rPr>
          <w:rFonts w:ascii="Times New Roman" w:cs="Times New Roman"/>
          <w:b/>
          <w:bCs/>
        </w:rPr>
        <w:t>为水质监测点；</w:t>
      </w:r>
      <w:r>
        <w:rPr>
          <w:rFonts w:ascii="Times New Roman" w:cs="Times New Roman"/>
          <w:b/>
          <w:bCs/>
        </w:rPr>
        <w:t>WX1~WX</w:t>
      </w:r>
      <w:r>
        <w:rPr>
          <w:rFonts w:ascii="Times New Roman" w:cs="Times New Roman" w:hint="eastAsia"/>
          <w:b/>
          <w:bCs/>
        </w:rPr>
        <w:t>10</w:t>
      </w:r>
      <w:r>
        <w:rPr>
          <w:rFonts w:ascii="Times New Roman" w:cs="Times New Roman"/>
          <w:b/>
          <w:bCs/>
        </w:rPr>
        <w:t>为水位监测点。</w:t>
      </w:r>
    </w:p>
    <w:p w:rsidR="00BD5820" w:rsidRDefault="00F64314">
      <w:pPr>
        <w:pStyle w:val="a1"/>
        <w:ind w:firstLine="480"/>
        <w:rPr>
          <w:rFonts w:ascii="Times New Roman" w:cs="Times New Roman"/>
        </w:rPr>
      </w:pPr>
      <w:r>
        <w:rPr>
          <w:rFonts w:ascii="Times New Roman" w:cs="Times New Roman" w:hint="eastAsia"/>
        </w:rPr>
        <w:t>（</w:t>
      </w:r>
      <w:r>
        <w:rPr>
          <w:rFonts w:ascii="Times New Roman" w:cs="Times New Roman" w:hint="eastAsia"/>
        </w:rPr>
        <w:t>2</w:t>
      </w:r>
      <w:r>
        <w:rPr>
          <w:rFonts w:ascii="Times New Roman" w:cs="Times New Roman" w:hint="eastAsia"/>
        </w:rPr>
        <w:t>）</w:t>
      </w:r>
      <w:r>
        <w:rPr>
          <w:rFonts w:eastAsiaTheme="minorEastAsia" w:hAnsiTheme="minorEastAsia" w:hint="eastAsia"/>
        </w:rPr>
        <w:t>普光</w:t>
      </w:r>
      <w:r>
        <w:rPr>
          <w:rFonts w:ascii="Times New Roman" w:eastAsiaTheme="minorEastAsia" w:cs="Times New Roman"/>
        </w:rPr>
        <w:t>气田</w:t>
      </w:r>
      <w:r>
        <w:rPr>
          <w:rFonts w:ascii="Times New Roman" w:eastAsiaTheme="minorEastAsia" w:cs="Times New Roman" w:hint="eastAsia"/>
        </w:rPr>
        <w:t>2</w:t>
      </w:r>
      <w:r>
        <w:rPr>
          <w:rFonts w:ascii="Times New Roman" w:eastAsiaTheme="minorEastAsia" w:cs="Times New Roman"/>
        </w:rPr>
        <w:t>#</w:t>
      </w:r>
      <w:r>
        <w:rPr>
          <w:rFonts w:ascii="Times New Roman" w:eastAsiaTheme="minorEastAsia" w:cs="Times New Roman"/>
        </w:rPr>
        <w:t>增</w:t>
      </w:r>
      <w:r>
        <w:rPr>
          <w:rFonts w:eastAsiaTheme="minorEastAsia" w:hAnsiTheme="minorEastAsia" w:hint="eastAsia"/>
        </w:rPr>
        <w:t>压站</w:t>
      </w:r>
      <w:r>
        <w:rPr>
          <w:rFonts w:ascii="Times New Roman" w:cs="Times New Roman" w:hint="eastAsia"/>
        </w:rPr>
        <w:t>：</w:t>
      </w:r>
    </w:p>
    <w:p w:rsidR="00BD5820" w:rsidRDefault="00F64314">
      <w:pPr>
        <w:pStyle w:val="a1"/>
        <w:ind w:firstLine="480"/>
        <w:rPr>
          <w:rFonts w:ascii="Times New Roman" w:cs="Times New Roman"/>
        </w:rPr>
      </w:pPr>
      <w:r>
        <w:rPr>
          <w:rFonts w:ascii="Times New Roman" w:cs="Times New Roman"/>
        </w:rPr>
        <w:t>根据工程情况，本次评价对项目所在地周边</w:t>
      </w:r>
      <w:r>
        <w:rPr>
          <w:rFonts w:ascii="Times New Roman" w:cs="Times New Roman" w:hint="eastAsia"/>
        </w:rPr>
        <w:t>10</w:t>
      </w:r>
      <w:r>
        <w:rPr>
          <w:rFonts w:ascii="Times New Roman" w:cs="Times New Roman" w:hint="eastAsia"/>
        </w:rPr>
        <w:t>个地下水监测点位进行了现在监测</w:t>
      </w:r>
      <w:r>
        <w:rPr>
          <w:rFonts w:ascii="Times New Roman" w:cs="Times New Roman"/>
        </w:rPr>
        <w:t>，具体位置见监测布点图。</w:t>
      </w:r>
    </w:p>
    <w:p w:rsidR="00BD5820" w:rsidRDefault="00F64314">
      <w:pPr>
        <w:pStyle w:val="a1"/>
        <w:ind w:firstLine="480"/>
        <w:rPr>
          <w:rFonts w:ascii="Times New Roman" w:cs="Times New Roman"/>
          <w:bCs/>
        </w:rPr>
      </w:pPr>
      <w:bookmarkStart w:id="354" w:name="_Hlk80556080"/>
      <w:r>
        <w:rPr>
          <w:rFonts w:ascii="Times New Roman" w:cs="Times New Roman" w:hint="eastAsia"/>
          <w:bCs/>
        </w:rPr>
        <w:t>JC1</w:t>
      </w:r>
      <w:r>
        <w:rPr>
          <w:rFonts w:ascii="Times New Roman" w:cs="Times New Roman" w:hint="eastAsia"/>
          <w:bCs/>
        </w:rPr>
        <w:t>：位于普光气田</w:t>
      </w:r>
      <w:r>
        <w:rPr>
          <w:rFonts w:ascii="Times New Roman" w:cs="Times New Roman" w:hint="eastAsia"/>
          <w:bCs/>
        </w:rPr>
        <w:t>2#</w:t>
      </w:r>
      <w:r>
        <w:rPr>
          <w:rFonts w:ascii="Times New Roman" w:cs="Times New Roman" w:hint="eastAsia"/>
          <w:bCs/>
        </w:rPr>
        <w:t>增压站所在地东北侧铜坎村水井</w:t>
      </w:r>
    </w:p>
    <w:p w:rsidR="00BD5820" w:rsidRDefault="00F64314">
      <w:pPr>
        <w:pStyle w:val="a1"/>
        <w:ind w:firstLine="480"/>
        <w:rPr>
          <w:rFonts w:ascii="Times New Roman" w:cs="Times New Roman"/>
          <w:bCs/>
        </w:rPr>
      </w:pPr>
      <w:r>
        <w:rPr>
          <w:rFonts w:ascii="Times New Roman" w:cs="Times New Roman" w:hint="eastAsia"/>
          <w:bCs/>
        </w:rPr>
        <w:t>JC2</w:t>
      </w:r>
      <w:r>
        <w:rPr>
          <w:rFonts w:ascii="Times New Roman" w:cs="Times New Roman" w:hint="eastAsia"/>
          <w:bCs/>
        </w:rPr>
        <w:t>：位于普光气田</w:t>
      </w:r>
      <w:r>
        <w:rPr>
          <w:rFonts w:ascii="Times New Roman" w:cs="Times New Roman" w:hint="eastAsia"/>
          <w:bCs/>
        </w:rPr>
        <w:t>2#</w:t>
      </w:r>
      <w:r>
        <w:rPr>
          <w:rFonts w:ascii="Times New Roman" w:cs="Times New Roman" w:hint="eastAsia"/>
          <w:bCs/>
        </w:rPr>
        <w:t>增压站所在地西侧鱼坝村水井</w:t>
      </w:r>
    </w:p>
    <w:p w:rsidR="00BD5820" w:rsidRDefault="00F64314">
      <w:pPr>
        <w:pStyle w:val="a1"/>
        <w:ind w:firstLine="480"/>
        <w:rPr>
          <w:rFonts w:ascii="Times New Roman" w:cs="Times New Roman"/>
          <w:bCs/>
        </w:rPr>
      </w:pPr>
      <w:r>
        <w:rPr>
          <w:rFonts w:ascii="Times New Roman" w:cs="Times New Roman" w:hint="eastAsia"/>
          <w:bCs/>
        </w:rPr>
        <w:t>JC3</w:t>
      </w:r>
      <w:r>
        <w:rPr>
          <w:rFonts w:ascii="Times New Roman" w:cs="Times New Roman" w:hint="eastAsia"/>
          <w:bCs/>
        </w:rPr>
        <w:t>：位于普光气田</w:t>
      </w:r>
      <w:r>
        <w:rPr>
          <w:rFonts w:ascii="Times New Roman" w:cs="Times New Roman" w:hint="eastAsia"/>
          <w:bCs/>
        </w:rPr>
        <w:t>2#</w:t>
      </w:r>
      <w:r>
        <w:rPr>
          <w:rFonts w:ascii="Times New Roman" w:cs="Times New Roman" w:hint="eastAsia"/>
          <w:bCs/>
        </w:rPr>
        <w:t>增压站所在地西侧陶家沟水井</w:t>
      </w:r>
    </w:p>
    <w:p w:rsidR="00BD5820" w:rsidRDefault="00F64314">
      <w:pPr>
        <w:pStyle w:val="a1"/>
        <w:ind w:firstLine="480"/>
        <w:rPr>
          <w:rFonts w:ascii="Times New Roman" w:cs="Times New Roman"/>
          <w:bCs/>
        </w:rPr>
      </w:pPr>
      <w:r>
        <w:rPr>
          <w:rFonts w:ascii="Times New Roman" w:cs="Times New Roman" w:hint="eastAsia"/>
          <w:bCs/>
        </w:rPr>
        <w:t>JC4</w:t>
      </w:r>
      <w:r>
        <w:rPr>
          <w:rFonts w:ascii="Times New Roman" w:cs="Times New Roman" w:hint="eastAsia"/>
          <w:bCs/>
        </w:rPr>
        <w:t>：位于普光气田</w:t>
      </w:r>
      <w:r>
        <w:rPr>
          <w:rFonts w:ascii="Times New Roman" w:cs="Times New Roman" w:hint="eastAsia"/>
          <w:bCs/>
        </w:rPr>
        <w:t>2#</w:t>
      </w:r>
      <w:r>
        <w:rPr>
          <w:rFonts w:ascii="Times New Roman" w:cs="Times New Roman" w:hint="eastAsia"/>
          <w:bCs/>
        </w:rPr>
        <w:t>增压站所在地西北侧上罗家坪水井</w:t>
      </w:r>
    </w:p>
    <w:p w:rsidR="00BD5820" w:rsidRDefault="00F64314">
      <w:pPr>
        <w:pStyle w:val="a1"/>
        <w:ind w:firstLine="480"/>
        <w:rPr>
          <w:rFonts w:ascii="Times New Roman" w:cs="Times New Roman"/>
          <w:bCs/>
        </w:rPr>
      </w:pPr>
      <w:r>
        <w:rPr>
          <w:rFonts w:ascii="Times New Roman" w:cs="Times New Roman" w:hint="eastAsia"/>
          <w:bCs/>
        </w:rPr>
        <w:t>JC5</w:t>
      </w:r>
      <w:r>
        <w:rPr>
          <w:rFonts w:ascii="Times New Roman" w:cs="Times New Roman" w:hint="eastAsia"/>
          <w:bCs/>
        </w:rPr>
        <w:t>：位于普光气田</w:t>
      </w:r>
      <w:r>
        <w:rPr>
          <w:rFonts w:ascii="Times New Roman" w:cs="Times New Roman" w:hint="eastAsia"/>
          <w:bCs/>
        </w:rPr>
        <w:t>2#</w:t>
      </w:r>
      <w:r>
        <w:rPr>
          <w:rFonts w:ascii="Times New Roman" w:cs="Times New Roman" w:hint="eastAsia"/>
          <w:bCs/>
        </w:rPr>
        <w:t>增压站所在地西北侧下罗家坪水井</w:t>
      </w:r>
    </w:p>
    <w:p w:rsidR="00BD5820" w:rsidRDefault="00F64314">
      <w:pPr>
        <w:pStyle w:val="a1"/>
        <w:ind w:firstLine="480"/>
        <w:rPr>
          <w:rFonts w:ascii="Times New Roman" w:cs="Times New Roman"/>
          <w:bCs/>
        </w:rPr>
      </w:pPr>
      <w:r>
        <w:rPr>
          <w:rFonts w:ascii="Times New Roman" w:cs="Times New Roman" w:hint="eastAsia"/>
          <w:bCs/>
        </w:rPr>
        <w:t>JC6</w:t>
      </w:r>
      <w:r>
        <w:rPr>
          <w:rFonts w:ascii="Times New Roman" w:cs="Times New Roman" w:hint="eastAsia"/>
          <w:bCs/>
        </w:rPr>
        <w:t>：位于普光气田</w:t>
      </w:r>
      <w:r>
        <w:rPr>
          <w:rFonts w:ascii="Times New Roman" w:cs="Times New Roman" w:hint="eastAsia"/>
          <w:bCs/>
        </w:rPr>
        <w:t>2#</w:t>
      </w:r>
      <w:r>
        <w:rPr>
          <w:rFonts w:ascii="Times New Roman" w:cs="Times New Roman" w:hint="eastAsia"/>
          <w:bCs/>
        </w:rPr>
        <w:t>增压站所在地西北侧汤家沟水井</w:t>
      </w:r>
    </w:p>
    <w:p w:rsidR="00BD5820" w:rsidRDefault="00F64314">
      <w:pPr>
        <w:pStyle w:val="a1"/>
        <w:ind w:firstLine="480"/>
        <w:rPr>
          <w:rFonts w:ascii="Times New Roman" w:cs="Times New Roman"/>
          <w:bCs/>
        </w:rPr>
      </w:pPr>
      <w:r>
        <w:rPr>
          <w:rFonts w:ascii="Times New Roman" w:cs="Times New Roman" w:hint="eastAsia"/>
          <w:bCs/>
        </w:rPr>
        <w:t>JC7</w:t>
      </w:r>
      <w:r>
        <w:rPr>
          <w:rFonts w:ascii="Times New Roman" w:cs="Times New Roman" w:hint="eastAsia"/>
          <w:bCs/>
        </w:rPr>
        <w:t>：位于普光气田</w:t>
      </w:r>
      <w:r>
        <w:rPr>
          <w:rFonts w:ascii="Times New Roman" w:cs="Times New Roman" w:hint="eastAsia"/>
          <w:bCs/>
        </w:rPr>
        <w:t>2#</w:t>
      </w:r>
      <w:r>
        <w:rPr>
          <w:rFonts w:ascii="Times New Roman" w:cs="Times New Roman" w:hint="eastAsia"/>
          <w:bCs/>
        </w:rPr>
        <w:t>增压站所在地西北侧吴家沟水井</w:t>
      </w:r>
    </w:p>
    <w:p w:rsidR="00BD5820" w:rsidRDefault="00F64314">
      <w:pPr>
        <w:pStyle w:val="a1"/>
        <w:ind w:firstLine="480"/>
        <w:rPr>
          <w:rFonts w:ascii="Times New Roman" w:cs="Times New Roman"/>
          <w:bCs/>
        </w:rPr>
      </w:pPr>
      <w:r>
        <w:rPr>
          <w:rFonts w:ascii="Times New Roman" w:cs="Times New Roman" w:hint="eastAsia"/>
          <w:bCs/>
        </w:rPr>
        <w:t>JC8</w:t>
      </w:r>
      <w:r>
        <w:rPr>
          <w:rFonts w:ascii="Times New Roman" w:cs="Times New Roman" w:hint="eastAsia"/>
          <w:bCs/>
        </w:rPr>
        <w:t>：位于普光气田</w:t>
      </w:r>
      <w:r>
        <w:rPr>
          <w:rFonts w:ascii="Times New Roman" w:cs="Times New Roman" w:hint="eastAsia"/>
          <w:bCs/>
        </w:rPr>
        <w:t>2#</w:t>
      </w:r>
      <w:r>
        <w:rPr>
          <w:rFonts w:ascii="Times New Roman" w:cs="Times New Roman" w:hint="eastAsia"/>
          <w:bCs/>
        </w:rPr>
        <w:t>增压站所在地西北侧王家沟水井</w:t>
      </w:r>
    </w:p>
    <w:p w:rsidR="00BD5820" w:rsidRDefault="00F64314">
      <w:pPr>
        <w:pStyle w:val="a1"/>
        <w:ind w:firstLine="480"/>
        <w:rPr>
          <w:rFonts w:ascii="Times New Roman" w:cs="Times New Roman"/>
          <w:bCs/>
        </w:rPr>
      </w:pPr>
      <w:r>
        <w:rPr>
          <w:rFonts w:ascii="Times New Roman" w:cs="Times New Roman" w:hint="eastAsia"/>
          <w:bCs/>
        </w:rPr>
        <w:t>JC9</w:t>
      </w:r>
      <w:r>
        <w:rPr>
          <w:rFonts w:ascii="Times New Roman" w:cs="Times New Roman" w:hint="eastAsia"/>
          <w:bCs/>
        </w:rPr>
        <w:t>：位于普光气田</w:t>
      </w:r>
      <w:r>
        <w:rPr>
          <w:rFonts w:ascii="Times New Roman" w:cs="Times New Roman" w:hint="eastAsia"/>
          <w:bCs/>
        </w:rPr>
        <w:t>2#</w:t>
      </w:r>
      <w:r>
        <w:rPr>
          <w:rFonts w:ascii="Times New Roman" w:cs="Times New Roman" w:hint="eastAsia"/>
          <w:bCs/>
        </w:rPr>
        <w:t>增压站所在地西北侧陈家坝水井</w:t>
      </w:r>
    </w:p>
    <w:p w:rsidR="00BD5820" w:rsidRDefault="00F64314">
      <w:pPr>
        <w:pStyle w:val="a1"/>
        <w:ind w:firstLine="480"/>
        <w:rPr>
          <w:rFonts w:ascii="Times New Roman" w:cs="Times New Roman"/>
          <w:bCs/>
        </w:rPr>
      </w:pPr>
      <w:r>
        <w:rPr>
          <w:rFonts w:ascii="Times New Roman" w:cs="Times New Roman" w:hint="eastAsia"/>
          <w:bCs/>
        </w:rPr>
        <w:t>JC10</w:t>
      </w:r>
      <w:r>
        <w:rPr>
          <w:rFonts w:ascii="Times New Roman" w:cs="Times New Roman" w:hint="eastAsia"/>
          <w:bCs/>
        </w:rPr>
        <w:t>：位于普光气田</w:t>
      </w:r>
      <w:r>
        <w:rPr>
          <w:rFonts w:ascii="Times New Roman" w:cs="Times New Roman" w:hint="eastAsia"/>
          <w:bCs/>
        </w:rPr>
        <w:t>2#</w:t>
      </w:r>
      <w:r>
        <w:rPr>
          <w:rFonts w:ascii="Times New Roman" w:cs="Times New Roman" w:hint="eastAsia"/>
          <w:bCs/>
        </w:rPr>
        <w:t>增压站所在地西北侧田塝上水井。</w:t>
      </w:r>
    </w:p>
    <w:bookmarkEnd w:id="354"/>
    <w:p w:rsidR="00BD5820" w:rsidRDefault="00F64314">
      <w:pPr>
        <w:pStyle w:val="a1"/>
        <w:ind w:firstLine="482"/>
        <w:rPr>
          <w:rFonts w:ascii="Times New Roman" w:cs="Times New Roman"/>
          <w:b/>
          <w:bCs/>
        </w:rPr>
      </w:pPr>
      <w:r>
        <w:rPr>
          <w:rFonts w:ascii="Times New Roman" w:cs="Times New Roman" w:hint="eastAsia"/>
          <w:b/>
          <w:bCs/>
        </w:rPr>
        <w:t>JC</w:t>
      </w:r>
      <w:r>
        <w:rPr>
          <w:rFonts w:ascii="Times New Roman" w:cs="Times New Roman"/>
          <w:b/>
          <w:bCs/>
        </w:rPr>
        <w:t>1~</w:t>
      </w:r>
      <w:r>
        <w:rPr>
          <w:rFonts w:ascii="Times New Roman" w:cs="Times New Roman" w:hint="eastAsia"/>
          <w:b/>
          <w:bCs/>
        </w:rPr>
        <w:t>JC5</w:t>
      </w:r>
      <w:r>
        <w:rPr>
          <w:rFonts w:ascii="Times New Roman" w:cs="Times New Roman"/>
          <w:b/>
          <w:bCs/>
        </w:rPr>
        <w:t>为水质监测点；</w:t>
      </w:r>
      <w:r>
        <w:rPr>
          <w:rFonts w:ascii="Times New Roman" w:cs="Times New Roman" w:hint="eastAsia"/>
          <w:b/>
          <w:bCs/>
        </w:rPr>
        <w:t>JC</w:t>
      </w:r>
      <w:r>
        <w:rPr>
          <w:rFonts w:ascii="Times New Roman" w:cs="Times New Roman"/>
          <w:b/>
          <w:bCs/>
        </w:rPr>
        <w:t>1~</w:t>
      </w:r>
      <w:r>
        <w:rPr>
          <w:rFonts w:ascii="Times New Roman" w:cs="Times New Roman" w:hint="eastAsia"/>
          <w:b/>
          <w:bCs/>
        </w:rPr>
        <w:t>JC10</w:t>
      </w:r>
      <w:r>
        <w:rPr>
          <w:rFonts w:ascii="Times New Roman" w:cs="Times New Roman"/>
          <w:b/>
          <w:bCs/>
        </w:rPr>
        <w:t>为水位监测点。</w:t>
      </w:r>
    </w:p>
    <w:p w:rsidR="00BD5820" w:rsidRDefault="00F64314">
      <w:pPr>
        <w:pStyle w:val="a1"/>
        <w:ind w:firstLine="482"/>
        <w:rPr>
          <w:rFonts w:ascii="Times New Roman" w:cs="Times New Roman"/>
          <w:b/>
          <w:bCs/>
        </w:rPr>
      </w:pPr>
      <w:r>
        <w:rPr>
          <w:rFonts w:ascii="Times New Roman" w:cs="Times New Roman"/>
          <w:b/>
          <w:bCs/>
        </w:rPr>
        <w:t>2</w:t>
      </w:r>
      <w:r>
        <w:rPr>
          <w:rFonts w:ascii="Times New Roman" w:cs="Times New Roman"/>
          <w:b/>
          <w:bCs/>
        </w:rPr>
        <w:t>、监测项目</w:t>
      </w:r>
    </w:p>
    <w:p w:rsidR="00BD5820" w:rsidRDefault="00F64314">
      <w:pPr>
        <w:pStyle w:val="affa"/>
        <w:ind w:firstLine="480"/>
      </w:pPr>
      <w:r>
        <w:rPr>
          <w:rFonts w:hint="eastAsia"/>
        </w:rPr>
        <w:t>K</w:t>
      </w:r>
      <w:r>
        <w:rPr>
          <w:rFonts w:hint="eastAsia"/>
          <w:vertAlign w:val="superscript"/>
        </w:rPr>
        <w:t>+</w:t>
      </w:r>
      <w:r>
        <w:rPr>
          <w:rFonts w:hint="eastAsia"/>
        </w:rPr>
        <w:t>、</w:t>
      </w:r>
      <w:r>
        <w:rPr>
          <w:rFonts w:hint="eastAsia"/>
        </w:rPr>
        <w:t>Na</w:t>
      </w:r>
      <w:r>
        <w:rPr>
          <w:rFonts w:hint="eastAsia"/>
          <w:vertAlign w:val="superscript"/>
        </w:rPr>
        <w:t>+</w:t>
      </w:r>
      <w:r>
        <w:rPr>
          <w:rFonts w:hint="eastAsia"/>
        </w:rPr>
        <w:t>、</w:t>
      </w:r>
      <w:r>
        <w:rPr>
          <w:rFonts w:hint="eastAsia"/>
        </w:rPr>
        <w:t>Ca</w:t>
      </w:r>
      <w:r>
        <w:rPr>
          <w:rFonts w:hint="eastAsia"/>
          <w:vertAlign w:val="superscript"/>
        </w:rPr>
        <w:t>2+</w:t>
      </w:r>
      <w:r>
        <w:rPr>
          <w:rFonts w:hint="eastAsia"/>
        </w:rPr>
        <w:t>、</w:t>
      </w:r>
      <w:r>
        <w:rPr>
          <w:rFonts w:hint="eastAsia"/>
        </w:rPr>
        <w:t>Mg</w:t>
      </w:r>
      <w:r>
        <w:rPr>
          <w:rFonts w:hint="eastAsia"/>
          <w:vertAlign w:val="superscript"/>
        </w:rPr>
        <w:t>2+</w:t>
      </w:r>
      <w:r>
        <w:rPr>
          <w:rFonts w:hint="eastAsia"/>
        </w:rPr>
        <w:t>、</w:t>
      </w:r>
      <w:r>
        <w:rPr>
          <w:rFonts w:hint="eastAsia"/>
        </w:rPr>
        <w:t>CO</w:t>
      </w:r>
      <w:r>
        <w:rPr>
          <w:rFonts w:hint="eastAsia"/>
          <w:vertAlign w:val="subscript"/>
        </w:rPr>
        <w:t>3</w:t>
      </w:r>
      <w:r>
        <w:rPr>
          <w:rFonts w:hint="eastAsia"/>
          <w:vertAlign w:val="superscript"/>
        </w:rPr>
        <w:t>2-</w:t>
      </w:r>
      <w:r>
        <w:rPr>
          <w:rFonts w:hint="eastAsia"/>
        </w:rPr>
        <w:t>、</w:t>
      </w:r>
      <w:r>
        <w:rPr>
          <w:rFonts w:hint="eastAsia"/>
        </w:rPr>
        <w:t>HCO</w:t>
      </w:r>
      <w:r>
        <w:rPr>
          <w:rFonts w:hint="eastAsia"/>
          <w:vertAlign w:val="subscript"/>
        </w:rPr>
        <w:t>3</w:t>
      </w:r>
      <w:r>
        <w:rPr>
          <w:rFonts w:hint="eastAsia"/>
          <w:vertAlign w:val="superscript"/>
        </w:rPr>
        <w:t>-</w:t>
      </w:r>
      <w:r>
        <w:rPr>
          <w:rFonts w:hint="eastAsia"/>
        </w:rPr>
        <w:t>、</w:t>
      </w:r>
      <w:r>
        <w:rPr>
          <w:rFonts w:hint="eastAsia"/>
        </w:rPr>
        <w:t>Cl</w:t>
      </w:r>
      <w:r>
        <w:rPr>
          <w:rFonts w:hint="eastAsia"/>
          <w:vertAlign w:val="superscript"/>
        </w:rPr>
        <w:t>-</w:t>
      </w:r>
      <w:r>
        <w:rPr>
          <w:rFonts w:hint="eastAsia"/>
        </w:rPr>
        <w:t>、</w:t>
      </w:r>
      <w:r>
        <w:rPr>
          <w:rFonts w:hint="eastAsia"/>
        </w:rPr>
        <w:t>SO</w:t>
      </w:r>
      <w:r>
        <w:rPr>
          <w:rFonts w:hint="eastAsia"/>
          <w:vertAlign w:val="subscript"/>
        </w:rPr>
        <w:t>4</w:t>
      </w:r>
      <w:r>
        <w:rPr>
          <w:rFonts w:hint="eastAsia"/>
          <w:vertAlign w:val="superscript"/>
        </w:rPr>
        <w:t>2-</w:t>
      </w:r>
      <w:r>
        <w:rPr>
          <w:rFonts w:hint="eastAsia"/>
        </w:rPr>
        <w:t>；</w:t>
      </w:r>
      <w:r>
        <w:rPr>
          <w:rFonts w:hint="eastAsia"/>
        </w:rPr>
        <w:t>pH</w:t>
      </w:r>
      <w:r>
        <w:rPr>
          <w:rFonts w:hint="eastAsia"/>
        </w:rPr>
        <w:t>、氨氮、硝酸盐、亚硝酸盐、挥发性酚类、氰化物、砷、汞、铬（六价）、总硬度、铅、镉、铁、锰、溶解性总固体、耗氧量、硫酸盐、氯化物、菌落总数、氟化物、总大肠菌群、</w:t>
      </w:r>
      <w:r>
        <w:t>石油类</w:t>
      </w:r>
      <w:r>
        <w:rPr>
          <w:rFonts w:hint="eastAsia"/>
        </w:rPr>
        <w:t>、硫化物</w:t>
      </w:r>
      <w:r>
        <w:t>。</w:t>
      </w:r>
    </w:p>
    <w:p w:rsidR="00BD5820" w:rsidRDefault="00F64314">
      <w:pPr>
        <w:pStyle w:val="affa"/>
        <w:ind w:firstLine="482"/>
        <w:rPr>
          <w:b/>
          <w:bCs/>
        </w:rPr>
      </w:pPr>
      <w:r>
        <w:rPr>
          <w:b/>
          <w:bCs/>
        </w:rPr>
        <w:lastRenderedPageBreak/>
        <w:t>3</w:t>
      </w:r>
      <w:r>
        <w:rPr>
          <w:b/>
          <w:bCs/>
        </w:rPr>
        <w:t>、监测频次</w:t>
      </w:r>
    </w:p>
    <w:p w:rsidR="00BD5820" w:rsidRDefault="00F64314">
      <w:pPr>
        <w:pStyle w:val="affa"/>
        <w:ind w:firstLine="480"/>
      </w:pPr>
      <w:r>
        <w:t>监测</w:t>
      </w:r>
      <w:r>
        <w:t>1</w:t>
      </w:r>
      <w:r>
        <w:t>天，每天采样</w:t>
      </w:r>
      <w:r>
        <w:t>1</w:t>
      </w:r>
      <w:r>
        <w:t>次。</w:t>
      </w:r>
    </w:p>
    <w:p w:rsidR="00BD5820" w:rsidRDefault="00F64314">
      <w:pPr>
        <w:pStyle w:val="affa"/>
        <w:ind w:firstLine="482"/>
        <w:rPr>
          <w:b/>
          <w:bCs/>
        </w:rPr>
      </w:pPr>
      <w:bookmarkStart w:id="355" w:name="_Toc12288570"/>
      <w:r>
        <w:rPr>
          <w:b/>
          <w:bCs/>
        </w:rPr>
        <w:t>4</w:t>
      </w:r>
      <w:r>
        <w:rPr>
          <w:b/>
          <w:bCs/>
        </w:rPr>
        <w:t>、采样及分析方法</w:t>
      </w:r>
      <w:bookmarkEnd w:id="355"/>
    </w:p>
    <w:p w:rsidR="00BD5820" w:rsidRDefault="00F64314">
      <w:pPr>
        <w:pStyle w:val="affa"/>
        <w:ind w:firstLine="480"/>
      </w:pPr>
      <w:r>
        <w:t>采样及分析方法按国家有关规定进行。</w:t>
      </w:r>
    </w:p>
    <w:p w:rsidR="00BD5820" w:rsidRDefault="00F64314">
      <w:pPr>
        <w:pStyle w:val="affa"/>
        <w:ind w:firstLine="482"/>
        <w:rPr>
          <w:b/>
          <w:bCs/>
        </w:rPr>
      </w:pPr>
      <w:bookmarkStart w:id="356" w:name="_Toc12288571"/>
      <w:r>
        <w:rPr>
          <w:b/>
          <w:bCs/>
        </w:rPr>
        <w:t>5</w:t>
      </w:r>
      <w:r>
        <w:rPr>
          <w:b/>
          <w:bCs/>
        </w:rPr>
        <w:t>、评价标准</w:t>
      </w:r>
      <w:bookmarkEnd w:id="356"/>
    </w:p>
    <w:p w:rsidR="00BD5820" w:rsidRDefault="00F64314">
      <w:pPr>
        <w:pStyle w:val="affa"/>
        <w:ind w:firstLine="480"/>
      </w:pPr>
      <w:r>
        <w:t>地下水环境质量执行《地下水质量标准》（</w:t>
      </w:r>
      <w:r>
        <w:t>GB/T14848-2017</w:t>
      </w:r>
      <w:r>
        <w:t>）中</w:t>
      </w:r>
      <w:r>
        <w:t>Ⅲ</w:t>
      </w:r>
      <w:r>
        <w:t>类标准，其中石油类执行《地表水环境质量标准》（</w:t>
      </w:r>
      <w:r>
        <w:t>GB3838-2002</w:t>
      </w:r>
      <w:r>
        <w:t>）</w:t>
      </w:r>
      <w:r>
        <w:t>Ⅲ</w:t>
      </w:r>
      <w:r>
        <w:t>类标准要求。</w:t>
      </w:r>
      <w:bookmarkStart w:id="357" w:name="_Toc12288572"/>
    </w:p>
    <w:p w:rsidR="00BD5820" w:rsidRDefault="00F64314">
      <w:pPr>
        <w:pStyle w:val="affa"/>
        <w:ind w:firstLine="482"/>
        <w:rPr>
          <w:b/>
          <w:bCs/>
        </w:rPr>
      </w:pPr>
      <w:r>
        <w:rPr>
          <w:b/>
          <w:bCs/>
        </w:rPr>
        <w:t>6</w:t>
      </w:r>
      <w:r>
        <w:rPr>
          <w:b/>
          <w:bCs/>
        </w:rPr>
        <w:t>、评价方法</w:t>
      </w:r>
      <w:bookmarkEnd w:id="357"/>
    </w:p>
    <w:p w:rsidR="00BD5820" w:rsidRDefault="00F64314">
      <w:pPr>
        <w:pStyle w:val="a1"/>
        <w:ind w:firstLine="480"/>
        <w:rPr>
          <w:rFonts w:ascii="Times New Roman" w:cs="Times New Roman"/>
        </w:rPr>
      </w:pPr>
      <w:r>
        <w:rPr>
          <w:rFonts w:ascii="Times New Roman" w:cs="Times New Roman"/>
        </w:rPr>
        <w:t>根据《环境影响评价技术导则</w:t>
      </w:r>
      <w:r>
        <w:rPr>
          <w:rFonts w:ascii="Times New Roman" w:cs="Times New Roman"/>
        </w:rPr>
        <w:t xml:space="preserve"> </w:t>
      </w:r>
      <w:r>
        <w:rPr>
          <w:rFonts w:ascii="Times New Roman" w:cs="Times New Roman"/>
        </w:rPr>
        <w:t>地下水环境》（</w:t>
      </w:r>
      <w:r>
        <w:rPr>
          <w:rFonts w:ascii="Times New Roman" w:cs="Times New Roman"/>
        </w:rPr>
        <w:t>HJ610-2016</w:t>
      </w:r>
      <w:r>
        <w:rPr>
          <w:rFonts w:ascii="Times New Roman" w:cs="Times New Roman"/>
        </w:rPr>
        <w:t>），地下水环境质量现状评价方法采用标准指数法，除</w:t>
      </w:r>
      <w:r>
        <w:rPr>
          <w:rFonts w:ascii="Times New Roman" w:cs="Times New Roman"/>
        </w:rPr>
        <w:t>pH</w:t>
      </w:r>
      <w:r>
        <w:rPr>
          <w:rFonts w:ascii="Times New Roman" w:cs="Times New Roman"/>
        </w:rPr>
        <w:t>值外，其它水质参数的单项标准指数</w:t>
      </w:r>
      <w:r>
        <w:rPr>
          <w:rFonts w:ascii="Times New Roman" w:cs="Times New Roman"/>
        </w:rPr>
        <w:t>S</w:t>
      </w:r>
      <w:r>
        <w:rPr>
          <w:rFonts w:ascii="Times New Roman" w:cs="Times New Roman"/>
          <w:sz w:val="16"/>
          <w:szCs w:val="16"/>
        </w:rPr>
        <w:t>i</w:t>
      </w:r>
      <w:r>
        <w:rPr>
          <w:rFonts w:ascii="Times New Roman" w:cs="Times New Roman"/>
        </w:rPr>
        <w:t>为：</w:t>
      </w:r>
    </w:p>
    <w:p w:rsidR="00BD5820" w:rsidRDefault="00F64314">
      <w:pPr>
        <w:pStyle w:val="a1"/>
        <w:ind w:firstLineChars="0" w:firstLine="0"/>
        <w:jc w:val="center"/>
        <w:rPr>
          <w:rFonts w:ascii="Times New Roman" w:cs="Times New Roman"/>
          <w:sz w:val="16"/>
          <w:szCs w:val="16"/>
        </w:rPr>
      </w:pPr>
      <w:r>
        <w:rPr>
          <w:rFonts w:ascii="Times New Roman" w:cs="Times New Roman"/>
        </w:rPr>
        <w:t>S</w:t>
      </w:r>
      <w:r>
        <w:rPr>
          <w:rFonts w:ascii="Times New Roman" w:cs="Times New Roman"/>
          <w:sz w:val="16"/>
          <w:szCs w:val="16"/>
        </w:rPr>
        <w:t>i</w:t>
      </w:r>
      <w:r>
        <w:rPr>
          <w:rFonts w:ascii="Times New Roman" w:cs="Times New Roman"/>
        </w:rPr>
        <w:t>=C</w:t>
      </w:r>
      <w:r>
        <w:rPr>
          <w:rFonts w:ascii="Times New Roman" w:cs="Times New Roman"/>
          <w:sz w:val="16"/>
          <w:szCs w:val="16"/>
        </w:rPr>
        <w:t>i</w:t>
      </w:r>
      <w:r>
        <w:rPr>
          <w:rFonts w:ascii="Times New Roman" w:cs="Times New Roman"/>
        </w:rPr>
        <w:t>/C</w:t>
      </w:r>
      <w:r>
        <w:rPr>
          <w:rFonts w:ascii="Times New Roman" w:cs="Times New Roman"/>
          <w:sz w:val="16"/>
          <w:szCs w:val="16"/>
        </w:rPr>
        <w:t>0i</w:t>
      </w:r>
    </w:p>
    <w:p w:rsidR="00BD5820" w:rsidRDefault="00F64314">
      <w:pPr>
        <w:pStyle w:val="a1"/>
        <w:ind w:firstLine="480"/>
        <w:rPr>
          <w:rFonts w:ascii="Times New Roman" w:cs="Times New Roman"/>
        </w:rPr>
      </w:pPr>
      <w:r>
        <w:rPr>
          <w:rFonts w:ascii="Times New Roman" w:cs="Times New Roman"/>
        </w:rPr>
        <w:t>式中：</w:t>
      </w:r>
      <w:r>
        <w:rPr>
          <w:rFonts w:ascii="Times New Roman" w:cs="Times New Roman"/>
        </w:rPr>
        <w:t>C</w:t>
      </w:r>
      <w:r>
        <w:rPr>
          <w:rFonts w:ascii="Times New Roman" w:cs="Times New Roman"/>
          <w:sz w:val="16"/>
          <w:szCs w:val="16"/>
        </w:rPr>
        <w:t>i</w:t>
      </w:r>
      <w:r>
        <w:rPr>
          <w:rFonts w:ascii="Times New Roman" w:cs="Times New Roman"/>
        </w:rPr>
        <w:t>——</w:t>
      </w:r>
      <w:r>
        <w:rPr>
          <w:rFonts w:ascii="Times New Roman" w:cs="Times New Roman"/>
        </w:rPr>
        <w:t>第</w:t>
      </w:r>
      <w:r>
        <w:rPr>
          <w:rFonts w:ascii="Times New Roman" w:cs="Times New Roman"/>
        </w:rPr>
        <w:t>i</w:t>
      </w:r>
      <w:r>
        <w:rPr>
          <w:rFonts w:ascii="Times New Roman" w:cs="Times New Roman"/>
        </w:rPr>
        <w:t>种污染物实测浓度值，</w:t>
      </w:r>
      <w:r>
        <w:rPr>
          <w:rFonts w:ascii="Times New Roman" w:cs="Times New Roman"/>
        </w:rPr>
        <w:t>mg/L</w:t>
      </w:r>
      <w:r>
        <w:rPr>
          <w:rFonts w:ascii="Times New Roman" w:cs="Times New Roman"/>
        </w:rPr>
        <w:t>；</w:t>
      </w:r>
    </w:p>
    <w:p w:rsidR="00BD5820" w:rsidRDefault="00F64314">
      <w:pPr>
        <w:pStyle w:val="a1"/>
        <w:ind w:firstLineChars="500" w:firstLine="1200"/>
        <w:rPr>
          <w:rFonts w:ascii="Times New Roman" w:cs="Times New Roman"/>
        </w:rPr>
      </w:pPr>
      <w:r>
        <w:rPr>
          <w:rFonts w:ascii="Times New Roman" w:cs="Times New Roman"/>
        </w:rPr>
        <w:t>C</w:t>
      </w:r>
      <w:r>
        <w:rPr>
          <w:rFonts w:ascii="Times New Roman" w:cs="Times New Roman"/>
          <w:sz w:val="16"/>
          <w:szCs w:val="16"/>
        </w:rPr>
        <w:t>0i</w:t>
      </w:r>
      <w:r>
        <w:rPr>
          <w:rFonts w:ascii="Times New Roman" w:cs="Times New Roman"/>
        </w:rPr>
        <w:t>——</w:t>
      </w:r>
      <w:r>
        <w:rPr>
          <w:rFonts w:ascii="Times New Roman" w:cs="Times New Roman"/>
        </w:rPr>
        <w:t>第</w:t>
      </w:r>
      <w:r>
        <w:rPr>
          <w:rFonts w:ascii="Times New Roman" w:cs="Times New Roman"/>
        </w:rPr>
        <w:t>i</w:t>
      </w:r>
      <w:r>
        <w:rPr>
          <w:rFonts w:ascii="Times New Roman" w:cs="Times New Roman"/>
        </w:rPr>
        <w:t>种污染物在</w:t>
      </w:r>
      <w:r>
        <w:rPr>
          <w:rFonts w:ascii="Times New Roman" w:cs="Times New Roman"/>
        </w:rPr>
        <w:t>GB/T14848-2017</w:t>
      </w:r>
      <w:r>
        <w:rPr>
          <w:rFonts w:ascii="Times New Roman" w:cs="Times New Roman"/>
        </w:rPr>
        <w:t>中</w:t>
      </w:r>
      <w:r>
        <w:rPr>
          <w:rFonts w:ascii="Times New Roman" w:cs="Times New Roman"/>
        </w:rPr>
        <w:t>III</w:t>
      </w:r>
      <w:r>
        <w:rPr>
          <w:rFonts w:ascii="Times New Roman" w:cs="Times New Roman"/>
        </w:rPr>
        <w:t>类分类指标值，</w:t>
      </w:r>
      <w:r>
        <w:rPr>
          <w:rFonts w:ascii="Times New Roman" w:cs="Times New Roman"/>
        </w:rPr>
        <w:t>mg/L</w:t>
      </w:r>
      <w:r>
        <w:rPr>
          <w:rFonts w:ascii="Times New Roman" w:cs="Times New Roman"/>
        </w:rPr>
        <w:t>；</w:t>
      </w:r>
    </w:p>
    <w:p w:rsidR="00BD5820" w:rsidRDefault="00F64314">
      <w:pPr>
        <w:pStyle w:val="a1"/>
        <w:ind w:firstLineChars="500" w:firstLine="1200"/>
        <w:rPr>
          <w:rFonts w:ascii="Times New Roman" w:cs="Times New Roman"/>
        </w:rPr>
      </w:pPr>
      <w:r>
        <w:rPr>
          <w:rFonts w:ascii="Times New Roman" w:cs="Times New Roman"/>
        </w:rPr>
        <w:t>pH</w:t>
      </w:r>
      <w:r>
        <w:rPr>
          <w:rFonts w:ascii="Times New Roman" w:cs="Times New Roman"/>
        </w:rPr>
        <w:t>的标准指数</w:t>
      </w:r>
      <w:r>
        <w:rPr>
          <w:rFonts w:ascii="Times New Roman" w:cs="Times New Roman"/>
        </w:rPr>
        <w:t>S</w:t>
      </w:r>
      <w:r>
        <w:rPr>
          <w:rFonts w:ascii="Times New Roman" w:cs="Times New Roman"/>
          <w:sz w:val="16"/>
          <w:szCs w:val="16"/>
        </w:rPr>
        <w:t>pH</w:t>
      </w:r>
      <w:r>
        <w:rPr>
          <w:rFonts w:ascii="Times New Roman" w:cs="Times New Roman"/>
        </w:rPr>
        <w:t>为：</w:t>
      </w:r>
    </w:p>
    <w:p w:rsidR="00BD5820" w:rsidRDefault="00F64314">
      <w:pPr>
        <w:pStyle w:val="a1"/>
        <w:ind w:firstLine="480"/>
        <w:rPr>
          <w:rFonts w:ascii="Times New Roman" w:cs="Times New Roman"/>
        </w:rPr>
      </w:pPr>
      <w:r>
        <w:rPr>
          <w:rFonts w:ascii="Times New Roman" w:cs="Times New Roman"/>
        </w:rPr>
        <w:t>当</w:t>
      </w:r>
      <w:r>
        <w:rPr>
          <w:rFonts w:ascii="Times New Roman" w:cs="Times New Roman"/>
        </w:rPr>
        <w:t>pH≤7.0</w:t>
      </w:r>
    </w:p>
    <w:p w:rsidR="00BD5820" w:rsidRDefault="00F64314">
      <w:pPr>
        <w:pStyle w:val="a1"/>
        <w:ind w:firstLineChars="83" w:firstLine="199"/>
        <w:jc w:val="center"/>
        <w:rPr>
          <w:rFonts w:ascii="Times New Roman" w:cs="Times New Roman"/>
        </w:rPr>
      </w:pPr>
      <w:r>
        <w:rPr>
          <w:rFonts w:ascii="Times New Roman" w:cs="Times New Roman"/>
        </w:rPr>
        <w:t>S</w:t>
      </w:r>
      <w:r>
        <w:rPr>
          <w:rFonts w:ascii="Times New Roman" w:cs="Times New Roman"/>
          <w:sz w:val="16"/>
          <w:szCs w:val="16"/>
        </w:rPr>
        <w:t>pH</w:t>
      </w:r>
      <w:r>
        <w:rPr>
          <w:rFonts w:ascii="Times New Roman" w:cs="Times New Roman"/>
        </w:rPr>
        <w:t>=</w:t>
      </w:r>
      <w:r>
        <w:rPr>
          <w:rFonts w:ascii="Times New Roman" w:cs="Times New Roman"/>
        </w:rPr>
        <w:t>（</w:t>
      </w:r>
      <w:r>
        <w:rPr>
          <w:rFonts w:ascii="Times New Roman" w:cs="Times New Roman"/>
        </w:rPr>
        <w:t>7.0-pH</w:t>
      </w:r>
      <w:r>
        <w:rPr>
          <w:rFonts w:ascii="Times New Roman" w:cs="Times New Roman"/>
        </w:rPr>
        <w:t>）</w:t>
      </w:r>
      <w:r>
        <w:rPr>
          <w:rFonts w:ascii="Times New Roman" w:cs="Times New Roman"/>
        </w:rPr>
        <w:t>/</w:t>
      </w:r>
      <w:r>
        <w:rPr>
          <w:rFonts w:ascii="Times New Roman" w:cs="Times New Roman"/>
        </w:rPr>
        <w:t>（</w:t>
      </w:r>
      <w:r>
        <w:rPr>
          <w:rFonts w:ascii="Times New Roman" w:cs="Times New Roman"/>
        </w:rPr>
        <w:t>7.0-pH</w:t>
      </w:r>
      <w:r>
        <w:rPr>
          <w:rFonts w:ascii="Times New Roman" w:cs="Times New Roman"/>
          <w:sz w:val="16"/>
          <w:szCs w:val="16"/>
        </w:rPr>
        <w:t>sd</w:t>
      </w:r>
      <w:r>
        <w:rPr>
          <w:rFonts w:ascii="Times New Roman" w:cs="Times New Roman"/>
        </w:rPr>
        <w:t>）</w:t>
      </w:r>
    </w:p>
    <w:p w:rsidR="00BD5820" w:rsidRDefault="00F64314">
      <w:pPr>
        <w:pStyle w:val="a1"/>
        <w:ind w:firstLine="480"/>
        <w:rPr>
          <w:rFonts w:ascii="Times New Roman" w:cs="Times New Roman"/>
        </w:rPr>
      </w:pPr>
      <w:r>
        <w:rPr>
          <w:rFonts w:ascii="Times New Roman" w:cs="Times New Roman"/>
        </w:rPr>
        <w:t>当</w:t>
      </w:r>
      <w:r>
        <w:rPr>
          <w:rFonts w:ascii="Times New Roman" w:cs="Times New Roman"/>
        </w:rPr>
        <w:t>pH≥7.0</w:t>
      </w:r>
    </w:p>
    <w:p w:rsidR="00BD5820" w:rsidRDefault="00F64314">
      <w:pPr>
        <w:pStyle w:val="a1"/>
        <w:ind w:firstLineChars="83" w:firstLine="199"/>
        <w:jc w:val="center"/>
        <w:rPr>
          <w:rFonts w:ascii="Times New Roman" w:cs="Times New Roman"/>
        </w:rPr>
      </w:pPr>
      <w:r>
        <w:rPr>
          <w:rFonts w:ascii="Times New Roman" w:cs="Times New Roman"/>
        </w:rPr>
        <w:t>S</w:t>
      </w:r>
      <w:r>
        <w:rPr>
          <w:rFonts w:ascii="Times New Roman" w:cs="Times New Roman"/>
          <w:sz w:val="16"/>
          <w:szCs w:val="16"/>
        </w:rPr>
        <w:t>pH</w:t>
      </w:r>
      <w:r>
        <w:rPr>
          <w:rFonts w:ascii="Times New Roman" w:cs="Times New Roman"/>
        </w:rPr>
        <w:t>=</w:t>
      </w:r>
      <w:r>
        <w:rPr>
          <w:rFonts w:ascii="Times New Roman" w:cs="Times New Roman"/>
        </w:rPr>
        <w:t>（</w:t>
      </w:r>
      <w:r>
        <w:rPr>
          <w:rFonts w:ascii="Times New Roman" w:cs="Times New Roman"/>
        </w:rPr>
        <w:t>pH-7.0</w:t>
      </w:r>
      <w:r>
        <w:rPr>
          <w:rFonts w:ascii="Times New Roman" w:cs="Times New Roman"/>
        </w:rPr>
        <w:t>）</w:t>
      </w:r>
      <w:r>
        <w:rPr>
          <w:rFonts w:ascii="Times New Roman" w:cs="Times New Roman"/>
        </w:rPr>
        <w:t>/</w:t>
      </w:r>
      <w:r>
        <w:rPr>
          <w:rFonts w:ascii="Times New Roman" w:cs="Times New Roman"/>
        </w:rPr>
        <w:t>（</w:t>
      </w:r>
      <w:r>
        <w:rPr>
          <w:rFonts w:ascii="Times New Roman" w:cs="Times New Roman"/>
        </w:rPr>
        <w:t>pH</w:t>
      </w:r>
      <w:r>
        <w:rPr>
          <w:rFonts w:ascii="Times New Roman" w:cs="Times New Roman"/>
          <w:sz w:val="16"/>
          <w:szCs w:val="16"/>
        </w:rPr>
        <w:t>sw</w:t>
      </w:r>
      <w:r>
        <w:rPr>
          <w:rFonts w:ascii="Times New Roman" w:cs="Times New Roman"/>
        </w:rPr>
        <w:t>-7.0</w:t>
      </w:r>
      <w:r>
        <w:rPr>
          <w:rFonts w:ascii="Times New Roman" w:cs="Times New Roman"/>
        </w:rPr>
        <w:t>）</w:t>
      </w:r>
    </w:p>
    <w:p w:rsidR="00BD5820" w:rsidRDefault="00F64314">
      <w:pPr>
        <w:pStyle w:val="a1"/>
        <w:ind w:firstLine="480"/>
        <w:rPr>
          <w:rFonts w:ascii="Times New Roman" w:cs="Times New Roman"/>
        </w:rPr>
      </w:pPr>
      <w:r>
        <w:rPr>
          <w:rFonts w:ascii="Times New Roman" w:cs="Times New Roman"/>
        </w:rPr>
        <w:t>式中：</w:t>
      </w:r>
      <w:r>
        <w:rPr>
          <w:rFonts w:ascii="Times New Roman" w:cs="Times New Roman"/>
        </w:rPr>
        <w:t>pH——</w:t>
      </w:r>
      <w:r>
        <w:rPr>
          <w:rFonts w:ascii="Times New Roman" w:cs="Times New Roman"/>
        </w:rPr>
        <w:t>实测的</w:t>
      </w:r>
      <w:r>
        <w:rPr>
          <w:rFonts w:ascii="Times New Roman" w:cs="Times New Roman"/>
        </w:rPr>
        <w:t>pH</w:t>
      </w:r>
      <w:r>
        <w:rPr>
          <w:rFonts w:ascii="Times New Roman" w:cs="Times New Roman"/>
        </w:rPr>
        <w:t>值；</w:t>
      </w:r>
    </w:p>
    <w:p w:rsidR="00BD5820" w:rsidRDefault="00F64314">
      <w:pPr>
        <w:pStyle w:val="a1"/>
        <w:ind w:firstLineChars="500" w:firstLine="1200"/>
        <w:rPr>
          <w:rFonts w:ascii="Times New Roman" w:cs="Times New Roman"/>
        </w:rPr>
      </w:pPr>
      <w:r>
        <w:rPr>
          <w:rFonts w:ascii="Times New Roman" w:cs="Times New Roman"/>
        </w:rPr>
        <w:t>pH</w:t>
      </w:r>
      <w:r>
        <w:rPr>
          <w:rFonts w:ascii="Times New Roman" w:cs="Times New Roman"/>
          <w:sz w:val="16"/>
          <w:szCs w:val="16"/>
        </w:rPr>
        <w:t>sd</w:t>
      </w:r>
      <w:r>
        <w:rPr>
          <w:rFonts w:ascii="Times New Roman" w:cs="Times New Roman"/>
        </w:rPr>
        <w:t>——</w:t>
      </w:r>
      <w:r>
        <w:rPr>
          <w:rFonts w:ascii="Times New Roman" w:cs="Times New Roman"/>
        </w:rPr>
        <w:t>地表水质量标准中规定的</w:t>
      </w:r>
      <w:r>
        <w:rPr>
          <w:rFonts w:ascii="Times New Roman" w:cs="Times New Roman"/>
        </w:rPr>
        <w:t>pH</w:t>
      </w:r>
      <w:r>
        <w:rPr>
          <w:rFonts w:ascii="Times New Roman" w:cs="Times New Roman"/>
        </w:rPr>
        <w:t>值下限；</w:t>
      </w:r>
    </w:p>
    <w:p w:rsidR="00BD5820" w:rsidRDefault="00F64314">
      <w:pPr>
        <w:pStyle w:val="a1"/>
        <w:ind w:firstLineChars="500" w:firstLine="1200"/>
        <w:rPr>
          <w:rFonts w:ascii="Times New Roman" w:cs="Times New Roman"/>
        </w:rPr>
      </w:pPr>
      <w:r>
        <w:rPr>
          <w:rFonts w:ascii="Times New Roman" w:cs="Times New Roman"/>
        </w:rPr>
        <w:t>pH</w:t>
      </w:r>
      <w:r>
        <w:rPr>
          <w:rFonts w:ascii="Times New Roman" w:cs="Times New Roman"/>
          <w:sz w:val="16"/>
          <w:szCs w:val="16"/>
        </w:rPr>
        <w:t>sw</w:t>
      </w:r>
      <w:r>
        <w:rPr>
          <w:rFonts w:ascii="Times New Roman" w:cs="Times New Roman"/>
        </w:rPr>
        <w:t>——</w:t>
      </w:r>
      <w:r>
        <w:rPr>
          <w:rFonts w:ascii="Times New Roman" w:cs="Times New Roman"/>
        </w:rPr>
        <w:t>地表水质量标准中规定的</w:t>
      </w:r>
      <w:r>
        <w:rPr>
          <w:rFonts w:ascii="Times New Roman" w:cs="Times New Roman"/>
        </w:rPr>
        <w:t>pH</w:t>
      </w:r>
      <w:r>
        <w:rPr>
          <w:rFonts w:ascii="Times New Roman" w:cs="Times New Roman"/>
        </w:rPr>
        <w:t>值上限。</w:t>
      </w:r>
    </w:p>
    <w:p w:rsidR="00BD5820" w:rsidRDefault="00F64314">
      <w:pPr>
        <w:pStyle w:val="a1"/>
        <w:ind w:firstLine="482"/>
        <w:rPr>
          <w:rFonts w:ascii="Times New Roman" w:cs="Times New Roman"/>
          <w:b/>
        </w:rPr>
      </w:pPr>
      <w:bookmarkStart w:id="358" w:name="_Toc12288573"/>
      <w:r>
        <w:rPr>
          <w:rFonts w:ascii="Times New Roman" w:cs="Times New Roman"/>
          <w:b/>
        </w:rPr>
        <w:t>7</w:t>
      </w:r>
      <w:r>
        <w:rPr>
          <w:rFonts w:ascii="Times New Roman" w:cs="Times New Roman"/>
          <w:b/>
        </w:rPr>
        <w:t>、监测结果及评价结论</w:t>
      </w:r>
      <w:bookmarkEnd w:id="358"/>
    </w:p>
    <w:p w:rsidR="00BD5820" w:rsidRDefault="00F64314">
      <w:pPr>
        <w:pStyle w:val="a1"/>
        <w:ind w:firstLine="480"/>
        <w:rPr>
          <w:rFonts w:ascii="Times New Roman" w:cs="Times New Roman"/>
        </w:rPr>
      </w:pPr>
      <w:r>
        <w:rPr>
          <w:rFonts w:ascii="Times New Roman" w:cs="Times New Roman"/>
        </w:rPr>
        <w:t>地下水质量现状监测与评价结果见表</w:t>
      </w:r>
      <w:r>
        <w:rPr>
          <w:rFonts w:ascii="Times New Roman" w:cs="Times New Roman"/>
        </w:rPr>
        <w:t>5.5-1</w:t>
      </w:r>
      <w:r>
        <w:rPr>
          <w:rFonts w:ascii="Times New Roman" w:cs="Times New Roman" w:hint="eastAsia"/>
        </w:rPr>
        <w:t>~</w:t>
      </w:r>
      <w:r>
        <w:rPr>
          <w:rFonts w:ascii="Times New Roman" w:cs="Times New Roman"/>
        </w:rPr>
        <w:t>表</w:t>
      </w:r>
      <w:r>
        <w:rPr>
          <w:rFonts w:ascii="Times New Roman" w:cs="Times New Roman"/>
        </w:rPr>
        <w:t>5.5-</w:t>
      </w:r>
      <w:r>
        <w:rPr>
          <w:rFonts w:ascii="Times New Roman" w:cs="Times New Roman" w:hint="eastAsia"/>
        </w:rPr>
        <w:t>8</w:t>
      </w:r>
      <w:r>
        <w:rPr>
          <w:rFonts w:ascii="Times New Roman" w:cs="Times New Roman"/>
        </w:rPr>
        <w:t>。</w:t>
      </w:r>
    </w:p>
    <w:p w:rsidR="00BD5820" w:rsidRDefault="00F64314">
      <w:pPr>
        <w:widowControl/>
        <w:topLinePunct w:val="0"/>
        <w:adjustRightInd/>
        <w:spacing w:line="240" w:lineRule="auto"/>
        <w:ind w:firstLineChars="0" w:firstLine="0"/>
        <w:jc w:val="center"/>
        <w:rPr>
          <w:rFonts w:ascii="Times New Roman" w:cs="Times New Roman"/>
          <w:b/>
          <w:sz w:val="21"/>
        </w:rPr>
      </w:pPr>
      <w:r>
        <w:rPr>
          <w:rFonts w:ascii="Times New Roman" w:cs="Times New Roman"/>
          <w:b/>
          <w:sz w:val="21"/>
          <w:szCs w:val="21"/>
        </w:rPr>
        <w:t>表</w:t>
      </w:r>
      <w:r>
        <w:rPr>
          <w:rFonts w:ascii="Times New Roman" w:cs="Times New Roman"/>
          <w:b/>
          <w:sz w:val="21"/>
          <w:szCs w:val="21"/>
        </w:rPr>
        <w:t xml:space="preserve">5.5-1  </w:t>
      </w:r>
      <w:r>
        <w:rPr>
          <w:rFonts w:ascii="Times New Roman" w:cs="Times New Roman" w:hint="eastAsia"/>
          <w:b/>
          <w:sz w:val="21"/>
          <w:szCs w:val="21"/>
        </w:rPr>
        <w:t>普</w:t>
      </w:r>
      <w:r>
        <w:rPr>
          <w:rFonts w:ascii="Times New Roman" w:cs="Times New Roman" w:hint="eastAsia"/>
          <w:b/>
          <w:sz w:val="21"/>
        </w:rPr>
        <w:t>光气田</w:t>
      </w:r>
      <w:r>
        <w:rPr>
          <w:rFonts w:ascii="Times New Roman" w:cs="Times New Roman" w:hint="eastAsia"/>
          <w:b/>
          <w:sz w:val="21"/>
        </w:rPr>
        <w:t>1#</w:t>
      </w:r>
      <w:r>
        <w:rPr>
          <w:rFonts w:ascii="Times New Roman" w:cs="Times New Roman" w:hint="eastAsia"/>
          <w:b/>
          <w:sz w:val="21"/>
        </w:rPr>
        <w:t>增压站所在地</w:t>
      </w:r>
      <w:r>
        <w:rPr>
          <w:rFonts w:ascii="Times New Roman" w:cs="Times New Roman"/>
          <w:b/>
          <w:sz w:val="21"/>
        </w:rPr>
        <w:t>水样水化学常量组分监测结果（</w:t>
      </w:r>
      <w:r>
        <w:rPr>
          <w:rFonts w:ascii="Times New Roman" w:cs="Times New Roman"/>
          <w:b/>
          <w:sz w:val="21"/>
        </w:rPr>
        <w:t>mg/L</w:t>
      </w:r>
      <w:r>
        <w:rPr>
          <w:rFonts w:ascii="Times New Roman" w:cs="Times New Roman"/>
          <w:b/>
          <w:sz w:val="21"/>
        </w:rPr>
        <w:t>）</w:t>
      </w:r>
    </w:p>
    <w:tbl>
      <w:tblPr>
        <w:tblW w:w="5000" w:type="pct"/>
        <w:jc w:val="center"/>
        <w:tblLayout w:type="fixed"/>
        <w:tblLook w:val="04A0"/>
      </w:tblPr>
      <w:tblGrid>
        <w:gridCol w:w="816"/>
        <w:gridCol w:w="990"/>
        <w:gridCol w:w="511"/>
        <w:gridCol w:w="653"/>
        <w:gridCol w:w="525"/>
        <w:gridCol w:w="653"/>
        <w:gridCol w:w="656"/>
        <w:gridCol w:w="653"/>
        <w:gridCol w:w="656"/>
        <w:gridCol w:w="656"/>
        <w:gridCol w:w="539"/>
        <w:gridCol w:w="1214"/>
      </w:tblGrid>
      <w:tr w:rsidR="00BD5820">
        <w:trPr>
          <w:trHeight w:val="529"/>
          <w:jc w:val="center"/>
        </w:trPr>
        <w:tc>
          <w:tcPr>
            <w:tcW w:w="816" w:type="dxa"/>
            <w:tcBorders>
              <w:top w:val="single" w:sz="12" w:space="0" w:color="auto"/>
              <w:bottom w:val="single" w:sz="4" w:space="0" w:color="auto"/>
              <w:right w:val="single" w:sz="4" w:space="0" w:color="auto"/>
              <w:tl2br w:val="single" w:sz="8" w:space="0" w:color="000000"/>
            </w:tcBorders>
            <w:vAlign w:val="center"/>
          </w:tcPr>
          <w:p w:rsidR="00BD5820" w:rsidRDefault="00F64314">
            <w:pPr>
              <w:widowControl/>
              <w:topLinePunct w:val="0"/>
              <w:adjustRightInd/>
              <w:spacing w:line="240" w:lineRule="auto"/>
              <w:ind w:leftChars="-50" w:left="-120" w:rightChars="-50" w:right="-120" w:firstLineChars="100" w:firstLine="211"/>
              <w:jc w:val="left"/>
              <w:rPr>
                <w:rFonts w:ascii="Times New Roman" w:hAnsi="宋体" w:cs="Times New Roman"/>
                <w:b/>
                <w:sz w:val="21"/>
              </w:rPr>
            </w:pPr>
            <w:r>
              <w:rPr>
                <w:rFonts w:ascii="Times New Roman" w:hAnsi="宋体" w:cs="Times New Roman"/>
                <w:b/>
                <w:sz w:val="21"/>
              </w:rPr>
              <w:t>指标</w:t>
            </w:r>
            <w:r>
              <w:rPr>
                <w:rFonts w:ascii="Times New Roman" w:hAnsi="宋体" w:cs="Times New Roman"/>
                <w:b/>
                <w:sz w:val="21"/>
              </w:rPr>
              <w:t xml:space="preserve">                                          </w:t>
            </w:r>
            <w:r>
              <w:rPr>
                <w:rFonts w:ascii="Times New Roman" w:hAnsi="宋体" w:cs="Times New Roman"/>
                <w:b/>
                <w:sz w:val="21"/>
              </w:rPr>
              <w:t>编号</w:t>
            </w:r>
          </w:p>
        </w:tc>
        <w:tc>
          <w:tcPr>
            <w:tcW w:w="990" w:type="dxa"/>
            <w:tcBorders>
              <w:top w:val="single" w:sz="12"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b/>
                <w:sz w:val="21"/>
              </w:rPr>
            </w:pPr>
            <w:r>
              <w:rPr>
                <w:rFonts w:ascii="Times New Roman" w:hAnsi="宋体" w:cs="Times New Roman"/>
                <w:b/>
                <w:sz w:val="21"/>
              </w:rPr>
              <w:t>监测点</w:t>
            </w:r>
          </w:p>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b/>
                <w:sz w:val="21"/>
              </w:rPr>
            </w:pPr>
            <w:r>
              <w:rPr>
                <w:rFonts w:ascii="Times New Roman" w:hAnsi="宋体" w:cs="Times New Roman"/>
                <w:b/>
                <w:sz w:val="21"/>
              </w:rPr>
              <w:t>类型</w:t>
            </w:r>
          </w:p>
        </w:tc>
        <w:tc>
          <w:tcPr>
            <w:tcW w:w="511" w:type="dxa"/>
            <w:tcBorders>
              <w:top w:val="single" w:sz="12"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b/>
                <w:sz w:val="21"/>
              </w:rPr>
            </w:pPr>
            <w:r>
              <w:rPr>
                <w:rFonts w:ascii="Times New Roman" w:hAnsi="宋体" w:cs="Times New Roman"/>
                <w:b/>
                <w:sz w:val="21"/>
              </w:rPr>
              <w:t>pH</w:t>
            </w:r>
          </w:p>
        </w:tc>
        <w:tc>
          <w:tcPr>
            <w:tcW w:w="653" w:type="dxa"/>
            <w:tcBorders>
              <w:top w:val="single" w:sz="12"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b/>
                <w:sz w:val="21"/>
              </w:rPr>
            </w:pPr>
            <w:r>
              <w:rPr>
                <w:rFonts w:ascii="Times New Roman" w:hAnsi="宋体" w:cs="Times New Roman"/>
                <w:b/>
                <w:sz w:val="21"/>
              </w:rPr>
              <w:t>K</w:t>
            </w:r>
            <w:r>
              <w:rPr>
                <w:rFonts w:ascii="Times New Roman" w:hAnsi="宋体" w:cs="Times New Roman"/>
                <w:b/>
                <w:sz w:val="21"/>
                <w:vertAlign w:val="superscript"/>
              </w:rPr>
              <w:t>+</w:t>
            </w:r>
          </w:p>
        </w:tc>
        <w:tc>
          <w:tcPr>
            <w:tcW w:w="525" w:type="dxa"/>
            <w:tcBorders>
              <w:top w:val="single" w:sz="12"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b/>
                <w:sz w:val="21"/>
              </w:rPr>
            </w:pPr>
            <w:r>
              <w:rPr>
                <w:rFonts w:ascii="Times New Roman" w:hAnsi="宋体" w:cs="Times New Roman"/>
                <w:b/>
                <w:sz w:val="21"/>
              </w:rPr>
              <w:t>Na</w:t>
            </w:r>
            <w:r>
              <w:rPr>
                <w:rFonts w:ascii="Times New Roman" w:hAnsi="宋体" w:cs="Times New Roman"/>
                <w:b/>
                <w:sz w:val="21"/>
                <w:vertAlign w:val="superscript"/>
              </w:rPr>
              <w:t>+</w:t>
            </w:r>
          </w:p>
        </w:tc>
        <w:tc>
          <w:tcPr>
            <w:tcW w:w="653" w:type="dxa"/>
            <w:tcBorders>
              <w:top w:val="single" w:sz="12"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b/>
                <w:sz w:val="21"/>
              </w:rPr>
            </w:pPr>
            <w:r>
              <w:rPr>
                <w:rFonts w:ascii="Times New Roman" w:hAnsi="宋体" w:cs="Times New Roman"/>
                <w:b/>
                <w:sz w:val="21"/>
              </w:rPr>
              <w:t>Ca</w:t>
            </w:r>
            <w:r>
              <w:rPr>
                <w:rFonts w:ascii="Times New Roman" w:hAnsi="宋体" w:cs="Times New Roman"/>
                <w:b/>
                <w:sz w:val="21"/>
                <w:vertAlign w:val="superscript"/>
              </w:rPr>
              <w:t>2+</w:t>
            </w:r>
          </w:p>
        </w:tc>
        <w:tc>
          <w:tcPr>
            <w:tcW w:w="656" w:type="dxa"/>
            <w:tcBorders>
              <w:top w:val="single" w:sz="12"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b/>
                <w:sz w:val="21"/>
              </w:rPr>
            </w:pPr>
            <w:r>
              <w:rPr>
                <w:rFonts w:ascii="Times New Roman" w:hAnsi="宋体" w:cs="Times New Roman"/>
                <w:b/>
                <w:sz w:val="21"/>
              </w:rPr>
              <w:t>Mg</w:t>
            </w:r>
            <w:r>
              <w:rPr>
                <w:rFonts w:ascii="Times New Roman" w:hAnsi="宋体" w:cs="Times New Roman"/>
                <w:b/>
                <w:sz w:val="21"/>
                <w:vertAlign w:val="superscript"/>
              </w:rPr>
              <w:t>2+</w:t>
            </w:r>
          </w:p>
        </w:tc>
        <w:tc>
          <w:tcPr>
            <w:tcW w:w="653" w:type="dxa"/>
            <w:tcBorders>
              <w:top w:val="single" w:sz="12"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b/>
                <w:sz w:val="21"/>
              </w:rPr>
            </w:pPr>
            <w:r>
              <w:rPr>
                <w:rFonts w:ascii="Times New Roman" w:hAnsi="宋体" w:cs="Times New Roman"/>
                <w:b/>
                <w:sz w:val="21"/>
              </w:rPr>
              <w:t>Cl</w:t>
            </w:r>
            <w:r>
              <w:rPr>
                <w:rFonts w:ascii="Times New Roman" w:hAnsi="宋体" w:cs="Times New Roman"/>
                <w:b/>
                <w:sz w:val="21"/>
                <w:vertAlign w:val="superscript"/>
              </w:rPr>
              <w:t>-</w:t>
            </w:r>
          </w:p>
        </w:tc>
        <w:tc>
          <w:tcPr>
            <w:tcW w:w="656" w:type="dxa"/>
            <w:tcBorders>
              <w:top w:val="single" w:sz="12"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b/>
                <w:sz w:val="21"/>
              </w:rPr>
            </w:pPr>
            <w:r>
              <w:rPr>
                <w:rFonts w:ascii="Times New Roman" w:hAnsi="宋体" w:cs="Times New Roman"/>
                <w:b/>
                <w:sz w:val="21"/>
              </w:rPr>
              <w:t>SO</w:t>
            </w:r>
            <w:r>
              <w:rPr>
                <w:rFonts w:ascii="Times New Roman" w:hAnsi="宋体" w:cs="Times New Roman"/>
                <w:b/>
                <w:sz w:val="21"/>
                <w:vertAlign w:val="subscript"/>
              </w:rPr>
              <w:t>4</w:t>
            </w:r>
            <w:r>
              <w:rPr>
                <w:rFonts w:ascii="Times New Roman" w:hAnsi="宋体" w:cs="Times New Roman"/>
                <w:b/>
                <w:sz w:val="21"/>
                <w:vertAlign w:val="superscript"/>
              </w:rPr>
              <w:t>2-</w:t>
            </w:r>
          </w:p>
        </w:tc>
        <w:tc>
          <w:tcPr>
            <w:tcW w:w="656" w:type="dxa"/>
            <w:tcBorders>
              <w:top w:val="single" w:sz="12"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b/>
                <w:sz w:val="21"/>
              </w:rPr>
            </w:pPr>
            <w:r>
              <w:rPr>
                <w:rFonts w:ascii="Times New Roman" w:hAnsi="宋体" w:cs="Times New Roman"/>
                <w:b/>
                <w:sz w:val="21"/>
              </w:rPr>
              <w:t>HCO</w:t>
            </w:r>
            <w:r>
              <w:rPr>
                <w:rFonts w:ascii="Times New Roman" w:hAnsi="宋体" w:cs="Times New Roman"/>
                <w:b/>
                <w:sz w:val="21"/>
                <w:vertAlign w:val="subscript"/>
              </w:rPr>
              <w:t>3</w:t>
            </w:r>
            <w:r>
              <w:rPr>
                <w:rFonts w:ascii="Times New Roman" w:hAnsi="宋体" w:cs="Times New Roman"/>
                <w:b/>
                <w:sz w:val="21"/>
                <w:vertAlign w:val="superscript"/>
              </w:rPr>
              <w:t>-</w:t>
            </w:r>
          </w:p>
        </w:tc>
        <w:tc>
          <w:tcPr>
            <w:tcW w:w="539" w:type="dxa"/>
            <w:tcBorders>
              <w:top w:val="single" w:sz="12"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b/>
                <w:sz w:val="21"/>
              </w:rPr>
            </w:pPr>
            <w:r>
              <w:rPr>
                <w:rFonts w:ascii="Times New Roman" w:hAnsi="宋体" w:cs="Times New Roman"/>
                <w:b/>
                <w:sz w:val="21"/>
              </w:rPr>
              <w:t>溶解性总固体</w:t>
            </w:r>
          </w:p>
        </w:tc>
        <w:tc>
          <w:tcPr>
            <w:tcW w:w="1214" w:type="dxa"/>
            <w:tcBorders>
              <w:top w:val="single" w:sz="12" w:space="0" w:color="auto"/>
              <w:left w:val="single" w:sz="4" w:space="0" w:color="auto"/>
              <w:bottom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b/>
                <w:sz w:val="21"/>
              </w:rPr>
            </w:pPr>
            <w:r>
              <w:rPr>
                <w:rFonts w:ascii="Times New Roman" w:hAnsi="宋体" w:cs="Times New Roman"/>
                <w:b/>
                <w:sz w:val="21"/>
              </w:rPr>
              <w:t>水化学类型</w:t>
            </w:r>
          </w:p>
        </w:tc>
      </w:tr>
      <w:tr w:rsidR="00BD5820">
        <w:trPr>
          <w:trHeight w:val="300"/>
          <w:jc w:val="center"/>
        </w:trPr>
        <w:tc>
          <w:tcPr>
            <w:tcW w:w="816" w:type="dxa"/>
            <w:tcBorders>
              <w:top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hAnsi="宋体" w:cs="Times New Roman" w:hint="eastAsia"/>
                <w:sz w:val="21"/>
              </w:rPr>
              <w:t>WX</w:t>
            </w:r>
            <w:r>
              <w:rPr>
                <w:rFonts w:ascii="Times New Roman" w:hAnsi="宋体" w:cs="Times New Roman"/>
                <w:sz w:val="21"/>
              </w:rPr>
              <w:t>1</w:t>
            </w:r>
          </w:p>
        </w:tc>
        <w:tc>
          <w:tcPr>
            <w:tcW w:w="990"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hAnsi="宋体" w:cs="Times New Roman" w:hint="eastAsia"/>
                <w:kern w:val="2"/>
                <w:sz w:val="21"/>
              </w:rPr>
              <w:t>井水</w:t>
            </w:r>
          </w:p>
        </w:tc>
        <w:tc>
          <w:tcPr>
            <w:tcW w:w="511"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hAnsi="宋体" w:cs="Times New Roman"/>
                <w:sz w:val="21"/>
              </w:rPr>
              <w:t>7.33</w:t>
            </w:r>
          </w:p>
        </w:tc>
        <w:tc>
          <w:tcPr>
            <w:tcW w:w="653"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hAnsi="宋体" w:cs="Times New Roman"/>
                <w:sz w:val="21"/>
              </w:rPr>
              <w:t>2.06</w:t>
            </w:r>
          </w:p>
        </w:tc>
        <w:tc>
          <w:tcPr>
            <w:tcW w:w="525"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bCs/>
                <w:kern w:val="2"/>
                <w:sz w:val="21"/>
                <w:szCs w:val="21"/>
              </w:rPr>
              <w:t>0.01L</w:t>
            </w:r>
          </w:p>
        </w:tc>
        <w:tc>
          <w:tcPr>
            <w:tcW w:w="653"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hAnsi="宋体" w:cs="Times New Roman" w:hint="eastAsia"/>
                <w:sz w:val="21"/>
              </w:rPr>
              <w:t>3.8</w:t>
            </w:r>
          </w:p>
        </w:tc>
        <w:tc>
          <w:tcPr>
            <w:tcW w:w="656"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kern w:val="2"/>
                <w:sz w:val="21"/>
                <w:szCs w:val="21"/>
              </w:rPr>
              <w:t>2.98</w:t>
            </w:r>
          </w:p>
        </w:tc>
        <w:tc>
          <w:tcPr>
            <w:tcW w:w="653"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bCs/>
                <w:kern w:val="2"/>
                <w:sz w:val="21"/>
                <w:szCs w:val="21"/>
              </w:rPr>
              <w:t>9.42</w:t>
            </w:r>
          </w:p>
        </w:tc>
        <w:tc>
          <w:tcPr>
            <w:tcW w:w="656"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bCs/>
                <w:kern w:val="2"/>
                <w:sz w:val="21"/>
                <w:szCs w:val="21"/>
              </w:rPr>
              <w:t>27.8</w:t>
            </w:r>
          </w:p>
        </w:tc>
        <w:tc>
          <w:tcPr>
            <w:tcW w:w="656"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bCs/>
                <w:kern w:val="2"/>
                <w:sz w:val="21"/>
                <w:szCs w:val="21"/>
              </w:rPr>
              <w:t>124</w:t>
            </w:r>
          </w:p>
        </w:tc>
        <w:tc>
          <w:tcPr>
            <w:tcW w:w="539"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bCs/>
                <w:kern w:val="2"/>
                <w:sz w:val="21"/>
                <w:szCs w:val="21"/>
              </w:rPr>
              <w:t>636</w:t>
            </w:r>
          </w:p>
        </w:tc>
        <w:tc>
          <w:tcPr>
            <w:tcW w:w="1214" w:type="dxa"/>
            <w:tcBorders>
              <w:top w:val="single" w:sz="4" w:space="0" w:color="auto"/>
              <w:left w:val="single" w:sz="4" w:space="0" w:color="auto"/>
              <w:bottom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hAnsi="宋体" w:cs="Times New Roman"/>
                <w:sz w:val="21"/>
              </w:rPr>
              <w:t>HCO</w:t>
            </w:r>
            <w:r>
              <w:rPr>
                <w:rFonts w:ascii="Times New Roman" w:hAnsi="宋体" w:cs="Times New Roman"/>
                <w:sz w:val="21"/>
                <w:vertAlign w:val="subscript"/>
              </w:rPr>
              <w:t>3</w:t>
            </w:r>
            <w:r>
              <w:rPr>
                <w:rFonts w:ascii="Times New Roman" w:hAnsi="宋体" w:cs="Times New Roman"/>
                <w:sz w:val="21"/>
              </w:rPr>
              <w:t>-Mg-Ca</w:t>
            </w:r>
          </w:p>
        </w:tc>
      </w:tr>
      <w:tr w:rsidR="00BD5820">
        <w:trPr>
          <w:trHeight w:val="300"/>
          <w:jc w:val="center"/>
        </w:trPr>
        <w:tc>
          <w:tcPr>
            <w:tcW w:w="816" w:type="dxa"/>
            <w:tcBorders>
              <w:top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hAnsi="宋体" w:cs="Times New Roman" w:hint="eastAsia"/>
                <w:sz w:val="21"/>
              </w:rPr>
              <w:t>WX</w:t>
            </w:r>
            <w:r>
              <w:rPr>
                <w:rFonts w:ascii="Times New Roman" w:hAnsi="宋体" w:cs="Times New Roman"/>
                <w:sz w:val="21"/>
              </w:rPr>
              <w:t>2</w:t>
            </w:r>
          </w:p>
        </w:tc>
        <w:tc>
          <w:tcPr>
            <w:tcW w:w="990"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hAnsi="宋体" w:cs="Times New Roman" w:hint="eastAsia"/>
                <w:kern w:val="2"/>
                <w:sz w:val="21"/>
              </w:rPr>
              <w:t>井水</w:t>
            </w:r>
          </w:p>
        </w:tc>
        <w:tc>
          <w:tcPr>
            <w:tcW w:w="511"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hAnsi="宋体" w:cs="Times New Roman"/>
                <w:sz w:val="21"/>
              </w:rPr>
              <w:t>7.21</w:t>
            </w:r>
          </w:p>
        </w:tc>
        <w:tc>
          <w:tcPr>
            <w:tcW w:w="653"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bCs/>
                <w:kern w:val="2"/>
                <w:sz w:val="21"/>
                <w:szCs w:val="21"/>
              </w:rPr>
              <w:t>1.28</w:t>
            </w:r>
          </w:p>
        </w:tc>
        <w:tc>
          <w:tcPr>
            <w:tcW w:w="525"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bCs/>
                <w:kern w:val="2"/>
                <w:sz w:val="21"/>
                <w:szCs w:val="21"/>
              </w:rPr>
              <w:t>0.16</w:t>
            </w:r>
          </w:p>
        </w:tc>
        <w:tc>
          <w:tcPr>
            <w:tcW w:w="653"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13.7</w:t>
            </w:r>
          </w:p>
        </w:tc>
        <w:tc>
          <w:tcPr>
            <w:tcW w:w="656"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bCs/>
                <w:kern w:val="2"/>
                <w:sz w:val="21"/>
                <w:szCs w:val="21"/>
              </w:rPr>
              <w:t>14.7</w:t>
            </w:r>
          </w:p>
        </w:tc>
        <w:tc>
          <w:tcPr>
            <w:tcW w:w="653"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bCs/>
                <w:kern w:val="2"/>
                <w:sz w:val="21"/>
                <w:szCs w:val="21"/>
              </w:rPr>
              <w:t>1.93</w:t>
            </w:r>
          </w:p>
        </w:tc>
        <w:tc>
          <w:tcPr>
            <w:tcW w:w="656"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bCs/>
                <w:kern w:val="2"/>
                <w:sz w:val="21"/>
                <w:szCs w:val="21"/>
              </w:rPr>
              <w:t>27.8</w:t>
            </w:r>
          </w:p>
        </w:tc>
        <w:tc>
          <w:tcPr>
            <w:tcW w:w="656"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bCs/>
                <w:kern w:val="2"/>
                <w:sz w:val="21"/>
                <w:szCs w:val="21"/>
              </w:rPr>
              <w:t>314</w:t>
            </w:r>
          </w:p>
        </w:tc>
        <w:tc>
          <w:tcPr>
            <w:tcW w:w="539"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bCs/>
                <w:kern w:val="2"/>
                <w:sz w:val="21"/>
                <w:szCs w:val="21"/>
              </w:rPr>
              <w:t>794</w:t>
            </w:r>
          </w:p>
        </w:tc>
        <w:tc>
          <w:tcPr>
            <w:tcW w:w="1214" w:type="dxa"/>
            <w:tcBorders>
              <w:top w:val="single" w:sz="4" w:space="0" w:color="auto"/>
              <w:left w:val="single" w:sz="4" w:space="0" w:color="auto"/>
              <w:bottom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hAnsi="宋体" w:cs="Times New Roman"/>
                <w:sz w:val="21"/>
              </w:rPr>
              <w:t>HCO</w:t>
            </w:r>
            <w:r>
              <w:rPr>
                <w:rFonts w:ascii="Times New Roman" w:hAnsi="宋体" w:cs="Times New Roman"/>
                <w:sz w:val="21"/>
                <w:vertAlign w:val="subscript"/>
              </w:rPr>
              <w:t>3</w:t>
            </w:r>
            <w:r>
              <w:rPr>
                <w:rFonts w:ascii="Times New Roman" w:hAnsi="宋体" w:cs="Times New Roman"/>
                <w:sz w:val="21"/>
              </w:rPr>
              <w:t>-Mg-Ca</w:t>
            </w:r>
          </w:p>
        </w:tc>
      </w:tr>
      <w:tr w:rsidR="00BD5820">
        <w:trPr>
          <w:trHeight w:val="300"/>
          <w:jc w:val="center"/>
        </w:trPr>
        <w:tc>
          <w:tcPr>
            <w:tcW w:w="816" w:type="dxa"/>
            <w:tcBorders>
              <w:top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hAnsi="宋体" w:cs="Times New Roman" w:hint="eastAsia"/>
                <w:sz w:val="21"/>
              </w:rPr>
              <w:t>WX</w:t>
            </w:r>
            <w:r>
              <w:rPr>
                <w:rFonts w:ascii="Times New Roman" w:hAnsi="宋体" w:cs="Times New Roman"/>
                <w:sz w:val="21"/>
              </w:rPr>
              <w:t>3</w:t>
            </w:r>
          </w:p>
        </w:tc>
        <w:tc>
          <w:tcPr>
            <w:tcW w:w="990"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hAnsi="宋体" w:cs="Times New Roman" w:hint="eastAsia"/>
                <w:kern w:val="2"/>
                <w:sz w:val="21"/>
              </w:rPr>
              <w:t>井水</w:t>
            </w:r>
          </w:p>
        </w:tc>
        <w:tc>
          <w:tcPr>
            <w:tcW w:w="511"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hAnsi="宋体" w:cs="Times New Roman"/>
                <w:sz w:val="21"/>
              </w:rPr>
              <w:t>7.18</w:t>
            </w:r>
          </w:p>
        </w:tc>
        <w:tc>
          <w:tcPr>
            <w:tcW w:w="653"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bCs/>
                <w:kern w:val="2"/>
                <w:sz w:val="21"/>
                <w:szCs w:val="21"/>
              </w:rPr>
              <w:t>0.7</w:t>
            </w:r>
          </w:p>
        </w:tc>
        <w:tc>
          <w:tcPr>
            <w:tcW w:w="525"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bCs/>
                <w:kern w:val="2"/>
                <w:sz w:val="21"/>
                <w:szCs w:val="21"/>
              </w:rPr>
              <w:t>0.02</w:t>
            </w:r>
          </w:p>
        </w:tc>
        <w:tc>
          <w:tcPr>
            <w:tcW w:w="653"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5</w:t>
            </w:r>
          </w:p>
        </w:tc>
        <w:tc>
          <w:tcPr>
            <w:tcW w:w="656"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kern w:val="2"/>
                <w:sz w:val="21"/>
                <w:szCs w:val="21"/>
              </w:rPr>
              <w:t>3.46</w:t>
            </w:r>
          </w:p>
        </w:tc>
        <w:tc>
          <w:tcPr>
            <w:tcW w:w="653"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bCs/>
                <w:kern w:val="2"/>
                <w:sz w:val="21"/>
                <w:szCs w:val="21"/>
              </w:rPr>
              <w:t>1.93</w:t>
            </w:r>
          </w:p>
        </w:tc>
        <w:tc>
          <w:tcPr>
            <w:tcW w:w="656"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bCs/>
                <w:kern w:val="2"/>
                <w:sz w:val="21"/>
                <w:szCs w:val="21"/>
              </w:rPr>
              <w:t>12.1</w:t>
            </w:r>
          </w:p>
        </w:tc>
        <w:tc>
          <w:tcPr>
            <w:tcW w:w="656"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bCs/>
                <w:kern w:val="2"/>
                <w:sz w:val="21"/>
                <w:szCs w:val="21"/>
              </w:rPr>
              <w:t>164</w:t>
            </w:r>
          </w:p>
        </w:tc>
        <w:tc>
          <w:tcPr>
            <w:tcW w:w="539"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kern w:val="2"/>
                <w:sz w:val="21"/>
                <w:szCs w:val="21"/>
              </w:rPr>
              <w:t>604</w:t>
            </w:r>
          </w:p>
        </w:tc>
        <w:tc>
          <w:tcPr>
            <w:tcW w:w="1214" w:type="dxa"/>
            <w:tcBorders>
              <w:top w:val="single" w:sz="4" w:space="0" w:color="auto"/>
              <w:left w:val="single" w:sz="4" w:space="0" w:color="auto"/>
              <w:bottom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hAnsi="宋体" w:cs="Times New Roman"/>
                <w:sz w:val="21"/>
              </w:rPr>
              <w:t>HCO</w:t>
            </w:r>
            <w:r>
              <w:rPr>
                <w:rFonts w:ascii="Times New Roman" w:hAnsi="宋体" w:cs="Times New Roman"/>
                <w:sz w:val="21"/>
                <w:vertAlign w:val="subscript"/>
              </w:rPr>
              <w:t>3</w:t>
            </w:r>
            <w:r>
              <w:rPr>
                <w:rFonts w:ascii="Times New Roman" w:hAnsi="宋体" w:cs="Times New Roman"/>
                <w:sz w:val="21"/>
              </w:rPr>
              <w:t>-Mg-Ca</w:t>
            </w:r>
          </w:p>
        </w:tc>
      </w:tr>
      <w:tr w:rsidR="00BD5820">
        <w:trPr>
          <w:trHeight w:val="300"/>
          <w:jc w:val="center"/>
        </w:trPr>
        <w:tc>
          <w:tcPr>
            <w:tcW w:w="816" w:type="dxa"/>
            <w:tcBorders>
              <w:top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hAnsi="宋体" w:cs="Times New Roman" w:hint="eastAsia"/>
                <w:sz w:val="21"/>
              </w:rPr>
              <w:t>WX</w:t>
            </w:r>
            <w:r>
              <w:rPr>
                <w:rFonts w:ascii="Times New Roman" w:hAnsi="宋体" w:cs="Times New Roman"/>
                <w:sz w:val="21"/>
              </w:rPr>
              <w:t>4</w:t>
            </w:r>
          </w:p>
        </w:tc>
        <w:tc>
          <w:tcPr>
            <w:tcW w:w="990"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hAnsi="宋体" w:cs="Times New Roman" w:hint="eastAsia"/>
                <w:kern w:val="2"/>
                <w:sz w:val="21"/>
              </w:rPr>
              <w:t>井水</w:t>
            </w:r>
          </w:p>
        </w:tc>
        <w:tc>
          <w:tcPr>
            <w:tcW w:w="511"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hAnsi="宋体" w:cs="Times New Roman"/>
                <w:sz w:val="21"/>
              </w:rPr>
              <w:t>7.63</w:t>
            </w:r>
          </w:p>
        </w:tc>
        <w:tc>
          <w:tcPr>
            <w:tcW w:w="653"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bCs/>
                <w:kern w:val="2"/>
                <w:sz w:val="21"/>
                <w:szCs w:val="21"/>
              </w:rPr>
              <w:t>1.32</w:t>
            </w:r>
          </w:p>
        </w:tc>
        <w:tc>
          <w:tcPr>
            <w:tcW w:w="525"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bCs/>
                <w:kern w:val="2"/>
                <w:sz w:val="21"/>
                <w:szCs w:val="21"/>
              </w:rPr>
              <w:t>0.21</w:t>
            </w:r>
          </w:p>
        </w:tc>
        <w:tc>
          <w:tcPr>
            <w:tcW w:w="653"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1</w:t>
            </w:r>
          </w:p>
        </w:tc>
        <w:tc>
          <w:tcPr>
            <w:tcW w:w="656"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bCs/>
                <w:kern w:val="2"/>
                <w:sz w:val="21"/>
                <w:szCs w:val="21"/>
              </w:rPr>
              <w:t>9.43</w:t>
            </w:r>
          </w:p>
        </w:tc>
        <w:tc>
          <w:tcPr>
            <w:tcW w:w="653"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bCs/>
                <w:kern w:val="2"/>
                <w:sz w:val="21"/>
                <w:szCs w:val="21"/>
              </w:rPr>
              <w:t>24</w:t>
            </w:r>
          </w:p>
        </w:tc>
        <w:tc>
          <w:tcPr>
            <w:tcW w:w="656"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bCs/>
                <w:kern w:val="2"/>
                <w:sz w:val="21"/>
                <w:szCs w:val="21"/>
              </w:rPr>
              <w:t>21.8</w:t>
            </w:r>
          </w:p>
        </w:tc>
        <w:tc>
          <w:tcPr>
            <w:tcW w:w="656"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bCs/>
                <w:kern w:val="2"/>
                <w:sz w:val="21"/>
                <w:szCs w:val="21"/>
              </w:rPr>
              <w:t>405</w:t>
            </w:r>
          </w:p>
        </w:tc>
        <w:tc>
          <w:tcPr>
            <w:tcW w:w="539"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bCs/>
                <w:kern w:val="2"/>
                <w:sz w:val="21"/>
                <w:szCs w:val="21"/>
              </w:rPr>
              <w:t>855</w:t>
            </w:r>
          </w:p>
        </w:tc>
        <w:tc>
          <w:tcPr>
            <w:tcW w:w="1214" w:type="dxa"/>
            <w:tcBorders>
              <w:top w:val="single" w:sz="4" w:space="0" w:color="auto"/>
              <w:left w:val="single" w:sz="4" w:space="0" w:color="auto"/>
              <w:bottom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hAnsi="宋体" w:cs="Times New Roman"/>
                <w:sz w:val="21"/>
              </w:rPr>
              <w:t>HCO</w:t>
            </w:r>
            <w:r>
              <w:rPr>
                <w:rFonts w:ascii="Times New Roman" w:hAnsi="宋体" w:cs="Times New Roman"/>
                <w:sz w:val="21"/>
                <w:vertAlign w:val="subscript"/>
              </w:rPr>
              <w:t>3</w:t>
            </w:r>
            <w:r>
              <w:rPr>
                <w:rFonts w:ascii="Times New Roman" w:hAnsi="宋体" w:cs="Times New Roman"/>
                <w:sz w:val="21"/>
              </w:rPr>
              <w:t>-Mg-Ca</w:t>
            </w:r>
          </w:p>
        </w:tc>
      </w:tr>
      <w:tr w:rsidR="00BD5820">
        <w:trPr>
          <w:trHeight w:val="300"/>
          <w:jc w:val="center"/>
        </w:trPr>
        <w:tc>
          <w:tcPr>
            <w:tcW w:w="816" w:type="dxa"/>
            <w:tcBorders>
              <w:top w:val="single" w:sz="4" w:space="0" w:color="auto"/>
              <w:bottom w:val="single" w:sz="12"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hAnsi="宋体" w:cs="Times New Roman" w:hint="eastAsia"/>
                <w:sz w:val="21"/>
              </w:rPr>
              <w:lastRenderedPageBreak/>
              <w:t>WX</w:t>
            </w:r>
            <w:r>
              <w:rPr>
                <w:rFonts w:ascii="Times New Roman" w:hAnsi="宋体" w:cs="Times New Roman"/>
                <w:sz w:val="21"/>
              </w:rPr>
              <w:t>5</w:t>
            </w:r>
          </w:p>
        </w:tc>
        <w:tc>
          <w:tcPr>
            <w:tcW w:w="990" w:type="dxa"/>
            <w:tcBorders>
              <w:top w:val="single" w:sz="4" w:space="0" w:color="auto"/>
              <w:left w:val="single" w:sz="4" w:space="0" w:color="auto"/>
              <w:bottom w:val="single" w:sz="12"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hAnsi="宋体" w:cs="Times New Roman" w:hint="eastAsia"/>
                <w:kern w:val="2"/>
                <w:sz w:val="21"/>
              </w:rPr>
              <w:t>井水</w:t>
            </w:r>
          </w:p>
        </w:tc>
        <w:tc>
          <w:tcPr>
            <w:tcW w:w="511" w:type="dxa"/>
            <w:tcBorders>
              <w:top w:val="single" w:sz="4" w:space="0" w:color="auto"/>
              <w:left w:val="single" w:sz="4" w:space="0" w:color="auto"/>
              <w:bottom w:val="single" w:sz="12"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hAnsi="宋体" w:cs="Times New Roman"/>
                <w:sz w:val="21"/>
              </w:rPr>
              <w:t>7.44</w:t>
            </w:r>
          </w:p>
        </w:tc>
        <w:tc>
          <w:tcPr>
            <w:tcW w:w="653" w:type="dxa"/>
            <w:tcBorders>
              <w:top w:val="single" w:sz="4" w:space="0" w:color="auto"/>
              <w:left w:val="single" w:sz="4" w:space="0" w:color="auto"/>
              <w:bottom w:val="single" w:sz="12"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bCs/>
                <w:kern w:val="2"/>
                <w:sz w:val="21"/>
                <w:szCs w:val="21"/>
              </w:rPr>
              <w:t>2.21</w:t>
            </w:r>
          </w:p>
        </w:tc>
        <w:tc>
          <w:tcPr>
            <w:tcW w:w="525" w:type="dxa"/>
            <w:tcBorders>
              <w:top w:val="single" w:sz="4" w:space="0" w:color="auto"/>
              <w:left w:val="single" w:sz="4" w:space="0" w:color="auto"/>
              <w:bottom w:val="single" w:sz="12"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bCs/>
                <w:kern w:val="2"/>
                <w:sz w:val="21"/>
                <w:szCs w:val="21"/>
              </w:rPr>
              <w:t>0.05</w:t>
            </w:r>
          </w:p>
        </w:tc>
        <w:tc>
          <w:tcPr>
            <w:tcW w:w="653" w:type="dxa"/>
            <w:tcBorders>
              <w:top w:val="single" w:sz="4" w:space="0" w:color="auto"/>
              <w:left w:val="single" w:sz="4" w:space="0" w:color="auto"/>
              <w:bottom w:val="single" w:sz="12"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kern w:val="2"/>
                <w:sz w:val="21"/>
                <w:szCs w:val="21"/>
              </w:rPr>
              <w:t>4.9</w:t>
            </w:r>
          </w:p>
        </w:tc>
        <w:tc>
          <w:tcPr>
            <w:tcW w:w="656" w:type="dxa"/>
            <w:tcBorders>
              <w:top w:val="single" w:sz="4" w:space="0" w:color="auto"/>
              <w:left w:val="single" w:sz="4" w:space="0" w:color="auto"/>
              <w:bottom w:val="single" w:sz="12"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bCs/>
                <w:kern w:val="2"/>
                <w:sz w:val="21"/>
                <w:szCs w:val="21"/>
              </w:rPr>
              <w:t>6.5</w:t>
            </w:r>
          </w:p>
        </w:tc>
        <w:tc>
          <w:tcPr>
            <w:tcW w:w="653" w:type="dxa"/>
            <w:tcBorders>
              <w:top w:val="single" w:sz="4" w:space="0" w:color="auto"/>
              <w:left w:val="single" w:sz="4" w:space="0" w:color="auto"/>
              <w:bottom w:val="single" w:sz="12"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bCs/>
                <w:kern w:val="2"/>
                <w:sz w:val="21"/>
                <w:szCs w:val="21"/>
              </w:rPr>
              <w:t>12.5</w:t>
            </w:r>
          </w:p>
        </w:tc>
        <w:tc>
          <w:tcPr>
            <w:tcW w:w="656" w:type="dxa"/>
            <w:tcBorders>
              <w:top w:val="single" w:sz="4" w:space="0" w:color="auto"/>
              <w:left w:val="single" w:sz="4" w:space="0" w:color="auto"/>
              <w:bottom w:val="single" w:sz="12"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bCs/>
                <w:kern w:val="2"/>
                <w:sz w:val="21"/>
                <w:szCs w:val="21"/>
              </w:rPr>
              <w:t>12.7</w:t>
            </w:r>
          </w:p>
        </w:tc>
        <w:tc>
          <w:tcPr>
            <w:tcW w:w="656" w:type="dxa"/>
            <w:tcBorders>
              <w:top w:val="single" w:sz="4" w:space="0" w:color="auto"/>
              <w:left w:val="single" w:sz="4" w:space="0" w:color="auto"/>
              <w:bottom w:val="single" w:sz="12"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bCs/>
                <w:kern w:val="2"/>
                <w:sz w:val="21"/>
                <w:szCs w:val="21"/>
              </w:rPr>
              <w:t>158</w:t>
            </w:r>
          </w:p>
        </w:tc>
        <w:tc>
          <w:tcPr>
            <w:tcW w:w="539" w:type="dxa"/>
            <w:tcBorders>
              <w:top w:val="single" w:sz="4" w:space="0" w:color="auto"/>
              <w:left w:val="single" w:sz="4" w:space="0" w:color="auto"/>
              <w:bottom w:val="single" w:sz="12"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bCs/>
                <w:kern w:val="2"/>
                <w:sz w:val="21"/>
                <w:szCs w:val="21"/>
              </w:rPr>
              <w:t>831</w:t>
            </w:r>
          </w:p>
        </w:tc>
        <w:tc>
          <w:tcPr>
            <w:tcW w:w="1214" w:type="dxa"/>
            <w:tcBorders>
              <w:top w:val="single" w:sz="4" w:space="0" w:color="auto"/>
              <w:left w:val="single" w:sz="4" w:space="0" w:color="auto"/>
              <w:bottom w:val="single" w:sz="12"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hAnsi="宋体" w:cs="Times New Roman"/>
                <w:sz w:val="21"/>
              </w:rPr>
              <w:t>HCO</w:t>
            </w:r>
            <w:r>
              <w:rPr>
                <w:rFonts w:ascii="Times New Roman" w:hAnsi="宋体" w:cs="Times New Roman"/>
                <w:sz w:val="21"/>
                <w:vertAlign w:val="subscript"/>
              </w:rPr>
              <w:t>3</w:t>
            </w:r>
            <w:r>
              <w:rPr>
                <w:rFonts w:ascii="Times New Roman" w:hAnsi="宋体" w:cs="Times New Roman"/>
                <w:sz w:val="21"/>
              </w:rPr>
              <w:t>-Mg-Ca</w:t>
            </w:r>
          </w:p>
        </w:tc>
      </w:tr>
    </w:tbl>
    <w:p w:rsidR="00BD5820" w:rsidRDefault="00F64314">
      <w:pPr>
        <w:widowControl/>
        <w:topLinePunct w:val="0"/>
        <w:adjustRightInd/>
        <w:ind w:firstLineChars="0" w:firstLine="0"/>
        <w:rPr>
          <w:rFonts w:ascii="Times New Roman" w:cs="Times New Roman"/>
          <w:b/>
          <w:sz w:val="21"/>
          <w:szCs w:val="21"/>
        </w:rPr>
      </w:pPr>
      <w:r>
        <w:rPr>
          <w:rFonts w:ascii="Times New Roman" w:cs="Times New Roman" w:hint="eastAsia"/>
          <w:b/>
          <w:sz w:val="21"/>
          <w:szCs w:val="21"/>
        </w:rPr>
        <w:t xml:space="preserve">    </w:t>
      </w:r>
      <w:r>
        <w:rPr>
          <w:rFonts w:ascii="Times New Roman" w:cs="Times New Roman"/>
        </w:rPr>
        <w:t>根据各水样水化学宏量组分监测结果（表</w:t>
      </w:r>
      <w:r>
        <w:rPr>
          <w:rFonts w:ascii="Times New Roman" w:cs="Times New Roman"/>
        </w:rPr>
        <w:t>5.5-1</w:t>
      </w:r>
      <w:r>
        <w:rPr>
          <w:rFonts w:ascii="Times New Roman" w:cs="Times New Roman"/>
        </w:rPr>
        <w:t>），普光气田</w:t>
      </w:r>
      <w:r>
        <w:rPr>
          <w:rFonts w:ascii="Times New Roman" w:cs="Times New Roman"/>
        </w:rPr>
        <w:t>1#</w:t>
      </w:r>
      <w:r>
        <w:rPr>
          <w:rFonts w:ascii="Times New Roman" w:cs="Times New Roman"/>
        </w:rPr>
        <w:t>增压站</w:t>
      </w:r>
      <w:r>
        <w:rPr>
          <w:rFonts w:ascii="Times New Roman" w:cs="Times New Roman" w:hint="eastAsia"/>
        </w:rPr>
        <w:t>所在地</w:t>
      </w:r>
      <w:r>
        <w:rPr>
          <w:rFonts w:ascii="Times New Roman" w:cs="Times New Roman"/>
        </w:rPr>
        <w:t>地下水矿化度</w:t>
      </w:r>
      <w:r>
        <w:rPr>
          <w:rFonts w:ascii="Times New Roman" w:cs="Times New Roman"/>
        </w:rPr>
        <w:t>≤1g/L</w:t>
      </w:r>
      <w:r>
        <w:rPr>
          <w:rFonts w:ascii="Times New Roman" w:cs="Times New Roman"/>
        </w:rPr>
        <w:t>，总硬度</w:t>
      </w:r>
      <w:r>
        <w:rPr>
          <w:rFonts w:ascii="Times New Roman" w:cs="Times New Roman"/>
        </w:rPr>
        <w:t>219</w:t>
      </w:r>
      <w:r>
        <w:rPr>
          <w:rFonts w:ascii="Times New Roman" w:cs="Times New Roman"/>
        </w:rPr>
        <w:t>～</w:t>
      </w:r>
      <w:r>
        <w:rPr>
          <w:rFonts w:ascii="Times New Roman" w:cs="Times New Roman"/>
        </w:rPr>
        <w:t>235mg/L</w:t>
      </w:r>
      <w:r>
        <w:rPr>
          <w:rFonts w:ascii="Times New Roman" w:cs="Times New Roman"/>
        </w:rPr>
        <w:t>，属于极软～中硬的低矿化度淡水，</w:t>
      </w:r>
      <w:r>
        <w:rPr>
          <w:rFonts w:ascii="Times New Roman" w:cs="Times New Roman"/>
        </w:rPr>
        <w:t>pH</w:t>
      </w:r>
      <w:r>
        <w:rPr>
          <w:rFonts w:ascii="Times New Roman" w:cs="Times New Roman"/>
        </w:rPr>
        <w:t>介于</w:t>
      </w:r>
      <w:r>
        <w:rPr>
          <w:rFonts w:ascii="Times New Roman" w:cs="Times New Roman"/>
        </w:rPr>
        <w:t>7.18</w:t>
      </w:r>
      <w:r>
        <w:rPr>
          <w:rFonts w:ascii="Times New Roman" w:cs="Times New Roman"/>
        </w:rPr>
        <w:t>～</w:t>
      </w:r>
      <w:r>
        <w:rPr>
          <w:rFonts w:ascii="Times New Roman" w:cs="Times New Roman"/>
        </w:rPr>
        <w:t>7.63</w:t>
      </w:r>
      <w:r>
        <w:rPr>
          <w:rFonts w:ascii="Times New Roman" w:cs="Times New Roman"/>
        </w:rPr>
        <w:t>，呈弱碱性。地下水主要阳离子为</w:t>
      </w:r>
      <w:r>
        <w:rPr>
          <w:rFonts w:ascii="Times New Roman" w:cs="Times New Roman"/>
        </w:rPr>
        <w:t>Na+</w:t>
      </w:r>
      <w:r>
        <w:rPr>
          <w:rFonts w:ascii="Times New Roman" w:cs="Times New Roman"/>
        </w:rPr>
        <w:t>、</w:t>
      </w:r>
      <w:r>
        <w:rPr>
          <w:rFonts w:ascii="Times New Roman" w:cs="Times New Roman"/>
        </w:rPr>
        <w:t>Ca2+</w:t>
      </w:r>
      <w:r>
        <w:rPr>
          <w:rFonts w:ascii="Times New Roman" w:cs="Times New Roman"/>
        </w:rPr>
        <w:t>和</w:t>
      </w:r>
      <w:r>
        <w:rPr>
          <w:rFonts w:ascii="Times New Roman" w:cs="Times New Roman"/>
        </w:rPr>
        <w:t>Mg2+</w:t>
      </w:r>
      <w:r>
        <w:rPr>
          <w:rFonts w:ascii="Times New Roman" w:cs="Times New Roman"/>
        </w:rPr>
        <w:t>，主要阴离子为</w:t>
      </w:r>
      <w:r>
        <w:rPr>
          <w:rFonts w:ascii="Times New Roman" w:cs="Times New Roman"/>
        </w:rPr>
        <w:t>HCO3-</w:t>
      </w:r>
      <w:r>
        <w:rPr>
          <w:rFonts w:ascii="Times New Roman" w:cs="Times New Roman"/>
        </w:rPr>
        <w:t>，水化学类型以</w:t>
      </w:r>
      <w:r>
        <w:rPr>
          <w:rFonts w:ascii="Times New Roman" w:cs="Times New Roman"/>
        </w:rPr>
        <w:t>HCO3-Mg-Ca</w:t>
      </w:r>
      <w:r>
        <w:rPr>
          <w:rFonts w:ascii="Times New Roman" w:cs="Times New Roman"/>
        </w:rPr>
        <w:t>为。</w:t>
      </w:r>
    </w:p>
    <w:p w:rsidR="00BD5820" w:rsidRDefault="00F64314">
      <w:pPr>
        <w:widowControl/>
        <w:topLinePunct w:val="0"/>
        <w:adjustRightInd/>
        <w:spacing w:line="240" w:lineRule="auto"/>
        <w:ind w:firstLineChars="0" w:firstLine="0"/>
        <w:jc w:val="center"/>
        <w:rPr>
          <w:rFonts w:ascii="Times New Roman" w:cs="Times New Roman"/>
          <w:b/>
          <w:sz w:val="21"/>
        </w:rPr>
      </w:pPr>
      <w:r>
        <w:rPr>
          <w:rFonts w:ascii="Times New Roman" w:cs="Times New Roman"/>
          <w:b/>
          <w:sz w:val="21"/>
          <w:szCs w:val="21"/>
        </w:rPr>
        <w:t>表</w:t>
      </w:r>
      <w:r>
        <w:rPr>
          <w:rFonts w:ascii="Times New Roman" w:cs="Times New Roman"/>
          <w:b/>
          <w:sz w:val="21"/>
          <w:szCs w:val="21"/>
        </w:rPr>
        <w:t>5.5-</w:t>
      </w:r>
      <w:r>
        <w:rPr>
          <w:rFonts w:ascii="Times New Roman" w:cs="Times New Roman" w:hint="eastAsia"/>
          <w:b/>
          <w:sz w:val="21"/>
          <w:szCs w:val="21"/>
        </w:rPr>
        <w:t>2</w:t>
      </w:r>
      <w:r>
        <w:rPr>
          <w:rFonts w:ascii="Times New Roman" w:cs="Times New Roman"/>
          <w:b/>
          <w:sz w:val="21"/>
          <w:szCs w:val="21"/>
        </w:rPr>
        <w:t xml:space="preserve"> </w:t>
      </w:r>
      <w:r>
        <w:rPr>
          <w:rFonts w:ascii="Times New Roman" w:cs="Times New Roman"/>
          <w:b/>
          <w:sz w:val="21"/>
        </w:rPr>
        <w:t xml:space="preserve"> </w:t>
      </w:r>
      <w:r>
        <w:rPr>
          <w:rFonts w:ascii="Times New Roman" w:cs="Times New Roman" w:hint="eastAsia"/>
          <w:b/>
          <w:sz w:val="21"/>
        </w:rPr>
        <w:t>普光气田</w:t>
      </w:r>
      <w:r>
        <w:rPr>
          <w:rFonts w:ascii="Times New Roman" w:cs="Times New Roman" w:hint="eastAsia"/>
          <w:b/>
          <w:sz w:val="21"/>
        </w:rPr>
        <w:t>2#</w:t>
      </w:r>
      <w:r>
        <w:rPr>
          <w:rFonts w:ascii="Times New Roman" w:cs="Times New Roman" w:hint="eastAsia"/>
          <w:b/>
          <w:sz w:val="21"/>
        </w:rPr>
        <w:t>增压站所在地</w:t>
      </w:r>
      <w:r>
        <w:rPr>
          <w:rFonts w:ascii="Times New Roman" w:cs="Times New Roman"/>
          <w:b/>
          <w:sz w:val="21"/>
        </w:rPr>
        <w:t>水样水化学常量组分监测结果（</w:t>
      </w:r>
      <w:r>
        <w:rPr>
          <w:rFonts w:ascii="Times New Roman" w:cs="Times New Roman"/>
          <w:b/>
          <w:sz w:val="21"/>
        </w:rPr>
        <w:t>mg/L</w:t>
      </w:r>
      <w:r>
        <w:rPr>
          <w:rFonts w:ascii="Times New Roman" w:cs="Times New Roman"/>
          <w:b/>
          <w:sz w:val="21"/>
        </w:rPr>
        <w:t>）</w:t>
      </w:r>
    </w:p>
    <w:tbl>
      <w:tblPr>
        <w:tblW w:w="5000" w:type="pct"/>
        <w:jc w:val="center"/>
        <w:tblLayout w:type="fixed"/>
        <w:tblLook w:val="04A0"/>
      </w:tblPr>
      <w:tblGrid>
        <w:gridCol w:w="816"/>
        <w:gridCol w:w="990"/>
        <w:gridCol w:w="511"/>
        <w:gridCol w:w="653"/>
        <w:gridCol w:w="525"/>
        <w:gridCol w:w="653"/>
        <w:gridCol w:w="656"/>
        <w:gridCol w:w="653"/>
        <w:gridCol w:w="656"/>
        <w:gridCol w:w="656"/>
        <w:gridCol w:w="539"/>
        <w:gridCol w:w="1214"/>
      </w:tblGrid>
      <w:tr w:rsidR="00BD5820">
        <w:trPr>
          <w:trHeight w:val="529"/>
          <w:jc w:val="center"/>
        </w:trPr>
        <w:tc>
          <w:tcPr>
            <w:tcW w:w="816" w:type="dxa"/>
            <w:tcBorders>
              <w:top w:val="single" w:sz="12" w:space="0" w:color="auto"/>
              <w:bottom w:val="single" w:sz="4" w:space="0" w:color="auto"/>
              <w:right w:val="single" w:sz="4" w:space="0" w:color="auto"/>
              <w:tl2br w:val="single" w:sz="8" w:space="0" w:color="000000"/>
            </w:tcBorders>
            <w:vAlign w:val="center"/>
          </w:tcPr>
          <w:p w:rsidR="00BD5820" w:rsidRDefault="00F64314">
            <w:pPr>
              <w:widowControl/>
              <w:topLinePunct w:val="0"/>
              <w:adjustRightInd/>
              <w:spacing w:line="240" w:lineRule="auto"/>
              <w:ind w:leftChars="-50" w:left="-120" w:rightChars="-50" w:right="-120" w:firstLineChars="100" w:firstLine="211"/>
              <w:jc w:val="left"/>
              <w:rPr>
                <w:rFonts w:ascii="Times New Roman" w:hAnsi="宋体" w:cs="Times New Roman"/>
                <w:b/>
                <w:sz w:val="21"/>
              </w:rPr>
            </w:pPr>
            <w:r>
              <w:rPr>
                <w:rFonts w:ascii="Times New Roman" w:hAnsi="宋体" w:cs="Times New Roman"/>
                <w:b/>
                <w:sz w:val="21"/>
              </w:rPr>
              <w:t>指标</w:t>
            </w:r>
            <w:r>
              <w:rPr>
                <w:rFonts w:ascii="Times New Roman" w:hAnsi="宋体" w:cs="Times New Roman"/>
                <w:b/>
                <w:sz w:val="21"/>
              </w:rPr>
              <w:t xml:space="preserve">                                          </w:t>
            </w:r>
            <w:r>
              <w:rPr>
                <w:rFonts w:ascii="Times New Roman" w:hAnsi="宋体" w:cs="Times New Roman"/>
                <w:b/>
                <w:sz w:val="21"/>
              </w:rPr>
              <w:t>编号</w:t>
            </w:r>
          </w:p>
        </w:tc>
        <w:tc>
          <w:tcPr>
            <w:tcW w:w="990" w:type="dxa"/>
            <w:tcBorders>
              <w:top w:val="single" w:sz="12"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b/>
                <w:sz w:val="21"/>
              </w:rPr>
            </w:pPr>
            <w:r>
              <w:rPr>
                <w:rFonts w:ascii="Times New Roman" w:hAnsi="宋体" w:cs="Times New Roman"/>
                <w:b/>
                <w:sz w:val="21"/>
              </w:rPr>
              <w:t>监测点</w:t>
            </w:r>
          </w:p>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b/>
                <w:sz w:val="21"/>
              </w:rPr>
            </w:pPr>
            <w:r>
              <w:rPr>
                <w:rFonts w:ascii="Times New Roman" w:hAnsi="宋体" w:cs="Times New Roman"/>
                <w:b/>
                <w:sz w:val="21"/>
              </w:rPr>
              <w:t>类型</w:t>
            </w:r>
          </w:p>
        </w:tc>
        <w:tc>
          <w:tcPr>
            <w:tcW w:w="511" w:type="dxa"/>
            <w:tcBorders>
              <w:top w:val="single" w:sz="12"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b/>
                <w:sz w:val="21"/>
              </w:rPr>
            </w:pPr>
            <w:r>
              <w:rPr>
                <w:rFonts w:ascii="Times New Roman" w:hAnsi="宋体" w:cs="Times New Roman"/>
                <w:b/>
                <w:sz w:val="21"/>
              </w:rPr>
              <w:t>pH</w:t>
            </w:r>
          </w:p>
        </w:tc>
        <w:tc>
          <w:tcPr>
            <w:tcW w:w="653" w:type="dxa"/>
            <w:tcBorders>
              <w:top w:val="single" w:sz="12"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b/>
                <w:sz w:val="21"/>
              </w:rPr>
            </w:pPr>
            <w:r>
              <w:rPr>
                <w:rFonts w:ascii="Times New Roman" w:hAnsi="宋体" w:cs="Times New Roman"/>
                <w:b/>
                <w:sz w:val="21"/>
              </w:rPr>
              <w:t>K</w:t>
            </w:r>
            <w:r>
              <w:rPr>
                <w:rFonts w:ascii="Times New Roman" w:hAnsi="宋体" w:cs="Times New Roman"/>
                <w:b/>
                <w:sz w:val="21"/>
                <w:vertAlign w:val="superscript"/>
              </w:rPr>
              <w:t>+</w:t>
            </w:r>
          </w:p>
        </w:tc>
        <w:tc>
          <w:tcPr>
            <w:tcW w:w="525" w:type="dxa"/>
            <w:tcBorders>
              <w:top w:val="single" w:sz="12"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b/>
                <w:sz w:val="21"/>
              </w:rPr>
            </w:pPr>
            <w:r>
              <w:rPr>
                <w:rFonts w:ascii="Times New Roman" w:hAnsi="宋体" w:cs="Times New Roman"/>
                <w:b/>
                <w:sz w:val="21"/>
              </w:rPr>
              <w:t>Na</w:t>
            </w:r>
            <w:r>
              <w:rPr>
                <w:rFonts w:ascii="Times New Roman" w:hAnsi="宋体" w:cs="Times New Roman"/>
                <w:b/>
                <w:sz w:val="21"/>
                <w:vertAlign w:val="superscript"/>
              </w:rPr>
              <w:t>+</w:t>
            </w:r>
          </w:p>
        </w:tc>
        <w:tc>
          <w:tcPr>
            <w:tcW w:w="653" w:type="dxa"/>
            <w:tcBorders>
              <w:top w:val="single" w:sz="12"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b/>
                <w:sz w:val="21"/>
              </w:rPr>
            </w:pPr>
            <w:r>
              <w:rPr>
                <w:rFonts w:ascii="Times New Roman" w:hAnsi="宋体" w:cs="Times New Roman"/>
                <w:b/>
                <w:sz w:val="21"/>
              </w:rPr>
              <w:t>Ca</w:t>
            </w:r>
            <w:r>
              <w:rPr>
                <w:rFonts w:ascii="Times New Roman" w:hAnsi="宋体" w:cs="Times New Roman"/>
                <w:b/>
                <w:sz w:val="21"/>
                <w:vertAlign w:val="superscript"/>
              </w:rPr>
              <w:t>2+</w:t>
            </w:r>
          </w:p>
        </w:tc>
        <w:tc>
          <w:tcPr>
            <w:tcW w:w="656" w:type="dxa"/>
            <w:tcBorders>
              <w:top w:val="single" w:sz="12"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b/>
                <w:sz w:val="21"/>
              </w:rPr>
            </w:pPr>
            <w:r>
              <w:rPr>
                <w:rFonts w:ascii="Times New Roman" w:hAnsi="宋体" w:cs="Times New Roman"/>
                <w:b/>
                <w:sz w:val="21"/>
              </w:rPr>
              <w:t>Mg</w:t>
            </w:r>
            <w:r>
              <w:rPr>
                <w:rFonts w:ascii="Times New Roman" w:hAnsi="宋体" w:cs="Times New Roman"/>
                <w:b/>
                <w:sz w:val="21"/>
                <w:vertAlign w:val="superscript"/>
              </w:rPr>
              <w:t>2+</w:t>
            </w:r>
          </w:p>
        </w:tc>
        <w:tc>
          <w:tcPr>
            <w:tcW w:w="653" w:type="dxa"/>
            <w:tcBorders>
              <w:top w:val="single" w:sz="12"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b/>
                <w:sz w:val="21"/>
              </w:rPr>
            </w:pPr>
            <w:r>
              <w:rPr>
                <w:rFonts w:ascii="Times New Roman" w:hAnsi="宋体" w:cs="Times New Roman"/>
                <w:b/>
                <w:sz w:val="21"/>
              </w:rPr>
              <w:t>Cl</w:t>
            </w:r>
            <w:r>
              <w:rPr>
                <w:rFonts w:ascii="Times New Roman" w:hAnsi="宋体" w:cs="Times New Roman"/>
                <w:b/>
                <w:sz w:val="21"/>
                <w:vertAlign w:val="superscript"/>
              </w:rPr>
              <w:t>-</w:t>
            </w:r>
          </w:p>
        </w:tc>
        <w:tc>
          <w:tcPr>
            <w:tcW w:w="656" w:type="dxa"/>
            <w:tcBorders>
              <w:top w:val="single" w:sz="12"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b/>
                <w:sz w:val="21"/>
              </w:rPr>
            </w:pPr>
            <w:r>
              <w:rPr>
                <w:rFonts w:ascii="Times New Roman" w:hAnsi="宋体" w:cs="Times New Roman"/>
                <w:b/>
                <w:sz w:val="21"/>
              </w:rPr>
              <w:t>SO</w:t>
            </w:r>
            <w:r>
              <w:rPr>
                <w:rFonts w:ascii="Times New Roman" w:hAnsi="宋体" w:cs="Times New Roman"/>
                <w:b/>
                <w:sz w:val="21"/>
                <w:vertAlign w:val="subscript"/>
              </w:rPr>
              <w:t>4</w:t>
            </w:r>
            <w:r>
              <w:rPr>
                <w:rFonts w:ascii="Times New Roman" w:hAnsi="宋体" w:cs="Times New Roman"/>
                <w:b/>
                <w:sz w:val="21"/>
                <w:vertAlign w:val="superscript"/>
              </w:rPr>
              <w:t>2-</w:t>
            </w:r>
          </w:p>
        </w:tc>
        <w:tc>
          <w:tcPr>
            <w:tcW w:w="656" w:type="dxa"/>
            <w:tcBorders>
              <w:top w:val="single" w:sz="12"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b/>
                <w:sz w:val="21"/>
              </w:rPr>
            </w:pPr>
            <w:r>
              <w:rPr>
                <w:rFonts w:ascii="Times New Roman" w:hAnsi="宋体" w:cs="Times New Roman"/>
                <w:b/>
                <w:sz w:val="21"/>
              </w:rPr>
              <w:t>HCO</w:t>
            </w:r>
            <w:r>
              <w:rPr>
                <w:rFonts w:ascii="Times New Roman" w:hAnsi="宋体" w:cs="Times New Roman"/>
                <w:b/>
                <w:sz w:val="21"/>
                <w:vertAlign w:val="subscript"/>
              </w:rPr>
              <w:t>3</w:t>
            </w:r>
            <w:r>
              <w:rPr>
                <w:rFonts w:ascii="Times New Roman" w:hAnsi="宋体" w:cs="Times New Roman"/>
                <w:b/>
                <w:sz w:val="21"/>
                <w:vertAlign w:val="superscript"/>
              </w:rPr>
              <w:t>-</w:t>
            </w:r>
          </w:p>
        </w:tc>
        <w:tc>
          <w:tcPr>
            <w:tcW w:w="539" w:type="dxa"/>
            <w:tcBorders>
              <w:top w:val="single" w:sz="12"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b/>
                <w:sz w:val="21"/>
              </w:rPr>
            </w:pPr>
            <w:r>
              <w:rPr>
                <w:rFonts w:ascii="Times New Roman" w:hAnsi="宋体" w:cs="Times New Roman"/>
                <w:b/>
                <w:sz w:val="21"/>
              </w:rPr>
              <w:t>溶解性总固体</w:t>
            </w:r>
          </w:p>
        </w:tc>
        <w:tc>
          <w:tcPr>
            <w:tcW w:w="1214" w:type="dxa"/>
            <w:tcBorders>
              <w:top w:val="single" w:sz="12" w:space="0" w:color="auto"/>
              <w:left w:val="single" w:sz="4" w:space="0" w:color="auto"/>
              <w:bottom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b/>
                <w:sz w:val="21"/>
              </w:rPr>
            </w:pPr>
            <w:r>
              <w:rPr>
                <w:rFonts w:ascii="Times New Roman" w:hAnsi="宋体" w:cs="Times New Roman"/>
                <w:b/>
                <w:sz w:val="21"/>
              </w:rPr>
              <w:t>水化学类型</w:t>
            </w:r>
          </w:p>
        </w:tc>
      </w:tr>
      <w:tr w:rsidR="00BD5820">
        <w:trPr>
          <w:trHeight w:val="300"/>
          <w:jc w:val="center"/>
        </w:trPr>
        <w:tc>
          <w:tcPr>
            <w:tcW w:w="816" w:type="dxa"/>
            <w:tcBorders>
              <w:top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hAnsi="宋体" w:cs="Times New Roman" w:hint="eastAsia"/>
                <w:sz w:val="21"/>
              </w:rPr>
              <w:t>JC</w:t>
            </w:r>
            <w:r>
              <w:rPr>
                <w:rFonts w:ascii="Times New Roman" w:hAnsi="宋体" w:cs="Times New Roman"/>
                <w:sz w:val="21"/>
              </w:rPr>
              <w:t>1</w:t>
            </w:r>
          </w:p>
        </w:tc>
        <w:tc>
          <w:tcPr>
            <w:tcW w:w="990"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hAnsi="宋体" w:cs="Times New Roman" w:hint="eastAsia"/>
                <w:kern w:val="2"/>
                <w:sz w:val="21"/>
              </w:rPr>
              <w:t>井水</w:t>
            </w:r>
          </w:p>
        </w:tc>
        <w:tc>
          <w:tcPr>
            <w:tcW w:w="511"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hAnsi="宋体" w:cs="Times New Roman"/>
                <w:sz w:val="21"/>
              </w:rPr>
              <w:t>7.</w:t>
            </w:r>
            <w:r>
              <w:rPr>
                <w:rFonts w:ascii="Times New Roman" w:hAnsi="宋体" w:cs="Times New Roman" w:hint="eastAsia"/>
                <w:sz w:val="21"/>
              </w:rPr>
              <w:t>0</w:t>
            </w:r>
          </w:p>
        </w:tc>
        <w:tc>
          <w:tcPr>
            <w:tcW w:w="653"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hAnsi="宋体" w:cs="Times New Roman" w:hint="eastAsia"/>
                <w:sz w:val="21"/>
              </w:rPr>
              <w:t>1.17</w:t>
            </w:r>
          </w:p>
        </w:tc>
        <w:tc>
          <w:tcPr>
            <w:tcW w:w="525"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14.8</w:t>
            </w:r>
          </w:p>
        </w:tc>
        <w:tc>
          <w:tcPr>
            <w:tcW w:w="653"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kern w:val="2"/>
                <w:sz w:val="21"/>
                <w:szCs w:val="21"/>
              </w:rPr>
              <w:t>55.0</w:t>
            </w:r>
          </w:p>
        </w:tc>
        <w:tc>
          <w:tcPr>
            <w:tcW w:w="656"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kern w:val="2"/>
                <w:sz w:val="21"/>
                <w:szCs w:val="21"/>
              </w:rPr>
              <w:t>12.1</w:t>
            </w:r>
          </w:p>
        </w:tc>
        <w:tc>
          <w:tcPr>
            <w:tcW w:w="653"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3.71</w:t>
            </w:r>
          </w:p>
        </w:tc>
        <w:tc>
          <w:tcPr>
            <w:tcW w:w="656"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20.6</w:t>
            </w:r>
          </w:p>
        </w:tc>
        <w:tc>
          <w:tcPr>
            <w:tcW w:w="656"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232</w:t>
            </w:r>
          </w:p>
        </w:tc>
        <w:tc>
          <w:tcPr>
            <w:tcW w:w="539"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452</w:t>
            </w:r>
          </w:p>
        </w:tc>
        <w:tc>
          <w:tcPr>
            <w:tcW w:w="1214" w:type="dxa"/>
            <w:tcBorders>
              <w:top w:val="single" w:sz="4" w:space="0" w:color="auto"/>
              <w:left w:val="single" w:sz="4" w:space="0" w:color="auto"/>
              <w:bottom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hAnsi="宋体" w:cs="Times New Roman"/>
                <w:sz w:val="21"/>
              </w:rPr>
              <w:t>HCO</w:t>
            </w:r>
            <w:r>
              <w:rPr>
                <w:rFonts w:ascii="Times New Roman" w:hAnsi="宋体" w:cs="Times New Roman"/>
                <w:sz w:val="21"/>
                <w:vertAlign w:val="subscript"/>
              </w:rPr>
              <w:t>3</w:t>
            </w:r>
            <w:r>
              <w:rPr>
                <w:rFonts w:ascii="Times New Roman" w:hAnsi="宋体" w:cs="Times New Roman"/>
                <w:sz w:val="21"/>
              </w:rPr>
              <w:t>-Mg-Ca</w:t>
            </w:r>
          </w:p>
        </w:tc>
      </w:tr>
      <w:tr w:rsidR="00BD5820">
        <w:trPr>
          <w:trHeight w:val="300"/>
          <w:jc w:val="center"/>
        </w:trPr>
        <w:tc>
          <w:tcPr>
            <w:tcW w:w="816" w:type="dxa"/>
            <w:tcBorders>
              <w:top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hAnsi="宋体" w:cs="Times New Roman" w:hint="eastAsia"/>
                <w:sz w:val="21"/>
              </w:rPr>
              <w:t>JC</w:t>
            </w:r>
            <w:r>
              <w:rPr>
                <w:rFonts w:ascii="Times New Roman" w:hAnsi="宋体" w:cs="Times New Roman"/>
                <w:sz w:val="21"/>
              </w:rPr>
              <w:t>2</w:t>
            </w:r>
          </w:p>
        </w:tc>
        <w:tc>
          <w:tcPr>
            <w:tcW w:w="990"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hAnsi="宋体" w:cs="Times New Roman" w:hint="eastAsia"/>
                <w:kern w:val="2"/>
                <w:sz w:val="21"/>
              </w:rPr>
              <w:t>井水</w:t>
            </w:r>
          </w:p>
        </w:tc>
        <w:tc>
          <w:tcPr>
            <w:tcW w:w="511"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hAnsi="宋体" w:cs="Times New Roman"/>
                <w:sz w:val="21"/>
              </w:rPr>
              <w:t>7.</w:t>
            </w:r>
            <w:r>
              <w:rPr>
                <w:rFonts w:ascii="Times New Roman" w:hAnsi="宋体" w:cs="Times New Roman" w:hint="eastAsia"/>
                <w:sz w:val="21"/>
              </w:rPr>
              <w:t>1</w:t>
            </w:r>
          </w:p>
        </w:tc>
        <w:tc>
          <w:tcPr>
            <w:tcW w:w="653"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3.22</w:t>
            </w:r>
          </w:p>
        </w:tc>
        <w:tc>
          <w:tcPr>
            <w:tcW w:w="525"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22.0</w:t>
            </w:r>
          </w:p>
        </w:tc>
        <w:tc>
          <w:tcPr>
            <w:tcW w:w="653"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69.6</w:t>
            </w:r>
          </w:p>
        </w:tc>
        <w:tc>
          <w:tcPr>
            <w:tcW w:w="656"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16.3</w:t>
            </w:r>
          </w:p>
        </w:tc>
        <w:tc>
          <w:tcPr>
            <w:tcW w:w="653"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23.1</w:t>
            </w:r>
          </w:p>
        </w:tc>
        <w:tc>
          <w:tcPr>
            <w:tcW w:w="656"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hAnsi="宋体" w:cs="Times New Roman" w:hint="eastAsia"/>
                <w:sz w:val="21"/>
              </w:rPr>
              <w:t>39.3</w:t>
            </w:r>
          </w:p>
        </w:tc>
        <w:tc>
          <w:tcPr>
            <w:tcW w:w="656"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307</w:t>
            </w:r>
          </w:p>
        </w:tc>
        <w:tc>
          <w:tcPr>
            <w:tcW w:w="539"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618</w:t>
            </w:r>
          </w:p>
        </w:tc>
        <w:tc>
          <w:tcPr>
            <w:tcW w:w="1214" w:type="dxa"/>
            <w:tcBorders>
              <w:top w:val="single" w:sz="4" w:space="0" w:color="auto"/>
              <w:left w:val="single" w:sz="4" w:space="0" w:color="auto"/>
              <w:bottom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hAnsi="宋体" w:cs="Times New Roman"/>
                <w:sz w:val="21"/>
              </w:rPr>
              <w:t>HCO</w:t>
            </w:r>
            <w:r>
              <w:rPr>
                <w:rFonts w:ascii="Times New Roman" w:hAnsi="宋体" w:cs="Times New Roman"/>
                <w:sz w:val="21"/>
                <w:vertAlign w:val="subscript"/>
              </w:rPr>
              <w:t>3</w:t>
            </w:r>
            <w:r>
              <w:rPr>
                <w:rFonts w:ascii="Times New Roman" w:hAnsi="宋体" w:cs="Times New Roman"/>
                <w:sz w:val="21"/>
              </w:rPr>
              <w:t>-Mg-Ca</w:t>
            </w:r>
          </w:p>
        </w:tc>
      </w:tr>
      <w:tr w:rsidR="00BD5820">
        <w:trPr>
          <w:trHeight w:val="300"/>
          <w:jc w:val="center"/>
        </w:trPr>
        <w:tc>
          <w:tcPr>
            <w:tcW w:w="816" w:type="dxa"/>
            <w:tcBorders>
              <w:top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hAnsi="宋体" w:cs="Times New Roman" w:hint="eastAsia"/>
                <w:sz w:val="21"/>
              </w:rPr>
              <w:t>JC</w:t>
            </w:r>
            <w:r>
              <w:rPr>
                <w:rFonts w:ascii="Times New Roman" w:hAnsi="宋体" w:cs="Times New Roman"/>
                <w:sz w:val="21"/>
              </w:rPr>
              <w:t>3</w:t>
            </w:r>
          </w:p>
        </w:tc>
        <w:tc>
          <w:tcPr>
            <w:tcW w:w="990"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hAnsi="宋体" w:cs="Times New Roman" w:hint="eastAsia"/>
                <w:kern w:val="2"/>
                <w:sz w:val="21"/>
              </w:rPr>
              <w:t>井水</w:t>
            </w:r>
          </w:p>
        </w:tc>
        <w:tc>
          <w:tcPr>
            <w:tcW w:w="511"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hAnsi="宋体" w:cs="Times New Roman"/>
                <w:sz w:val="21"/>
              </w:rPr>
              <w:t>7.</w:t>
            </w:r>
            <w:r>
              <w:rPr>
                <w:rFonts w:ascii="Times New Roman" w:hAnsi="宋体" w:cs="Times New Roman" w:hint="eastAsia"/>
                <w:sz w:val="21"/>
              </w:rPr>
              <w:t>1</w:t>
            </w:r>
          </w:p>
        </w:tc>
        <w:tc>
          <w:tcPr>
            <w:tcW w:w="653"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2.00</w:t>
            </w:r>
          </w:p>
        </w:tc>
        <w:tc>
          <w:tcPr>
            <w:tcW w:w="525"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16.7</w:t>
            </w:r>
          </w:p>
        </w:tc>
        <w:tc>
          <w:tcPr>
            <w:tcW w:w="653"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58.6</w:t>
            </w:r>
          </w:p>
        </w:tc>
        <w:tc>
          <w:tcPr>
            <w:tcW w:w="656"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kern w:val="2"/>
                <w:sz w:val="21"/>
                <w:szCs w:val="21"/>
              </w:rPr>
              <w:t>15.2</w:t>
            </w:r>
          </w:p>
        </w:tc>
        <w:tc>
          <w:tcPr>
            <w:tcW w:w="653"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14.2</w:t>
            </w:r>
          </w:p>
        </w:tc>
        <w:tc>
          <w:tcPr>
            <w:tcW w:w="656"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12.3</w:t>
            </w:r>
          </w:p>
        </w:tc>
        <w:tc>
          <w:tcPr>
            <w:tcW w:w="656"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280</w:t>
            </w:r>
          </w:p>
        </w:tc>
        <w:tc>
          <w:tcPr>
            <w:tcW w:w="539"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kern w:val="2"/>
                <w:sz w:val="21"/>
                <w:szCs w:val="21"/>
              </w:rPr>
              <w:t>485</w:t>
            </w:r>
          </w:p>
        </w:tc>
        <w:tc>
          <w:tcPr>
            <w:tcW w:w="1214" w:type="dxa"/>
            <w:tcBorders>
              <w:top w:val="single" w:sz="4" w:space="0" w:color="auto"/>
              <w:left w:val="single" w:sz="4" w:space="0" w:color="auto"/>
              <w:bottom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hAnsi="宋体" w:cs="Times New Roman"/>
                <w:sz w:val="21"/>
              </w:rPr>
              <w:t>HCO</w:t>
            </w:r>
            <w:r>
              <w:rPr>
                <w:rFonts w:ascii="Times New Roman" w:hAnsi="宋体" w:cs="Times New Roman"/>
                <w:sz w:val="21"/>
                <w:vertAlign w:val="subscript"/>
              </w:rPr>
              <w:t>3</w:t>
            </w:r>
            <w:r>
              <w:rPr>
                <w:rFonts w:ascii="Times New Roman" w:hAnsi="宋体" w:cs="Times New Roman"/>
                <w:sz w:val="21"/>
              </w:rPr>
              <w:t>-Mg-Ca</w:t>
            </w:r>
          </w:p>
        </w:tc>
      </w:tr>
      <w:tr w:rsidR="00BD5820">
        <w:trPr>
          <w:trHeight w:val="300"/>
          <w:jc w:val="center"/>
        </w:trPr>
        <w:tc>
          <w:tcPr>
            <w:tcW w:w="816" w:type="dxa"/>
            <w:tcBorders>
              <w:top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hAnsi="宋体" w:cs="Times New Roman" w:hint="eastAsia"/>
                <w:sz w:val="21"/>
              </w:rPr>
              <w:t>JC</w:t>
            </w:r>
            <w:r>
              <w:rPr>
                <w:rFonts w:ascii="Times New Roman" w:hAnsi="宋体" w:cs="Times New Roman"/>
                <w:sz w:val="21"/>
              </w:rPr>
              <w:t>4</w:t>
            </w:r>
          </w:p>
        </w:tc>
        <w:tc>
          <w:tcPr>
            <w:tcW w:w="990"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hAnsi="宋体" w:cs="Times New Roman" w:hint="eastAsia"/>
                <w:kern w:val="2"/>
                <w:sz w:val="21"/>
              </w:rPr>
              <w:t>井水</w:t>
            </w:r>
          </w:p>
        </w:tc>
        <w:tc>
          <w:tcPr>
            <w:tcW w:w="511"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hAnsi="宋体" w:cs="Times New Roman"/>
                <w:sz w:val="21"/>
              </w:rPr>
              <w:t>7.</w:t>
            </w:r>
            <w:r>
              <w:rPr>
                <w:rFonts w:ascii="Times New Roman" w:hAnsi="宋体" w:cs="Times New Roman" w:hint="eastAsia"/>
                <w:sz w:val="21"/>
              </w:rPr>
              <w:t>4</w:t>
            </w:r>
          </w:p>
        </w:tc>
        <w:tc>
          <w:tcPr>
            <w:tcW w:w="653"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1.66</w:t>
            </w:r>
          </w:p>
        </w:tc>
        <w:tc>
          <w:tcPr>
            <w:tcW w:w="525"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4.22</w:t>
            </w:r>
          </w:p>
        </w:tc>
        <w:tc>
          <w:tcPr>
            <w:tcW w:w="653"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17.3</w:t>
            </w:r>
          </w:p>
        </w:tc>
        <w:tc>
          <w:tcPr>
            <w:tcW w:w="656"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2.86</w:t>
            </w:r>
          </w:p>
        </w:tc>
        <w:tc>
          <w:tcPr>
            <w:tcW w:w="653"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0.903</w:t>
            </w:r>
          </w:p>
        </w:tc>
        <w:tc>
          <w:tcPr>
            <w:tcW w:w="656"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11.7</w:t>
            </w:r>
          </w:p>
        </w:tc>
        <w:tc>
          <w:tcPr>
            <w:tcW w:w="656"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70</w:t>
            </w:r>
          </w:p>
        </w:tc>
        <w:tc>
          <w:tcPr>
            <w:tcW w:w="539" w:type="dxa"/>
            <w:tcBorders>
              <w:top w:val="single" w:sz="4" w:space="0" w:color="auto"/>
              <w:left w:val="single" w:sz="4" w:space="0" w:color="auto"/>
              <w:bottom w:val="single" w:sz="4"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137</w:t>
            </w:r>
          </w:p>
        </w:tc>
        <w:tc>
          <w:tcPr>
            <w:tcW w:w="1214" w:type="dxa"/>
            <w:tcBorders>
              <w:top w:val="single" w:sz="4" w:space="0" w:color="auto"/>
              <w:left w:val="single" w:sz="4" w:space="0" w:color="auto"/>
              <w:bottom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hAnsi="宋体" w:cs="Times New Roman"/>
                <w:sz w:val="21"/>
              </w:rPr>
              <w:t>HCO</w:t>
            </w:r>
            <w:r>
              <w:rPr>
                <w:rFonts w:ascii="Times New Roman" w:hAnsi="宋体" w:cs="Times New Roman"/>
                <w:sz w:val="21"/>
                <w:vertAlign w:val="subscript"/>
              </w:rPr>
              <w:t>3</w:t>
            </w:r>
            <w:r>
              <w:rPr>
                <w:rFonts w:ascii="Times New Roman" w:hAnsi="宋体" w:cs="Times New Roman"/>
                <w:sz w:val="21"/>
              </w:rPr>
              <w:t>-Mg-Ca</w:t>
            </w:r>
          </w:p>
        </w:tc>
      </w:tr>
      <w:tr w:rsidR="00BD5820">
        <w:trPr>
          <w:trHeight w:val="300"/>
          <w:jc w:val="center"/>
        </w:trPr>
        <w:tc>
          <w:tcPr>
            <w:tcW w:w="816" w:type="dxa"/>
            <w:tcBorders>
              <w:top w:val="single" w:sz="4" w:space="0" w:color="auto"/>
              <w:bottom w:val="single" w:sz="12"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hAnsi="宋体" w:cs="Times New Roman" w:hint="eastAsia"/>
                <w:sz w:val="21"/>
              </w:rPr>
              <w:t>JC</w:t>
            </w:r>
            <w:r>
              <w:rPr>
                <w:rFonts w:ascii="Times New Roman" w:hAnsi="宋体" w:cs="Times New Roman"/>
                <w:sz w:val="21"/>
              </w:rPr>
              <w:t>5</w:t>
            </w:r>
          </w:p>
        </w:tc>
        <w:tc>
          <w:tcPr>
            <w:tcW w:w="990" w:type="dxa"/>
            <w:tcBorders>
              <w:top w:val="single" w:sz="4" w:space="0" w:color="auto"/>
              <w:left w:val="single" w:sz="4" w:space="0" w:color="auto"/>
              <w:bottom w:val="single" w:sz="12"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hAnsi="宋体" w:cs="Times New Roman" w:hint="eastAsia"/>
                <w:kern w:val="2"/>
                <w:sz w:val="21"/>
              </w:rPr>
              <w:t>井水</w:t>
            </w:r>
          </w:p>
        </w:tc>
        <w:tc>
          <w:tcPr>
            <w:tcW w:w="511" w:type="dxa"/>
            <w:tcBorders>
              <w:top w:val="single" w:sz="4" w:space="0" w:color="auto"/>
              <w:left w:val="single" w:sz="4" w:space="0" w:color="auto"/>
              <w:bottom w:val="single" w:sz="12"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hAnsi="宋体" w:cs="Times New Roman"/>
                <w:sz w:val="21"/>
              </w:rPr>
              <w:t>7.</w:t>
            </w:r>
            <w:r>
              <w:rPr>
                <w:rFonts w:ascii="Times New Roman" w:hAnsi="宋体" w:cs="Times New Roman" w:hint="eastAsia"/>
                <w:sz w:val="21"/>
              </w:rPr>
              <w:t>4</w:t>
            </w:r>
          </w:p>
        </w:tc>
        <w:tc>
          <w:tcPr>
            <w:tcW w:w="653" w:type="dxa"/>
            <w:tcBorders>
              <w:top w:val="single" w:sz="4" w:space="0" w:color="auto"/>
              <w:left w:val="single" w:sz="4" w:space="0" w:color="auto"/>
              <w:bottom w:val="single" w:sz="12"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1.80</w:t>
            </w:r>
          </w:p>
        </w:tc>
        <w:tc>
          <w:tcPr>
            <w:tcW w:w="525" w:type="dxa"/>
            <w:tcBorders>
              <w:top w:val="single" w:sz="4" w:space="0" w:color="auto"/>
              <w:left w:val="single" w:sz="4" w:space="0" w:color="auto"/>
              <w:bottom w:val="single" w:sz="12"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hAnsi="宋体" w:cs="Times New Roman" w:hint="eastAsia"/>
                <w:sz w:val="21"/>
              </w:rPr>
              <w:t>4.58</w:t>
            </w:r>
          </w:p>
        </w:tc>
        <w:tc>
          <w:tcPr>
            <w:tcW w:w="653" w:type="dxa"/>
            <w:tcBorders>
              <w:top w:val="single" w:sz="4" w:space="0" w:color="auto"/>
              <w:left w:val="single" w:sz="4" w:space="0" w:color="auto"/>
              <w:bottom w:val="single" w:sz="12"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16.3</w:t>
            </w:r>
          </w:p>
        </w:tc>
        <w:tc>
          <w:tcPr>
            <w:tcW w:w="656" w:type="dxa"/>
            <w:tcBorders>
              <w:top w:val="single" w:sz="4" w:space="0" w:color="auto"/>
              <w:left w:val="single" w:sz="4" w:space="0" w:color="auto"/>
              <w:bottom w:val="single" w:sz="12"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2.58</w:t>
            </w:r>
          </w:p>
        </w:tc>
        <w:tc>
          <w:tcPr>
            <w:tcW w:w="653" w:type="dxa"/>
            <w:tcBorders>
              <w:top w:val="single" w:sz="4" w:space="0" w:color="auto"/>
              <w:left w:val="single" w:sz="4" w:space="0" w:color="auto"/>
              <w:bottom w:val="single" w:sz="12"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0.877</w:t>
            </w:r>
          </w:p>
        </w:tc>
        <w:tc>
          <w:tcPr>
            <w:tcW w:w="656" w:type="dxa"/>
            <w:tcBorders>
              <w:top w:val="single" w:sz="4" w:space="0" w:color="auto"/>
              <w:left w:val="single" w:sz="4" w:space="0" w:color="auto"/>
              <w:bottom w:val="single" w:sz="12"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11.8</w:t>
            </w:r>
          </w:p>
        </w:tc>
        <w:tc>
          <w:tcPr>
            <w:tcW w:w="656" w:type="dxa"/>
            <w:tcBorders>
              <w:top w:val="single" w:sz="4" w:space="0" w:color="auto"/>
              <w:left w:val="single" w:sz="4" w:space="0" w:color="auto"/>
              <w:bottom w:val="single" w:sz="12"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69</w:t>
            </w:r>
          </w:p>
        </w:tc>
        <w:tc>
          <w:tcPr>
            <w:tcW w:w="539" w:type="dxa"/>
            <w:tcBorders>
              <w:top w:val="single" w:sz="4" w:space="0" w:color="auto"/>
              <w:left w:val="single" w:sz="4" w:space="0" w:color="auto"/>
              <w:bottom w:val="single" w:sz="12" w:space="0" w:color="auto"/>
              <w:right w:val="single" w:sz="4"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cs="Times New Roman" w:hint="eastAsia"/>
                <w:bCs/>
                <w:kern w:val="2"/>
                <w:sz w:val="21"/>
                <w:szCs w:val="21"/>
              </w:rPr>
              <w:t>138</w:t>
            </w:r>
          </w:p>
        </w:tc>
        <w:tc>
          <w:tcPr>
            <w:tcW w:w="1214" w:type="dxa"/>
            <w:tcBorders>
              <w:top w:val="single" w:sz="4" w:space="0" w:color="auto"/>
              <w:left w:val="single" w:sz="4" w:space="0" w:color="auto"/>
              <w:bottom w:val="single" w:sz="12" w:space="0" w:color="auto"/>
            </w:tcBorders>
            <w:vAlign w:val="center"/>
          </w:tcPr>
          <w:p w:rsidR="00BD5820" w:rsidRDefault="00F64314">
            <w:pPr>
              <w:widowControl/>
              <w:topLinePunct w:val="0"/>
              <w:adjustRightInd/>
              <w:spacing w:line="240" w:lineRule="auto"/>
              <w:ind w:leftChars="-50" w:left="-120" w:rightChars="-50" w:right="-120" w:firstLineChars="0" w:firstLine="0"/>
              <w:jc w:val="center"/>
              <w:rPr>
                <w:rFonts w:ascii="Times New Roman" w:hAnsi="宋体" w:cs="Times New Roman"/>
                <w:sz w:val="21"/>
              </w:rPr>
            </w:pPr>
            <w:r>
              <w:rPr>
                <w:rFonts w:ascii="Times New Roman" w:hAnsi="宋体" w:cs="Times New Roman"/>
                <w:sz w:val="21"/>
              </w:rPr>
              <w:t>HCO</w:t>
            </w:r>
            <w:r>
              <w:rPr>
                <w:rFonts w:ascii="Times New Roman" w:hAnsi="宋体" w:cs="Times New Roman"/>
                <w:sz w:val="21"/>
                <w:vertAlign w:val="subscript"/>
              </w:rPr>
              <w:t>3</w:t>
            </w:r>
            <w:r>
              <w:rPr>
                <w:rFonts w:ascii="Times New Roman" w:hAnsi="宋体" w:cs="Times New Roman"/>
                <w:sz w:val="21"/>
              </w:rPr>
              <w:t>-Mg-Ca</w:t>
            </w:r>
          </w:p>
        </w:tc>
      </w:tr>
    </w:tbl>
    <w:p w:rsidR="00BD5820" w:rsidRDefault="00F64314" w:rsidP="00C74272">
      <w:pPr>
        <w:ind w:firstLine="480"/>
        <w:rPr>
          <w:rFonts w:ascii="Times New Roman" w:cs="Times New Roman"/>
        </w:rPr>
      </w:pPr>
      <w:r>
        <w:rPr>
          <w:rFonts w:ascii="Times New Roman" w:cs="Times New Roman"/>
        </w:rPr>
        <w:t>根据各水样水化学宏量组分监测结果（表</w:t>
      </w:r>
      <w:r>
        <w:rPr>
          <w:rFonts w:ascii="Times New Roman" w:cs="Times New Roman"/>
        </w:rPr>
        <w:t>5.5-2</w:t>
      </w:r>
      <w:r>
        <w:rPr>
          <w:rFonts w:ascii="Times New Roman" w:cs="Times New Roman"/>
        </w:rPr>
        <w:t>），普光气田</w:t>
      </w:r>
      <w:r>
        <w:rPr>
          <w:rFonts w:ascii="Times New Roman" w:cs="Times New Roman" w:hint="eastAsia"/>
        </w:rPr>
        <w:t>2</w:t>
      </w:r>
      <w:r>
        <w:rPr>
          <w:rFonts w:ascii="Times New Roman" w:cs="Times New Roman"/>
        </w:rPr>
        <w:t>#</w:t>
      </w:r>
      <w:r>
        <w:rPr>
          <w:rFonts w:ascii="Times New Roman" w:cs="Times New Roman"/>
        </w:rPr>
        <w:t>增压站</w:t>
      </w:r>
      <w:r>
        <w:rPr>
          <w:rFonts w:ascii="Times New Roman" w:cs="Times New Roman" w:hint="eastAsia"/>
        </w:rPr>
        <w:t>所在地</w:t>
      </w:r>
      <w:r>
        <w:rPr>
          <w:rFonts w:ascii="Times New Roman" w:cs="Times New Roman"/>
        </w:rPr>
        <w:t>地下水矿化度</w:t>
      </w:r>
      <w:r>
        <w:rPr>
          <w:rFonts w:ascii="Times New Roman" w:cs="Times New Roman"/>
        </w:rPr>
        <w:t>≤1g/L</w:t>
      </w:r>
      <w:r>
        <w:rPr>
          <w:rFonts w:ascii="Times New Roman" w:cs="Times New Roman"/>
        </w:rPr>
        <w:t>，总硬度</w:t>
      </w:r>
      <w:r>
        <w:rPr>
          <w:rFonts w:ascii="Times New Roman" w:cs="Times New Roman" w:hint="eastAsia"/>
        </w:rPr>
        <w:t>68</w:t>
      </w:r>
      <w:r>
        <w:rPr>
          <w:rFonts w:ascii="Times New Roman" w:cs="Times New Roman"/>
        </w:rPr>
        <w:t>～</w:t>
      </w:r>
      <w:r>
        <w:rPr>
          <w:rFonts w:ascii="Times New Roman" w:cs="Times New Roman" w:hint="eastAsia"/>
        </w:rPr>
        <w:t>28</w:t>
      </w:r>
      <w:r>
        <w:rPr>
          <w:rFonts w:ascii="Times New Roman" w:cs="Times New Roman"/>
        </w:rPr>
        <w:t>6mg/L</w:t>
      </w:r>
      <w:r>
        <w:rPr>
          <w:rFonts w:ascii="Times New Roman" w:cs="Times New Roman"/>
        </w:rPr>
        <w:t>，属于极软～中硬的低矿化度淡水，</w:t>
      </w:r>
      <w:r>
        <w:rPr>
          <w:rFonts w:ascii="Times New Roman" w:cs="Times New Roman"/>
        </w:rPr>
        <w:t>pH</w:t>
      </w:r>
      <w:r>
        <w:rPr>
          <w:rFonts w:ascii="Times New Roman" w:cs="Times New Roman"/>
        </w:rPr>
        <w:t>介于</w:t>
      </w:r>
      <w:r>
        <w:rPr>
          <w:rFonts w:ascii="Times New Roman" w:cs="Times New Roman"/>
        </w:rPr>
        <w:t>7.</w:t>
      </w:r>
      <w:r>
        <w:rPr>
          <w:rFonts w:ascii="Times New Roman" w:cs="Times New Roman" w:hint="eastAsia"/>
        </w:rPr>
        <w:t>0</w:t>
      </w:r>
      <w:r>
        <w:rPr>
          <w:rFonts w:ascii="Times New Roman" w:cs="Times New Roman"/>
        </w:rPr>
        <w:t>～</w:t>
      </w:r>
      <w:r>
        <w:rPr>
          <w:rFonts w:ascii="Times New Roman" w:cs="Times New Roman"/>
        </w:rPr>
        <w:t>7.</w:t>
      </w:r>
      <w:r>
        <w:rPr>
          <w:rFonts w:ascii="Times New Roman" w:cs="Times New Roman" w:hint="eastAsia"/>
        </w:rPr>
        <w:t>4</w:t>
      </w:r>
      <w:r>
        <w:rPr>
          <w:rFonts w:ascii="Times New Roman" w:cs="Times New Roman"/>
        </w:rPr>
        <w:t>，呈弱碱性。地下水主要阳离子为</w:t>
      </w:r>
      <w:r>
        <w:rPr>
          <w:rFonts w:ascii="Times New Roman" w:cs="Times New Roman"/>
        </w:rPr>
        <w:t>Na</w:t>
      </w:r>
      <w:r>
        <w:rPr>
          <w:rFonts w:ascii="Times New Roman" w:cs="Times New Roman"/>
          <w:vertAlign w:val="superscript"/>
        </w:rPr>
        <w:t>+</w:t>
      </w:r>
      <w:r>
        <w:rPr>
          <w:rFonts w:ascii="Times New Roman" w:cs="Times New Roman"/>
        </w:rPr>
        <w:t>、</w:t>
      </w:r>
      <w:r>
        <w:rPr>
          <w:rFonts w:ascii="Times New Roman" w:cs="Times New Roman"/>
        </w:rPr>
        <w:t>Ca</w:t>
      </w:r>
      <w:r>
        <w:rPr>
          <w:rFonts w:ascii="Times New Roman" w:cs="Times New Roman"/>
          <w:vertAlign w:val="superscript"/>
        </w:rPr>
        <w:t>2+</w:t>
      </w:r>
      <w:r>
        <w:rPr>
          <w:rFonts w:ascii="Times New Roman" w:cs="Times New Roman"/>
        </w:rPr>
        <w:t>和</w:t>
      </w:r>
      <w:r>
        <w:rPr>
          <w:rFonts w:ascii="Times New Roman" w:cs="Times New Roman"/>
        </w:rPr>
        <w:t>Mg</w:t>
      </w:r>
      <w:r>
        <w:rPr>
          <w:rFonts w:ascii="Times New Roman" w:cs="Times New Roman"/>
          <w:vertAlign w:val="superscript"/>
        </w:rPr>
        <w:t>2+</w:t>
      </w:r>
      <w:r>
        <w:rPr>
          <w:rFonts w:ascii="Times New Roman" w:cs="Times New Roman"/>
        </w:rPr>
        <w:t>，主要阴离子为</w:t>
      </w:r>
      <w:r>
        <w:rPr>
          <w:rFonts w:ascii="Times New Roman" w:cs="Times New Roman"/>
        </w:rPr>
        <w:t>HCO</w:t>
      </w:r>
      <w:r>
        <w:rPr>
          <w:rFonts w:ascii="Times New Roman" w:cs="Times New Roman"/>
          <w:vertAlign w:val="subscript"/>
        </w:rPr>
        <w:t>3</w:t>
      </w:r>
      <w:r>
        <w:rPr>
          <w:rFonts w:ascii="Times New Roman" w:cs="Times New Roman"/>
          <w:vertAlign w:val="superscript"/>
        </w:rPr>
        <w:t>-</w:t>
      </w:r>
      <w:r>
        <w:rPr>
          <w:rFonts w:ascii="Times New Roman" w:cs="Times New Roman"/>
        </w:rPr>
        <w:t>，水化学类型以</w:t>
      </w:r>
      <w:r>
        <w:rPr>
          <w:rFonts w:ascii="Times New Roman" w:cs="Times New Roman"/>
        </w:rPr>
        <w:t>HCO</w:t>
      </w:r>
      <w:r>
        <w:rPr>
          <w:rFonts w:ascii="Times New Roman" w:cs="Times New Roman"/>
          <w:vertAlign w:val="subscript"/>
        </w:rPr>
        <w:t>3</w:t>
      </w:r>
      <w:r>
        <w:rPr>
          <w:rFonts w:ascii="Times New Roman" w:cs="Times New Roman"/>
        </w:rPr>
        <w:t>-Mg-Ca</w:t>
      </w:r>
      <w:r>
        <w:rPr>
          <w:rFonts w:ascii="Times New Roman" w:cs="Times New Roman"/>
        </w:rPr>
        <w:t>为主。</w:t>
      </w:r>
    </w:p>
    <w:p w:rsidR="00BD5820" w:rsidRDefault="00F64314">
      <w:pPr>
        <w:pStyle w:val="10"/>
        <w:rPr>
          <w:rFonts w:cs="Times New Roman"/>
        </w:rPr>
      </w:pPr>
      <w:r>
        <w:rPr>
          <w:rFonts w:cs="Times New Roman"/>
        </w:rPr>
        <w:t>表</w:t>
      </w:r>
      <w:r>
        <w:rPr>
          <w:rFonts w:cs="Times New Roman"/>
        </w:rPr>
        <w:t>5.5-</w:t>
      </w:r>
      <w:r>
        <w:rPr>
          <w:rFonts w:cs="Times New Roman" w:hint="eastAsia"/>
        </w:rPr>
        <w:t>3</w:t>
      </w:r>
      <w:r>
        <w:rPr>
          <w:rFonts w:cs="Times New Roman"/>
        </w:rPr>
        <w:t xml:space="preserve">  </w:t>
      </w:r>
      <w:r>
        <w:rPr>
          <w:rFonts w:cs="Times New Roman" w:hint="eastAsia"/>
          <w:szCs w:val="21"/>
        </w:rPr>
        <w:t>普</w:t>
      </w:r>
      <w:r>
        <w:rPr>
          <w:rFonts w:cs="Times New Roman" w:hint="eastAsia"/>
        </w:rPr>
        <w:t>光气田</w:t>
      </w:r>
      <w:r>
        <w:rPr>
          <w:rFonts w:cs="Times New Roman" w:hint="eastAsia"/>
        </w:rPr>
        <w:t>1#</w:t>
      </w:r>
      <w:r>
        <w:rPr>
          <w:rFonts w:cs="Times New Roman" w:hint="eastAsia"/>
        </w:rPr>
        <w:t>增压站所在地</w:t>
      </w:r>
      <w:r>
        <w:rPr>
          <w:rFonts w:cs="Times New Roman"/>
        </w:rPr>
        <w:t>地下水环境质量现状监测结果</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2362"/>
        <w:gridCol w:w="1142"/>
        <w:gridCol w:w="749"/>
        <w:gridCol w:w="748"/>
        <w:gridCol w:w="953"/>
        <w:gridCol w:w="748"/>
        <w:gridCol w:w="953"/>
        <w:gridCol w:w="867"/>
      </w:tblGrid>
      <w:tr w:rsidR="00BD5820">
        <w:trPr>
          <w:trHeight w:val="300"/>
          <w:jc w:val="center"/>
        </w:trPr>
        <w:tc>
          <w:tcPr>
            <w:tcW w:w="2362" w:type="dxa"/>
            <w:vMerge w:val="restart"/>
            <w:vAlign w:val="center"/>
          </w:tcPr>
          <w:p w:rsidR="00BD5820" w:rsidRDefault="00F64314">
            <w:pPr>
              <w:widowControl/>
              <w:topLinePunct w:val="0"/>
              <w:adjustRightInd/>
              <w:spacing w:line="240" w:lineRule="auto"/>
              <w:ind w:firstLineChars="0" w:firstLine="0"/>
              <w:jc w:val="center"/>
              <w:rPr>
                <w:rFonts w:ascii="Times New Roman" w:hAnsi="宋体" w:cs="Times New Roman"/>
                <w:b/>
                <w:sz w:val="21"/>
              </w:rPr>
            </w:pPr>
            <w:r>
              <w:rPr>
                <w:rFonts w:ascii="Times New Roman" w:hAnsi="宋体" w:cs="Times New Roman"/>
                <w:b/>
                <w:sz w:val="21"/>
              </w:rPr>
              <w:t>项目</w:t>
            </w:r>
          </w:p>
        </w:tc>
        <w:tc>
          <w:tcPr>
            <w:tcW w:w="1142" w:type="dxa"/>
            <w:vMerge w:val="restart"/>
            <w:vAlign w:val="center"/>
          </w:tcPr>
          <w:p w:rsidR="00BD5820" w:rsidRDefault="00F64314">
            <w:pPr>
              <w:widowControl/>
              <w:topLinePunct w:val="0"/>
              <w:adjustRightInd/>
              <w:spacing w:line="240" w:lineRule="auto"/>
              <w:ind w:firstLineChars="0" w:firstLine="0"/>
              <w:jc w:val="center"/>
              <w:rPr>
                <w:rFonts w:ascii="Times New Roman" w:hAnsi="宋体" w:cs="Times New Roman"/>
                <w:b/>
                <w:sz w:val="21"/>
              </w:rPr>
            </w:pPr>
            <w:r>
              <w:rPr>
                <w:rFonts w:ascii="Times New Roman" w:hAnsi="宋体" w:cs="Times New Roman"/>
                <w:b/>
                <w:sz w:val="21"/>
              </w:rPr>
              <w:t>单位</w:t>
            </w:r>
          </w:p>
        </w:tc>
        <w:tc>
          <w:tcPr>
            <w:tcW w:w="4151" w:type="dxa"/>
            <w:gridSpan w:val="5"/>
          </w:tcPr>
          <w:p w:rsidR="00BD5820" w:rsidRDefault="00F64314">
            <w:pPr>
              <w:widowControl/>
              <w:topLinePunct w:val="0"/>
              <w:adjustRightInd/>
              <w:spacing w:line="240" w:lineRule="auto"/>
              <w:ind w:firstLineChars="0" w:firstLine="0"/>
              <w:jc w:val="center"/>
              <w:rPr>
                <w:rFonts w:ascii="Times New Roman" w:hAnsi="宋体" w:cs="Times New Roman"/>
                <w:b/>
                <w:sz w:val="21"/>
              </w:rPr>
            </w:pPr>
            <w:r>
              <w:rPr>
                <w:rFonts w:ascii="Times New Roman" w:hAnsi="宋体" w:cs="Times New Roman"/>
                <w:b/>
                <w:sz w:val="21"/>
              </w:rPr>
              <w:t>监测值</w:t>
            </w:r>
          </w:p>
        </w:tc>
        <w:tc>
          <w:tcPr>
            <w:tcW w:w="867" w:type="dxa"/>
            <w:vMerge w:val="restart"/>
            <w:vAlign w:val="center"/>
          </w:tcPr>
          <w:p w:rsidR="00BD5820" w:rsidRDefault="00F64314">
            <w:pPr>
              <w:widowControl/>
              <w:topLinePunct w:val="0"/>
              <w:adjustRightInd/>
              <w:spacing w:line="240" w:lineRule="auto"/>
              <w:ind w:firstLineChars="0" w:firstLine="0"/>
              <w:jc w:val="center"/>
              <w:rPr>
                <w:rFonts w:ascii="Times New Roman" w:hAnsi="宋体" w:cs="Times New Roman"/>
                <w:b/>
                <w:sz w:val="21"/>
              </w:rPr>
            </w:pPr>
            <w:r>
              <w:rPr>
                <w:rFonts w:ascii="Times New Roman" w:hAnsi="宋体" w:cs="Times New Roman"/>
                <w:b/>
                <w:sz w:val="21"/>
              </w:rPr>
              <w:t>Ⅲ类</w:t>
            </w:r>
          </w:p>
        </w:tc>
      </w:tr>
      <w:tr w:rsidR="00BD5820">
        <w:trPr>
          <w:trHeight w:val="300"/>
          <w:jc w:val="center"/>
        </w:trPr>
        <w:tc>
          <w:tcPr>
            <w:tcW w:w="2362" w:type="dxa"/>
            <w:vMerge/>
            <w:vAlign w:val="center"/>
          </w:tcPr>
          <w:p w:rsidR="00BD5820" w:rsidRDefault="00BD5820">
            <w:pPr>
              <w:widowControl/>
              <w:topLinePunct w:val="0"/>
              <w:adjustRightInd/>
              <w:spacing w:line="240" w:lineRule="auto"/>
              <w:ind w:firstLineChars="0" w:firstLine="0"/>
              <w:jc w:val="left"/>
              <w:rPr>
                <w:rFonts w:ascii="Times New Roman" w:hAnsi="宋体" w:cs="Times New Roman"/>
                <w:b/>
                <w:sz w:val="21"/>
              </w:rPr>
            </w:pPr>
          </w:p>
        </w:tc>
        <w:tc>
          <w:tcPr>
            <w:tcW w:w="1142" w:type="dxa"/>
            <w:vMerge/>
            <w:vAlign w:val="center"/>
          </w:tcPr>
          <w:p w:rsidR="00BD5820" w:rsidRDefault="00BD5820">
            <w:pPr>
              <w:widowControl/>
              <w:topLinePunct w:val="0"/>
              <w:adjustRightInd/>
              <w:spacing w:line="240" w:lineRule="auto"/>
              <w:ind w:firstLineChars="0" w:firstLine="0"/>
              <w:jc w:val="left"/>
              <w:rPr>
                <w:rFonts w:ascii="Times New Roman" w:hAnsi="宋体" w:cs="Times New Roman"/>
                <w:b/>
                <w:sz w:val="21"/>
              </w:rPr>
            </w:pPr>
          </w:p>
        </w:tc>
        <w:tc>
          <w:tcPr>
            <w:tcW w:w="749" w:type="dxa"/>
            <w:vAlign w:val="center"/>
          </w:tcPr>
          <w:p w:rsidR="00BD5820" w:rsidRDefault="00F64314">
            <w:pPr>
              <w:widowControl/>
              <w:topLinePunct w:val="0"/>
              <w:adjustRightInd/>
              <w:spacing w:line="240" w:lineRule="auto"/>
              <w:ind w:firstLineChars="0" w:firstLine="0"/>
              <w:jc w:val="center"/>
              <w:rPr>
                <w:rFonts w:ascii="Times New Roman" w:hAnsi="宋体" w:cs="Times New Roman"/>
                <w:b/>
                <w:sz w:val="21"/>
              </w:rPr>
            </w:pPr>
            <w:r>
              <w:rPr>
                <w:rFonts w:ascii="Times New Roman" w:hAnsi="宋体" w:cs="Times New Roman" w:hint="eastAsia"/>
                <w:b/>
                <w:sz w:val="21"/>
              </w:rPr>
              <w:t>WX</w:t>
            </w:r>
            <w:r>
              <w:rPr>
                <w:rFonts w:ascii="Times New Roman" w:hAnsi="宋体" w:cs="Times New Roman"/>
                <w:b/>
                <w:sz w:val="21"/>
              </w:rPr>
              <w:t>1</w:t>
            </w:r>
          </w:p>
        </w:tc>
        <w:tc>
          <w:tcPr>
            <w:tcW w:w="748" w:type="dxa"/>
            <w:vAlign w:val="center"/>
          </w:tcPr>
          <w:p w:rsidR="00BD5820" w:rsidRDefault="00F64314">
            <w:pPr>
              <w:widowControl/>
              <w:topLinePunct w:val="0"/>
              <w:adjustRightInd/>
              <w:spacing w:line="240" w:lineRule="auto"/>
              <w:ind w:firstLineChars="0" w:firstLine="0"/>
              <w:jc w:val="center"/>
              <w:rPr>
                <w:rFonts w:ascii="Times New Roman" w:hAnsi="宋体" w:cs="Times New Roman"/>
                <w:b/>
                <w:sz w:val="21"/>
              </w:rPr>
            </w:pPr>
            <w:r>
              <w:rPr>
                <w:rFonts w:ascii="Times New Roman" w:hAnsi="宋体" w:cs="Times New Roman" w:hint="eastAsia"/>
                <w:b/>
                <w:sz w:val="21"/>
              </w:rPr>
              <w:t>WX</w:t>
            </w:r>
            <w:r>
              <w:rPr>
                <w:rFonts w:ascii="Times New Roman" w:hAnsi="宋体" w:cs="Times New Roman"/>
                <w:b/>
                <w:sz w:val="21"/>
              </w:rPr>
              <w:t>2</w:t>
            </w:r>
          </w:p>
        </w:tc>
        <w:tc>
          <w:tcPr>
            <w:tcW w:w="953" w:type="dxa"/>
            <w:vAlign w:val="center"/>
          </w:tcPr>
          <w:p w:rsidR="00BD5820" w:rsidRDefault="00F64314">
            <w:pPr>
              <w:widowControl/>
              <w:topLinePunct w:val="0"/>
              <w:adjustRightInd/>
              <w:spacing w:line="240" w:lineRule="auto"/>
              <w:ind w:firstLineChars="0" w:firstLine="0"/>
              <w:jc w:val="center"/>
              <w:rPr>
                <w:rFonts w:ascii="Times New Roman" w:hAnsi="宋体" w:cs="Times New Roman"/>
                <w:b/>
                <w:sz w:val="21"/>
              </w:rPr>
            </w:pPr>
            <w:r>
              <w:rPr>
                <w:rFonts w:ascii="Times New Roman" w:hAnsi="宋体" w:cs="Times New Roman" w:hint="eastAsia"/>
                <w:b/>
                <w:sz w:val="21"/>
              </w:rPr>
              <w:t>WX</w:t>
            </w:r>
            <w:r>
              <w:rPr>
                <w:rFonts w:ascii="Times New Roman" w:hAnsi="宋体" w:cs="Times New Roman"/>
                <w:b/>
                <w:sz w:val="21"/>
              </w:rPr>
              <w:t>3</w:t>
            </w:r>
          </w:p>
        </w:tc>
        <w:tc>
          <w:tcPr>
            <w:tcW w:w="748" w:type="dxa"/>
            <w:vAlign w:val="center"/>
          </w:tcPr>
          <w:p w:rsidR="00BD5820" w:rsidRDefault="00F64314">
            <w:pPr>
              <w:widowControl/>
              <w:topLinePunct w:val="0"/>
              <w:adjustRightInd/>
              <w:spacing w:line="240" w:lineRule="auto"/>
              <w:ind w:firstLineChars="0" w:firstLine="0"/>
              <w:jc w:val="center"/>
              <w:rPr>
                <w:rFonts w:ascii="Times New Roman" w:hAnsi="宋体" w:cs="Times New Roman"/>
                <w:b/>
                <w:sz w:val="21"/>
              </w:rPr>
            </w:pPr>
            <w:r>
              <w:rPr>
                <w:rFonts w:ascii="Times New Roman" w:hAnsi="宋体" w:cs="Times New Roman" w:hint="eastAsia"/>
                <w:b/>
                <w:sz w:val="21"/>
              </w:rPr>
              <w:t>WX</w:t>
            </w:r>
            <w:r>
              <w:rPr>
                <w:rFonts w:ascii="Times New Roman" w:hAnsi="宋体" w:cs="Times New Roman"/>
                <w:b/>
                <w:sz w:val="21"/>
              </w:rPr>
              <w:t>4</w:t>
            </w:r>
          </w:p>
        </w:tc>
        <w:tc>
          <w:tcPr>
            <w:tcW w:w="953" w:type="dxa"/>
            <w:vAlign w:val="center"/>
          </w:tcPr>
          <w:p w:rsidR="00BD5820" w:rsidRDefault="00F64314">
            <w:pPr>
              <w:widowControl/>
              <w:topLinePunct w:val="0"/>
              <w:adjustRightInd/>
              <w:spacing w:line="240" w:lineRule="auto"/>
              <w:ind w:firstLineChars="0" w:firstLine="0"/>
              <w:jc w:val="center"/>
              <w:rPr>
                <w:rFonts w:ascii="Times New Roman" w:hAnsi="宋体" w:cs="Times New Roman"/>
                <w:b/>
                <w:sz w:val="21"/>
              </w:rPr>
            </w:pPr>
            <w:r>
              <w:rPr>
                <w:rFonts w:ascii="Times New Roman" w:hAnsi="宋体" w:cs="Times New Roman" w:hint="eastAsia"/>
                <w:b/>
                <w:sz w:val="21"/>
              </w:rPr>
              <w:t>WX</w:t>
            </w:r>
            <w:r>
              <w:rPr>
                <w:rFonts w:ascii="Times New Roman" w:hAnsi="宋体" w:cs="Times New Roman"/>
                <w:b/>
                <w:sz w:val="21"/>
              </w:rPr>
              <w:t>5</w:t>
            </w:r>
          </w:p>
        </w:tc>
        <w:tc>
          <w:tcPr>
            <w:tcW w:w="867" w:type="dxa"/>
            <w:vMerge/>
            <w:vAlign w:val="center"/>
          </w:tcPr>
          <w:p w:rsidR="00BD5820" w:rsidRDefault="00BD5820">
            <w:pPr>
              <w:widowControl/>
              <w:topLinePunct w:val="0"/>
              <w:adjustRightInd/>
              <w:spacing w:line="240" w:lineRule="auto"/>
              <w:ind w:firstLineChars="0" w:firstLine="0"/>
              <w:jc w:val="center"/>
              <w:rPr>
                <w:rFonts w:ascii="Times New Roman" w:hAnsi="宋体" w:cs="Times New Roman"/>
                <w:sz w:val="21"/>
              </w:rPr>
            </w:pPr>
          </w:p>
        </w:tc>
      </w:tr>
      <w:tr w:rsidR="00BD5820">
        <w:trPr>
          <w:trHeight w:val="288"/>
          <w:jc w:val="center"/>
        </w:trPr>
        <w:tc>
          <w:tcPr>
            <w:tcW w:w="236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pH</w:t>
            </w:r>
          </w:p>
        </w:tc>
        <w:tc>
          <w:tcPr>
            <w:tcW w:w="114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无量纲</w:t>
            </w:r>
          </w:p>
        </w:tc>
        <w:tc>
          <w:tcPr>
            <w:tcW w:w="749"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hAnsi="宋体" w:cs="Times New Roman"/>
                <w:sz w:val="21"/>
              </w:rPr>
              <w:t>7.33</w:t>
            </w:r>
          </w:p>
        </w:tc>
        <w:tc>
          <w:tcPr>
            <w:tcW w:w="748"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7.21</w:t>
            </w:r>
          </w:p>
        </w:tc>
        <w:tc>
          <w:tcPr>
            <w:tcW w:w="953"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7.18</w:t>
            </w:r>
          </w:p>
        </w:tc>
        <w:tc>
          <w:tcPr>
            <w:tcW w:w="748"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7.63</w:t>
            </w:r>
          </w:p>
        </w:tc>
        <w:tc>
          <w:tcPr>
            <w:tcW w:w="953"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7.44</w:t>
            </w:r>
          </w:p>
        </w:tc>
        <w:tc>
          <w:tcPr>
            <w:tcW w:w="867"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6.5-8.5</w:t>
            </w:r>
          </w:p>
        </w:tc>
      </w:tr>
      <w:tr w:rsidR="00BD5820">
        <w:trPr>
          <w:trHeight w:val="288"/>
          <w:jc w:val="center"/>
        </w:trPr>
        <w:tc>
          <w:tcPr>
            <w:tcW w:w="236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总硬度（以</w:t>
            </w:r>
            <w:r>
              <w:rPr>
                <w:rFonts w:ascii="Times New Roman" w:hAnsi="宋体" w:cs="Times New Roman"/>
                <w:sz w:val="21"/>
              </w:rPr>
              <w:t>CaCO</w:t>
            </w:r>
            <w:r>
              <w:rPr>
                <w:rFonts w:ascii="Times New Roman" w:hAnsi="宋体" w:cs="Times New Roman"/>
                <w:sz w:val="21"/>
                <w:vertAlign w:val="subscript"/>
              </w:rPr>
              <w:t>3</w:t>
            </w:r>
            <w:r>
              <w:rPr>
                <w:rFonts w:ascii="Times New Roman" w:hAnsi="宋体" w:cs="Times New Roman"/>
                <w:sz w:val="21"/>
              </w:rPr>
              <w:t>计）</w:t>
            </w:r>
          </w:p>
        </w:tc>
        <w:tc>
          <w:tcPr>
            <w:tcW w:w="114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mg/L</w:t>
            </w:r>
            <w:r>
              <w:rPr>
                <w:rFonts w:ascii="Times New Roman" w:hAnsi="宋体" w:cs="Times New Roman"/>
                <w:sz w:val="21"/>
              </w:rPr>
              <w:t>）</w:t>
            </w:r>
          </w:p>
        </w:tc>
        <w:tc>
          <w:tcPr>
            <w:tcW w:w="749"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bCs/>
                <w:kern w:val="2"/>
                <w:sz w:val="21"/>
                <w:szCs w:val="21"/>
              </w:rPr>
              <w:t>235</w:t>
            </w:r>
          </w:p>
        </w:tc>
        <w:tc>
          <w:tcPr>
            <w:tcW w:w="748"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kern w:val="2"/>
                <w:sz w:val="21"/>
                <w:szCs w:val="21"/>
              </w:rPr>
              <w:t>229</w:t>
            </w:r>
          </w:p>
        </w:tc>
        <w:tc>
          <w:tcPr>
            <w:tcW w:w="953"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kern w:val="2"/>
                <w:sz w:val="21"/>
                <w:szCs w:val="21"/>
              </w:rPr>
              <w:t>219</w:t>
            </w:r>
          </w:p>
        </w:tc>
        <w:tc>
          <w:tcPr>
            <w:tcW w:w="748"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kern w:val="2"/>
                <w:sz w:val="21"/>
                <w:szCs w:val="21"/>
              </w:rPr>
              <w:t>235</w:t>
            </w:r>
          </w:p>
        </w:tc>
        <w:tc>
          <w:tcPr>
            <w:tcW w:w="953"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kern w:val="2"/>
                <w:sz w:val="21"/>
                <w:szCs w:val="21"/>
              </w:rPr>
              <w:t>221</w:t>
            </w:r>
          </w:p>
        </w:tc>
        <w:tc>
          <w:tcPr>
            <w:tcW w:w="867"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450</w:t>
            </w:r>
          </w:p>
        </w:tc>
      </w:tr>
      <w:tr w:rsidR="00BD5820">
        <w:trPr>
          <w:trHeight w:val="288"/>
          <w:jc w:val="center"/>
        </w:trPr>
        <w:tc>
          <w:tcPr>
            <w:tcW w:w="236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溶解性总固体</w:t>
            </w:r>
          </w:p>
        </w:tc>
        <w:tc>
          <w:tcPr>
            <w:tcW w:w="114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mg/L</w:t>
            </w:r>
            <w:r>
              <w:rPr>
                <w:rFonts w:ascii="Times New Roman" w:hAnsi="宋体" w:cs="Times New Roman"/>
                <w:sz w:val="21"/>
              </w:rPr>
              <w:t>）</w:t>
            </w:r>
          </w:p>
        </w:tc>
        <w:tc>
          <w:tcPr>
            <w:tcW w:w="749"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bCs/>
                <w:kern w:val="2"/>
                <w:sz w:val="21"/>
                <w:szCs w:val="21"/>
              </w:rPr>
              <w:t>636</w:t>
            </w:r>
          </w:p>
        </w:tc>
        <w:tc>
          <w:tcPr>
            <w:tcW w:w="748"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bCs/>
                <w:kern w:val="2"/>
                <w:sz w:val="21"/>
                <w:szCs w:val="21"/>
              </w:rPr>
              <w:t>794</w:t>
            </w:r>
          </w:p>
        </w:tc>
        <w:tc>
          <w:tcPr>
            <w:tcW w:w="953"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604</w:t>
            </w:r>
          </w:p>
        </w:tc>
        <w:tc>
          <w:tcPr>
            <w:tcW w:w="748"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855</w:t>
            </w:r>
          </w:p>
        </w:tc>
        <w:tc>
          <w:tcPr>
            <w:tcW w:w="953"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831</w:t>
            </w:r>
          </w:p>
        </w:tc>
        <w:tc>
          <w:tcPr>
            <w:tcW w:w="867"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1000</w:t>
            </w:r>
          </w:p>
        </w:tc>
      </w:tr>
      <w:tr w:rsidR="00BD5820">
        <w:trPr>
          <w:trHeight w:val="288"/>
          <w:jc w:val="center"/>
        </w:trPr>
        <w:tc>
          <w:tcPr>
            <w:tcW w:w="236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氯化物</w:t>
            </w:r>
          </w:p>
        </w:tc>
        <w:tc>
          <w:tcPr>
            <w:tcW w:w="114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mg/L</w:t>
            </w:r>
            <w:r>
              <w:rPr>
                <w:rFonts w:ascii="Times New Roman" w:hAnsi="宋体" w:cs="Times New Roman"/>
                <w:sz w:val="21"/>
              </w:rPr>
              <w:t>）</w:t>
            </w:r>
          </w:p>
        </w:tc>
        <w:tc>
          <w:tcPr>
            <w:tcW w:w="749"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bCs/>
                <w:kern w:val="2"/>
                <w:sz w:val="21"/>
                <w:szCs w:val="21"/>
              </w:rPr>
              <w:t>9.42</w:t>
            </w:r>
          </w:p>
        </w:tc>
        <w:tc>
          <w:tcPr>
            <w:tcW w:w="748"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bCs/>
                <w:kern w:val="2"/>
                <w:sz w:val="21"/>
                <w:szCs w:val="21"/>
              </w:rPr>
              <w:t>1.93</w:t>
            </w:r>
          </w:p>
        </w:tc>
        <w:tc>
          <w:tcPr>
            <w:tcW w:w="953"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bCs/>
                <w:kern w:val="2"/>
                <w:sz w:val="21"/>
                <w:szCs w:val="21"/>
              </w:rPr>
              <w:t>1.93</w:t>
            </w:r>
          </w:p>
        </w:tc>
        <w:tc>
          <w:tcPr>
            <w:tcW w:w="748"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bCs/>
                <w:kern w:val="2"/>
                <w:sz w:val="21"/>
                <w:szCs w:val="21"/>
              </w:rPr>
              <w:t>24</w:t>
            </w:r>
          </w:p>
        </w:tc>
        <w:tc>
          <w:tcPr>
            <w:tcW w:w="953"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12.5</w:t>
            </w:r>
          </w:p>
        </w:tc>
        <w:tc>
          <w:tcPr>
            <w:tcW w:w="867"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250</w:t>
            </w:r>
          </w:p>
        </w:tc>
      </w:tr>
      <w:tr w:rsidR="00BD5820">
        <w:trPr>
          <w:trHeight w:val="288"/>
          <w:jc w:val="center"/>
        </w:trPr>
        <w:tc>
          <w:tcPr>
            <w:tcW w:w="236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铁（</w:t>
            </w:r>
            <w:r>
              <w:rPr>
                <w:rFonts w:ascii="Times New Roman" w:hAnsi="宋体" w:cs="Times New Roman"/>
                <w:sz w:val="21"/>
              </w:rPr>
              <w:t>Fe</w:t>
            </w:r>
            <w:r>
              <w:rPr>
                <w:rFonts w:ascii="Times New Roman" w:hAnsi="宋体" w:cs="Times New Roman"/>
                <w:sz w:val="21"/>
              </w:rPr>
              <w:t>）</w:t>
            </w:r>
          </w:p>
        </w:tc>
        <w:tc>
          <w:tcPr>
            <w:tcW w:w="114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mg/L</w:t>
            </w:r>
            <w:r>
              <w:rPr>
                <w:rFonts w:ascii="Times New Roman" w:hAnsi="宋体" w:cs="Times New Roman"/>
                <w:sz w:val="21"/>
              </w:rPr>
              <w:t>）</w:t>
            </w:r>
          </w:p>
        </w:tc>
        <w:tc>
          <w:tcPr>
            <w:tcW w:w="749"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76.9×10</w:t>
            </w:r>
            <w:r>
              <w:rPr>
                <w:rFonts w:ascii="Times New Roman" w:cs="Times New Roman"/>
                <w:bCs/>
                <w:kern w:val="2"/>
                <w:sz w:val="21"/>
                <w:szCs w:val="21"/>
                <w:vertAlign w:val="superscript"/>
              </w:rPr>
              <w:t>-3</w:t>
            </w:r>
          </w:p>
        </w:tc>
        <w:tc>
          <w:tcPr>
            <w:tcW w:w="748"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39.5×10</w:t>
            </w:r>
            <w:r>
              <w:rPr>
                <w:rFonts w:ascii="Times New Roman" w:cs="Times New Roman"/>
                <w:bCs/>
                <w:kern w:val="2"/>
                <w:sz w:val="21"/>
                <w:szCs w:val="21"/>
                <w:vertAlign w:val="superscript"/>
              </w:rPr>
              <w:t>-3</w:t>
            </w:r>
          </w:p>
        </w:tc>
        <w:tc>
          <w:tcPr>
            <w:tcW w:w="953"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36.9×10</w:t>
            </w:r>
            <w:r>
              <w:rPr>
                <w:rFonts w:ascii="Times New Roman" w:cs="Times New Roman"/>
                <w:bCs/>
                <w:kern w:val="2"/>
                <w:sz w:val="21"/>
                <w:szCs w:val="21"/>
                <w:vertAlign w:val="superscript"/>
              </w:rPr>
              <w:t>-3</w:t>
            </w:r>
          </w:p>
        </w:tc>
        <w:tc>
          <w:tcPr>
            <w:tcW w:w="748"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72.5×10</w:t>
            </w:r>
            <w:r>
              <w:rPr>
                <w:rFonts w:ascii="Times New Roman" w:cs="Times New Roman"/>
                <w:bCs/>
                <w:kern w:val="2"/>
                <w:sz w:val="21"/>
                <w:szCs w:val="21"/>
                <w:vertAlign w:val="superscript"/>
              </w:rPr>
              <w:t>-3</w:t>
            </w:r>
          </w:p>
        </w:tc>
        <w:tc>
          <w:tcPr>
            <w:tcW w:w="953"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35.0×10</w:t>
            </w:r>
            <w:r>
              <w:rPr>
                <w:rFonts w:ascii="Times New Roman" w:cs="Times New Roman"/>
                <w:bCs/>
                <w:kern w:val="2"/>
                <w:sz w:val="21"/>
                <w:szCs w:val="21"/>
                <w:vertAlign w:val="superscript"/>
              </w:rPr>
              <w:t>-3</w:t>
            </w:r>
          </w:p>
        </w:tc>
        <w:tc>
          <w:tcPr>
            <w:tcW w:w="867"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0.3</w:t>
            </w:r>
          </w:p>
        </w:tc>
      </w:tr>
      <w:tr w:rsidR="00BD5820">
        <w:trPr>
          <w:trHeight w:val="288"/>
          <w:jc w:val="center"/>
        </w:trPr>
        <w:tc>
          <w:tcPr>
            <w:tcW w:w="236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锰（</w:t>
            </w:r>
            <w:r>
              <w:rPr>
                <w:rFonts w:ascii="Times New Roman" w:hAnsi="宋体" w:cs="Times New Roman"/>
                <w:sz w:val="21"/>
              </w:rPr>
              <w:t>Mn</w:t>
            </w:r>
            <w:r>
              <w:rPr>
                <w:rFonts w:ascii="Times New Roman" w:hAnsi="宋体" w:cs="Times New Roman"/>
                <w:sz w:val="21"/>
              </w:rPr>
              <w:t>）</w:t>
            </w:r>
          </w:p>
        </w:tc>
        <w:tc>
          <w:tcPr>
            <w:tcW w:w="114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mg/L</w:t>
            </w:r>
            <w:r>
              <w:rPr>
                <w:rFonts w:ascii="Times New Roman" w:hAnsi="宋体" w:cs="Times New Roman"/>
                <w:sz w:val="21"/>
              </w:rPr>
              <w:t>）</w:t>
            </w:r>
          </w:p>
        </w:tc>
        <w:tc>
          <w:tcPr>
            <w:tcW w:w="749"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4.49</w:t>
            </w:r>
            <w:r>
              <w:rPr>
                <w:rFonts w:ascii="Times New Roman" w:cs="Times New Roman"/>
                <w:bCs/>
                <w:kern w:val="2"/>
                <w:sz w:val="21"/>
                <w:szCs w:val="21"/>
              </w:rPr>
              <w:t>×10</w:t>
            </w:r>
            <w:r>
              <w:rPr>
                <w:rFonts w:ascii="Times New Roman" w:cs="Times New Roman"/>
                <w:bCs/>
                <w:kern w:val="2"/>
                <w:sz w:val="21"/>
                <w:szCs w:val="21"/>
                <w:vertAlign w:val="superscript"/>
              </w:rPr>
              <w:t>-3</w:t>
            </w:r>
          </w:p>
        </w:tc>
        <w:tc>
          <w:tcPr>
            <w:tcW w:w="748"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0.18</w:t>
            </w:r>
            <w:r>
              <w:rPr>
                <w:rFonts w:ascii="Times New Roman" w:cs="Times New Roman"/>
                <w:bCs/>
                <w:kern w:val="2"/>
                <w:sz w:val="21"/>
                <w:szCs w:val="21"/>
              </w:rPr>
              <w:t>×10</w:t>
            </w:r>
            <w:r>
              <w:rPr>
                <w:rFonts w:ascii="Times New Roman" w:cs="Times New Roman"/>
                <w:bCs/>
                <w:kern w:val="2"/>
                <w:sz w:val="21"/>
                <w:szCs w:val="21"/>
                <w:vertAlign w:val="superscript"/>
              </w:rPr>
              <w:t>-3</w:t>
            </w:r>
          </w:p>
        </w:tc>
        <w:tc>
          <w:tcPr>
            <w:tcW w:w="953"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21"/>
              </w:rPr>
            </w:pPr>
            <w:r>
              <w:rPr>
                <w:rFonts w:ascii="Times New Roman" w:cs="Times New Roman"/>
                <w:bCs/>
                <w:kern w:val="2"/>
                <w:sz w:val="21"/>
                <w:szCs w:val="21"/>
              </w:rPr>
              <w:t>0.34×10</w:t>
            </w:r>
            <w:r>
              <w:rPr>
                <w:rFonts w:ascii="Times New Roman" w:cs="Times New Roman"/>
                <w:bCs/>
                <w:kern w:val="2"/>
                <w:sz w:val="21"/>
                <w:szCs w:val="21"/>
                <w:vertAlign w:val="superscript"/>
              </w:rPr>
              <w:t>-3</w:t>
            </w:r>
          </w:p>
        </w:tc>
        <w:tc>
          <w:tcPr>
            <w:tcW w:w="748"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9.10</w:t>
            </w:r>
            <w:r>
              <w:rPr>
                <w:rFonts w:ascii="Times New Roman" w:cs="Times New Roman"/>
                <w:bCs/>
                <w:kern w:val="2"/>
                <w:sz w:val="21"/>
                <w:szCs w:val="21"/>
              </w:rPr>
              <w:t>×10</w:t>
            </w:r>
            <w:r>
              <w:rPr>
                <w:rFonts w:ascii="Times New Roman" w:cs="Times New Roman"/>
                <w:bCs/>
                <w:kern w:val="2"/>
                <w:sz w:val="21"/>
                <w:szCs w:val="21"/>
                <w:vertAlign w:val="superscript"/>
              </w:rPr>
              <w:t>-3</w:t>
            </w:r>
          </w:p>
        </w:tc>
        <w:tc>
          <w:tcPr>
            <w:tcW w:w="953"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1.07</w:t>
            </w:r>
            <w:r>
              <w:rPr>
                <w:rFonts w:ascii="Times New Roman" w:cs="Times New Roman"/>
                <w:bCs/>
                <w:kern w:val="2"/>
                <w:sz w:val="21"/>
                <w:szCs w:val="21"/>
              </w:rPr>
              <w:t>×10</w:t>
            </w:r>
            <w:r>
              <w:rPr>
                <w:rFonts w:ascii="Times New Roman" w:cs="Times New Roman"/>
                <w:bCs/>
                <w:kern w:val="2"/>
                <w:sz w:val="21"/>
                <w:szCs w:val="21"/>
                <w:vertAlign w:val="superscript"/>
              </w:rPr>
              <w:t>-3</w:t>
            </w:r>
          </w:p>
        </w:tc>
        <w:tc>
          <w:tcPr>
            <w:tcW w:w="867"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0.1</w:t>
            </w:r>
          </w:p>
        </w:tc>
      </w:tr>
      <w:tr w:rsidR="00BD5820">
        <w:trPr>
          <w:trHeight w:val="288"/>
          <w:jc w:val="center"/>
        </w:trPr>
        <w:tc>
          <w:tcPr>
            <w:tcW w:w="236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挥发酚</w:t>
            </w:r>
          </w:p>
        </w:tc>
        <w:tc>
          <w:tcPr>
            <w:tcW w:w="114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mg/L</w:t>
            </w:r>
            <w:r>
              <w:rPr>
                <w:rFonts w:ascii="Times New Roman" w:hAnsi="宋体" w:cs="Times New Roman"/>
                <w:sz w:val="21"/>
              </w:rPr>
              <w:t>）</w:t>
            </w:r>
          </w:p>
        </w:tc>
        <w:tc>
          <w:tcPr>
            <w:tcW w:w="749"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0.0003L</w:t>
            </w:r>
          </w:p>
        </w:tc>
        <w:tc>
          <w:tcPr>
            <w:tcW w:w="748"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0.0003L</w:t>
            </w:r>
          </w:p>
        </w:tc>
        <w:tc>
          <w:tcPr>
            <w:tcW w:w="953"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0.0003L</w:t>
            </w:r>
          </w:p>
        </w:tc>
        <w:tc>
          <w:tcPr>
            <w:tcW w:w="748"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0.0003L</w:t>
            </w:r>
          </w:p>
        </w:tc>
        <w:tc>
          <w:tcPr>
            <w:tcW w:w="953"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0.0003L</w:t>
            </w:r>
          </w:p>
        </w:tc>
        <w:tc>
          <w:tcPr>
            <w:tcW w:w="867"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0.002</w:t>
            </w:r>
          </w:p>
        </w:tc>
      </w:tr>
      <w:tr w:rsidR="00BD5820">
        <w:trPr>
          <w:trHeight w:val="288"/>
          <w:jc w:val="center"/>
        </w:trPr>
        <w:tc>
          <w:tcPr>
            <w:tcW w:w="236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耗氧量</w:t>
            </w:r>
          </w:p>
        </w:tc>
        <w:tc>
          <w:tcPr>
            <w:tcW w:w="114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mg/L</w:t>
            </w:r>
            <w:r>
              <w:rPr>
                <w:rFonts w:ascii="Times New Roman" w:hAnsi="宋体" w:cs="Times New Roman"/>
                <w:sz w:val="21"/>
              </w:rPr>
              <w:t>）</w:t>
            </w:r>
          </w:p>
        </w:tc>
        <w:tc>
          <w:tcPr>
            <w:tcW w:w="749"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2.2</w:t>
            </w:r>
          </w:p>
        </w:tc>
        <w:tc>
          <w:tcPr>
            <w:tcW w:w="748"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bCs/>
                <w:kern w:val="2"/>
                <w:sz w:val="21"/>
                <w:szCs w:val="21"/>
              </w:rPr>
              <w:t>1.2</w:t>
            </w:r>
          </w:p>
        </w:tc>
        <w:tc>
          <w:tcPr>
            <w:tcW w:w="953"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1.8</w:t>
            </w:r>
          </w:p>
        </w:tc>
        <w:tc>
          <w:tcPr>
            <w:tcW w:w="748"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1.5</w:t>
            </w:r>
          </w:p>
        </w:tc>
        <w:tc>
          <w:tcPr>
            <w:tcW w:w="953"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2</w:t>
            </w:r>
          </w:p>
        </w:tc>
        <w:tc>
          <w:tcPr>
            <w:tcW w:w="867"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3</w:t>
            </w:r>
          </w:p>
        </w:tc>
      </w:tr>
      <w:tr w:rsidR="00BD5820">
        <w:trPr>
          <w:trHeight w:val="288"/>
          <w:jc w:val="center"/>
        </w:trPr>
        <w:tc>
          <w:tcPr>
            <w:tcW w:w="236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硝酸盐（以</w:t>
            </w:r>
            <w:r>
              <w:rPr>
                <w:rFonts w:ascii="Times New Roman" w:hAnsi="宋体" w:cs="Times New Roman"/>
                <w:sz w:val="21"/>
              </w:rPr>
              <w:t>N</w:t>
            </w:r>
            <w:r>
              <w:rPr>
                <w:rFonts w:ascii="Times New Roman" w:hAnsi="宋体" w:cs="Times New Roman"/>
                <w:sz w:val="21"/>
              </w:rPr>
              <w:t>计）</w:t>
            </w:r>
          </w:p>
        </w:tc>
        <w:tc>
          <w:tcPr>
            <w:tcW w:w="114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mg/L</w:t>
            </w:r>
            <w:r>
              <w:rPr>
                <w:rFonts w:ascii="Times New Roman" w:hAnsi="宋体" w:cs="Times New Roman"/>
                <w:sz w:val="21"/>
              </w:rPr>
              <w:t>）</w:t>
            </w:r>
          </w:p>
        </w:tc>
        <w:tc>
          <w:tcPr>
            <w:tcW w:w="749"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bCs/>
                <w:kern w:val="2"/>
                <w:sz w:val="21"/>
                <w:szCs w:val="21"/>
              </w:rPr>
              <w:t>0.962</w:t>
            </w:r>
          </w:p>
        </w:tc>
        <w:tc>
          <w:tcPr>
            <w:tcW w:w="748"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bCs/>
                <w:kern w:val="2"/>
                <w:sz w:val="21"/>
                <w:szCs w:val="21"/>
              </w:rPr>
              <w:t>1.32</w:t>
            </w:r>
          </w:p>
        </w:tc>
        <w:tc>
          <w:tcPr>
            <w:tcW w:w="953"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bCs/>
                <w:kern w:val="2"/>
                <w:sz w:val="21"/>
                <w:szCs w:val="21"/>
              </w:rPr>
              <w:t>1.32</w:t>
            </w:r>
          </w:p>
        </w:tc>
        <w:tc>
          <w:tcPr>
            <w:tcW w:w="748"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bCs/>
                <w:kern w:val="2"/>
                <w:sz w:val="21"/>
                <w:szCs w:val="21"/>
              </w:rPr>
              <w:t>3.26</w:t>
            </w:r>
          </w:p>
        </w:tc>
        <w:tc>
          <w:tcPr>
            <w:tcW w:w="953"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bCs/>
                <w:kern w:val="2"/>
                <w:sz w:val="21"/>
                <w:szCs w:val="21"/>
              </w:rPr>
              <w:t>0.98</w:t>
            </w:r>
          </w:p>
        </w:tc>
        <w:tc>
          <w:tcPr>
            <w:tcW w:w="867"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20</w:t>
            </w:r>
          </w:p>
        </w:tc>
      </w:tr>
      <w:tr w:rsidR="00BD5820">
        <w:trPr>
          <w:trHeight w:val="288"/>
          <w:jc w:val="center"/>
        </w:trPr>
        <w:tc>
          <w:tcPr>
            <w:tcW w:w="236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亚硝酸盐（以</w:t>
            </w:r>
            <w:r>
              <w:rPr>
                <w:rFonts w:ascii="Times New Roman" w:hAnsi="宋体" w:cs="Times New Roman"/>
                <w:sz w:val="21"/>
              </w:rPr>
              <w:t>N</w:t>
            </w:r>
            <w:r>
              <w:rPr>
                <w:rFonts w:ascii="Times New Roman" w:hAnsi="宋体" w:cs="Times New Roman"/>
                <w:sz w:val="21"/>
              </w:rPr>
              <w:t>计）</w:t>
            </w:r>
          </w:p>
        </w:tc>
        <w:tc>
          <w:tcPr>
            <w:tcW w:w="114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mg/L</w:t>
            </w:r>
            <w:r>
              <w:rPr>
                <w:rFonts w:ascii="Times New Roman" w:hAnsi="宋体" w:cs="Times New Roman"/>
                <w:sz w:val="21"/>
              </w:rPr>
              <w:t>）</w:t>
            </w:r>
          </w:p>
        </w:tc>
        <w:tc>
          <w:tcPr>
            <w:tcW w:w="749" w:type="dxa"/>
            <w:vAlign w:val="center"/>
          </w:tcPr>
          <w:p w:rsidR="00BD5820" w:rsidRDefault="00F64314">
            <w:pPr>
              <w:topLinePunct w:val="0"/>
              <w:spacing w:line="240" w:lineRule="auto"/>
              <w:ind w:firstLineChars="0" w:firstLine="0"/>
              <w:jc w:val="center"/>
              <w:rPr>
                <w:rFonts w:ascii="Times New Roman" w:hAnsi="宋体" w:cs="Times New Roman"/>
                <w:bCs/>
                <w:kern w:val="2"/>
                <w:sz w:val="21"/>
              </w:rPr>
            </w:pPr>
            <w:r>
              <w:rPr>
                <w:rFonts w:ascii="Times New Roman" w:hAnsi="宋体" w:cs="Times New Roman"/>
                <w:kern w:val="2"/>
                <w:sz w:val="21"/>
              </w:rPr>
              <w:t>0.004</w:t>
            </w:r>
          </w:p>
        </w:tc>
        <w:tc>
          <w:tcPr>
            <w:tcW w:w="748" w:type="dxa"/>
            <w:vAlign w:val="center"/>
          </w:tcPr>
          <w:p w:rsidR="00BD5820" w:rsidRDefault="00F64314">
            <w:pPr>
              <w:topLinePunct w:val="0"/>
              <w:spacing w:line="240" w:lineRule="auto"/>
              <w:ind w:firstLineChars="0" w:firstLine="0"/>
              <w:jc w:val="center"/>
              <w:rPr>
                <w:rFonts w:ascii="Times New Roman" w:hAnsi="宋体" w:cs="Times New Roman"/>
                <w:bCs/>
                <w:kern w:val="2"/>
                <w:sz w:val="21"/>
              </w:rPr>
            </w:pPr>
            <w:r>
              <w:rPr>
                <w:rFonts w:ascii="Times New Roman" w:hAnsi="宋体" w:cs="Times New Roman"/>
                <w:kern w:val="2"/>
                <w:sz w:val="21"/>
              </w:rPr>
              <w:t>0.002</w:t>
            </w:r>
          </w:p>
        </w:tc>
        <w:tc>
          <w:tcPr>
            <w:tcW w:w="953" w:type="dxa"/>
            <w:vAlign w:val="center"/>
          </w:tcPr>
          <w:p w:rsidR="00BD5820" w:rsidRDefault="00F64314">
            <w:pPr>
              <w:topLinePunct w:val="0"/>
              <w:snapToGrid w:val="0"/>
              <w:spacing w:line="240" w:lineRule="auto"/>
              <w:ind w:firstLineChars="0" w:firstLine="0"/>
              <w:jc w:val="center"/>
              <w:rPr>
                <w:rFonts w:ascii="Times New Roman" w:hAnsi="宋体" w:cs="Times New Roman"/>
                <w:bCs/>
                <w:kern w:val="2"/>
                <w:sz w:val="21"/>
              </w:rPr>
            </w:pPr>
            <w:r>
              <w:rPr>
                <w:rFonts w:ascii="Times New Roman" w:hAnsi="宋体" w:cs="Times New Roman"/>
                <w:kern w:val="2"/>
                <w:sz w:val="21"/>
              </w:rPr>
              <w:t>0.002</w:t>
            </w:r>
          </w:p>
        </w:tc>
        <w:tc>
          <w:tcPr>
            <w:tcW w:w="748" w:type="dxa"/>
            <w:vAlign w:val="center"/>
          </w:tcPr>
          <w:p w:rsidR="00BD5820" w:rsidRDefault="00F64314">
            <w:pPr>
              <w:topLinePunct w:val="0"/>
              <w:snapToGrid w:val="0"/>
              <w:spacing w:line="240" w:lineRule="auto"/>
              <w:ind w:firstLineChars="0" w:firstLine="0"/>
              <w:jc w:val="center"/>
              <w:rPr>
                <w:rFonts w:ascii="Times New Roman" w:hAnsi="宋体" w:cs="Times New Roman"/>
                <w:bCs/>
                <w:kern w:val="2"/>
                <w:sz w:val="21"/>
              </w:rPr>
            </w:pPr>
            <w:r>
              <w:rPr>
                <w:rFonts w:ascii="Times New Roman" w:hAnsi="宋体" w:cs="Times New Roman"/>
                <w:kern w:val="2"/>
                <w:sz w:val="21"/>
              </w:rPr>
              <w:t>0.033</w:t>
            </w:r>
          </w:p>
        </w:tc>
        <w:tc>
          <w:tcPr>
            <w:tcW w:w="953" w:type="dxa"/>
            <w:vAlign w:val="center"/>
          </w:tcPr>
          <w:p w:rsidR="00BD5820" w:rsidRDefault="00F64314">
            <w:pPr>
              <w:topLinePunct w:val="0"/>
              <w:snapToGrid w:val="0"/>
              <w:spacing w:line="240" w:lineRule="auto"/>
              <w:ind w:firstLineChars="0" w:firstLine="0"/>
              <w:jc w:val="center"/>
              <w:rPr>
                <w:rFonts w:ascii="Times New Roman" w:hAnsi="宋体" w:cs="Times New Roman"/>
                <w:bCs/>
                <w:kern w:val="2"/>
                <w:sz w:val="21"/>
              </w:rPr>
            </w:pPr>
            <w:r>
              <w:rPr>
                <w:rFonts w:ascii="Times New Roman" w:hAnsi="宋体" w:cs="Times New Roman"/>
                <w:kern w:val="2"/>
                <w:sz w:val="21"/>
              </w:rPr>
              <w:t>0.011</w:t>
            </w:r>
          </w:p>
        </w:tc>
        <w:tc>
          <w:tcPr>
            <w:tcW w:w="867"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1</w:t>
            </w:r>
          </w:p>
        </w:tc>
      </w:tr>
      <w:tr w:rsidR="00BD5820">
        <w:trPr>
          <w:trHeight w:val="288"/>
          <w:jc w:val="center"/>
        </w:trPr>
        <w:tc>
          <w:tcPr>
            <w:tcW w:w="236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硫酸盐</w:t>
            </w:r>
          </w:p>
        </w:tc>
        <w:tc>
          <w:tcPr>
            <w:tcW w:w="114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mg/L</w:t>
            </w:r>
            <w:r>
              <w:rPr>
                <w:rFonts w:ascii="Times New Roman" w:hAnsi="宋体" w:cs="Times New Roman"/>
                <w:sz w:val="21"/>
              </w:rPr>
              <w:t>）</w:t>
            </w:r>
          </w:p>
        </w:tc>
        <w:tc>
          <w:tcPr>
            <w:tcW w:w="749"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bCs/>
                <w:kern w:val="2"/>
                <w:sz w:val="21"/>
                <w:szCs w:val="21"/>
              </w:rPr>
              <w:t>27.8</w:t>
            </w:r>
          </w:p>
        </w:tc>
        <w:tc>
          <w:tcPr>
            <w:tcW w:w="748"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bCs/>
                <w:kern w:val="2"/>
                <w:sz w:val="21"/>
                <w:szCs w:val="21"/>
              </w:rPr>
              <w:t>27.8</w:t>
            </w:r>
          </w:p>
        </w:tc>
        <w:tc>
          <w:tcPr>
            <w:tcW w:w="953"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bCs/>
                <w:kern w:val="2"/>
                <w:sz w:val="21"/>
                <w:szCs w:val="21"/>
              </w:rPr>
              <w:t>12.1</w:t>
            </w:r>
          </w:p>
        </w:tc>
        <w:tc>
          <w:tcPr>
            <w:tcW w:w="748"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bCs/>
                <w:kern w:val="2"/>
                <w:sz w:val="21"/>
                <w:szCs w:val="21"/>
              </w:rPr>
              <w:t>21.8</w:t>
            </w:r>
          </w:p>
        </w:tc>
        <w:tc>
          <w:tcPr>
            <w:tcW w:w="953"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12.7</w:t>
            </w:r>
          </w:p>
        </w:tc>
        <w:tc>
          <w:tcPr>
            <w:tcW w:w="867"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kern w:val="2"/>
                <w:sz w:val="21"/>
              </w:rPr>
              <w:t>≤</w:t>
            </w:r>
            <w:r>
              <w:rPr>
                <w:rFonts w:ascii="Times New Roman" w:hAnsi="宋体" w:cs="Times New Roman"/>
                <w:kern w:val="2"/>
                <w:sz w:val="21"/>
              </w:rPr>
              <w:t>250</w:t>
            </w:r>
          </w:p>
        </w:tc>
      </w:tr>
      <w:tr w:rsidR="00BD5820">
        <w:trPr>
          <w:trHeight w:val="288"/>
          <w:jc w:val="center"/>
        </w:trPr>
        <w:tc>
          <w:tcPr>
            <w:tcW w:w="236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kern w:val="2"/>
                <w:sz w:val="21"/>
              </w:rPr>
            </w:pPr>
            <w:r>
              <w:rPr>
                <w:rFonts w:ascii="Times New Roman" w:hAnsi="宋体" w:cs="Times New Roman"/>
                <w:sz w:val="21"/>
              </w:rPr>
              <w:t>总大肠菌群</w:t>
            </w:r>
          </w:p>
        </w:tc>
        <w:tc>
          <w:tcPr>
            <w:tcW w:w="114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pacing w:val="-11"/>
                <w:kern w:val="2"/>
                <w:sz w:val="21"/>
              </w:rPr>
            </w:pPr>
            <w:r>
              <w:rPr>
                <w:rFonts w:ascii="Times New Roman" w:hAnsi="宋体" w:cs="Times New Roman"/>
                <w:spacing w:val="-11"/>
                <w:sz w:val="21"/>
              </w:rPr>
              <w:t>MPN/100ml</w:t>
            </w:r>
          </w:p>
        </w:tc>
        <w:tc>
          <w:tcPr>
            <w:tcW w:w="749" w:type="dxa"/>
            <w:vAlign w:val="center"/>
          </w:tcPr>
          <w:p w:rsidR="00BD5820" w:rsidRDefault="00F64314">
            <w:pPr>
              <w:topLinePunct w:val="0"/>
              <w:snapToGrid w:val="0"/>
              <w:spacing w:line="240" w:lineRule="auto"/>
              <w:ind w:firstLineChars="0" w:firstLine="0"/>
              <w:jc w:val="center"/>
              <w:rPr>
                <w:rFonts w:ascii="Times New Roman" w:hAnsi="宋体" w:cs="Times New Roman"/>
                <w:bCs/>
                <w:kern w:val="2"/>
                <w:sz w:val="21"/>
              </w:rPr>
            </w:pPr>
            <w:r>
              <w:rPr>
                <w:rFonts w:ascii="Times New Roman" w:hAnsi="宋体" w:cs="Times New Roman" w:hint="eastAsia"/>
                <w:bCs/>
                <w:kern w:val="2"/>
                <w:sz w:val="21"/>
              </w:rPr>
              <w:t>0.4</w:t>
            </w:r>
          </w:p>
        </w:tc>
        <w:tc>
          <w:tcPr>
            <w:tcW w:w="748" w:type="dxa"/>
            <w:vAlign w:val="center"/>
          </w:tcPr>
          <w:p w:rsidR="00BD5820" w:rsidRDefault="00F64314">
            <w:pPr>
              <w:topLinePunct w:val="0"/>
              <w:snapToGrid w:val="0"/>
              <w:spacing w:line="240" w:lineRule="auto"/>
              <w:ind w:firstLineChars="0" w:firstLine="0"/>
              <w:jc w:val="center"/>
              <w:rPr>
                <w:rFonts w:ascii="Times New Roman" w:hAnsi="宋体" w:cs="Times New Roman"/>
                <w:bCs/>
                <w:kern w:val="2"/>
                <w:sz w:val="21"/>
              </w:rPr>
            </w:pPr>
            <w:r>
              <w:rPr>
                <w:rFonts w:ascii="Times New Roman" w:hAnsi="宋体" w:cs="Times New Roman" w:hint="eastAsia"/>
                <w:bCs/>
                <w:kern w:val="2"/>
                <w:sz w:val="21"/>
              </w:rPr>
              <w:t>-</w:t>
            </w:r>
          </w:p>
        </w:tc>
        <w:tc>
          <w:tcPr>
            <w:tcW w:w="953" w:type="dxa"/>
            <w:vAlign w:val="center"/>
          </w:tcPr>
          <w:p w:rsidR="00BD5820" w:rsidRDefault="00F64314">
            <w:pPr>
              <w:topLinePunct w:val="0"/>
              <w:snapToGrid w:val="0"/>
              <w:spacing w:line="240" w:lineRule="auto"/>
              <w:ind w:firstLineChars="0" w:firstLine="0"/>
              <w:jc w:val="center"/>
              <w:rPr>
                <w:rFonts w:ascii="Times New Roman" w:hAnsi="宋体" w:cs="Times New Roman"/>
                <w:bCs/>
                <w:kern w:val="2"/>
                <w:sz w:val="21"/>
              </w:rPr>
            </w:pPr>
            <w:r>
              <w:rPr>
                <w:rFonts w:ascii="Times New Roman" w:hAnsi="宋体" w:cs="Times New Roman"/>
                <w:bCs/>
                <w:kern w:val="2"/>
                <w:sz w:val="21"/>
              </w:rPr>
              <w:t>0.2</w:t>
            </w:r>
          </w:p>
        </w:tc>
        <w:tc>
          <w:tcPr>
            <w:tcW w:w="748" w:type="dxa"/>
            <w:vAlign w:val="center"/>
          </w:tcPr>
          <w:p w:rsidR="00BD5820" w:rsidRDefault="00F64314">
            <w:pPr>
              <w:topLinePunct w:val="0"/>
              <w:snapToGrid w:val="0"/>
              <w:spacing w:line="240" w:lineRule="auto"/>
              <w:ind w:firstLineChars="0" w:firstLine="0"/>
              <w:jc w:val="center"/>
              <w:rPr>
                <w:rFonts w:ascii="Times New Roman" w:hAnsi="宋体" w:cs="Times New Roman"/>
                <w:bCs/>
                <w:kern w:val="2"/>
                <w:sz w:val="21"/>
              </w:rPr>
            </w:pPr>
            <w:r>
              <w:rPr>
                <w:rFonts w:ascii="Times New Roman" w:hAnsi="宋体" w:cs="Times New Roman" w:hint="eastAsia"/>
                <w:bCs/>
                <w:kern w:val="2"/>
                <w:sz w:val="21"/>
              </w:rPr>
              <w:t>-</w:t>
            </w:r>
          </w:p>
        </w:tc>
        <w:tc>
          <w:tcPr>
            <w:tcW w:w="953" w:type="dxa"/>
            <w:vAlign w:val="center"/>
          </w:tcPr>
          <w:p w:rsidR="00BD5820" w:rsidRDefault="00F64314">
            <w:pPr>
              <w:topLinePunct w:val="0"/>
              <w:snapToGrid w:val="0"/>
              <w:spacing w:line="240" w:lineRule="auto"/>
              <w:ind w:firstLineChars="0" w:firstLine="0"/>
              <w:jc w:val="center"/>
              <w:rPr>
                <w:rFonts w:ascii="Times New Roman" w:hAnsi="宋体" w:cs="Times New Roman"/>
                <w:bCs/>
                <w:kern w:val="2"/>
                <w:sz w:val="21"/>
              </w:rPr>
            </w:pPr>
            <w:r>
              <w:rPr>
                <w:rFonts w:ascii="Times New Roman" w:hAnsi="宋体" w:cs="Times New Roman" w:hint="eastAsia"/>
                <w:bCs/>
                <w:kern w:val="2"/>
                <w:sz w:val="21"/>
              </w:rPr>
              <w:t>0.2</w:t>
            </w:r>
          </w:p>
        </w:tc>
        <w:tc>
          <w:tcPr>
            <w:tcW w:w="867" w:type="dxa"/>
            <w:vAlign w:val="center"/>
          </w:tcPr>
          <w:p w:rsidR="00BD5820" w:rsidRDefault="00F64314">
            <w:pPr>
              <w:widowControl/>
              <w:topLinePunct w:val="0"/>
              <w:adjustRightInd/>
              <w:spacing w:line="240" w:lineRule="auto"/>
              <w:ind w:firstLineChars="0" w:firstLine="0"/>
              <w:jc w:val="center"/>
              <w:rPr>
                <w:rFonts w:ascii="Times New Roman" w:hAnsi="宋体" w:cs="Times New Roman"/>
                <w:kern w:val="2"/>
                <w:sz w:val="21"/>
              </w:rPr>
            </w:pPr>
            <w:r>
              <w:rPr>
                <w:rFonts w:ascii="Times New Roman" w:hAnsi="宋体" w:cs="Times New Roman"/>
                <w:kern w:val="2"/>
                <w:sz w:val="21"/>
              </w:rPr>
              <w:t>≤</w:t>
            </w:r>
            <w:r>
              <w:rPr>
                <w:rFonts w:ascii="Times New Roman" w:hAnsi="宋体" w:cs="Times New Roman"/>
                <w:kern w:val="2"/>
                <w:sz w:val="21"/>
              </w:rPr>
              <w:t>3.0</w:t>
            </w:r>
          </w:p>
        </w:tc>
      </w:tr>
      <w:tr w:rsidR="00BD5820">
        <w:trPr>
          <w:trHeight w:val="288"/>
          <w:jc w:val="center"/>
        </w:trPr>
        <w:tc>
          <w:tcPr>
            <w:tcW w:w="236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菌落总数</w:t>
            </w:r>
          </w:p>
        </w:tc>
        <w:tc>
          <w:tcPr>
            <w:tcW w:w="114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pacing w:val="-11"/>
                <w:kern w:val="2"/>
                <w:sz w:val="21"/>
              </w:rPr>
            </w:pPr>
            <w:r>
              <w:rPr>
                <w:rFonts w:ascii="Times New Roman" w:hAnsi="宋体" w:cs="Times New Roman"/>
                <w:spacing w:val="-11"/>
                <w:sz w:val="21"/>
              </w:rPr>
              <w:t>CFU/ml</w:t>
            </w:r>
          </w:p>
        </w:tc>
        <w:tc>
          <w:tcPr>
            <w:tcW w:w="749"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17</w:t>
            </w:r>
          </w:p>
        </w:tc>
        <w:tc>
          <w:tcPr>
            <w:tcW w:w="748"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18</w:t>
            </w:r>
          </w:p>
        </w:tc>
        <w:tc>
          <w:tcPr>
            <w:tcW w:w="953"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22</w:t>
            </w:r>
          </w:p>
        </w:tc>
        <w:tc>
          <w:tcPr>
            <w:tcW w:w="748"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12</w:t>
            </w:r>
          </w:p>
        </w:tc>
        <w:tc>
          <w:tcPr>
            <w:tcW w:w="953"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20</w:t>
            </w:r>
          </w:p>
        </w:tc>
        <w:tc>
          <w:tcPr>
            <w:tcW w:w="867" w:type="dxa"/>
            <w:vAlign w:val="center"/>
          </w:tcPr>
          <w:p w:rsidR="00BD5820" w:rsidRDefault="00F64314">
            <w:pPr>
              <w:widowControl/>
              <w:topLinePunct w:val="0"/>
              <w:adjustRightInd/>
              <w:spacing w:line="240" w:lineRule="auto"/>
              <w:ind w:firstLineChars="0" w:firstLine="0"/>
              <w:jc w:val="center"/>
              <w:rPr>
                <w:rFonts w:ascii="Times New Roman" w:hAnsi="宋体" w:cs="Times New Roman"/>
                <w:kern w:val="2"/>
                <w:sz w:val="21"/>
              </w:rPr>
            </w:pPr>
            <w:r>
              <w:rPr>
                <w:rFonts w:ascii="Times New Roman" w:hAnsi="宋体" w:cs="Times New Roman"/>
                <w:kern w:val="2"/>
                <w:sz w:val="21"/>
              </w:rPr>
              <w:t>≤</w:t>
            </w:r>
            <w:r>
              <w:rPr>
                <w:rFonts w:ascii="Times New Roman" w:hAnsi="宋体" w:cs="Times New Roman"/>
                <w:kern w:val="2"/>
                <w:sz w:val="21"/>
              </w:rPr>
              <w:t>100</w:t>
            </w:r>
          </w:p>
        </w:tc>
      </w:tr>
      <w:tr w:rsidR="00BD5820">
        <w:trPr>
          <w:trHeight w:val="288"/>
          <w:jc w:val="center"/>
        </w:trPr>
        <w:tc>
          <w:tcPr>
            <w:tcW w:w="236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lastRenderedPageBreak/>
              <w:t>氨氮</w:t>
            </w:r>
          </w:p>
        </w:tc>
        <w:tc>
          <w:tcPr>
            <w:tcW w:w="114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mg/L</w:t>
            </w:r>
            <w:r>
              <w:rPr>
                <w:rFonts w:ascii="Times New Roman" w:hAnsi="宋体" w:cs="Times New Roman"/>
                <w:sz w:val="21"/>
              </w:rPr>
              <w:t>）</w:t>
            </w:r>
          </w:p>
        </w:tc>
        <w:tc>
          <w:tcPr>
            <w:tcW w:w="749"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bCs/>
                <w:kern w:val="2"/>
                <w:sz w:val="21"/>
                <w:szCs w:val="21"/>
              </w:rPr>
              <w:t>0.145</w:t>
            </w:r>
          </w:p>
        </w:tc>
        <w:tc>
          <w:tcPr>
            <w:tcW w:w="748"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bCs/>
                <w:kern w:val="2"/>
                <w:sz w:val="21"/>
                <w:szCs w:val="21"/>
              </w:rPr>
              <w:t>0.122</w:t>
            </w:r>
          </w:p>
        </w:tc>
        <w:tc>
          <w:tcPr>
            <w:tcW w:w="953"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0.131</w:t>
            </w:r>
          </w:p>
        </w:tc>
        <w:tc>
          <w:tcPr>
            <w:tcW w:w="748"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bCs/>
                <w:kern w:val="2"/>
                <w:sz w:val="21"/>
                <w:szCs w:val="21"/>
              </w:rPr>
              <w:t>0.166</w:t>
            </w:r>
          </w:p>
        </w:tc>
        <w:tc>
          <w:tcPr>
            <w:tcW w:w="953"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bCs/>
                <w:kern w:val="2"/>
                <w:sz w:val="21"/>
                <w:szCs w:val="21"/>
              </w:rPr>
              <w:t>0.212</w:t>
            </w:r>
          </w:p>
        </w:tc>
        <w:tc>
          <w:tcPr>
            <w:tcW w:w="867"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0.5</w:t>
            </w:r>
          </w:p>
        </w:tc>
      </w:tr>
      <w:tr w:rsidR="00BD5820">
        <w:trPr>
          <w:trHeight w:val="288"/>
          <w:jc w:val="center"/>
        </w:trPr>
        <w:tc>
          <w:tcPr>
            <w:tcW w:w="236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氟化物</w:t>
            </w:r>
          </w:p>
        </w:tc>
        <w:tc>
          <w:tcPr>
            <w:tcW w:w="114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mg/L</w:t>
            </w:r>
            <w:r>
              <w:rPr>
                <w:rFonts w:ascii="Times New Roman" w:hAnsi="宋体" w:cs="Times New Roman"/>
                <w:sz w:val="21"/>
              </w:rPr>
              <w:t>）</w:t>
            </w:r>
          </w:p>
        </w:tc>
        <w:tc>
          <w:tcPr>
            <w:tcW w:w="749" w:type="dxa"/>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0.006L</w:t>
            </w:r>
          </w:p>
        </w:tc>
        <w:tc>
          <w:tcPr>
            <w:tcW w:w="748"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0.006L</w:t>
            </w:r>
          </w:p>
        </w:tc>
        <w:tc>
          <w:tcPr>
            <w:tcW w:w="953"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0.006L</w:t>
            </w:r>
          </w:p>
        </w:tc>
        <w:tc>
          <w:tcPr>
            <w:tcW w:w="748"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0.006L</w:t>
            </w:r>
          </w:p>
        </w:tc>
        <w:tc>
          <w:tcPr>
            <w:tcW w:w="953"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0.006L</w:t>
            </w:r>
          </w:p>
        </w:tc>
        <w:tc>
          <w:tcPr>
            <w:tcW w:w="867"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1</w:t>
            </w:r>
          </w:p>
        </w:tc>
      </w:tr>
      <w:tr w:rsidR="00BD5820">
        <w:trPr>
          <w:trHeight w:val="288"/>
          <w:jc w:val="center"/>
        </w:trPr>
        <w:tc>
          <w:tcPr>
            <w:tcW w:w="236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氰化物</w:t>
            </w:r>
          </w:p>
        </w:tc>
        <w:tc>
          <w:tcPr>
            <w:tcW w:w="114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mg/L</w:t>
            </w:r>
            <w:r>
              <w:rPr>
                <w:rFonts w:ascii="Times New Roman" w:hAnsi="宋体" w:cs="Times New Roman"/>
                <w:sz w:val="21"/>
              </w:rPr>
              <w:t>）</w:t>
            </w:r>
          </w:p>
        </w:tc>
        <w:tc>
          <w:tcPr>
            <w:tcW w:w="749" w:type="dxa"/>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0.004L</w:t>
            </w:r>
          </w:p>
        </w:tc>
        <w:tc>
          <w:tcPr>
            <w:tcW w:w="748"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0.004L</w:t>
            </w:r>
          </w:p>
        </w:tc>
        <w:tc>
          <w:tcPr>
            <w:tcW w:w="953"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0.004L</w:t>
            </w:r>
          </w:p>
        </w:tc>
        <w:tc>
          <w:tcPr>
            <w:tcW w:w="748"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0.004L</w:t>
            </w:r>
          </w:p>
        </w:tc>
        <w:tc>
          <w:tcPr>
            <w:tcW w:w="953"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0.004L</w:t>
            </w:r>
          </w:p>
        </w:tc>
        <w:tc>
          <w:tcPr>
            <w:tcW w:w="867"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0.05</w:t>
            </w:r>
          </w:p>
        </w:tc>
      </w:tr>
      <w:tr w:rsidR="00BD5820">
        <w:trPr>
          <w:trHeight w:val="288"/>
          <w:jc w:val="center"/>
        </w:trPr>
        <w:tc>
          <w:tcPr>
            <w:tcW w:w="236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汞（</w:t>
            </w:r>
            <w:r>
              <w:rPr>
                <w:rFonts w:ascii="Times New Roman" w:hAnsi="宋体" w:cs="Times New Roman"/>
                <w:sz w:val="21"/>
              </w:rPr>
              <w:t>Hg</w:t>
            </w:r>
            <w:r>
              <w:rPr>
                <w:rFonts w:ascii="Times New Roman" w:hAnsi="宋体" w:cs="Times New Roman"/>
                <w:sz w:val="21"/>
              </w:rPr>
              <w:t>）</w:t>
            </w:r>
          </w:p>
        </w:tc>
        <w:tc>
          <w:tcPr>
            <w:tcW w:w="114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mg/L</w:t>
            </w:r>
            <w:r>
              <w:rPr>
                <w:rFonts w:ascii="Times New Roman" w:hAnsi="宋体" w:cs="Times New Roman"/>
                <w:sz w:val="21"/>
              </w:rPr>
              <w:t>）</w:t>
            </w:r>
          </w:p>
        </w:tc>
        <w:tc>
          <w:tcPr>
            <w:tcW w:w="749"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0.00004L</w:t>
            </w:r>
          </w:p>
        </w:tc>
        <w:tc>
          <w:tcPr>
            <w:tcW w:w="748"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0.11×</w:t>
            </w:r>
            <w:r>
              <w:rPr>
                <w:rFonts w:ascii="Times New Roman" w:cs="Times New Roman"/>
                <w:bCs/>
                <w:kern w:val="2"/>
                <w:sz w:val="21"/>
                <w:szCs w:val="21"/>
              </w:rPr>
              <w:t>10</w:t>
            </w:r>
            <w:r>
              <w:rPr>
                <w:rFonts w:ascii="Times New Roman" w:cs="Times New Roman"/>
                <w:bCs/>
                <w:kern w:val="2"/>
                <w:sz w:val="21"/>
                <w:szCs w:val="21"/>
                <w:vertAlign w:val="superscript"/>
              </w:rPr>
              <w:t>-3</w:t>
            </w:r>
          </w:p>
        </w:tc>
        <w:tc>
          <w:tcPr>
            <w:tcW w:w="953"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0.</w:t>
            </w:r>
            <w:r>
              <w:rPr>
                <w:rFonts w:ascii="Times New Roman" w:cs="Times New Roman" w:hint="eastAsia"/>
                <w:kern w:val="2"/>
                <w:sz w:val="21"/>
                <w:szCs w:val="21"/>
              </w:rPr>
              <w:t>05</w:t>
            </w:r>
            <w:r>
              <w:rPr>
                <w:rFonts w:ascii="Times New Roman" w:cs="Times New Roman"/>
                <w:bCs/>
                <w:kern w:val="2"/>
                <w:sz w:val="21"/>
                <w:szCs w:val="21"/>
              </w:rPr>
              <w:t>×10</w:t>
            </w:r>
            <w:r>
              <w:rPr>
                <w:rFonts w:ascii="Times New Roman" w:cs="Times New Roman"/>
                <w:bCs/>
                <w:kern w:val="2"/>
                <w:sz w:val="21"/>
                <w:szCs w:val="21"/>
                <w:vertAlign w:val="superscript"/>
              </w:rPr>
              <w:t>-3</w:t>
            </w:r>
          </w:p>
        </w:tc>
        <w:tc>
          <w:tcPr>
            <w:tcW w:w="748"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0.</w:t>
            </w:r>
            <w:r>
              <w:rPr>
                <w:rFonts w:ascii="Times New Roman" w:cs="Times New Roman" w:hint="eastAsia"/>
                <w:kern w:val="2"/>
                <w:sz w:val="21"/>
                <w:szCs w:val="21"/>
              </w:rPr>
              <w:t>14</w:t>
            </w:r>
            <w:r>
              <w:rPr>
                <w:rFonts w:ascii="Times New Roman" w:cs="Times New Roman"/>
                <w:kern w:val="2"/>
                <w:sz w:val="21"/>
                <w:szCs w:val="21"/>
              </w:rPr>
              <w:t>×</w:t>
            </w:r>
            <w:r>
              <w:rPr>
                <w:rFonts w:ascii="Times New Roman" w:cs="Times New Roman"/>
                <w:bCs/>
                <w:kern w:val="2"/>
                <w:sz w:val="21"/>
                <w:szCs w:val="21"/>
              </w:rPr>
              <w:t>10</w:t>
            </w:r>
            <w:r>
              <w:rPr>
                <w:rFonts w:ascii="Times New Roman" w:cs="Times New Roman"/>
                <w:bCs/>
                <w:kern w:val="2"/>
                <w:sz w:val="21"/>
                <w:szCs w:val="21"/>
                <w:vertAlign w:val="superscript"/>
              </w:rPr>
              <w:t>-3</w:t>
            </w:r>
          </w:p>
        </w:tc>
        <w:tc>
          <w:tcPr>
            <w:tcW w:w="953"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0.</w:t>
            </w:r>
            <w:r>
              <w:rPr>
                <w:rFonts w:ascii="Times New Roman" w:cs="Times New Roman" w:hint="eastAsia"/>
                <w:kern w:val="2"/>
                <w:sz w:val="21"/>
                <w:szCs w:val="21"/>
              </w:rPr>
              <w:t>06</w:t>
            </w:r>
            <w:r>
              <w:rPr>
                <w:rFonts w:ascii="Times New Roman" w:cs="Times New Roman"/>
                <w:bCs/>
                <w:kern w:val="2"/>
                <w:sz w:val="21"/>
                <w:szCs w:val="21"/>
              </w:rPr>
              <w:t>×10</w:t>
            </w:r>
            <w:r>
              <w:rPr>
                <w:rFonts w:ascii="Times New Roman" w:cs="Times New Roman"/>
                <w:bCs/>
                <w:kern w:val="2"/>
                <w:sz w:val="21"/>
                <w:szCs w:val="21"/>
                <w:vertAlign w:val="superscript"/>
              </w:rPr>
              <w:t>-3</w:t>
            </w:r>
          </w:p>
        </w:tc>
        <w:tc>
          <w:tcPr>
            <w:tcW w:w="867"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0.001</w:t>
            </w:r>
          </w:p>
        </w:tc>
      </w:tr>
      <w:tr w:rsidR="00BD5820">
        <w:trPr>
          <w:trHeight w:val="288"/>
          <w:jc w:val="center"/>
        </w:trPr>
        <w:tc>
          <w:tcPr>
            <w:tcW w:w="236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砷（</w:t>
            </w:r>
            <w:r>
              <w:rPr>
                <w:rFonts w:ascii="Times New Roman" w:hAnsi="宋体" w:cs="Times New Roman"/>
                <w:sz w:val="21"/>
              </w:rPr>
              <w:t>As</w:t>
            </w:r>
            <w:r>
              <w:rPr>
                <w:rFonts w:ascii="Times New Roman" w:hAnsi="宋体" w:cs="Times New Roman"/>
                <w:sz w:val="21"/>
              </w:rPr>
              <w:t>）</w:t>
            </w:r>
          </w:p>
        </w:tc>
        <w:tc>
          <w:tcPr>
            <w:tcW w:w="114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mg/L</w:t>
            </w:r>
            <w:r>
              <w:rPr>
                <w:rFonts w:ascii="Times New Roman" w:hAnsi="宋体" w:cs="Times New Roman"/>
                <w:sz w:val="21"/>
              </w:rPr>
              <w:t>）</w:t>
            </w:r>
          </w:p>
        </w:tc>
        <w:tc>
          <w:tcPr>
            <w:tcW w:w="749" w:type="dxa"/>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kern w:val="2"/>
                <w:sz w:val="21"/>
                <w:szCs w:val="21"/>
              </w:rPr>
              <w:t>1.43</w:t>
            </w:r>
            <w:r>
              <w:rPr>
                <w:rFonts w:ascii="Times New Roman" w:cs="Times New Roman"/>
                <w:kern w:val="2"/>
                <w:sz w:val="21"/>
                <w:szCs w:val="21"/>
              </w:rPr>
              <w:t>×</w:t>
            </w:r>
            <w:r>
              <w:rPr>
                <w:rFonts w:ascii="Times New Roman" w:cs="Times New Roman"/>
                <w:bCs/>
                <w:kern w:val="2"/>
                <w:sz w:val="21"/>
                <w:szCs w:val="21"/>
              </w:rPr>
              <w:t>10</w:t>
            </w:r>
            <w:r>
              <w:rPr>
                <w:rFonts w:ascii="Times New Roman" w:cs="Times New Roman"/>
                <w:bCs/>
                <w:kern w:val="2"/>
                <w:sz w:val="21"/>
                <w:szCs w:val="21"/>
                <w:vertAlign w:val="superscript"/>
              </w:rPr>
              <w:t>-3</w:t>
            </w:r>
          </w:p>
        </w:tc>
        <w:tc>
          <w:tcPr>
            <w:tcW w:w="748"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kern w:val="2"/>
                <w:sz w:val="21"/>
                <w:szCs w:val="21"/>
              </w:rPr>
              <w:t>2.64</w:t>
            </w:r>
            <w:r>
              <w:rPr>
                <w:rFonts w:ascii="Times New Roman" w:cs="Times New Roman"/>
                <w:kern w:val="2"/>
                <w:sz w:val="21"/>
                <w:szCs w:val="21"/>
              </w:rPr>
              <w:t>×</w:t>
            </w:r>
            <w:r>
              <w:rPr>
                <w:rFonts w:ascii="Times New Roman" w:cs="Times New Roman"/>
                <w:bCs/>
                <w:kern w:val="2"/>
                <w:sz w:val="21"/>
                <w:szCs w:val="21"/>
              </w:rPr>
              <w:t>10</w:t>
            </w:r>
            <w:r>
              <w:rPr>
                <w:rFonts w:ascii="Times New Roman" w:cs="Times New Roman"/>
                <w:bCs/>
                <w:kern w:val="2"/>
                <w:sz w:val="21"/>
                <w:szCs w:val="21"/>
                <w:vertAlign w:val="superscript"/>
              </w:rPr>
              <w:t>-3</w:t>
            </w:r>
          </w:p>
        </w:tc>
        <w:tc>
          <w:tcPr>
            <w:tcW w:w="953"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kern w:val="2"/>
                <w:sz w:val="21"/>
                <w:szCs w:val="21"/>
              </w:rPr>
              <w:t>0.</w:t>
            </w:r>
            <w:r>
              <w:rPr>
                <w:rFonts w:ascii="Times New Roman" w:cs="Times New Roman" w:hint="eastAsia"/>
                <w:kern w:val="2"/>
                <w:sz w:val="21"/>
                <w:szCs w:val="21"/>
              </w:rPr>
              <w:t>27</w:t>
            </w:r>
            <w:r>
              <w:rPr>
                <w:rFonts w:ascii="Times New Roman" w:cs="Times New Roman"/>
                <w:kern w:val="2"/>
                <w:sz w:val="21"/>
                <w:szCs w:val="21"/>
              </w:rPr>
              <w:t>×</w:t>
            </w:r>
            <w:r>
              <w:rPr>
                <w:rFonts w:ascii="Times New Roman" w:cs="Times New Roman"/>
                <w:bCs/>
                <w:kern w:val="2"/>
                <w:sz w:val="21"/>
                <w:szCs w:val="21"/>
              </w:rPr>
              <w:t>10</w:t>
            </w:r>
            <w:r>
              <w:rPr>
                <w:rFonts w:ascii="Times New Roman" w:cs="Times New Roman"/>
                <w:bCs/>
                <w:kern w:val="2"/>
                <w:sz w:val="21"/>
                <w:szCs w:val="21"/>
                <w:vertAlign w:val="superscript"/>
              </w:rPr>
              <w:t>-3</w:t>
            </w:r>
          </w:p>
        </w:tc>
        <w:tc>
          <w:tcPr>
            <w:tcW w:w="748"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kern w:val="2"/>
                <w:sz w:val="21"/>
                <w:szCs w:val="21"/>
              </w:rPr>
              <w:t>1.19</w:t>
            </w:r>
            <w:r>
              <w:rPr>
                <w:rFonts w:ascii="Times New Roman" w:cs="Times New Roman"/>
                <w:kern w:val="2"/>
                <w:sz w:val="21"/>
                <w:szCs w:val="21"/>
              </w:rPr>
              <w:t>×</w:t>
            </w:r>
            <w:r>
              <w:rPr>
                <w:rFonts w:ascii="Times New Roman" w:cs="Times New Roman"/>
                <w:bCs/>
                <w:kern w:val="2"/>
                <w:sz w:val="21"/>
                <w:szCs w:val="21"/>
              </w:rPr>
              <w:t>10</w:t>
            </w:r>
            <w:r>
              <w:rPr>
                <w:rFonts w:ascii="Times New Roman" w:cs="Times New Roman"/>
                <w:bCs/>
                <w:kern w:val="2"/>
                <w:sz w:val="21"/>
                <w:szCs w:val="21"/>
                <w:vertAlign w:val="superscript"/>
              </w:rPr>
              <w:t>-3</w:t>
            </w:r>
          </w:p>
        </w:tc>
        <w:tc>
          <w:tcPr>
            <w:tcW w:w="953"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kern w:val="2"/>
                <w:sz w:val="21"/>
                <w:szCs w:val="21"/>
              </w:rPr>
              <w:t>0.</w:t>
            </w:r>
            <w:r>
              <w:rPr>
                <w:rFonts w:ascii="Times New Roman" w:cs="Times New Roman" w:hint="eastAsia"/>
                <w:kern w:val="2"/>
                <w:sz w:val="21"/>
                <w:szCs w:val="21"/>
              </w:rPr>
              <w:t>52</w:t>
            </w:r>
            <w:r>
              <w:rPr>
                <w:rFonts w:ascii="Times New Roman" w:cs="Times New Roman"/>
                <w:kern w:val="2"/>
                <w:sz w:val="21"/>
                <w:szCs w:val="21"/>
              </w:rPr>
              <w:t>×</w:t>
            </w:r>
            <w:r>
              <w:rPr>
                <w:rFonts w:ascii="Times New Roman" w:cs="Times New Roman"/>
                <w:bCs/>
                <w:kern w:val="2"/>
                <w:sz w:val="21"/>
                <w:szCs w:val="21"/>
              </w:rPr>
              <w:t>10</w:t>
            </w:r>
            <w:r>
              <w:rPr>
                <w:rFonts w:ascii="Times New Roman" w:cs="Times New Roman"/>
                <w:bCs/>
                <w:kern w:val="2"/>
                <w:sz w:val="21"/>
                <w:szCs w:val="21"/>
                <w:vertAlign w:val="superscript"/>
              </w:rPr>
              <w:t>-3</w:t>
            </w:r>
          </w:p>
        </w:tc>
        <w:tc>
          <w:tcPr>
            <w:tcW w:w="867"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0.01</w:t>
            </w:r>
          </w:p>
        </w:tc>
      </w:tr>
      <w:tr w:rsidR="00BD5820">
        <w:trPr>
          <w:trHeight w:val="288"/>
          <w:jc w:val="center"/>
        </w:trPr>
        <w:tc>
          <w:tcPr>
            <w:tcW w:w="236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镉（</w:t>
            </w:r>
            <w:r>
              <w:rPr>
                <w:rFonts w:ascii="Times New Roman" w:hAnsi="宋体" w:cs="Times New Roman"/>
                <w:sz w:val="21"/>
              </w:rPr>
              <w:t>Cd</w:t>
            </w:r>
            <w:r>
              <w:rPr>
                <w:rFonts w:ascii="Times New Roman" w:hAnsi="宋体" w:cs="Times New Roman"/>
                <w:sz w:val="21"/>
              </w:rPr>
              <w:t>）</w:t>
            </w:r>
          </w:p>
        </w:tc>
        <w:tc>
          <w:tcPr>
            <w:tcW w:w="114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mg/L</w:t>
            </w:r>
            <w:r>
              <w:rPr>
                <w:rFonts w:ascii="Times New Roman" w:hAnsi="宋体" w:cs="Times New Roman"/>
                <w:sz w:val="21"/>
              </w:rPr>
              <w:t>）</w:t>
            </w:r>
          </w:p>
        </w:tc>
        <w:tc>
          <w:tcPr>
            <w:tcW w:w="749"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0.00005L</w:t>
            </w:r>
          </w:p>
        </w:tc>
        <w:tc>
          <w:tcPr>
            <w:tcW w:w="748"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0.00005L</w:t>
            </w:r>
          </w:p>
        </w:tc>
        <w:tc>
          <w:tcPr>
            <w:tcW w:w="953"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0.00005L</w:t>
            </w:r>
          </w:p>
        </w:tc>
        <w:tc>
          <w:tcPr>
            <w:tcW w:w="748"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0.00005L</w:t>
            </w:r>
          </w:p>
        </w:tc>
        <w:tc>
          <w:tcPr>
            <w:tcW w:w="953"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0.05</w:t>
            </w:r>
            <w:r>
              <w:rPr>
                <w:rFonts w:ascii="Times New Roman" w:hAnsi="宋体" w:cs="Times New Roman"/>
                <w:sz w:val="21"/>
              </w:rPr>
              <w:t>×</w:t>
            </w:r>
            <w:r>
              <w:rPr>
                <w:rFonts w:ascii="Times New Roman" w:cs="Times New Roman"/>
                <w:bCs/>
                <w:kern w:val="2"/>
                <w:sz w:val="21"/>
                <w:szCs w:val="21"/>
              </w:rPr>
              <w:t>10</w:t>
            </w:r>
            <w:r>
              <w:rPr>
                <w:rFonts w:ascii="Times New Roman" w:cs="Times New Roman"/>
                <w:bCs/>
                <w:kern w:val="2"/>
                <w:sz w:val="21"/>
                <w:szCs w:val="21"/>
                <w:vertAlign w:val="superscript"/>
              </w:rPr>
              <w:t>-3</w:t>
            </w:r>
          </w:p>
        </w:tc>
        <w:tc>
          <w:tcPr>
            <w:tcW w:w="867"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0.005</w:t>
            </w:r>
          </w:p>
        </w:tc>
      </w:tr>
      <w:tr w:rsidR="00BD5820">
        <w:trPr>
          <w:trHeight w:val="288"/>
          <w:jc w:val="center"/>
        </w:trPr>
        <w:tc>
          <w:tcPr>
            <w:tcW w:w="236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铬（六价）（</w:t>
            </w:r>
            <w:r>
              <w:rPr>
                <w:rFonts w:ascii="Times New Roman" w:hAnsi="宋体" w:cs="Times New Roman"/>
                <w:sz w:val="21"/>
              </w:rPr>
              <w:t>Cr</w:t>
            </w:r>
            <w:r>
              <w:rPr>
                <w:rFonts w:ascii="Times New Roman" w:hAnsi="宋体" w:cs="Times New Roman"/>
                <w:sz w:val="21"/>
                <w:vertAlign w:val="superscript"/>
              </w:rPr>
              <w:t>6+</w:t>
            </w:r>
            <w:r>
              <w:rPr>
                <w:rFonts w:ascii="Times New Roman" w:hAnsi="宋体" w:cs="Times New Roman"/>
                <w:sz w:val="21"/>
              </w:rPr>
              <w:t>）</w:t>
            </w:r>
          </w:p>
        </w:tc>
        <w:tc>
          <w:tcPr>
            <w:tcW w:w="114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mg/L</w:t>
            </w:r>
            <w:r>
              <w:rPr>
                <w:rFonts w:ascii="Times New Roman" w:hAnsi="宋体" w:cs="Times New Roman"/>
                <w:sz w:val="21"/>
              </w:rPr>
              <w:t>）</w:t>
            </w:r>
          </w:p>
        </w:tc>
        <w:tc>
          <w:tcPr>
            <w:tcW w:w="749" w:type="dxa"/>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0.004L</w:t>
            </w:r>
          </w:p>
        </w:tc>
        <w:tc>
          <w:tcPr>
            <w:tcW w:w="748"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0.004L</w:t>
            </w:r>
          </w:p>
        </w:tc>
        <w:tc>
          <w:tcPr>
            <w:tcW w:w="953"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0.004L</w:t>
            </w:r>
          </w:p>
        </w:tc>
        <w:tc>
          <w:tcPr>
            <w:tcW w:w="748"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0.004L</w:t>
            </w:r>
          </w:p>
        </w:tc>
        <w:tc>
          <w:tcPr>
            <w:tcW w:w="953"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0.004L</w:t>
            </w:r>
          </w:p>
        </w:tc>
        <w:tc>
          <w:tcPr>
            <w:tcW w:w="867"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0.05</w:t>
            </w:r>
          </w:p>
        </w:tc>
      </w:tr>
      <w:tr w:rsidR="00BD5820">
        <w:trPr>
          <w:trHeight w:val="288"/>
          <w:jc w:val="center"/>
        </w:trPr>
        <w:tc>
          <w:tcPr>
            <w:tcW w:w="236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铅（</w:t>
            </w:r>
            <w:r>
              <w:rPr>
                <w:rFonts w:ascii="Times New Roman" w:hAnsi="宋体" w:cs="Times New Roman"/>
                <w:sz w:val="21"/>
              </w:rPr>
              <w:t>Pb</w:t>
            </w:r>
            <w:r>
              <w:rPr>
                <w:rFonts w:ascii="Times New Roman" w:hAnsi="宋体" w:cs="Times New Roman"/>
                <w:sz w:val="21"/>
              </w:rPr>
              <w:t>）</w:t>
            </w:r>
          </w:p>
        </w:tc>
        <w:tc>
          <w:tcPr>
            <w:tcW w:w="114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mg/L</w:t>
            </w:r>
            <w:r>
              <w:rPr>
                <w:rFonts w:ascii="Times New Roman" w:hAnsi="宋体" w:cs="Times New Roman"/>
                <w:sz w:val="21"/>
              </w:rPr>
              <w:t>）</w:t>
            </w:r>
          </w:p>
        </w:tc>
        <w:tc>
          <w:tcPr>
            <w:tcW w:w="749"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0.00009L</w:t>
            </w:r>
          </w:p>
        </w:tc>
        <w:tc>
          <w:tcPr>
            <w:tcW w:w="748"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0.00009L</w:t>
            </w:r>
          </w:p>
        </w:tc>
        <w:tc>
          <w:tcPr>
            <w:tcW w:w="953"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0.00009L</w:t>
            </w:r>
          </w:p>
        </w:tc>
        <w:tc>
          <w:tcPr>
            <w:tcW w:w="748"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0.00009L</w:t>
            </w:r>
          </w:p>
        </w:tc>
        <w:tc>
          <w:tcPr>
            <w:tcW w:w="953"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0.00009L</w:t>
            </w:r>
          </w:p>
        </w:tc>
        <w:tc>
          <w:tcPr>
            <w:tcW w:w="867"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0.01</w:t>
            </w:r>
          </w:p>
        </w:tc>
      </w:tr>
      <w:tr w:rsidR="00BD5820">
        <w:trPr>
          <w:trHeight w:val="288"/>
          <w:jc w:val="center"/>
        </w:trPr>
        <w:tc>
          <w:tcPr>
            <w:tcW w:w="236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石油类</w:t>
            </w:r>
          </w:p>
        </w:tc>
        <w:tc>
          <w:tcPr>
            <w:tcW w:w="114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mg/L</w:t>
            </w:r>
            <w:r>
              <w:rPr>
                <w:rFonts w:ascii="Times New Roman" w:hAnsi="宋体" w:cs="Times New Roman"/>
                <w:sz w:val="21"/>
              </w:rPr>
              <w:t>）</w:t>
            </w:r>
          </w:p>
        </w:tc>
        <w:tc>
          <w:tcPr>
            <w:tcW w:w="749" w:type="dxa"/>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0.01L</w:t>
            </w:r>
          </w:p>
        </w:tc>
        <w:tc>
          <w:tcPr>
            <w:tcW w:w="748"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0.01L</w:t>
            </w:r>
          </w:p>
        </w:tc>
        <w:tc>
          <w:tcPr>
            <w:tcW w:w="953"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0.01L</w:t>
            </w:r>
          </w:p>
        </w:tc>
        <w:tc>
          <w:tcPr>
            <w:tcW w:w="748"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0.01L</w:t>
            </w:r>
          </w:p>
        </w:tc>
        <w:tc>
          <w:tcPr>
            <w:tcW w:w="953"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0.01L</w:t>
            </w:r>
          </w:p>
        </w:tc>
        <w:tc>
          <w:tcPr>
            <w:tcW w:w="867"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0.05</w:t>
            </w:r>
          </w:p>
        </w:tc>
      </w:tr>
      <w:tr w:rsidR="00BD5820">
        <w:trPr>
          <w:trHeight w:val="288"/>
          <w:jc w:val="center"/>
        </w:trPr>
        <w:tc>
          <w:tcPr>
            <w:tcW w:w="8522" w:type="dxa"/>
            <w:gridSpan w:val="8"/>
            <w:vAlign w:val="center"/>
          </w:tcPr>
          <w:p w:rsidR="00BD5820" w:rsidRDefault="00F64314">
            <w:pPr>
              <w:widowControl/>
              <w:topLinePunct w:val="0"/>
              <w:adjustRightInd/>
              <w:spacing w:line="240" w:lineRule="auto"/>
              <w:ind w:firstLineChars="0" w:firstLine="0"/>
              <w:rPr>
                <w:rFonts w:ascii="Times New Roman" w:hAnsi="宋体" w:cs="Times New Roman"/>
                <w:sz w:val="21"/>
              </w:rPr>
            </w:pPr>
            <w:r>
              <w:rPr>
                <w:rFonts w:ascii="Times New Roman" w:hAnsi="宋体" w:cs="Times New Roman"/>
                <w:sz w:val="21"/>
              </w:rPr>
              <w:t>备注：</w:t>
            </w:r>
            <w:r>
              <w:rPr>
                <w:rFonts w:ascii="Times New Roman" w:hAnsi="宋体" w:cs="Times New Roman"/>
                <w:sz w:val="21"/>
              </w:rPr>
              <w:t>L</w:t>
            </w:r>
            <w:r>
              <w:rPr>
                <w:rFonts w:ascii="Times New Roman" w:hAnsi="宋体" w:cs="Times New Roman"/>
                <w:sz w:val="21"/>
              </w:rPr>
              <w:t>表示检测结果低于方法检出限或未检出。</w:t>
            </w:r>
          </w:p>
        </w:tc>
      </w:tr>
    </w:tbl>
    <w:p w:rsidR="00BD5820" w:rsidRDefault="00F64314">
      <w:pPr>
        <w:ind w:firstLineChars="0" w:firstLine="0"/>
        <w:jc w:val="center"/>
        <w:rPr>
          <w:rFonts w:ascii="Times New Roman" w:cs="Times New Roman"/>
          <w:b/>
          <w:sz w:val="21"/>
          <w:szCs w:val="21"/>
        </w:rPr>
      </w:pPr>
      <w:r>
        <w:rPr>
          <w:rFonts w:ascii="Times New Roman" w:cs="Times New Roman"/>
          <w:b/>
          <w:sz w:val="21"/>
          <w:szCs w:val="21"/>
        </w:rPr>
        <w:t>表</w:t>
      </w:r>
      <w:r>
        <w:rPr>
          <w:rFonts w:ascii="Times New Roman" w:cs="Times New Roman"/>
          <w:b/>
          <w:sz w:val="21"/>
          <w:szCs w:val="21"/>
        </w:rPr>
        <w:t>5.5-</w:t>
      </w:r>
      <w:r>
        <w:rPr>
          <w:rFonts w:ascii="Times New Roman" w:cs="Times New Roman" w:hint="eastAsia"/>
          <w:b/>
          <w:sz w:val="21"/>
          <w:szCs w:val="21"/>
        </w:rPr>
        <w:t>4</w:t>
      </w:r>
      <w:r>
        <w:rPr>
          <w:rFonts w:ascii="Times New Roman" w:cs="Times New Roman"/>
          <w:b/>
          <w:sz w:val="21"/>
          <w:szCs w:val="21"/>
        </w:rPr>
        <w:t xml:space="preserve">  </w:t>
      </w:r>
      <w:r>
        <w:rPr>
          <w:rFonts w:ascii="Times New Roman" w:cs="Times New Roman" w:hint="eastAsia"/>
          <w:b/>
          <w:sz w:val="21"/>
          <w:szCs w:val="21"/>
        </w:rPr>
        <w:t>普</w:t>
      </w:r>
      <w:r>
        <w:rPr>
          <w:rFonts w:ascii="Times New Roman" w:cs="Times New Roman" w:hint="eastAsia"/>
          <w:b/>
          <w:sz w:val="21"/>
        </w:rPr>
        <w:t>光气田</w:t>
      </w:r>
      <w:r>
        <w:rPr>
          <w:rFonts w:ascii="Times New Roman" w:cs="Times New Roman" w:hint="eastAsia"/>
          <w:b/>
          <w:sz w:val="21"/>
        </w:rPr>
        <w:t>1#</w:t>
      </w:r>
      <w:r>
        <w:rPr>
          <w:rFonts w:ascii="Times New Roman" w:cs="Times New Roman" w:hint="eastAsia"/>
          <w:b/>
          <w:sz w:val="21"/>
        </w:rPr>
        <w:t>增压站所在地</w:t>
      </w:r>
      <w:r>
        <w:rPr>
          <w:rFonts w:ascii="Times New Roman" w:cs="Times New Roman"/>
          <w:b/>
          <w:sz w:val="21"/>
          <w:szCs w:val="21"/>
        </w:rPr>
        <w:t>地下水环境质量现状评价结果</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3466"/>
        <w:gridCol w:w="1010"/>
        <w:gridCol w:w="1010"/>
        <w:gridCol w:w="1012"/>
        <w:gridCol w:w="1012"/>
        <w:gridCol w:w="1012"/>
      </w:tblGrid>
      <w:tr w:rsidR="00BD5820">
        <w:trPr>
          <w:trHeight w:val="300"/>
          <w:jc w:val="center"/>
        </w:trPr>
        <w:tc>
          <w:tcPr>
            <w:tcW w:w="3466" w:type="dxa"/>
            <w:vMerge w:val="restart"/>
            <w:vAlign w:val="center"/>
          </w:tcPr>
          <w:p w:rsidR="00BD5820" w:rsidRDefault="00F64314">
            <w:pPr>
              <w:widowControl/>
              <w:topLinePunct w:val="0"/>
              <w:adjustRightInd/>
              <w:spacing w:line="240" w:lineRule="auto"/>
              <w:ind w:firstLineChars="0" w:firstLine="0"/>
              <w:jc w:val="center"/>
              <w:rPr>
                <w:rFonts w:ascii="Times New Roman" w:hAnsi="宋体" w:cs="Times New Roman"/>
                <w:b/>
                <w:sz w:val="21"/>
              </w:rPr>
            </w:pPr>
            <w:r>
              <w:rPr>
                <w:rFonts w:ascii="Times New Roman" w:hAnsi="宋体" w:cs="Times New Roman"/>
                <w:b/>
                <w:sz w:val="21"/>
              </w:rPr>
              <w:t>项目</w:t>
            </w:r>
          </w:p>
        </w:tc>
        <w:tc>
          <w:tcPr>
            <w:tcW w:w="5056" w:type="dxa"/>
            <w:gridSpan w:val="5"/>
          </w:tcPr>
          <w:p w:rsidR="00BD5820" w:rsidRDefault="00F64314">
            <w:pPr>
              <w:widowControl/>
              <w:topLinePunct w:val="0"/>
              <w:adjustRightInd/>
              <w:spacing w:line="240" w:lineRule="auto"/>
              <w:ind w:firstLineChars="0" w:firstLine="0"/>
              <w:jc w:val="center"/>
              <w:rPr>
                <w:rFonts w:ascii="Times New Roman" w:hAnsi="宋体" w:cs="Times New Roman"/>
                <w:b/>
                <w:sz w:val="21"/>
              </w:rPr>
            </w:pPr>
            <w:r>
              <w:rPr>
                <w:rFonts w:ascii="Times New Roman" w:hAnsi="宋体" w:cs="Times New Roman"/>
                <w:b/>
                <w:sz w:val="21"/>
              </w:rPr>
              <w:t>评价值</w:t>
            </w:r>
          </w:p>
        </w:tc>
      </w:tr>
      <w:tr w:rsidR="00BD5820">
        <w:trPr>
          <w:trHeight w:val="339"/>
          <w:jc w:val="center"/>
        </w:trPr>
        <w:tc>
          <w:tcPr>
            <w:tcW w:w="3466" w:type="dxa"/>
            <w:vMerge/>
            <w:vAlign w:val="center"/>
          </w:tcPr>
          <w:p w:rsidR="00BD5820" w:rsidRDefault="00BD5820">
            <w:pPr>
              <w:widowControl/>
              <w:topLinePunct w:val="0"/>
              <w:adjustRightInd/>
              <w:spacing w:line="240" w:lineRule="auto"/>
              <w:ind w:firstLineChars="0" w:firstLine="0"/>
              <w:jc w:val="left"/>
              <w:rPr>
                <w:rFonts w:ascii="Times New Roman" w:hAnsi="宋体" w:cs="Times New Roman"/>
                <w:b/>
                <w:sz w:val="21"/>
              </w:rPr>
            </w:pPr>
          </w:p>
        </w:tc>
        <w:tc>
          <w:tcPr>
            <w:tcW w:w="1010" w:type="dxa"/>
            <w:vAlign w:val="center"/>
          </w:tcPr>
          <w:p w:rsidR="00BD5820" w:rsidRDefault="00F64314">
            <w:pPr>
              <w:widowControl/>
              <w:topLinePunct w:val="0"/>
              <w:adjustRightInd/>
              <w:spacing w:line="240" w:lineRule="auto"/>
              <w:ind w:firstLineChars="0" w:firstLine="0"/>
              <w:jc w:val="center"/>
              <w:rPr>
                <w:rFonts w:ascii="Times New Roman" w:cs="Times New Roman"/>
                <w:b/>
                <w:sz w:val="21"/>
                <w:szCs w:val="21"/>
              </w:rPr>
            </w:pPr>
            <w:r>
              <w:rPr>
                <w:rFonts w:ascii="Times New Roman" w:cs="Times New Roman"/>
                <w:b/>
                <w:sz w:val="21"/>
                <w:szCs w:val="21"/>
              </w:rPr>
              <w:t>WX1</w:t>
            </w:r>
          </w:p>
        </w:tc>
        <w:tc>
          <w:tcPr>
            <w:tcW w:w="1010" w:type="dxa"/>
            <w:vAlign w:val="center"/>
          </w:tcPr>
          <w:p w:rsidR="00BD5820" w:rsidRDefault="00F64314">
            <w:pPr>
              <w:widowControl/>
              <w:topLinePunct w:val="0"/>
              <w:adjustRightInd/>
              <w:spacing w:line="240" w:lineRule="auto"/>
              <w:ind w:firstLineChars="0" w:firstLine="0"/>
              <w:jc w:val="center"/>
              <w:rPr>
                <w:rFonts w:ascii="Times New Roman" w:cs="Times New Roman"/>
                <w:b/>
                <w:sz w:val="21"/>
                <w:szCs w:val="21"/>
              </w:rPr>
            </w:pPr>
            <w:r>
              <w:rPr>
                <w:rFonts w:ascii="Times New Roman" w:cs="Times New Roman"/>
                <w:b/>
                <w:sz w:val="21"/>
                <w:szCs w:val="21"/>
              </w:rPr>
              <w:t>WX2</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cs="Times New Roman"/>
                <w:b/>
                <w:sz w:val="21"/>
                <w:szCs w:val="21"/>
              </w:rPr>
            </w:pPr>
            <w:r>
              <w:rPr>
                <w:rFonts w:ascii="Times New Roman" w:cs="Times New Roman"/>
                <w:b/>
                <w:sz w:val="21"/>
                <w:szCs w:val="21"/>
              </w:rPr>
              <w:t>WX3</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cs="Times New Roman"/>
                <w:b/>
                <w:sz w:val="21"/>
                <w:szCs w:val="21"/>
              </w:rPr>
            </w:pPr>
            <w:r>
              <w:rPr>
                <w:rFonts w:ascii="Times New Roman" w:cs="Times New Roman"/>
                <w:b/>
                <w:sz w:val="21"/>
                <w:szCs w:val="21"/>
              </w:rPr>
              <w:t>WX4</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cs="Times New Roman"/>
                <w:b/>
                <w:sz w:val="21"/>
                <w:szCs w:val="21"/>
              </w:rPr>
            </w:pPr>
            <w:r>
              <w:rPr>
                <w:rFonts w:ascii="Times New Roman" w:cs="Times New Roman"/>
                <w:b/>
                <w:sz w:val="21"/>
                <w:szCs w:val="21"/>
              </w:rPr>
              <w:t>WX5</w:t>
            </w:r>
          </w:p>
        </w:tc>
      </w:tr>
      <w:tr w:rsidR="00BD5820">
        <w:trPr>
          <w:trHeight w:val="279"/>
          <w:jc w:val="center"/>
        </w:trPr>
        <w:tc>
          <w:tcPr>
            <w:tcW w:w="3466"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pH</w:t>
            </w:r>
          </w:p>
        </w:tc>
        <w:tc>
          <w:tcPr>
            <w:tcW w:w="1010"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hAnsi="宋体" w:cs="Times New Roman" w:hint="eastAsia"/>
                <w:sz w:val="21"/>
              </w:rPr>
              <w:t>0.22</w:t>
            </w:r>
          </w:p>
        </w:tc>
        <w:tc>
          <w:tcPr>
            <w:tcW w:w="1010"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0.14</w:t>
            </w:r>
          </w:p>
        </w:tc>
        <w:tc>
          <w:tcPr>
            <w:tcW w:w="1012"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0.12</w:t>
            </w:r>
          </w:p>
        </w:tc>
        <w:tc>
          <w:tcPr>
            <w:tcW w:w="1012"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0.42</w:t>
            </w:r>
          </w:p>
        </w:tc>
        <w:tc>
          <w:tcPr>
            <w:tcW w:w="1012"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0.29</w:t>
            </w:r>
          </w:p>
        </w:tc>
      </w:tr>
      <w:tr w:rsidR="00BD5820">
        <w:trPr>
          <w:trHeight w:val="309"/>
          <w:jc w:val="center"/>
        </w:trPr>
        <w:tc>
          <w:tcPr>
            <w:tcW w:w="3466"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总硬度（以</w:t>
            </w:r>
            <w:r>
              <w:rPr>
                <w:rFonts w:ascii="Times New Roman" w:hAnsi="宋体" w:cs="Times New Roman"/>
                <w:sz w:val="21"/>
              </w:rPr>
              <w:t>CaCO</w:t>
            </w:r>
            <w:r>
              <w:rPr>
                <w:rFonts w:ascii="Times New Roman" w:hAnsi="宋体" w:cs="Times New Roman"/>
                <w:sz w:val="21"/>
                <w:vertAlign w:val="subscript"/>
              </w:rPr>
              <w:t>3</w:t>
            </w:r>
            <w:r>
              <w:rPr>
                <w:rFonts w:ascii="Times New Roman" w:hAnsi="宋体" w:cs="Times New Roman"/>
                <w:sz w:val="21"/>
              </w:rPr>
              <w:t>计）</w:t>
            </w:r>
          </w:p>
        </w:tc>
        <w:tc>
          <w:tcPr>
            <w:tcW w:w="1010"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0.52</w:t>
            </w:r>
          </w:p>
        </w:tc>
        <w:tc>
          <w:tcPr>
            <w:tcW w:w="1010"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0.51</w:t>
            </w:r>
          </w:p>
        </w:tc>
        <w:tc>
          <w:tcPr>
            <w:tcW w:w="1012"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0.49</w:t>
            </w:r>
          </w:p>
        </w:tc>
        <w:tc>
          <w:tcPr>
            <w:tcW w:w="1012"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0.52</w:t>
            </w:r>
          </w:p>
        </w:tc>
        <w:tc>
          <w:tcPr>
            <w:tcW w:w="1012"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0.49</w:t>
            </w:r>
          </w:p>
        </w:tc>
      </w:tr>
      <w:tr w:rsidR="00BD5820">
        <w:trPr>
          <w:trHeight w:val="309"/>
          <w:jc w:val="center"/>
        </w:trPr>
        <w:tc>
          <w:tcPr>
            <w:tcW w:w="3466"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溶解性总固体</w:t>
            </w:r>
          </w:p>
        </w:tc>
        <w:tc>
          <w:tcPr>
            <w:tcW w:w="1010"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0.64</w:t>
            </w:r>
          </w:p>
        </w:tc>
        <w:tc>
          <w:tcPr>
            <w:tcW w:w="1010"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bCs/>
                <w:kern w:val="2"/>
                <w:sz w:val="21"/>
                <w:szCs w:val="21"/>
              </w:rPr>
              <w:t>0.79</w:t>
            </w:r>
          </w:p>
        </w:tc>
        <w:tc>
          <w:tcPr>
            <w:tcW w:w="1012"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0.60</w:t>
            </w:r>
          </w:p>
        </w:tc>
        <w:tc>
          <w:tcPr>
            <w:tcW w:w="1012"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0.86</w:t>
            </w:r>
          </w:p>
        </w:tc>
        <w:tc>
          <w:tcPr>
            <w:tcW w:w="1012"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0.83</w:t>
            </w:r>
          </w:p>
        </w:tc>
      </w:tr>
      <w:tr w:rsidR="00BD5820">
        <w:trPr>
          <w:trHeight w:val="309"/>
          <w:jc w:val="center"/>
        </w:trPr>
        <w:tc>
          <w:tcPr>
            <w:tcW w:w="3466"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氯化物</w:t>
            </w:r>
          </w:p>
        </w:tc>
        <w:tc>
          <w:tcPr>
            <w:tcW w:w="1010"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0.04</w:t>
            </w:r>
          </w:p>
        </w:tc>
        <w:tc>
          <w:tcPr>
            <w:tcW w:w="1010"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0.01</w:t>
            </w:r>
          </w:p>
        </w:tc>
        <w:tc>
          <w:tcPr>
            <w:tcW w:w="1012"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0.01</w:t>
            </w:r>
          </w:p>
        </w:tc>
        <w:tc>
          <w:tcPr>
            <w:tcW w:w="1012"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bCs/>
                <w:kern w:val="2"/>
                <w:sz w:val="21"/>
                <w:szCs w:val="21"/>
              </w:rPr>
              <w:t>0.10</w:t>
            </w:r>
          </w:p>
        </w:tc>
        <w:tc>
          <w:tcPr>
            <w:tcW w:w="1012"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0.05</w:t>
            </w:r>
          </w:p>
        </w:tc>
      </w:tr>
      <w:tr w:rsidR="00BD5820">
        <w:trPr>
          <w:trHeight w:val="309"/>
          <w:jc w:val="center"/>
        </w:trPr>
        <w:tc>
          <w:tcPr>
            <w:tcW w:w="3466"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铁（</w:t>
            </w:r>
            <w:r>
              <w:rPr>
                <w:rFonts w:ascii="Times New Roman" w:hAnsi="宋体" w:cs="Times New Roman"/>
                <w:sz w:val="21"/>
              </w:rPr>
              <w:t>Fe</w:t>
            </w:r>
            <w:r>
              <w:rPr>
                <w:rFonts w:ascii="Times New Roman" w:hAnsi="宋体" w:cs="Times New Roman"/>
                <w:sz w:val="21"/>
              </w:rPr>
              <w:t>）</w:t>
            </w:r>
          </w:p>
        </w:tc>
        <w:tc>
          <w:tcPr>
            <w:tcW w:w="1010"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0.26</w:t>
            </w:r>
          </w:p>
        </w:tc>
        <w:tc>
          <w:tcPr>
            <w:tcW w:w="1010"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0.13</w:t>
            </w:r>
          </w:p>
        </w:tc>
        <w:tc>
          <w:tcPr>
            <w:tcW w:w="1012"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0.12</w:t>
            </w:r>
          </w:p>
        </w:tc>
        <w:tc>
          <w:tcPr>
            <w:tcW w:w="1012"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0.24</w:t>
            </w:r>
          </w:p>
        </w:tc>
        <w:tc>
          <w:tcPr>
            <w:tcW w:w="1012"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0.12</w:t>
            </w:r>
          </w:p>
        </w:tc>
      </w:tr>
      <w:tr w:rsidR="00BD5820">
        <w:trPr>
          <w:trHeight w:val="309"/>
          <w:jc w:val="center"/>
        </w:trPr>
        <w:tc>
          <w:tcPr>
            <w:tcW w:w="3466"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锰（</w:t>
            </w:r>
            <w:r>
              <w:rPr>
                <w:rFonts w:ascii="Times New Roman" w:hAnsi="宋体" w:cs="Times New Roman"/>
                <w:sz w:val="21"/>
              </w:rPr>
              <w:t>Mn</w:t>
            </w:r>
            <w:r>
              <w:rPr>
                <w:rFonts w:ascii="Times New Roman" w:hAnsi="宋体" w:cs="Times New Roman"/>
                <w:sz w:val="21"/>
              </w:rPr>
              <w:t>）</w:t>
            </w:r>
          </w:p>
        </w:tc>
        <w:tc>
          <w:tcPr>
            <w:tcW w:w="1010"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0.04</w:t>
            </w:r>
          </w:p>
        </w:tc>
        <w:tc>
          <w:tcPr>
            <w:tcW w:w="1010"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0.002</w:t>
            </w:r>
          </w:p>
        </w:tc>
        <w:tc>
          <w:tcPr>
            <w:tcW w:w="1012"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0.003</w:t>
            </w:r>
          </w:p>
        </w:tc>
        <w:tc>
          <w:tcPr>
            <w:tcW w:w="1012"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0.009</w:t>
            </w:r>
          </w:p>
        </w:tc>
        <w:tc>
          <w:tcPr>
            <w:tcW w:w="1012"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0.01</w:t>
            </w:r>
          </w:p>
        </w:tc>
      </w:tr>
      <w:tr w:rsidR="00BD5820">
        <w:trPr>
          <w:trHeight w:val="309"/>
          <w:jc w:val="center"/>
        </w:trPr>
        <w:tc>
          <w:tcPr>
            <w:tcW w:w="3466"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挥发酚</w:t>
            </w:r>
          </w:p>
        </w:tc>
        <w:tc>
          <w:tcPr>
            <w:tcW w:w="1010" w:type="dxa"/>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p>
        </w:tc>
        <w:tc>
          <w:tcPr>
            <w:tcW w:w="1010" w:type="dxa"/>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p>
        </w:tc>
      </w:tr>
      <w:tr w:rsidR="00BD5820">
        <w:trPr>
          <w:trHeight w:val="309"/>
          <w:jc w:val="center"/>
        </w:trPr>
        <w:tc>
          <w:tcPr>
            <w:tcW w:w="3466"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耗氧量</w:t>
            </w:r>
          </w:p>
        </w:tc>
        <w:tc>
          <w:tcPr>
            <w:tcW w:w="1010"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0.73</w:t>
            </w:r>
          </w:p>
        </w:tc>
        <w:tc>
          <w:tcPr>
            <w:tcW w:w="1010"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bCs/>
                <w:kern w:val="2"/>
                <w:sz w:val="21"/>
                <w:szCs w:val="21"/>
              </w:rPr>
              <w:t>0.4</w:t>
            </w:r>
          </w:p>
        </w:tc>
        <w:tc>
          <w:tcPr>
            <w:tcW w:w="1012"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0.6</w:t>
            </w:r>
          </w:p>
        </w:tc>
        <w:tc>
          <w:tcPr>
            <w:tcW w:w="1012"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0.5</w:t>
            </w:r>
          </w:p>
        </w:tc>
        <w:tc>
          <w:tcPr>
            <w:tcW w:w="1012"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0.67</w:t>
            </w:r>
          </w:p>
        </w:tc>
      </w:tr>
      <w:tr w:rsidR="00BD5820">
        <w:trPr>
          <w:trHeight w:val="309"/>
          <w:jc w:val="center"/>
        </w:trPr>
        <w:tc>
          <w:tcPr>
            <w:tcW w:w="3466"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硝酸盐（以</w:t>
            </w:r>
            <w:r>
              <w:rPr>
                <w:rFonts w:ascii="Times New Roman" w:hAnsi="宋体" w:cs="Times New Roman"/>
                <w:sz w:val="21"/>
              </w:rPr>
              <w:t>N</w:t>
            </w:r>
            <w:r>
              <w:rPr>
                <w:rFonts w:ascii="Times New Roman" w:hAnsi="宋体" w:cs="Times New Roman"/>
                <w:sz w:val="21"/>
              </w:rPr>
              <w:t>计）</w:t>
            </w:r>
          </w:p>
        </w:tc>
        <w:tc>
          <w:tcPr>
            <w:tcW w:w="1010"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bCs/>
                <w:kern w:val="2"/>
                <w:sz w:val="21"/>
                <w:szCs w:val="21"/>
              </w:rPr>
              <w:t>0.</w:t>
            </w:r>
            <w:r>
              <w:rPr>
                <w:rFonts w:ascii="Times New Roman" w:cs="Times New Roman" w:hint="eastAsia"/>
                <w:bCs/>
                <w:kern w:val="2"/>
                <w:sz w:val="21"/>
                <w:szCs w:val="21"/>
              </w:rPr>
              <w:t>048</w:t>
            </w:r>
          </w:p>
        </w:tc>
        <w:tc>
          <w:tcPr>
            <w:tcW w:w="1010"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0.066</w:t>
            </w:r>
          </w:p>
        </w:tc>
        <w:tc>
          <w:tcPr>
            <w:tcW w:w="1012"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0.066</w:t>
            </w:r>
          </w:p>
        </w:tc>
        <w:tc>
          <w:tcPr>
            <w:tcW w:w="1012"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0.163</w:t>
            </w:r>
          </w:p>
        </w:tc>
        <w:tc>
          <w:tcPr>
            <w:tcW w:w="1012"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bCs/>
                <w:kern w:val="2"/>
                <w:sz w:val="21"/>
                <w:szCs w:val="21"/>
              </w:rPr>
              <w:t>0.</w:t>
            </w:r>
            <w:r>
              <w:rPr>
                <w:rFonts w:ascii="Times New Roman" w:cs="Times New Roman" w:hint="eastAsia"/>
                <w:bCs/>
                <w:kern w:val="2"/>
                <w:sz w:val="21"/>
                <w:szCs w:val="21"/>
              </w:rPr>
              <w:t>049</w:t>
            </w:r>
          </w:p>
        </w:tc>
      </w:tr>
      <w:tr w:rsidR="00BD5820">
        <w:trPr>
          <w:trHeight w:val="309"/>
          <w:jc w:val="center"/>
        </w:trPr>
        <w:tc>
          <w:tcPr>
            <w:tcW w:w="3466"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亚硝酸盐（以</w:t>
            </w:r>
            <w:r>
              <w:rPr>
                <w:rFonts w:ascii="Times New Roman" w:hAnsi="宋体" w:cs="Times New Roman"/>
                <w:sz w:val="21"/>
              </w:rPr>
              <w:t>N</w:t>
            </w:r>
            <w:r>
              <w:rPr>
                <w:rFonts w:ascii="Times New Roman" w:hAnsi="宋体" w:cs="Times New Roman"/>
                <w:sz w:val="21"/>
              </w:rPr>
              <w:t>计）</w:t>
            </w:r>
          </w:p>
        </w:tc>
        <w:tc>
          <w:tcPr>
            <w:tcW w:w="1010" w:type="dxa"/>
            <w:vAlign w:val="center"/>
          </w:tcPr>
          <w:p w:rsidR="00BD5820" w:rsidRDefault="00F64314">
            <w:pPr>
              <w:topLinePunct w:val="0"/>
              <w:spacing w:line="240" w:lineRule="auto"/>
              <w:ind w:firstLineChars="0" w:firstLine="0"/>
              <w:jc w:val="center"/>
              <w:rPr>
                <w:rFonts w:ascii="Times New Roman" w:hAnsi="宋体" w:cs="Times New Roman"/>
                <w:bCs/>
                <w:kern w:val="2"/>
                <w:sz w:val="21"/>
              </w:rPr>
            </w:pPr>
            <w:r>
              <w:rPr>
                <w:rFonts w:ascii="Times New Roman" w:hAnsi="宋体" w:cs="Times New Roman"/>
                <w:kern w:val="2"/>
                <w:sz w:val="21"/>
              </w:rPr>
              <w:t>0.004</w:t>
            </w:r>
          </w:p>
        </w:tc>
        <w:tc>
          <w:tcPr>
            <w:tcW w:w="1010" w:type="dxa"/>
            <w:vAlign w:val="center"/>
          </w:tcPr>
          <w:p w:rsidR="00BD5820" w:rsidRDefault="00F64314">
            <w:pPr>
              <w:topLinePunct w:val="0"/>
              <w:spacing w:line="240" w:lineRule="auto"/>
              <w:ind w:firstLineChars="0" w:firstLine="0"/>
              <w:jc w:val="center"/>
              <w:rPr>
                <w:rFonts w:ascii="Times New Roman" w:hAnsi="宋体" w:cs="Times New Roman"/>
                <w:bCs/>
                <w:kern w:val="2"/>
                <w:sz w:val="21"/>
              </w:rPr>
            </w:pPr>
            <w:r>
              <w:rPr>
                <w:rFonts w:ascii="Times New Roman" w:hAnsi="宋体" w:cs="Times New Roman"/>
                <w:kern w:val="2"/>
                <w:sz w:val="21"/>
              </w:rPr>
              <w:t>0.002</w:t>
            </w:r>
          </w:p>
        </w:tc>
        <w:tc>
          <w:tcPr>
            <w:tcW w:w="1012" w:type="dxa"/>
            <w:vAlign w:val="center"/>
          </w:tcPr>
          <w:p w:rsidR="00BD5820" w:rsidRDefault="00F64314">
            <w:pPr>
              <w:topLinePunct w:val="0"/>
              <w:snapToGrid w:val="0"/>
              <w:spacing w:line="240" w:lineRule="auto"/>
              <w:ind w:firstLineChars="0" w:firstLine="0"/>
              <w:jc w:val="center"/>
              <w:rPr>
                <w:rFonts w:ascii="Times New Roman" w:hAnsi="宋体" w:cs="Times New Roman"/>
                <w:bCs/>
                <w:kern w:val="2"/>
                <w:sz w:val="21"/>
              </w:rPr>
            </w:pPr>
            <w:r>
              <w:rPr>
                <w:rFonts w:ascii="Times New Roman" w:hAnsi="宋体" w:cs="Times New Roman"/>
                <w:kern w:val="2"/>
                <w:sz w:val="21"/>
              </w:rPr>
              <w:t>0.002</w:t>
            </w:r>
          </w:p>
        </w:tc>
        <w:tc>
          <w:tcPr>
            <w:tcW w:w="1012" w:type="dxa"/>
            <w:vAlign w:val="center"/>
          </w:tcPr>
          <w:p w:rsidR="00BD5820" w:rsidRDefault="00F64314">
            <w:pPr>
              <w:topLinePunct w:val="0"/>
              <w:snapToGrid w:val="0"/>
              <w:spacing w:line="240" w:lineRule="auto"/>
              <w:ind w:firstLineChars="0" w:firstLine="0"/>
              <w:jc w:val="center"/>
              <w:rPr>
                <w:rFonts w:ascii="Times New Roman" w:hAnsi="宋体" w:cs="Times New Roman"/>
                <w:bCs/>
                <w:kern w:val="2"/>
                <w:sz w:val="21"/>
              </w:rPr>
            </w:pPr>
            <w:r>
              <w:rPr>
                <w:rFonts w:ascii="Times New Roman" w:hAnsi="宋体" w:cs="Times New Roman"/>
                <w:kern w:val="2"/>
                <w:sz w:val="21"/>
              </w:rPr>
              <w:t>0.033</w:t>
            </w:r>
          </w:p>
        </w:tc>
        <w:tc>
          <w:tcPr>
            <w:tcW w:w="1012" w:type="dxa"/>
            <w:vAlign w:val="center"/>
          </w:tcPr>
          <w:p w:rsidR="00BD5820" w:rsidRDefault="00F64314">
            <w:pPr>
              <w:topLinePunct w:val="0"/>
              <w:snapToGrid w:val="0"/>
              <w:spacing w:line="240" w:lineRule="auto"/>
              <w:ind w:firstLineChars="0" w:firstLine="0"/>
              <w:jc w:val="center"/>
              <w:rPr>
                <w:rFonts w:ascii="Times New Roman" w:hAnsi="宋体" w:cs="Times New Roman"/>
                <w:bCs/>
                <w:kern w:val="2"/>
                <w:sz w:val="21"/>
              </w:rPr>
            </w:pPr>
            <w:r>
              <w:rPr>
                <w:rFonts w:ascii="Times New Roman" w:hAnsi="宋体" w:cs="Times New Roman"/>
                <w:kern w:val="2"/>
                <w:sz w:val="21"/>
              </w:rPr>
              <w:t>0.011</w:t>
            </w:r>
          </w:p>
        </w:tc>
      </w:tr>
      <w:tr w:rsidR="00BD5820">
        <w:trPr>
          <w:trHeight w:val="309"/>
          <w:jc w:val="center"/>
        </w:trPr>
        <w:tc>
          <w:tcPr>
            <w:tcW w:w="3466"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硫酸盐</w:t>
            </w:r>
          </w:p>
        </w:tc>
        <w:tc>
          <w:tcPr>
            <w:tcW w:w="1010"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0.11</w:t>
            </w:r>
          </w:p>
        </w:tc>
        <w:tc>
          <w:tcPr>
            <w:tcW w:w="1010"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bCs/>
                <w:kern w:val="2"/>
                <w:sz w:val="21"/>
                <w:szCs w:val="21"/>
              </w:rPr>
              <w:t>0.11</w:t>
            </w:r>
          </w:p>
        </w:tc>
        <w:tc>
          <w:tcPr>
            <w:tcW w:w="1012"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bCs/>
                <w:kern w:val="2"/>
                <w:sz w:val="21"/>
                <w:szCs w:val="21"/>
              </w:rPr>
              <w:t>0.05</w:t>
            </w:r>
          </w:p>
        </w:tc>
        <w:tc>
          <w:tcPr>
            <w:tcW w:w="1012"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bCs/>
                <w:kern w:val="2"/>
                <w:sz w:val="21"/>
                <w:szCs w:val="21"/>
              </w:rPr>
              <w:t>0.09</w:t>
            </w:r>
          </w:p>
        </w:tc>
        <w:tc>
          <w:tcPr>
            <w:tcW w:w="1012"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0.05</w:t>
            </w:r>
          </w:p>
        </w:tc>
      </w:tr>
      <w:tr w:rsidR="00BD5820">
        <w:trPr>
          <w:trHeight w:val="309"/>
          <w:jc w:val="center"/>
        </w:trPr>
        <w:tc>
          <w:tcPr>
            <w:tcW w:w="3466" w:type="dxa"/>
            <w:vAlign w:val="center"/>
          </w:tcPr>
          <w:p w:rsidR="00BD5820" w:rsidRDefault="00F64314">
            <w:pPr>
              <w:widowControl/>
              <w:topLinePunct w:val="0"/>
              <w:adjustRightInd/>
              <w:spacing w:line="240" w:lineRule="auto"/>
              <w:ind w:firstLineChars="0" w:firstLine="0"/>
              <w:jc w:val="center"/>
              <w:rPr>
                <w:rFonts w:ascii="Times New Roman" w:hAnsi="宋体" w:cs="Times New Roman"/>
                <w:kern w:val="2"/>
                <w:sz w:val="21"/>
              </w:rPr>
            </w:pPr>
            <w:r>
              <w:rPr>
                <w:rFonts w:ascii="Times New Roman" w:hAnsi="宋体" w:cs="Times New Roman"/>
                <w:sz w:val="21"/>
              </w:rPr>
              <w:t>总大肠菌群</w:t>
            </w:r>
          </w:p>
        </w:tc>
        <w:tc>
          <w:tcPr>
            <w:tcW w:w="1010" w:type="dxa"/>
            <w:vAlign w:val="center"/>
          </w:tcPr>
          <w:p w:rsidR="00BD5820" w:rsidRDefault="00F64314">
            <w:pPr>
              <w:topLinePunct w:val="0"/>
              <w:snapToGrid w:val="0"/>
              <w:spacing w:line="240" w:lineRule="auto"/>
              <w:ind w:firstLineChars="0" w:firstLine="0"/>
              <w:jc w:val="center"/>
              <w:rPr>
                <w:rFonts w:ascii="Times New Roman" w:hAnsi="宋体" w:cs="Times New Roman"/>
                <w:bCs/>
                <w:kern w:val="2"/>
                <w:sz w:val="21"/>
              </w:rPr>
            </w:pPr>
            <w:r>
              <w:rPr>
                <w:rFonts w:ascii="Times New Roman" w:hAnsi="宋体" w:cs="Times New Roman" w:hint="eastAsia"/>
                <w:bCs/>
                <w:kern w:val="2"/>
                <w:sz w:val="21"/>
              </w:rPr>
              <w:t>0.13</w:t>
            </w:r>
          </w:p>
        </w:tc>
        <w:tc>
          <w:tcPr>
            <w:tcW w:w="1010" w:type="dxa"/>
            <w:vAlign w:val="center"/>
          </w:tcPr>
          <w:p w:rsidR="00BD5820" w:rsidRDefault="00F64314">
            <w:pPr>
              <w:topLinePunct w:val="0"/>
              <w:snapToGrid w:val="0"/>
              <w:spacing w:line="240" w:lineRule="auto"/>
              <w:ind w:firstLineChars="0" w:firstLine="0"/>
              <w:jc w:val="center"/>
              <w:rPr>
                <w:rFonts w:ascii="Times New Roman" w:hAnsi="宋体" w:cs="Times New Roman"/>
                <w:bCs/>
                <w:kern w:val="2"/>
                <w:sz w:val="21"/>
              </w:rPr>
            </w:pPr>
            <w:r>
              <w:rPr>
                <w:rFonts w:ascii="Times New Roman" w:hAnsi="宋体" w:cs="Times New Roman"/>
                <w:sz w:val="21"/>
              </w:rPr>
              <w:t>/</w:t>
            </w:r>
          </w:p>
        </w:tc>
        <w:tc>
          <w:tcPr>
            <w:tcW w:w="1012" w:type="dxa"/>
            <w:vAlign w:val="center"/>
          </w:tcPr>
          <w:p w:rsidR="00BD5820" w:rsidRDefault="00F64314">
            <w:pPr>
              <w:topLinePunct w:val="0"/>
              <w:snapToGrid w:val="0"/>
              <w:spacing w:line="240" w:lineRule="auto"/>
              <w:ind w:firstLineChars="0" w:firstLine="0"/>
              <w:jc w:val="center"/>
              <w:rPr>
                <w:rFonts w:ascii="Times New Roman" w:hAnsi="宋体" w:cs="Times New Roman"/>
                <w:bCs/>
                <w:kern w:val="2"/>
                <w:sz w:val="21"/>
              </w:rPr>
            </w:pPr>
            <w:r>
              <w:rPr>
                <w:rFonts w:ascii="Times New Roman" w:hAnsi="宋体" w:cs="Times New Roman" w:hint="eastAsia"/>
                <w:bCs/>
                <w:kern w:val="2"/>
                <w:sz w:val="21"/>
              </w:rPr>
              <w:t>0.07</w:t>
            </w:r>
          </w:p>
        </w:tc>
        <w:tc>
          <w:tcPr>
            <w:tcW w:w="1012" w:type="dxa"/>
            <w:vAlign w:val="center"/>
          </w:tcPr>
          <w:p w:rsidR="00BD5820" w:rsidRDefault="00F64314">
            <w:pPr>
              <w:topLinePunct w:val="0"/>
              <w:snapToGrid w:val="0"/>
              <w:spacing w:line="240" w:lineRule="auto"/>
              <w:ind w:firstLineChars="0" w:firstLine="0"/>
              <w:jc w:val="center"/>
              <w:rPr>
                <w:rFonts w:ascii="Times New Roman" w:hAnsi="宋体" w:cs="Times New Roman"/>
                <w:bCs/>
                <w:kern w:val="2"/>
                <w:sz w:val="21"/>
              </w:rPr>
            </w:pPr>
            <w:r>
              <w:rPr>
                <w:rFonts w:ascii="Times New Roman" w:hAnsi="宋体" w:cs="Times New Roman"/>
                <w:sz w:val="21"/>
              </w:rPr>
              <w:t>/</w:t>
            </w:r>
          </w:p>
        </w:tc>
        <w:tc>
          <w:tcPr>
            <w:tcW w:w="1012" w:type="dxa"/>
            <w:vAlign w:val="center"/>
          </w:tcPr>
          <w:p w:rsidR="00BD5820" w:rsidRDefault="00F64314">
            <w:pPr>
              <w:topLinePunct w:val="0"/>
              <w:snapToGrid w:val="0"/>
              <w:spacing w:line="240" w:lineRule="auto"/>
              <w:ind w:firstLineChars="0" w:firstLine="0"/>
              <w:jc w:val="center"/>
              <w:rPr>
                <w:rFonts w:ascii="Times New Roman" w:hAnsi="宋体" w:cs="Times New Roman"/>
                <w:bCs/>
                <w:kern w:val="2"/>
                <w:sz w:val="21"/>
              </w:rPr>
            </w:pPr>
            <w:r>
              <w:rPr>
                <w:rFonts w:ascii="Times New Roman" w:hAnsi="宋体" w:cs="Times New Roman" w:hint="eastAsia"/>
                <w:bCs/>
                <w:kern w:val="2"/>
                <w:sz w:val="21"/>
              </w:rPr>
              <w:t>0.07</w:t>
            </w:r>
          </w:p>
        </w:tc>
      </w:tr>
      <w:tr w:rsidR="00BD5820">
        <w:trPr>
          <w:trHeight w:val="309"/>
          <w:jc w:val="center"/>
        </w:trPr>
        <w:tc>
          <w:tcPr>
            <w:tcW w:w="3466"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菌落总数</w:t>
            </w:r>
          </w:p>
        </w:tc>
        <w:tc>
          <w:tcPr>
            <w:tcW w:w="1010"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0.17</w:t>
            </w:r>
          </w:p>
        </w:tc>
        <w:tc>
          <w:tcPr>
            <w:tcW w:w="1010"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0.18</w:t>
            </w:r>
          </w:p>
        </w:tc>
        <w:tc>
          <w:tcPr>
            <w:tcW w:w="1012"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0.22</w:t>
            </w:r>
          </w:p>
        </w:tc>
        <w:tc>
          <w:tcPr>
            <w:tcW w:w="1012"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0.12</w:t>
            </w:r>
          </w:p>
        </w:tc>
        <w:tc>
          <w:tcPr>
            <w:tcW w:w="1012"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0.20</w:t>
            </w:r>
          </w:p>
        </w:tc>
      </w:tr>
      <w:tr w:rsidR="00BD5820">
        <w:trPr>
          <w:trHeight w:val="309"/>
          <w:jc w:val="center"/>
        </w:trPr>
        <w:tc>
          <w:tcPr>
            <w:tcW w:w="3466"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氨氮</w:t>
            </w:r>
          </w:p>
        </w:tc>
        <w:tc>
          <w:tcPr>
            <w:tcW w:w="1010"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bCs/>
                <w:kern w:val="2"/>
                <w:sz w:val="21"/>
                <w:szCs w:val="21"/>
              </w:rPr>
              <w:t>0.</w:t>
            </w:r>
            <w:r>
              <w:rPr>
                <w:rFonts w:ascii="Times New Roman" w:cs="Times New Roman" w:hint="eastAsia"/>
                <w:bCs/>
                <w:kern w:val="2"/>
                <w:sz w:val="21"/>
                <w:szCs w:val="21"/>
              </w:rPr>
              <w:t>29</w:t>
            </w:r>
          </w:p>
        </w:tc>
        <w:tc>
          <w:tcPr>
            <w:tcW w:w="1010"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bCs/>
                <w:kern w:val="2"/>
                <w:sz w:val="21"/>
                <w:szCs w:val="21"/>
              </w:rPr>
              <w:t>0.</w:t>
            </w:r>
            <w:r>
              <w:rPr>
                <w:rFonts w:ascii="Times New Roman" w:cs="Times New Roman" w:hint="eastAsia"/>
                <w:bCs/>
                <w:kern w:val="2"/>
                <w:sz w:val="21"/>
                <w:szCs w:val="21"/>
              </w:rPr>
              <w:t>24</w:t>
            </w:r>
          </w:p>
        </w:tc>
        <w:tc>
          <w:tcPr>
            <w:tcW w:w="1012"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0.26</w:t>
            </w:r>
          </w:p>
        </w:tc>
        <w:tc>
          <w:tcPr>
            <w:tcW w:w="1012"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bCs/>
                <w:kern w:val="2"/>
                <w:sz w:val="21"/>
                <w:szCs w:val="21"/>
              </w:rPr>
              <w:t>0.</w:t>
            </w:r>
            <w:r>
              <w:rPr>
                <w:rFonts w:ascii="Times New Roman" w:cs="Times New Roman" w:hint="eastAsia"/>
                <w:bCs/>
                <w:kern w:val="2"/>
                <w:sz w:val="21"/>
                <w:szCs w:val="21"/>
              </w:rPr>
              <w:t>33</w:t>
            </w:r>
          </w:p>
        </w:tc>
        <w:tc>
          <w:tcPr>
            <w:tcW w:w="1012"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bCs/>
                <w:kern w:val="2"/>
                <w:sz w:val="21"/>
                <w:szCs w:val="21"/>
              </w:rPr>
              <w:t>0.</w:t>
            </w:r>
            <w:r>
              <w:rPr>
                <w:rFonts w:ascii="Times New Roman" w:cs="Times New Roman" w:hint="eastAsia"/>
                <w:bCs/>
                <w:kern w:val="2"/>
                <w:sz w:val="21"/>
                <w:szCs w:val="21"/>
              </w:rPr>
              <w:t>42</w:t>
            </w:r>
          </w:p>
        </w:tc>
      </w:tr>
      <w:tr w:rsidR="00BD5820">
        <w:trPr>
          <w:trHeight w:val="309"/>
          <w:jc w:val="center"/>
        </w:trPr>
        <w:tc>
          <w:tcPr>
            <w:tcW w:w="3466"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氟化物</w:t>
            </w:r>
          </w:p>
        </w:tc>
        <w:tc>
          <w:tcPr>
            <w:tcW w:w="1010" w:type="dxa"/>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p>
        </w:tc>
        <w:tc>
          <w:tcPr>
            <w:tcW w:w="1010" w:type="dxa"/>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p>
        </w:tc>
      </w:tr>
      <w:tr w:rsidR="00BD5820">
        <w:trPr>
          <w:trHeight w:val="309"/>
          <w:jc w:val="center"/>
        </w:trPr>
        <w:tc>
          <w:tcPr>
            <w:tcW w:w="3466"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氰化物</w:t>
            </w:r>
          </w:p>
        </w:tc>
        <w:tc>
          <w:tcPr>
            <w:tcW w:w="1010" w:type="dxa"/>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p>
        </w:tc>
        <w:tc>
          <w:tcPr>
            <w:tcW w:w="1010" w:type="dxa"/>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p>
        </w:tc>
      </w:tr>
      <w:tr w:rsidR="00BD5820">
        <w:trPr>
          <w:trHeight w:val="309"/>
          <w:jc w:val="center"/>
        </w:trPr>
        <w:tc>
          <w:tcPr>
            <w:tcW w:w="3466"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汞（</w:t>
            </w:r>
            <w:r>
              <w:rPr>
                <w:rFonts w:ascii="Times New Roman" w:hAnsi="宋体" w:cs="Times New Roman"/>
                <w:sz w:val="21"/>
              </w:rPr>
              <w:t>Hg</w:t>
            </w:r>
            <w:r>
              <w:rPr>
                <w:rFonts w:ascii="Times New Roman" w:hAnsi="宋体" w:cs="Times New Roman"/>
                <w:sz w:val="21"/>
              </w:rPr>
              <w:t>）</w:t>
            </w:r>
          </w:p>
        </w:tc>
        <w:tc>
          <w:tcPr>
            <w:tcW w:w="1010"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21"/>
              </w:rPr>
            </w:pPr>
            <w:r>
              <w:rPr>
                <w:rFonts w:ascii="Times New Roman" w:hAnsi="宋体" w:cs="Times New Roman"/>
                <w:sz w:val="21"/>
              </w:rPr>
              <w:t>/</w:t>
            </w:r>
          </w:p>
        </w:tc>
        <w:tc>
          <w:tcPr>
            <w:tcW w:w="1010"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0.11</w:t>
            </w:r>
          </w:p>
        </w:tc>
        <w:tc>
          <w:tcPr>
            <w:tcW w:w="1012"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0.</w:t>
            </w:r>
            <w:r>
              <w:rPr>
                <w:rFonts w:ascii="Times New Roman" w:cs="Times New Roman" w:hint="eastAsia"/>
                <w:kern w:val="2"/>
                <w:sz w:val="21"/>
                <w:szCs w:val="21"/>
              </w:rPr>
              <w:t>05</w:t>
            </w:r>
          </w:p>
        </w:tc>
        <w:tc>
          <w:tcPr>
            <w:tcW w:w="1012"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0.</w:t>
            </w:r>
            <w:r>
              <w:rPr>
                <w:rFonts w:ascii="Times New Roman" w:cs="Times New Roman" w:hint="eastAsia"/>
                <w:kern w:val="2"/>
                <w:sz w:val="21"/>
                <w:szCs w:val="21"/>
              </w:rPr>
              <w:t>14</w:t>
            </w:r>
          </w:p>
        </w:tc>
        <w:tc>
          <w:tcPr>
            <w:tcW w:w="1012"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21"/>
              </w:rPr>
            </w:pPr>
            <w:r>
              <w:rPr>
                <w:rFonts w:ascii="Times New Roman" w:cs="Times New Roman"/>
                <w:kern w:val="2"/>
                <w:sz w:val="21"/>
                <w:szCs w:val="21"/>
              </w:rPr>
              <w:t>0.</w:t>
            </w:r>
            <w:r>
              <w:rPr>
                <w:rFonts w:ascii="Times New Roman" w:cs="Times New Roman" w:hint="eastAsia"/>
                <w:kern w:val="2"/>
                <w:sz w:val="21"/>
                <w:szCs w:val="21"/>
              </w:rPr>
              <w:t>06</w:t>
            </w:r>
          </w:p>
        </w:tc>
      </w:tr>
      <w:tr w:rsidR="00BD5820">
        <w:trPr>
          <w:trHeight w:val="309"/>
          <w:jc w:val="center"/>
        </w:trPr>
        <w:tc>
          <w:tcPr>
            <w:tcW w:w="3466"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砷（</w:t>
            </w:r>
            <w:r>
              <w:rPr>
                <w:rFonts w:ascii="Times New Roman" w:hAnsi="宋体" w:cs="Times New Roman"/>
                <w:sz w:val="21"/>
              </w:rPr>
              <w:t>As</w:t>
            </w:r>
            <w:r>
              <w:rPr>
                <w:rFonts w:ascii="Times New Roman" w:hAnsi="宋体" w:cs="Times New Roman"/>
                <w:sz w:val="21"/>
              </w:rPr>
              <w:t>）</w:t>
            </w:r>
          </w:p>
        </w:tc>
        <w:tc>
          <w:tcPr>
            <w:tcW w:w="1010" w:type="dxa"/>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kern w:val="2"/>
                <w:sz w:val="21"/>
                <w:szCs w:val="21"/>
              </w:rPr>
              <w:t>0.14</w:t>
            </w:r>
          </w:p>
        </w:tc>
        <w:tc>
          <w:tcPr>
            <w:tcW w:w="1010"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kern w:val="2"/>
                <w:sz w:val="21"/>
                <w:szCs w:val="21"/>
              </w:rPr>
              <w:t>0.26</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kern w:val="2"/>
                <w:sz w:val="21"/>
                <w:szCs w:val="21"/>
              </w:rPr>
              <w:t>0.</w:t>
            </w:r>
            <w:r>
              <w:rPr>
                <w:rFonts w:ascii="Times New Roman" w:cs="Times New Roman" w:hint="eastAsia"/>
                <w:kern w:val="2"/>
                <w:sz w:val="21"/>
                <w:szCs w:val="21"/>
              </w:rPr>
              <w:t>03</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kern w:val="2"/>
                <w:sz w:val="21"/>
                <w:szCs w:val="21"/>
              </w:rPr>
              <w:t>0.12</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kern w:val="2"/>
                <w:sz w:val="21"/>
                <w:szCs w:val="21"/>
              </w:rPr>
              <w:t>0.05</w:t>
            </w:r>
          </w:p>
        </w:tc>
      </w:tr>
      <w:tr w:rsidR="00BD5820">
        <w:trPr>
          <w:trHeight w:val="309"/>
          <w:jc w:val="center"/>
        </w:trPr>
        <w:tc>
          <w:tcPr>
            <w:tcW w:w="3466"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镉（</w:t>
            </w:r>
            <w:r>
              <w:rPr>
                <w:rFonts w:ascii="Times New Roman" w:hAnsi="宋体" w:cs="Times New Roman"/>
                <w:sz w:val="21"/>
              </w:rPr>
              <w:t>Cd</w:t>
            </w:r>
            <w:r>
              <w:rPr>
                <w:rFonts w:ascii="Times New Roman" w:hAnsi="宋体" w:cs="Times New Roman"/>
                <w:sz w:val="21"/>
              </w:rPr>
              <w:t>）</w:t>
            </w:r>
          </w:p>
        </w:tc>
        <w:tc>
          <w:tcPr>
            <w:tcW w:w="1010" w:type="dxa"/>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p>
        </w:tc>
        <w:tc>
          <w:tcPr>
            <w:tcW w:w="1010" w:type="dxa"/>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0.0</w:t>
            </w:r>
            <w:r>
              <w:rPr>
                <w:rFonts w:ascii="Times New Roman" w:hAnsi="宋体" w:cs="Times New Roman" w:hint="eastAsia"/>
                <w:sz w:val="21"/>
              </w:rPr>
              <w:t>1</w:t>
            </w:r>
          </w:p>
        </w:tc>
      </w:tr>
      <w:tr w:rsidR="00BD5820">
        <w:trPr>
          <w:trHeight w:val="309"/>
          <w:jc w:val="center"/>
        </w:trPr>
        <w:tc>
          <w:tcPr>
            <w:tcW w:w="3466"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铬（六价）（</w:t>
            </w:r>
            <w:r>
              <w:rPr>
                <w:rFonts w:ascii="Times New Roman" w:hAnsi="宋体" w:cs="Times New Roman"/>
                <w:sz w:val="21"/>
              </w:rPr>
              <w:t>Cr</w:t>
            </w:r>
            <w:r>
              <w:rPr>
                <w:rFonts w:ascii="Times New Roman" w:hAnsi="宋体" w:cs="Times New Roman"/>
                <w:sz w:val="21"/>
                <w:vertAlign w:val="superscript"/>
              </w:rPr>
              <w:t>6+</w:t>
            </w:r>
            <w:r>
              <w:rPr>
                <w:rFonts w:ascii="Times New Roman" w:hAnsi="宋体" w:cs="Times New Roman"/>
                <w:sz w:val="21"/>
              </w:rPr>
              <w:t>）</w:t>
            </w:r>
          </w:p>
        </w:tc>
        <w:tc>
          <w:tcPr>
            <w:tcW w:w="1010" w:type="dxa"/>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p>
        </w:tc>
        <w:tc>
          <w:tcPr>
            <w:tcW w:w="1010" w:type="dxa"/>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p>
        </w:tc>
      </w:tr>
      <w:tr w:rsidR="00BD5820">
        <w:trPr>
          <w:trHeight w:val="309"/>
          <w:jc w:val="center"/>
        </w:trPr>
        <w:tc>
          <w:tcPr>
            <w:tcW w:w="3466"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铅（</w:t>
            </w:r>
            <w:r>
              <w:rPr>
                <w:rFonts w:ascii="Times New Roman" w:hAnsi="宋体" w:cs="Times New Roman"/>
                <w:sz w:val="21"/>
              </w:rPr>
              <w:t>Pb</w:t>
            </w:r>
            <w:r>
              <w:rPr>
                <w:rFonts w:ascii="Times New Roman" w:hAnsi="宋体" w:cs="Times New Roman"/>
                <w:sz w:val="21"/>
              </w:rPr>
              <w:t>）</w:t>
            </w:r>
          </w:p>
        </w:tc>
        <w:tc>
          <w:tcPr>
            <w:tcW w:w="1010" w:type="dxa"/>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p>
        </w:tc>
        <w:tc>
          <w:tcPr>
            <w:tcW w:w="1010" w:type="dxa"/>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p>
        </w:tc>
      </w:tr>
      <w:tr w:rsidR="00BD5820">
        <w:trPr>
          <w:trHeight w:val="309"/>
          <w:jc w:val="center"/>
        </w:trPr>
        <w:tc>
          <w:tcPr>
            <w:tcW w:w="3466"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lastRenderedPageBreak/>
              <w:t>硫化物</w:t>
            </w:r>
          </w:p>
        </w:tc>
        <w:tc>
          <w:tcPr>
            <w:tcW w:w="1010" w:type="dxa"/>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p>
        </w:tc>
        <w:tc>
          <w:tcPr>
            <w:tcW w:w="1010" w:type="dxa"/>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p>
        </w:tc>
      </w:tr>
      <w:tr w:rsidR="00BD5820">
        <w:trPr>
          <w:trHeight w:val="309"/>
          <w:jc w:val="center"/>
        </w:trPr>
        <w:tc>
          <w:tcPr>
            <w:tcW w:w="3466"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石油类</w:t>
            </w:r>
          </w:p>
        </w:tc>
        <w:tc>
          <w:tcPr>
            <w:tcW w:w="1010" w:type="dxa"/>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p>
        </w:tc>
        <w:tc>
          <w:tcPr>
            <w:tcW w:w="1010" w:type="dxa"/>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p>
        </w:tc>
      </w:tr>
    </w:tbl>
    <w:p w:rsidR="00BD5820" w:rsidRDefault="00F64314">
      <w:pPr>
        <w:pStyle w:val="10"/>
        <w:rPr>
          <w:rFonts w:cs="Times New Roman"/>
        </w:rPr>
      </w:pPr>
      <w:r>
        <w:rPr>
          <w:rFonts w:cs="Times New Roman"/>
        </w:rPr>
        <w:t>表</w:t>
      </w:r>
      <w:r>
        <w:rPr>
          <w:rFonts w:cs="Times New Roman"/>
        </w:rPr>
        <w:t>5.5-</w:t>
      </w:r>
      <w:r>
        <w:rPr>
          <w:rFonts w:cs="Times New Roman" w:hint="eastAsia"/>
        </w:rPr>
        <w:t>5</w:t>
      </w:r>
      <w:r>
        <w:rPr>
          <w:rFonts w:cs="Times New Roman"/>
        </w:rPr>
        <w:t xml:space="preserve">  </w:t>
      </w:r>
      <w:r>
        <w:rPr>
          <w:rFonts w:cs="Times New Roman"/>
        </w:rPr>
        <w:t>地下水水位调查结果</w:t>
      </w:r>
    </w:p>
    <w:tbl>
      <w:tblPr>
        <w:tblW w:w="5000" w:type="pct"/>
        <w:jc w:val="center"/>
        <w:tblBorders>
          <w:top w:val="single" w:sz="12" w:space="0" w:color="000000"/>
          <w:bottom w:val="single" w:sz="12" w:space="0" w:color="000000"/>
          <w:insideH w:val="single" w:sz="4" w:space="0" w:color="000000"/>
          <w:insideV w:val="single" w:sz="4" w:space="0" w:color="000000"/>
        </w:tblBorders>
        <w:tblLook w:val="04A0"/>
      </w:tblPr>
      <w:tblGrid>
        <w:gridCol w:w="1101"/>
        <w:gridCol w:w="992"/>
        <w:gridCol w:w="1075"/>
        <w:gridCol w:w="1236"/>
        <w:gridCol w:w="1371"/>
        <w:gridCol w:w="1376"/>
        <w:gridCol w:w="1371"/>
      </w:tblGrid>
      <w:tr w:rsidR="00BD5820">
        <w:trPr>
          <w:trHeight w:val="48"/>
          <w:jc w:val="center"/>
        </w:trPr>
        <w:tc>
          <w:tcPr>
            <w:tcW w:w="1101" w:type="dxa"/>
            <w:vAlign w:val="center"/>
          </w:tcPr>
          <w:p w:rsidR="00BD5820" w:rsidRDefault="00F64314">
            <w:pPr>
              <w:pStyle w:val="afffffff3"/>
              <w:rPr>
                <w:b/>
                <w:bCs/>
              </w:rPr>
            </w:pPr>
            <w:r>
              <w:rPr>
                <w:b/>
                <w:bCs/>
              </w:rPr>
              <w:t>点位</w:t>
            </w:r>
          </w:p>
        </w:tc>
        <w:tc>
          <w:tcPr>
            <w:tcW w:w="992" w:type="dxa"/>
            <w:vAlign w:val="center"/>
          </w:tcPr>
          <w:p w:rsidR="00BD5820" w:rsidRDefault="00F64314">
            <w:pPr>
              <w:pStyle w:val="afffffff3"/>
              <w:rPr>
                <w:b/>
                <w:bCs/>
              </w:rPr>
            </w:pPr>
            <w:r>
              <w:rPr>
                <w:rFonts w:hint="eastAsia"/>
                <w:b/>
                <w:bCs/>
              </w:rPr>
              <w:t>WX</w:t>
            </w:r>
            <w:r>
              <w:rPr>
                <w:b/>
                <w:bCs/>
              </w:rPr>
              <w:t>1</w:t>
            </w:r>
          </w:p>
        </w:tc>
        <w:tc>
          <w:tcPr>
            <w:tcW w:w="1075" w:type="dxa"/>
            <w:vAlign w:val="center"/>
          </w:tcPr>
          <w:p w:rsidR="00BD5820" w:rsidRDefault="00F64314">
            <w:pPr>
              <w:pStyle w:val="afffffff3"/>
              <w:rPr>
                <w:b/>
                <w:bCs/>
              </w:rPr>
            </w:pPr>
            <w:r>
              <w:rPr>
                <w:rFonts w:hint="eastAsia"/>
                <w:b/>
                <w:bCs/>
              </w:rPr>
              <w:t>WX</w:t>
            </w:r>
            <w:r>
              <w:rPr>
                <w:b/>
                <w:bCs/>
              </w:rPr>
              <w:t>2</w:t>
            </w:r>
          </w:p>
        </w:tc>
        <w:tc>
          <w:tcPr>
            <w:tcW w:w="1236" w:type="dxa"/>
            <w:vAlign w:val="center"/>
          </w:tcPr>
          <w:p w:rsidR="00BD5820" w:rsidRDefault="00F64314">
            <w:pPr>
              <w:pStyle w:val="afffffff3"/>
              <w:rPr>
                <w:b/>
                <w:bCs/>
              </w:rPr>
            </w:pPr>
            <w:r>
              <w:rPr>
                <w:rFonts w:hint="eastAsia"/>
                <w:b/>
                <w:bCs/>
              </w:rPr>
              <w:t>WX3</w:t>
            </w:r>
          </w:p>
        </w:tc>
        <w:tc>
          <w:tcPr>
            <w:tcW w:w="1371" w:type="dxa"/>
            <w:vAlign w:val="center"/>
          </w:tcPr>
          <w:p w:rsidR="00BD5820" w:rsidRDefault="00F64314">
            <w:pPr>
              <w:pStyle w:val="afffffff3"/>
              <w:rPr>
                <w:b/>
                <w:bCs/>
              </w:rPr>
            </w:pPr>
            <w:r>
              <w:rPr>
                <w:rFonts w:hint="eastAsia"/>
                <w:b/>
                <w:bCs/>
              </w:rPr>
              <w:t>WX</w:t>
            </w:r>
            <w:r>
              <w:rPr>
                <w:b/>
                <w:bCs/>
              </w:rPr>
              <w:t>4</w:t>
            </w:r>
          </w:p>
        </w:tc>
        <w:tc>
          <w:tcPr>
            <w:tcW w:w="1376" w:type="dxa"/>
            <w:vAlign w:val="center"/>
          </w:tcPr>
          <w:p w:rsidR="00BD5820" w:rsidRDefault="00F64314">
            <w:pPr>
              <w:pStyle w:val="afffffff3"/>
              <w:rPr>
                <w:b/>
                <w:bCs/>
              </w:rPr>
            </w:pPr>
            <w:r>
              <w:rPr>
                <w:rFonts w:hint="eastAsia"/>
                <w:b/>
                <w:bCs/>
              </w:rPr>
              <w:t>WX</w:t>
            </w:r>
            <w:r>
              <w:rPr>
                <w:b/>
                <w:bCs/>
              </w:rPr>
              <w:t>5</w:t>
            </w:r>
          </w:p>
        </w:tc>
        <w:tc>
          <w:tcPr>
            <w:tcW w:w="1371" w:type="dxa"/>
            <w:vAlign w:val="center"/>
          </w:tcPr>
          <w:p w:rsidR="00BD5820" w:rsidRDefault="00F64314">
            <w:pPr>
              <w:pStyle w:val="afffffff3"/>
              <w:rPr>
                <w:b/>
                <w:bCs/>
              </w:rPr>
            </w:pPr>
            <w:r>
              <w:rPr>
                <w:rFonts w:hint="eastAsia"/>
                <w:b/>
                <w:bCs/>
              </w:rPr>
              <w:t>WX</w:t>
            </w:r>
            <w:r>
              <w:rPr>
                <w:b/>
                <w:bCs/>
              </w:rPr>
              <w:t>6</w:t>
            </w:r>
          </w:p>
        </w:tc>
      </w:tr>
      <w:tr w:rsidR="00BD5820">
        <w:trPr>
          <w:trHeight w:val="229"/>
          <w:jc w:val="center"/>
        </w:trPr>
        <w:tc>
          <w:tcPr>
            <w:tcW w:w="1101" w:type="dxa"/>
            <w:vAlign w:val="center"/>
          </w:tcPr>
          <w:p w:rsidR="00BD5820" w:rsidRDefault="00F64314">
            <w:pPr>
              <w:pStyle w:val="afffffff3"/>
            </w:pPr>
            <w:r>
              <w:t>井深</w:t>
            </w:r>
            <w:r>
              <w:rPr>
                <w:rFonts w:hint="eastAsia"/>
              </w:rPr>
              <w:t>（</w:t>
            </w:r>
            <w:r>
              <w:rPr>
                <w:rFonts w:hint="eastAsia"/>
              </w:rPr>
              <w:t>m</w:t>
            </w:r>
            <w:r>
              <w:rPr>
                <w:rFonts w:hint="eastAsia"/>
              </w:rPr>
              <w:t>）</w:t>
            </w:r>
          </w:p>
        </w:tc>
        <w:tc>
          <w:tcPr>
            <w:tcW w:w="992" w:type="dxa"/>
            <w:vAlign w:val="center"/>
          </w:tcPr>
          <w:p w:rsidR="00BD5820" w:rsidRDefault="00F64314">
            <w:pPr>
              <w:pStyle w:val="afffffff3"/>
            </w:pPr>
            <w:r>
              <w:rPr>
                <w:rFonts w:hint="eastAsia"/>
              </w:rPr>
              <w:t>2.0</w:t>
            </w:r>
          </w:p>
        </w:tc>
        <w:tc>
          <w:tcPr>
            <w:tcW w:w="1075" w:type="dxa"/>
            <w:vAlign w:val="center"/>
          </w:tcPr>
          <w:p w:rsidR="00BD5820" w:rsidRDefault="00F64314">
            <w:pPr>
              <w:pStyle w:val="afffffff3"/>
            </w:pPr>
            <w:r>
              <w:rPr>
                <w:rFonts w:hint="eastAsia"/>
              </w:rPr>
              <w:t>0.8</w:t>
            </w:r>
          </w:p>
        </w:tc>
        <w:tc>
          <w:tcPr>
            <w:tcW w:w="1236" w:type="dxa"/>
            <w:vAlign w:val="center"/>
          </w:tcPr>
          <w:p w:rsidR="00BD5820" w:rsidRDefault="00F64314">
            <w:pPr>
              <w:pStyle w:val="afffffff3"/>
            </w:pPr>
            <w:r>
              <w:rPr>
                <w:rFonts w:hint="eastAsia"/>
              </w:rPr>
              <w:t>0.5</w:t>
            </w:r>
          </w:p>
        </w:tc>
        <w:tc>
          <w:tcPr>
            <w:tcW w:w="1371" w:type="dxa"/>
            <w:vAlign w:val="center"/>
          </w:tcPr>
          <w:p w:rsidR="00BD5820" w:rsidRDefault="00F64314">
            <w:pPr>
              <w:pStyle w:val="afffffff3"/>
            </w:pPr>
            <w:r>
              <w:rPr>
                <w:rFonts w:hint="eastAsia"/>
              </w:rPr>
              <w:t>2.1</w:t>
            </w:r>
          </w:p>
        </w:tc>
        <w:tc>
          <w:tcPr>
            <w:tcW w:w="1376" w:type="dxa"/>
            <w:vAlign w:val="center"/>
          </w:tcPr>
          <w:p w:rsidR="00BD5820" w:rsidRDefault="00F64314">
            <w:pPr>
              <w:pStyle w:val="afffffff3"/>
            </w:pPr>
            <w:r>
              <w:rPr>
                <w:rFonts w:hint="eastAsia"/>
              </w:rPr>
              <w:t>1.5</w:t>
            </w:r>
          </w:p>
        </w:tc>
        <w:tc>
          <w:tcPr>
            <w:tcW w:w="1371" w:type="dxa"/>
            <w:vAlign w:val="center"/>
          </w:tcPr>
          <w:p w:rsidR="00BD5820" w:rsidRDefault="00F64314">
            <w:pPr>
              <w:pStyle w:val="afffffff3"/>
            </w:pPr>
            <w:r>
              <w:rPr>
                <w:rFonts w:hint="eastAsia"/>
              </w:rPr>
              <w:t>2.4</w:t>
            </w:r>
          </w:p>
        </w:tc>
      </w:tr>
      <w:tr w:rsidR="00BD5820">
        <w:trPr>
          <w:trHeight w:val="217"/>
          <w:jc w:val="center"/>
        </w:trPr>
        <w:tc>
          <w:tcPr>
            <w:tcW w:w="1101" w:type="dxa"/>
            <w:vAlign w:val="center"/>
          </w:tcPr>
          <w:p w:rsidR="00BD5820" w:rsidRDefault="00F64314">
            <w:pPr>
              <w:pStyle w:val="afffffff3"/>
            </w:pPr>
            <w:r>
              <w:t>水位</w:t>
            </w:r>
            <w:r>
              <w:rPr>
                <w:rFonts w:hint="eastAsia"/>
              </w:rPr>
              <w:t>（</w:t>
            </w:r>
            <w:r>
              <w:rPr>
                <w:rFonts w:hint="eastAsia"/>
              </w:rPr>
              <w:t>m</w:t>
            </w:r>
            <w:r>
              <w:rPr>
                <w:rFonts w:hint="eastAsia"/>
              </w:rPr>
              <w:t>）</w:t>
            </w:r>
          </w:p>
        </w:tc>
        <w:tc>
          <w:tcPr>
            <w:tcW w:w="992" w:type="dxa"/>
            <w:vAlign w:val="center"/>
          </w:tcPr>
          <w:p w:rsidR="00BD5820" w:rsidRDefault="00F64314">
            <w:pPr>
              <w:pStyle w:val="afffffff3"/>
            </w:pPr>
            <w:r>
              <w:rPr>
                <w:rFonts w:hint="eastAsia"/>
              </w:rPr>
              <w:t>817.8</w:t>
            </w:r>
          </w:p>
        </w:tc>
        <w:tc>
          <w:tcPr>
            <w:tcW w:w="1075" w:type="dxa"/>
            <w:vAlign w:val="center"/>
          </w:tcPr>
          <w:p w:rsidR="00BD5820" w:rsidRDefault="00F64314">
            <w:pPr>
              <w:pStyle w:val="afffffff3"/>
            </w:pPr>
            <w:r>
              <w:rPr>
                <w:rFonts w:hint="eastAsia"/>
                <w:bCs/>
                <w:kern w:val="2"/>
                <w:szCs w:val="21"/>
              </w:rPr>
              <w:t>819.7</w:t>
            </w:r>
          </w:p>
        </w:tc>
        <w:tc>
          <w:tcPr>
            <w:tcW w:w="1236" w:type="dxa"/>
            <w:vAlign w:val="center"/>
          </w:tcPr>
          <w:p w:rsidR="00BD5820" w:rsidRDefault="00F64314">
            <w:pPr>
              <w:pStyle w:val="afffffff3"/>
            </w:pPr>
            <w:r>
              <w:rPr>
                <w:rFonts w:hint="eastAsia"/>
                <w:bCs/>
                <w:kern w:val="2"/>
                <w:szCs w:val="21"/>
              </w:rPr>
              <w:t>840.8</w:t>
            </w:r>
          </w:p>
        </w:tc>
        <w:tc>
          <w:tcPr>
            <w:tcW w:w="1371" w:type="dxa"/>
            <w:vAlign w:val="center"/>
          </w:tcPr>
          <w:p w:rsidR="00BD5820" w:rsidRDefault="00F64314">
            <w:pPr>
              <w:pStyle w:val="afffffff3"/>
            </w:pPr>
            <w:r>
              <w:rPr>
                <w:rFonts w:hint="eastAsia"/>
                <w:bCs/>
                <w:kern w:val="2"/>
                <w:szCs w:val="21"/>
              </w:rPr>
              <w:t>789.8</w:t>
            </w:r>
          </w:p>
        </w:tc>
        <w:tc>
          <w:tcPr>
            <w:tcW w:w="1376" w:type="dxa"/>
            <w:vAlign w:val="center"/>
          </w:tcPr>
          <w:p w:rsidR="00BD5820" w:rsidRDefault="00F64314">
            <w:pPr>
              <w:pStyle w:val="afffffff3"/>
            </w:pPr>
            <w:r>
              <w:rPr>
                <w:rFonts w:hint="eastAsia"/>
                <w:bCs/>
                <w:kern w:val="2"/>
                <w:szCs w:val="21"/>
              </w:rPr>
              <w:t>775.7</w:t>
            </w:r>
          </w:p>
        </w:tc>
        <w:tc>
          <w:tcPr>
            <w:tcW w:w="1371" w:type="dxa"/>
            <w:vAlign w:val="center"/>
          </w:tcPr>
          <w:p w:rsidR="00BD5820" w:rsidRDefault="00F64314">
            <w:pPr>
              <w:pStyle w:val="afffffff3"/>
            </w:pPr>
            <w:r>
              <w:rPr>
                <w:rFonts w:hint="eastAsia"/>
                <w:bCs/>
                <w:kern w:val="2"/>
                <w:szCs w:val="21"/>
              </w:rPr>
              <w:t>773.6</w:t>
            </w:r>
          </w:p>
        </w:tc>
      </w:tr>
      <w:tr w:rsidR="00BD5820">
        <w:trPr>
          <w:trHeight w:val="217"/>
          <w:jc w:val="center"/>
        </w:trPr>
        <w:tc>
          <w:tcPr>
            <w:tcW w:w="1101" w:type="dxa"/>
            <w:vAlign w:val="center"/>
          </w:tcPr>
          <w:p w:rsidR="00BD5820" w:rsidRDefault="00F64314">
            <w:pPr>
              <w:pStyle w:val="afffffff3"/>
            </w:pPr>
            <w:r>
              <w:rPr>
                <w:b/>
                <w:bCs/>
              </w:rPr>
              <w:t>点位</w:t>
            </w:r>
          </w:p>
        </w:tc>
        <w:tc>
          <w:tcPr>
            <w:tcW w:w="992" w:type="dxa"/>
            <w:vAlign w:val="center"/>
          </w:tcPr>
          <w:p w:rsidR="00BD5820" w:rsidRDefault="00F64314">
            <w:pPr>
              <w:pStyle w:val="afffffff3"/>
              <w:rPr>
                <w:b/>
                <w:bCs/>
              </w:rPr>
            </w:pPr>
            <w:r>
              <w:rPr>
                <w:rFonts w:hint="eastAsia"/>
                <w:b/>
                <w:bCs/>
              </w:rPr>
              <w:t>WX7</w:t>
            </w:r>
          </w:p>
        </w:tc>
        <w:tc>
          <w:tcPr>
            <w:tcW w:w="1075" w:type="dxa"/>
            <w:vAlign w:val="center"/>
          </w:tcPr>
          <w:p w:rsidR="00BD5820" w:rsidRDefault="00F64314">
            <w:pPr>
              <w:pStyle w:val="afffffff3"/>
              <w:rPr>
                <w:b/>
                <w:bCs/>
              </w:rPr>
            </w:pPr>
            <w:r>
              <w:rPr>
                <w:rFonts w:hint="eastAsia"/>
                <w:b/>
                <w:bCs/>
              </w:rPr>
              <w:t>WX8</w:t>
            </w:r>
          </w:p>
        </w:tc>
        <w:tc>
          <w:tcPr>
            <w:tcW w:w="1236" w:type="dxa"/>
            <w:vAlign w:val="center"/>
          </w:tcPr>
          <w:p w:rsidR="00BD5820" w:rsidRDefault="00F64314">
            <w:pPr>
              <w:pStyle w:val="afffffff3"/>
              <w:rPr>
                <w:b/>
                <w:bCs/>
              </w:rPr>
            </w:pPr>
            <w:r>
              <w:rPr>
                <w:rFonts w:hint="eastAsia"/>
                <w:b/>
                <w:bCs/>
              </w:rPr>
              <w:t>WX9</w:t>
            </w:r>
          </w:p>
        </w:tc>
        <w:tc>
          <w:tcPr>
            <w:tcW w:w="1371" w:type="dxa"/>
            <w:vAlign w:val="center"/>
          </w:tcPr>
          <w:p w:rsidR="00BD5820" w:rsidRDefault="00F64314">
            <w:pPr>
              <w:pStyle w:val="afffffff3"/>
              <w:rPr>
                <w:b/>
                <w:bCs/>
              </w:rPr>
            </w:pPr>
            <w:r>
              <w:rPr>
                <w:rFonts w:hint="eastAsia"/>
                <w:b/>
                <w:bCs/>
              </w:rPr>
              <w:t>WX10</w:t>
            </w:r>
          </w:p>
        </w:tc>
        <w:tc>
          <w:tcPr>
            <w:tcW w:w="1376" w:type="dxa"/>
            <w:vAlign w:val="center"/>
          </w:tcPr>
          <w:p w:rsidR="00BD5820" w:rsidRDefault="00BD5820">
            <w:pPr>
              <w:pStyle w:val="afffffff3"/>
            </w:pPr>
          </w:p>
        </w:tc>
        <w:tc>
          <w:tcPr>
            <w:tcW w:w="1371" w:type="dxa"/>
            <w:vAlign w:val="center"/>
          </w:tcPr>
          <w:p w:rsidR="00BD5820" w:rsidRDefault="00BD5820">
            <w:pPr>
              <w:pStyle w:val="afffffff3"/>
            </w:pPr>
          </w:p>
        </w:tc>
      </w:tr>
      <w:tr w:rsidR="00BD5820">
        <w:trPr>
          <w:trHeight w:val="217"/>
          <w:jc w:val="center"/>
        </w:trPr>
        <w:tc>
          <w:tcPr>
            <w:tcW w:w="1101" w:type="dxa"/>
            <w:vAlign w:val="center"/>
          </w:tcPr>
          <w:p w:rsidR="00BD5820" w:rsidRDefault="00F64314">
            <w:pPr>
              <w:pStyle w:val="afffffff3"/>
            </w:pPr>
            <w:r>
              <w:t>井深</w:t>
            </w:r>
            <w:r>
              <w:rPr>
                <w:rFonts w:hint="eastAsia"/>
              </w:rPr>
              <w:t>（</w:t>
            </w:r>
            <w:r>
              <w:rPr>
                <w:rFonts w:hint="eastAsia"/>
              </w:rPr>
              <w:t>m</w:t>
            </w:r>
            <w:r>
              <w:rPr>
                <w:rFonts w:hint="eastAsia"/>
              </w:rPr>
              <w:t>）</w:t>
            </w:r>
          </w:p>
        </w:tc>
        <w:tc>
          <w:tcPr>
            <w:tcW w:w="992" w:type="dxa"/>
            <w:vAlign w:val="center"/>
          </w:tcPr>
          <w:p w:rsidR="00BD5820" w:rsidRDefault="00F64314">
            <w:pPr>
              <w:pStyle w:val="afffffff3"/>
              <w:rPr>
                <w:bCs/>
              </w:rPr>
            </w:pPr>
            <w:r>
              <w:rPr>
                <w:rFonts w:hint="eastAsia"/>
                <w:bCs/>
              </w:rPr>
              <w:t>2.8</w:t>
            </w:r>
          </w:p>
        </w:tc>
        <w:tc>
          <w:tcPr>
            <w:tcW w:w="1075" w:type="dxa"/>
            <w:vAlign w:val="center"/>
          </w:tcPr>
          <w:p w:rsidR="00BD5820" w:rsidRDefault="00F64314">
            <w:pPr>
              <w:pStyle w:val="afffffff3"/>
              <w:rPr>
                <w:bCs/>
              </w:rPr>
            </w:pPr>
            <w:r>
              <w:rPr>
                <w:rFonts w:hint="eastAsia"/>
                <w:bCs/>
              </w:rPr>
              <w:t>1.9</w:t>
            </w:r>
          </w:p>
        </w:tc>
        <w:tc>
          <w:tcPr>
            <w:tcW w:w="1236" w:type="dxa"/>
            <w:vAlign w:val="center"/>
          </w:tcPr>
          <w:p w:rsidR="00BD5820" w:rsidRDefault="00F64314">
            <w:pPr>
              <w:pStyle w:val="afffffff3"/>
              <w:rPr>
                <w:bCs/>
              </w:rPr>
            </w:pPr>
            <w:r>
              <w:rPr>
                <w:rFonts w:hint="eastAsia"/>
                <w:bCs/>
              </w:rPr>
              <w:t>2.3</w:t>
            </w:r>
          </w:p>
        </w:tc>
        <w:tc>
          <w:tcPr>
            <w:tcW w:w="1371" w:type="dxa"/>
            <w:vAlign w:val="center"/>
          </w:tcPr>
          <w:p w:rsidR="00BD5820" w:rsidRDefault="00F64314">
            <w:pPr>
              <w:pStyle w:val="afffffff3"/>
              <w:rPr>
                <w:bCs/>
              </w:rPr>
            </w:pPr>
            <w:r>
              <w:rPr>
                <w:rFonts w:hint="eastAsia"/>
                <w:bCs/>
              </w:rPr>
              <w:t>1.6</w:t>
            </w:r>
          </w:p>
        </w:tc>
        <w:tc>
          <w:tcPr>
            <w:tcW w:w="1376" w:type="dxa"/>
            <w:vAlign w:val="center"/>
          </w:tcPr>
          <w:p w:rsidR="00BD5820" w:rsidRDefault="00BD5820">
            <w:pPr>
              <w:pStyle w:val="afffffff3"/>
            </w:pPr>
          </w:p>
        </w:tc>
        <w:tc>
          <w:tcPr>
            <w:tcW w:w="1371" w:type="dxa"/>
            <w:vAlign w:val="center"/>
          </w:tcPr>
          <w:p w:rsidR="00BD5820" w:rsidRDefault="00BD5820">
            <w:pPr>
              <w:pStyle w:val="afffffff3"/>
            </w:pPr>
          </w:p>
        </w:tc>
      </w:tr>
      <w:tr w:rsidR="00BD5820">
        <w:trPr>
          <w:trHeight w:val="217"/>
          <w:jc w:val="center"/>
        </w:trPr>
        <w:tc>
          <w:tcPr>
            <w:tcW w:w="1101" w:type="dxa"/>
            <w:vAlign w:val="center"/>
          </w:tcPr>
          <w:p w:rsidR="00BD5820" w:rsidRDefault="00F64314">
            <w:pPr>
              <w:pStyle w:val="afffffff3"/>
            </w:pPr>
            <w:r>
              <w:t>水位</w:t>
            </w:r>
            <w:r>
              <w:rPr>
                <w:rFonts w:hint="eastAsia"/>
              </w:rPr>
              <w:t>（</w:t>
            </w:r>
            <w:r>
              <w:rPr>
                <w:rFonts w:hint="eastAsia"/>
              </w:rPr>
              <w:t>m</w:t>
            </w:r>
            <w:r>
              <w:rPr>
                <w:rFonts w:hint="eastAsia"/>
              </w:rPr>
              <w:t>）</w:t>
            </w:r>
          </w:p>
        </w:tc>
        <w:tc>
          <w:tcPr>
            <w:tcW w:w="992" w:type="dxa"/>
            <w:vAlign w:val="center"/>
          </w:tcPr>
          <w:p w:rsidR="00BD5820" w:rsidRDefault="00F64314">
            <w:pPr>
              <w:pStyle w:val="afffffff3"/>
            </w:pPr>
            <w:r>
              <w:rPr>
                <w:rFonts w:hint="eastAsia"/>
                <w:bCs/>
                <w:kern w:val="2"/>
                <w:szCs w:val="21"/>
              </w:rPr>
              <w:t>785.4</w:t>
            </w:r>
          </w:p>
        </w:tc>
        <w:tc>
          <w:tcPr>
            <w:tcW w:w="1075" w:type="dxa"/>
            <w:vAlign w:val="center"/>
          </w:tcPr>
          <w:p w:rsidR="00BD5820" w:rsidRDefault="00F64314">
            <w:pPr>
              <w:pStyle w:val="afffffff3"/>
            </w:pPr>
            <w:r>
              <w:rPr>
                <w:rFonts w:hint="eastAsia"/>
                <w:bCs/>
                <w:kern w:val="2"/>
                <w:szCs w:val="21"/>
              </w:rPr>
              <w:t>788.5</w:t>
            </w:r>
          </w:p>
        </w:tc>
        <w:tc>
          <w:tcPr>
            <w:tcW w:w="1236" w:type="dxa"/>
            <w:vAlign w:val="center"/>
          </w:tcPr>
          <w:p w:rsidR="00BD5820" w:rsidRDefault="00F64314">
            <w:pPr>
              <w:pStyle w:val="afffffff3"/>
            </w:pPr>
            <w:r>
              <w:rPr>
                <w:rFonts w:hint="eastAsia"/>
                <w:bCs/>
                <w:kern w:val="2"/>
                <w:szCs w:val="21"/>
              </w:rPr>
              <w:t>848.6</w:t>
            </w:r>
          </w:p>
        </w:tc>
        <w:tc>
          <w:tcPr>
            <w:tcW w:w="1371" w:type="dxa"/>
            <w:vAlign w:val="center"/>
          </w:tcPr>
          <w:p w:rsidR="00BD5820" w:rsidRDefault="00F64314">
            <w:pPr>
              <w:pStyle w:val="afffffff3"/>
            </w:pPr>
            <w:r>
              <w:rPr>
                <w:rFonts w:hint="eastAsia"/>
                <w:bCs/>
                <w:kern w:val="2"/>
                <w:szCs w:val="21"/>
              </w:rPr>
              <w:t>800.7</w:t>
            </w:r>
          </w:p>
        </w:tc>
        <w:tc>
          <w:tcPr>
            <w:tcW w:w="1376" w:type="dxa"/>
            <w:vAlign w:val="center"/>
          </w:tcPr>
          <w:p w:rsidR="00BD5820" w:rsidRDefault="00BD5820">
            <w:pPr>
              <w:pStyle w:val="afffffff3"/>
            </w:pPr>
          </w:p>
        </w:tc>
        <w:tc>
          <w:tcPr>
            <w:tcW w:w="1371" w:type="dxa"/>
            <w:vAlign w:val="center"/>
          </w:tcPr>
          <w:p w:rsidR="00BD5820" w:rsidRDefault="00BD5820">
            <w:pPr>
              <w:pStyle w:val="afffffff3"/>
            </w:pPr>
          </w:p>
        </w:tc>
      </w:tr>
    </w:tbl>
    <w:p w:rsidR="00BD5820" w:rsidRDefault="00F64314">
      <w:pPr>
        <w:ind w:firstLineChars="0" w:firstLine="0"/>
        <w:jc w:val="center"/>
        <w:rPr>
          <w:rFonts w:cs="Times New Roman"/>
        </w:rPr>
      </w:pPr>
      <w:r>
        <w:rPr>
          <w:rFonts w:ascii="Times New Roman" w:cs="Times New Roman"/>
          <w:b/>
          <w:bCs/>
          <w:sz w:val="21"/>
          <w:szCs w:val="21"/>
        </w:rPr>
        <w:t>表</w:t>
      </w:r>
      <w:r>
        <w:rPr>
          <w:rFonts w:ascii="Times New Roman" w:cs="Times New Roman"/>
          <w:b/>
          <w:bCs/>
          <w:sz w:val="21"/>
          <w:szCs w:val="21"/>
        </w:rPr>
        <w:t>5.5-</w:t>
      </w:r>
      <w:r>
        <w:rPr>
          <w:rFonts w:ascii="Times New Roman" w:cs="Times New Roman" w:hint="eastAsia"/>
          <w:b/>
          <w:bCs/>
          <w:sz w:val="21"/>
          <w:szCs w:val="21"/>
        </w:rPr>
        <w:t>6</w:t>
      </w:r>
      <w:r>
        <w:rPr>
          <w:rFonts w:ascii="Times New Roman" w:cs="Times New Roman"/>
          <w:b/>
          <w:bCs/>
          <w:sz w:val="21"/>
          <w:szCs w:val="21"/>
        </w:rPr>
        <w:t xml:space="preserve">  </w:t>
      </w:r>
      <w:r>
        <w:rPr>
          <w:rFonts w:ascii="Times New Roman" w:cs="Times New Roman"/>
          <w:b/>
          <w:bCs/>
          <w:sz w:val="21"/>
          <w:szCs w:val="21"/>
        </w:rPr>
        <w:t>普光气田</w:t>
      </w:r>
      <w:r>
        <w:rPr>
          <w:rFonts w:ascii="Times New Roman" w:cs="Times New Roman" w:hint="eastAsia"/>
          <w:b/>
          <w:bCs/>
          <w:sz w:val="21"/>
          <w:szCs w:val="21"/>
        </w:rPr>
        <w:t>2</w:t>
      </w:r>
      <w:r>
        <w:rPr>
          <w:rFonts w:ascii="Times New Roman" w:cs="Times New Roman"/>
          <w:b/>
          <w:bCs/>
          <w:sz w:val="21"/>
          <w:szCs w:val="21"/>
        </w:rPr>
        <w:t>#</w:t>
      </w:r>
      <w:r>
        <w:rPr>
          <w:rFonts w:ascii="Times New Roman" w:cs="Times New Roman"/>
          <w:b/>
          <w:bCs/>
          <w:sz w:val="21"/>
          <w:szCs w:val="21"/>
        </w:rPr>
        <w:t>增压站所在地地下水环境质量现状监测结果</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2362"/>
        <w:gridCol w:w="1142"/>
        <w:gridCol w:w="749"/>
        <w:gridCol w:w="748"/>
        <w:gridCol w:w="953"/>
        <w:gridCol w:w="748"/>
        <w:gridCol w:w="953"/>
        <w:gridCol w:w="867"/>
      </w:tblGrid>
      <w:tr w:rsidR="00BD5820">
        <w:trPr>
          <w:trHeight w:val="300"/>
          <w:jc w:val="center"/>
        </w:trPr>
        <w:tc>
          <w:tcPr>
            <w:tcW w:w="2362" w:type="dxa"/>
            <w:vMerge w:val="restart"/>
            <w:vAlign w:val="center"/>
          </w:tcPr>
          <w:p w:rsidR="00BD5820" w:rsidRDefault="00F64314">
            <w:pPr>
              <w:widowControl/>
              <w:topLinePunct w:val="0"/>
              <w:adjustRightInd/>
              <w:spacing w:line="240" w:lineRule="auto"/>
              <w:ind w:firstLineChars="0" w:firstLine="0"/>
              <w:jc w:val="center"/>
              <w:rPr>
                <w:rFonts w:ascii="Times New Roman" w:hAnsi="宋体" w:cs="Times New Roman"/>
                <w:b/>
                <w:sz w:val="21"/>
              </w:rPr>
            </w:pPr>
            <w:r>
              <w:rPr>
                <w:rFonts w:ascii="Times New Roman" w:hAnsi="宋体" w:cs="Times New Roman"/>
                <w:b/>
                <w:sz w:val="21"/>
              </w:rPr>
              <w:t>项目</w:t>
            </w:r>
          </w:p>
        </w:tc>
        <w:tc>
          <w:tcPr>
            <w:tcW w:w="1142" w:type="dxa"/>
            <w:vMerge w:val="restart"/>
            <w:vAlign w:val="center"/>
          </w:tcPr>
          <w:p w:rsidR="00BD5820" w:rsidRDefault="00F64314">
            <w:pPr>
              <w:widowControl/>
              <w:topLinePunct w:val="0"/>
              <w:adjustRightInd/>
              <w:spacing w:line="240" w:lineRule="auto"/>
              <w:ind w:firstLineChars="0" w:firstLine="0"/>
              <w:jc w:val="center"/>
              <w:rPr>
                <w:rFonts w:ascii="Times New Roman" w:hAnsi="宋体" w:cs="Times New Roman"/>
                <w:b/>
                <w:sz w:val="21"/>
              </w:rPr>
            </w:pPr>
            <w:r>
              <w:rPr>
                <w:rFonts w:ascii="Times New Roman" w:hAnsi="宋体" w:cs="Times New Roman"/>
                <w:b/>
                <w:sz w:val="21"/>
              </w:rPr>
              <w:t>单位</w:t>
            </w:r>
          </w:p>
        </w:tc>
        <w:tc>
          <w:tcPr>
            <w:tcW w:w="4151" w:type="dxa"/>
            <w:gridSpan w:val="5"/>
          </w:tcPr>
          <w:p w:rsidR="00BD5820" w:rsidRDefault="00F64314">
            <w:pPr>
              <w:widowControl/>
              <w:topLinePunct w:val="0"/>
              <w:adjustRightInd/>
              <w:spacing w:line="240" w:lineRule="auto"/>
              <w:ind w:firstLineChars="0" w:firstLine="0"/>
              <w:jc w:val="center"/>
              <w:rPr>
                <w:rFonts w:ascii="Times New Roman" w:hAnsi="宋体" w:cs="Times New Roman"/>
                <w:b/>
                <w:sz w:val="21"/>
              </w:rPr>
            </w:pPr>
            <w:r>
              <w:rPr>
                <w:rFonts w:ascii="Times New Roman" w:hAnsi="宋体" w:cs="Times New Roman"/>
                <w:b/>
                <w:sz w:val="21"/>
              </w:rPr>
              <w:t>监测值</w:t>
            </w:r>
          </w:p>
        </w:tc>
        <w:tc>
          <w:tcPr>
            <w:tcW w:w="867" w:type="dxa"/>
            <w:vMerge w:val="restart"/>
            <w:vAlign w:val="center"/>
          </w:tcPr>
          <w:p w:rsidR="00BD5820" w:rsidRDefault="00F64314">
            <w:pPr>
              <w:widowControl/>
              <w:topLinePunct w:val="0"/>
              <w:adjustRightInd/>
              <w:spacing w:line="240" w:lineRule="auto"/>
              <w:ind w:firstLineChars="0" w:firstLine="0"/>
              <w:jc w:val="center"/>
              <w:rPr>
                <w:rFonts w:ascii="Times New Roman" w:hAnsi="宋体" w:cs="Times New Roman"/>
                <w:b/>
                <w:sz w:val="21"/>
              </w:rPr>
            </w:pPr>
            <w:r>
              <w:rPr>
                <w:rFonts w:ascii="Times New Roman" w:hAnsi="宋体" w:cs="Times New Roman"/>
                <w:b/>
                <w:sz w:val="21"/>
              </w:rPr>
              <w:t>Ⅲ类</w:t>
            </w:r>
          </w:p>
        </w:tc>
      </w:tr>
      <w:tr w:rsidR="00BD5820">
        <w:trPr>
          <w:trHeight w:val="300"/>
          <w:jc w:val="center"/>
        </w:trPr>
        <w:tc>
          <w:tcPr>
            <w:tcW w:w="2362" w:type="dxa"/>
            <w:vMerge/>
            <w:vAlign w:val="center"/>
          </w:tcPr>
          <w:p w:rsidR="00BD5820" w:rsidRDefault="00BD5820">
            <w:pPr>
              <w:widowControl/>
              <w:topLinePunct w:val="0"/>
              <w:adjustRightInd/>
              <w:spacing w:line="240" w:lineRule="auto"/>
              <w:ind w:firstLineChars="0" w:firstLine="0"/>
              <w:jc w:val="left"/>
              <w:rPr>
                <w:rFonts w:ascii="Times New Roman" w:hAnsi="宋体" w:cs="Times New Roman"/>
                <w:b/>
                <w:sz w:val="21"/>
              </w:rPr>
            </w:pPr>
          </w:p>
        </w:tc>
        <w:tc>
          <w:tcPr>
            <w:tcW w:w="1142" w:type="dxa"/>
            <w:vMerge/>
            <w:vAlign w:val="center"/>
          </w:tcPr>
          <w:p w:rsidR="00BD5820" w:rsidRDefault="00BD5820">
            <w:pPr>
              <w:widowControl/>
              <w:topLinePunct w:val="0"/>
              <w:adjustRightInd/>
              <w:spacing w:line="240" w:lineRule="auto"/>
              <w:ind w:firstLineChars="0" w:firstLine="0"/>
              <w:jc w:val="left"/>
              <w:rPr>
                <w:rFonts w:ascii="Times New Roman" w:hAnsi="宋体" w:cs="Times New Roman"/>
                <w:b/>
                <w:sz w:val="21"/>
              </w:rPr>
            </w:pPr>
          </w:p>
        </w:tc>
        <w:tc>
          <w:tcPr>
            <w:tcW w:w="749" w:type="dxa"/>
            <w:vAlign w:val="center"/>
          </w:tcPr>
          <w:p w:rsidR="00BD5820" w:rsidRDefault="00F64314">
            <w:pPr>
              <w:widowControl/>
              <w:topLinePunct w:val="0"/>
              <w:adjustRightInd/>
              <w:spacing w:line="240" w:lineRule="auto"/>
              <w:ind w:firstLineChars="0" w:firstLine="0"/>
              <w:jc w:val="center"/>
              <w:rPr>
                <w:rFonts w:ascii="Times New Roman" w:hAnsi="宋体" w:cs="Times New Roman"/>
                <w:b/>
                <w:sz w:val="21"/>
              </w:rPr>
            </w:pPr>
            <w:r>
              <w:rPr>
                <w:rFonts w:ascii="Times New Roman" w:hAnsi="宋体" w:cs="Times New Roman" w:hint="eastAsia"/>
                <w:b/>
                <w:sz w:val="21"/>
              </w:rPr>
              <w:t>JC</w:t>
            </w:r>
            <w:r>
              <w:rPr>
                <w:rFonts w:ascii="Times New Roman" w:hAnsi="宋体" w:cs="Times New Roman"/>
                <w:b/>
                <w:sz w:val="21"/>
              </w:rPr>
              <w:t>1</w:t>
            </w:r>
          </w:p>
        </w:tc>
        <w:tc>
          <w:tcPr>
            <w:tcW w:w="748" w:type="dxa"/>
            <w:vAlign w:val="center"/>
          </w:tcPr>
          <w:p w:rsidR="00BD5820" w:rsidRDefault="00F64314">
            <w:pPr>
              <w:widowControl/>
              <w:topLinePunct w:val="0"/>
              <w:adjustRightInd/>
              <w:spacing w:line="240" w:lineRule="auto"/>
              <w:ind w:firstLineChars="0" w:firstLine="0"/>
              <w:jc w:val="center"/>
              <w:rPr>
                <w:rFonts w:ascii="Times New Roman" w:hAnsi="宋体" w:cs="Times New Roman"/>
                <w:b/>
                <w:sz w:val="21"/>
              </w:rPr>
            </w:pPr>
            <w:r>
              <w:rPr>
                <w:rFonts w:ascii="Times New Roman" w:hAnsi="宋体" w:cs="Times New Roman" w:hint="eastAsia"/>
                <w:b/>
                <w:sz w:val="21"/>
              </w:rPr>
              <w:t>JC</w:t>
            </w:r>
            <w:r>
              <w:rPr>
                <w:rFonts w:ascii="Times New Roman" w:hAnsi="宋体" w:cs="Times New Roman"/>
                <w:b/>
                <w:sz w:val="21"/>
              </w:rPr>
              <w:t>2</w:t>
            </w:r>
          </w:p>
        </w:tc>
        <w:tc>
          <w:tcPr>
            <w:tcW w:w="953" w:type="dxa"/>
            <w:vAlign w:val="center"/>
          </w:tcPr>
          <w:p w:rsidR="00BD5820" w:rsidRDefault="00F64314">
            <w:pPr>
              <w:widowControl/>
              <w:topLinePunct w:val="0"/>
              <w:adjustRightInd/>
              <w:spacing w:line="240" w:lineRule="auto"/>
              <w:ind w:firstLineChars="0" w:firstLine="0"/>
              <w:jc w:val="center"/>
              <w:rPr>
                <w:rFonts w:ascii="Times New Roman" w:hAnsi="宋体" w:cs="Times New Roman"/>
                <w:b/>
                <w:sz w:val="21"/>
              </w:rPr>
            </w:pPr>
            <w:r>
              <w:rPr>
                <w:rFonts w:ascii="Times New Roman" w:hAnsi="宋体" w:cs="Times New Roman" w:hint="eastAsia"/>
                <w:b/>
                <w:sz w:val="21"/>
              </w:rPr>
              <w:t>JC</w:t>
            </w:r>
            <w:r>
              <w:rPr>
                <w:rFonts w:ascii="Times New Roman" w:hAnsi="宋体" w:cs="Times New Roman"/>
                <w:b/>
                <w:sz w:val="21"/>
              </w:rPr>
              <w:t>3</w:t>
            </w:r>
          </w:p>
        </w:tc>
        <w:tc>
          <w:tcPr>
            <w:tcW w:w="748" w:type="dxa"/>
            <w:vAlign w:val="center"/>
          </w:tcPr>
          <w:p w:rsidR="00BD5820" w:rsidRDefault="00F64314">
            <w:pPr>
              <w:widowControl/>
              <w:topLinePunct w:val="0"/>
              <w:adjustRightInd/>
              <w:spacing w:line="240" w:lineRule="auto"/>
              <w:ind w:firstLineChars="0" w:firstLine="0"/>
              <w:jc w:val="center"/>
              <w:rPr>
                <w:rFonts w:ascii="Times New Roman" w:hAnsi="宋体" w:cs="Times New Roman"/>
                <w:b/>
                <w:sz w:val="21"/>
              </w:rPr>
            </w:pPr>
            <w:r>
              <w:rPr>
                <w:rFonts w:ascii="Times New Roman" w:hAnsi="宋体" w:cs="Times New Roman" w:hint="eastAsia"/>
                <w:b/>
                <w:sz w:val="21"/>
              </w:rPr>
              <w:t>JC</w:t>
            </w:r>
            <w:r>
              <w:rPr>
                <w:rFonts w:ascii="Times New Roman" w:hAnsi="宋体" w:cs="Times New Roman"/>
                <w:b/>
                <w:sz w:val="21"/>
              </w:rPr>
              <w:t>4</w:t>
            </w:r>
          </w:p>
        </w:tc>
        <w:tc>
          <w:tcPr>
            <w:tcW w:w="953" w:type="dxa"/>
            <w:vAlign w:val="center"/>
          </w:tcPr>
          <w:p w:rsidR="00BD5820" w:rsidRDefault="00F64314">
            <w:pPr>
              <w:widowControl/>
              <w:topLinePunct w:val="0"/>
              <w:adjustRightInd/>
              <w:spacing w:line="240" w:lineRule="auto"/>
              <w:ind w:firstLineChars="0" w:firstLine="0"/>
              <w:jc w:val="center"/>
              <w:rPr>
                <w:rFonts w:ascii="Times New Roman" w:hAnsi="宋体" w:cs="Times New Roman"/>
                <w:b/>
                <w:sz w:val="21"/>
              </w:rPr>
            </w:pPr>
            <w:r>
              <w:rPr>
                <w:rFonts w:ascii="Times New Roman" w:hAnsi="宋体" w:cs="Times New Roman" w:hint="eastAsia"/>
                <w:b/>
                <w:sz w:val="21"/>
              </w:rPr>
              <w:t>JC</w:t>
            </w:r>
            <w:r>
              <w:rPr>
                <w:rFonts w:ascii="Times New Roman" w:hAnsi="宋体" w:cs="Times New Roman"/>
                <w:b/>
                <w:sz w:val="21"/>
              </w:rPr>
              <w:t>5</w:t>
            </w:r>
          </w:p>
        </w:tc>
        <w:tc>
          <w:tcPr>
            <w:tcW w:w="867" w:type="dxa"/>
            <w:vMerge/>
            <w:vAlign w:val="center"/>
          </w:tcPr>
          <w:p w:rsidR="00BD5820" w:rsidRDefault="00BD5820">
            <w:pPr>
              <w:widowControl/>
              <w:topLinePunct w:val="0"/>
              <w:adjustRightInd/>
              <w:spacing w:line="240" w:lineRule="auto"/>
              <w:ind w:firstLineChars="0" w:firstLine="0"/>
              <w:jc w:val="center"/>
              <w:rPr>
                <w:rFonts w:ascii="Times New Roman" w:hAnsi="宋体" w:cs="Times New Roman"/>
                <w:sz w:val="21"/>
              </w:rPr>
            </w:pPr>
          </w:p>
        </w:tc>
      </w:tr>
      <w:tr w:rsidR="00BD5820">
        <w:trPr>
          <w:trHeight w:val="288"/>
          <w:jc w:val="center"/>
        </w:trPr>
        <w:tc>
          <w:tcPr>
            <w:tcW w:w="236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pH</w:t>
            </w:r>
          </w:p>
        </w:tc>
        <w:tc>
          <w:tcPr>
            <w:tcW w:w="114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无量纲</w:t>
            </w:r>
          </w:p>
        </w:tc>
        <w:tc>
          <w:tcPr>
            <w:tcW w:w="749"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7.0</w:t>
            </w:r>
          </w:p>
        </w:tc>
        <w:tc>
          <w:tcPr>
            <w:tcW w:w="748"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7.1</w:t>
            </w:r>
          </w:p>
        </w:tc>
        <w:tc>
          <w:tcPr>
            <w:tcW w:w="953"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7.1</w:t>
            </w:r>
          </w:p>
        </w:tc>
        <w:tc>
          <w:tcPr>
            <w:tcW w:w="748"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7.4</w:t>
            </w:r>
          </w:p>
        </w:tc>
        <w:tc>
          <w:tcPr>
            <w:tcW w:w="953"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7.4</w:t>
            </w:r>
          </w:p>
        </w:tc>
        <w:tc>
          <w:tcPr>
            <w:tcW w:w="867"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6.5-8.5</w:t>
            </w:r>
          </w:p>
        </w:tc>
      </w:tr>
      <w:tr w:rsidR="00BD5820">
        <w:trPr>
          <w:trHeight w:val="288"/>
          <w:jc w:val="center"/>
        </w:trPr>
        <w:tc>
          <w:tcPr>
            <w:tcW w:w="236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总硬度（以</w:t>
            </w:r>
            <w:r>
              <w:rPr>
                <w:rFonts w:ascii="Times New Roman" w:hAnsi="宋体" w:cs="Times New Roman"/>
                <w:sz w:val="21"/>
              </w:rPr>
              <w:t>CaCO</w:t>
            </w:r>
            <w:r>
              <w:rPr>
                <w:rFonts w:ascii="Times New Roman" w:hAnsi="宋体" w:cs="Times New Roman"/>
                <w:sz w:val="21"/>
                <w:vertAlign w:val="subscript"/>
              </w:rPr>
              <w:t>3</w:t>
            </w:r>
            <w:r>
              <w:rPr>
                <w:rFonts w:ascii="Times New Roman" w:hAnsi="宋体" w:cs="Times New Roman"/>
                <w:sz w:val="21"/>
              </w:rPr>
              <w:t>计）</w:t>
            </w:r>
          </w:p>
        </w:tc>
        <w:tc>
          <w:tcPr>
            <w:tcW w:w="114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mg/L</w:t>
            </w:r>
            <w:r>
              <w:rPr>
                <w:rFonts w:ascii="Times New Roman" w:hAnsi="宋体" w:cs="Times New Roman"/>
                <w:sz w:val="21"/>
              </w:rPr>
              <w:t>）</w:t>
            </w:r>
          </w:p>
        </w:tc>
        <w:tc>
          <w:tcPr>
            <w:tcW w:w="749"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192</w:t>
            </w:r>
          </w:p>
        </w:tc>
        <w:tc>
          <w:tcPr>
            <w:tcW w:w="748"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286</w:t>
            </w:r>
          </w:p>
        </w:tc>
        <w:tc>
          <w:tcPr>
            <w:tcW w:w="953"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196</w:t>
            </w:r>
          </w:p>
        </w:tc>
        <w:tc>
          <w:tcPr>
            <w:tcW w:w="748"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69</w:t>
            </w:r>
          </w:p>
        </w:tc>
        <w:tc>
          <w:tcPr>
            <w:tcW w:w="953"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68</w:t>
            </w:r>
          </w:p>
        </w:tc>
        <w:tc>
          <w:tcPr>
            <w:tcW w:w="867"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450</w:t>
            </w:r>
          </w:p>
        </w:tc>
      </w:tr>
      <w:tr w:rsidR="00BD5820">
        <w:trPr>
          <w:trHeight w:val="288"/>
          <w:jc w:val="center"/>
        </w:trPr>
        <w:tc>
          <w:tcPr>
            <w:tcW w:w="236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溶解性总固体</w:t>
            </w:r>
          </w:p>
        </w:tc>
        <w:tc>
          <w:tcPr>
            <w:tcW w:w="114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mg/L</w:t>
            </w:r>
            <w:r>
              <w:rPr>
                <w:rFonts w:ascii="Times New Roman" w:hAnsi="宋体" w:cs="Times New Roman"/>
                <w:sz w:val="21"/>
              </w:rPr>
              <w:t>）</w:t>
            </w:r>
          </w:p>
        </w:tc>
        <w:tc>
          <w:tcPr>
            <w:tcW w:w="749"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452</w:t>
            </w:r>
          </w:p>
        </w:tc>
        <w:tc>
          <w:tcPr>
            <w:tcW w:w="748"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618</w:t>
            </w:r>
          </w:p>
        </w:tc>
        <w:tc>
          <w:tcPr>
            <w:tcW w:w="953"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485</w:t>
            </w:r>
          </w:p>
        </w:tc>
        <w:tc>
          <w:tcPr>
            <w:tcW w:w="748"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137</w:t>
            </w:r>
          </w:p>
        </w:tc>
        <w:tc>
          <w:tcPr>
            <w:tcW w:w="953"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138</w:t>
            </w:r>
          </w:p>
        </w:tc>
        <w:tc>
          <w:tcPr>
            <w:tcW w:w="867"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1000</w:t>
            </w:r>
          </w:p>
        </w:tc>
      </w:tr>
      <w:tr w:rsidR="00BD5820">
        <w:trPr>
          <w:trHeight w:val="288"/>
          <w:jc w:val="center"/>
        </w:trPr>
        <w:tc>
          <w:tcPr>
            <w:tcW w:w="236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氯化物</w:t>
            </w:r>
          </w:p>
        </w:tc>
        <w:tc>
          <w:tcPr>
            <w:tcW w:w="114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mg/L</w:t>
            </w:r>
            <w:r>
              <w:rPr>
                <w:rFonts w:ascii="Times New Roman" w:hAnsi="宋体" w:cs="Times New Roman"/>
                <w:sz w:val="21"/>
              </w:rPr>
              <w:t>）</w:t>
            </w:r>
          </w:p>
        </w:tc>
        <w:tc>
          <w:tcPr>
            <w:tcW w:w="749"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kern w:val="2"/>
                <w:sz w:val="21"/>
                <w:szCs w:val="21"/>
              </w:rPr>
              <w:t>3.71</w:t>
            </w:r>
          </w:p>
        </w:tc>
        <w:tc>
          <w:tcPr>
            <w:tcW w:w="748"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kern w:val="2"/>
                <w:sz w:val="21"/>
                <w:szCs w:val="21"/>
              </w:rPr>
              <w:t>23.1</w:t>
            </w:r>
          </w:p>
        </w:tc>
        <w:tc>
          <w:tcPr>
            <w:tcW w:w="953"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kern w:val="2"/>
                <w:sz w:val="21"/>
                <w:szCs w:val="21"/>
              </w:rPr>
              <w:t>14.2</w:t>
            </w:r>
          </w:p>
        </w:tc>
        <w:tc>
          <w:tcPr>
            <w:tcW w:w="748"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0.903</w:t>
            </w:r>
          </w:p>
        </w:tc>
        <w:tc>
          <w:tcPr>
            <w:tcW w:w="953"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0.877</w:t>
            </w:r>
          </w:p>
        </w:tc>
        <w:tc>
          <w:tcPr>
            <w:tcW w:w="867"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250</w:t>
            </w:r>
          </w:p>
        </w:tc>
      </w:tr>
      <w:tr w:rsidR="00BD5820">
        <w:trPr>
          <w:trHeight w:val="288"/>
          <w:jc w:val="center"/>
        </w:trPr>
        <w:tc>
          <w:tcPr>
            <w:tcW w:w="236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铁（</w:t>
            </w:r>
            <w:r>
              <w:rPr>
                <w:rFonts w:ascii="Times New Roman" w:hAnsi="宋体" w:cs="Times New Roman"/>
                <w:sz w:val="21"/>
              </w:rPr>
              <w:t>Fe</w:t>
            </w:r>
            <w:r>
              <w:rPr>
                <w:rFonts w:ascii="Times New Roman" w:hAnsi="宋体" w:cs="Times New Roman"/>
                <w:sz w:val="21"/>
              </w:rPr>
              <w:t>）</w:t>
            </w:r>
          </w:p>
        </w:tc>
        <w:tc>
          <w:tcPr>
            <w:tcW w:w="114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mg/L</w:t>
            </w:r>
            <w:r>
              <w:rPr>
                <w:rFonts w:ascii="Times New Roman" w:hAnsi="宋体" w:cs="Times New Roman"/>
                <w:sz w:val="21"/>
              </w:rPr>
              <w:t>）</w:t>
            </w:r>
          </w:p>
        </w:tc>
        <w:tc>
          <w:tcPr>
            <w:tcW w:w="749"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&lt;0.03</w:t>
            </w:r>
          </w:p>
        </w:tc>
        <w:tc>
          <w:tcPr>
            <w:tcW w:w="748"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&lt;0.03</w:t>
            </w:r>
          </w:p>
        </w:tc>
        <w:tc>
          <w:tcPr>
            <w:tcW w:w="953"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&lt;0.03</w:t>
            </w:r>
          </w:p>
        </w:tc>
        <w:tc>
          <w:tcPr>
            <w:tcW w:w="748"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&lt;0.03</w:t>
            </w:r>
          </w:p>
        </w:tc>
        <w:tc>
          <w:tcPr>
            <w:tcW w:w="953"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&lt;0.03</w:t>
            </w:r>
          </w:p>
        </w:tc>
        <w:tc>
          <w:tcPr>
            <w:tcW w:w="867"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0.3</w:t>
            </w:r>
          </w:p>
        </w:tc>
      </w:tr>
      <w:tr w:rsidR="00BD5820">
        <w:trPr>
          <w:trHeight w:val="288"/>
          <w:jc w:val="center"/>
        </w:trPr>
        <w:tc>
          <w:tcPr>
            <w:tcW w:w="236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锰（</w:t>
            </w:r>
            <w:r>
              <w:rPr>
                <w:rFonts w:ascii="Times New Roman" w:hAnsi="宋体" w:cs="Times New Roman"/>
                <w:sz w:val="21"/>
              </w:rPr>
              <w:t>Mn</w:t>
            </w:r>
            <w:r>
              <w:rPr>
                <w:rFonts w:ascii="Times New Roman" w:hAnsi="宋体" w:cs="Times New Roman"/>
                <w:sz w:val="21"/>
              </w:rPr>
              <w:t>）</w:t>
            </w:r>
          </w:p>
        </w:tc>
        <w:tc>
          <w:tcPr>
            <w:tcW w:w="114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mg/L</w:t>
            </w:r>
            <w:r>
              <w:rPr>
                <w:rFonts w:ascii="Times New Roman" w:hAnsi="宋体" w:cs="Times New Roman"/>
                <w:sz w:val="21"/>
              </w:rPr>
              <w:t>）</w:t>
            </w:r>
          </w:p>
        </w:tc>
        <w:tc>
          <w:tcPr>
            <w:tcW w:w="749"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&lt;0.01</w:t>
            </w:r>
          </w:p>
        </w:tc>
        <w:tc>
          <w:tcPr>
            <w:tcW w:w="748"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&lt;0.01</w:t>
            </w:r>
          </w:p>
        </w:tc>
        <w:tc>
          <w:tcPr>
            <w:tcW w:w="953"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&lt;0.01</w:t>
            </w:r>
          </w:p>
        </w:tc>
        <w:tc>
          <w:tcPr>
            <w:tcW w:w="748"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&lt;0.01</w:t>
            </w:r>
          </w:p>
        </w:tc>
        <w:tc>
          <w:tcPr>
            <w:tcW w:w="953" w:type="dxa"/>
            <w:vAlign w:val="center"/>
          </w:tcPr>
          <w:p w:rsidR="00BD5820" w:rsidRDefault="00F64314">
            <w:pPr>
              <w:topLinePunct w:val="0"/>
              <w:snapToGrid w:val="0"/>
              <w:spacing w:line="240" w:lineRule="auto"/>
              <w:ind w:firstLineChars="0" w:firstLine="0"/>
              <w:jc w:val="center"/>
              <w:rPr>
                <w:rFonts w:ascii="Times New Roman" w:cs="Times New Roman"/>
                <w:bCs/>
                <w:kern w:val="2"/>
                <w:sz w:val="21"/>
                <w:szCs w:val="21"/>
              </w:rPr>
            </w:pPr>
            <w:r>
              <w:rPr>
                <w:rFonts w:ascii="Times New Roman" w:cs="Times New Roman" w:hint="eastAsia"/>
                <w:bCs/>
                <w:kern w:val="2"/>
                <w:sz w:val="21"/>
                <w:szCs w:val="21"/>
              </w:rPr>
              <w:t>&lt;0.01</w:t>
            </w:r>
          </w:p>
        </w:tc>
        <w:tc>
          <w:tcPr>
            <w:tcW w:w="867"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0.1</w:t>
            </w:r>
          </w:p>
        </w:tc>
      </w:tr>
      <w:tr w:rsidR="00BD5820">
        <w:trPr>
          <w:trHeight w:val="288"/>
          <w:jc w:val="center"/>
        </w:trPr>
        <w:tc>
          <w:tcPr>
            <w:tcW w:w="236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挥发酚</w:t>
            </w:r>
          </w:p>
        </w:tc>
        <w:tc>
          <w:tcPr>
            <w:tcW w:w="114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mg/L</w:t>
            </w:r>
            <w:r>
              <w:rPr>
                <w:rFonts w:ascii="Times New Roman" w:hAnsi="宋体" w:cs="Times New Roman"/>
                <w:sz w:val="21"/>
              </w:rPr>
              <w:t>）</w:t>
            </w:r>
          </w:p>
        </w:tc>
        <w:tc>
          <w:tcPr>
            <w:tcW w:w="749"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0.0004</w:t>
            </w:r>
          </w:p>
        </w:tc>
        <w:tc>
          <w:tcPr>
            <w:tcW w:w="748"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0.0005</w:t>
            </w:r>
          </w:p>
        </w:tc>
        <w:tc>
          <w:tcPr>
            <w:tcW w:w="953"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0.0006</w:t>
            </w:r>
          </w:p>
        </w:tc>
        <w:tc>
          <w:tcPr>
            <w:tcW w:w="748"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0.0005</w:t>
            </w:r>
          </w:p>
        </w:tc>
        <w:tc>
          <w:tcPr>
            <w:tcW w:w="953"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0.0004</w:t>
            </w:r>
          </w:p>
        </w:tc>
        <w:tc>
          <w:tcPr>
            <w:tcW w:w="867"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0.002</w:t>
            </w:r>
          </w:p>
        </w:tc>
      </w:tr>
      <w:tr w:rsidR="00BD5820">
        <w:trPr>
          <w:trHeight w:val="288"/>
          <w:jc w:val="center"/>
        </w:trPr>
        <w:tc>
          <w:tcPr>
            <w:tcW w:w="236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耗氧量</w:t>
            </w:r>
          </w:p>
        </w:tc>
        <w:tc>
          <w:tcPr>
            <w:tcW w:w="114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mg/L</w:t>
            </w:r>
            <w:r>
              <w:rPr>
                <w:rFonts w:ascii="Times New Roman" w:hAnsi="宋体" w:cs="Times New Roman"/>
                <w:sz w:val="21"/>
              </w:rPr>
              <w:t>）</w:t>
            </w:r>
          </w:p>
        </w:tc>
        <w:tc>
          <w:tcPr>
            <w:tcW w:w="749"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1.4</w:t>
            </w:r>
          </w:p>
        </w:tc>
        <w:tc>
          <w:tcPr>
            <w:tcW w:w="748"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bCs/>
                <w:kern w:val="2"/>
                <w:sz w:val="21"/>
                <w:szCs w:val="21"/>
              </w:rPr>
              <w:t>2.6</w:t>
            </w:r>
          </w:p>
        </w:tc>
        <w:tc>
          <w:tcPr>
            <w:tcW w:w="953"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1.2</w:t>
            </w:r>
          </w:p>
        </w:tc>
        <w:tc>
          <w:tcPr>
            <w:tcW w:w="748"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2.8</w:t>
            </w:r>
          </w:p>
        </w:tc>
        <w:tc>
          <w:tcPr>
            <w:tcW w:w="953"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2.7</w:t>
            </w:r>
          </w:p>
        </w:tc>
        <w:tc>
          <w:tcPr>
            <w:tcW w:w="867"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3</w:t>
            </w:r>
          </w:p>
        </w:tc>
      </w:tr>
      <w:tr w:rsidR="00BD5820">
        <w:trPr>
          <w:trHeight w:val="288"/>
          <w:jc w:val="center"/>
        </w:trPr>
        <w:tc>
          <w:tcPr>
            <w:tcW w:w="236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硝酸盐（以</w:t>
            </w:r>
            <w:r>
              <w:rPr>
                <w:rFonts w:ascii="Times New Roman" w:hAnsi="宋体" w:cs="Times New Roman"/>
                <w:sz w:val="21"/>
              </w:rPr>
              <w:t>N</w:t>
            </w:r>
            <w:r>
              <w:rPr>
                <w:rFonts w:ascii="Times New Roman" w:hAnsi="宋体" w:cs="Times New Roman"/>
                <w:sz w:val="21"/>
              </w:rPr>
              <w:t>计）</w:t>
            </w:r>
          </w:p>
        </w:tc>
        <w:tc>
          <w:tcPr>
            <w:tcW w:w="114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mg/L</w:t>
            </w:r>
            <w:r>
              <w:rPr>
                <w:rFonts w:ascii="Times New Roman" w:hAnsi="宋体" w:cs="Times New Roman"/>
                <w:sz w:val="21"/>
              </w:rPr>
              <w:t>）</w:t>
            </w:r>
          </w:p>
        </w:tc>
        <w:tc>
          <w:tcPr>
            <w:tcW w:w="749"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0.898</w:t>
            </w:r>
          </w:p>
        </w:tc>
        <w:tc>
          <w:tcPr>
            <w:tcW w:w="748"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2.63</w:t>
            </w:r>
          </w:p>
        </w:tc>
        <w:tc>
          <w:tcPr>
            <w:tcW w:w="953"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1.90</w:t>
            </w:r>
          </w:p>
        </w:tc>
        <w:tc>
          <w:tcPr>
            <w:tcW w:w="748"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&lt;0.016</w:t>
            </w:r>
          </w:p>
        </w:tc>
        <w:tc>
          <w:tcPr>
            <w:tcW w:w="953"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0.070</w:t>
            </w:r>
          </w:p>
        </w:tc>
        <w:tc>
          <w:tcPr>
            <w:tcW w:w="867"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20</w:t>
            </w:r>
          </w:p>
        </w:tc>
      </w:tr>
      <w:tr w:rsidR="00BD5820">
        <w:trPr>
          <w:trHeight w:val="288"/>
          <w:jc w:val="center"/>
        </w:trPr>
        <w:tc>
          <w:tcPr>
            <w:tcW w:w="236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亚硝酸盐（以</w:t>
            </w:r>
            <w:r>
              <w:rPr>
                <w:rFonts w:ascii="Times New Roman" w:hAnsi="宋体" w:cs="Times New Roman"/>
                <w:sz w:val="21"/>
              </w:rPr>
              <w:t>N</w:t>
            </w:r>
            <w:r>
              <w:rPr>
                <w:rFonts w:ascii="Times New Roman" w:hAnsi="宋体" w:cs="Times New Roman"/>
                <w:sz w:val="21"/>
              </w:rPr>
              <w:t>计）</w:t>
            </w:r>
          </w:p>
        </w:tc>
        <w:tc>
          <w:tcPr>
            <w:tcW w:w="114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mg/L</w:t>
            </w:r>
            <w:r>
              <w:rPr>
                <w:rFonts w:ascii="Times New Roman" w:hAnsi="宋体" w:cs="Times New Roman"/>
                <w:sz w:val="21"/>
              </w:rPr>
              <w:t>）</w:t>
            </w:r>
          </w:p>
        </w:tc>
        <w:tc>
          <w:tcPr>
            <w:tcW w:w="749" w:type="dxa"/>
            <w:vAlign w:val="center"/>
          </w:tcPr>
          <w:p w:rsidR="00BD5820" w:rsidRDefault="00F64314">
            <w:pPr>
              <w:topLinePunct w:val="0"/>
              <w:spacing w:line="240" w:lineRule="auto"/>
              <w:ind w:firstLineChars="0" w:firstLine="0"/>
              <w:jc w:val="center"/>
              <w:rPr>
                <w:rFonts w:ascii="Times New Roman" w:hAnsi="宋体" w:cs="Times New Roman"/>
                <w:bCs/>
                <w:kern w:val="2"/>
                <w:sz w:val="21"/>
              </w:rPr>
            </w:pPr>
            <w:r>
              <w:rPr>
                <w:rFonts w:ascii="Times New Roman" w:cs="Times New Roman" w:hint="eastAsia"/>
                <w:bCs/>
                <w:kern w:val="2"/>
                <w:sz w:val="21"/>
                <w:szCs w:val="21"/>
              </w:rPr>
              <w:t>&lt;0.003</w:t>
            </w:r>
          </w:p>
        </w:tc>
        <w:tc>
          <w:tcPr>
            <w:tcW w:w="748" w:type="dxa"/>
            <w:vAlign w:val="center"/>
          </w:tcPr>
          <w:p w:rsidR="00BD5820" w:rsidRDefault="00F64314">
            <w:pPr>
              <w:topLinePunct w:val="0"/>
              <w:spacing w:line="240" w:lineRule="auto"/>
              <w:ind w:firstLineChars="0" w:firstLine="0"/>
              <w:jc w:val="center"/>
              <w:rPr>
                <w:rFonts w:ascii="Times New Roman" w:hAnsi="宋体" w:cs="Times New Roman"/>
                <w:bCs/>
                <w:kern w:val="2"/>
                <w:sz w:val="21"/>
              </w:rPr>
            </w:pPr>
            <w:r>
              <w:rPr>
                <w:rFonts w:ascii="Times New Roman" w:hAnsi="宋体" w:cs="Times New Roman" w:hint="eastAsia"/>
                <w:kern w:val="2"/>
                <w:sz w:val="21"/>
              </w:rPr>
              <w:t>0.003</w:t>
            </w:r>
          </w:p>
        </w:tc>
        <w:tc>
          <w:tcPr>
            <w:tcW w:w="953" w:type="dxa"/>
            <w:vAlign w:val="center"/>
          </w:tcPr>
          <w:p w:rsidR="00BD5820" w:rsidRDefault="00F64314">
            <w:pPr>
              <w:topLinePunct w:val="0"/>
              <w:snapToGrid w:val="0"/>
              <w:spacing w:line="240" w:lineRule="auto"/>
              <w:ind w:firstLineChars="0" w:firstLine="0"/>
              <w:jc w:val="center"/>
              <w:rPr>
                <w:rFonts w:ascii="Times New Roman" w:hAnsi="宋体" w:cs="Times New Roman"/>
                <w:bCs/>
                <w:kern w:val="2"/>
                <w:sz w:val="21"/>
              </w:rPr>
            </w:pPr>
            <w:r>
              <w:rPr>
                <w:rFonts w:ascii="Times New Roman" w:hAnsi="宋体" w:cs="Times New Roman" w:hint="eastAsia"/>
                <w:kern w:val="2"/>
                <w:sz w:val="21"/>
              </w:rPr>
              <w:t>0.036</w:t>
            </w:r>
          </w:p>
        </w:tc>
        <w:tc>
          <w:tcPr>
            <w:tcW w:w="748" w:type="dxa"/>
            <w:vAlign w:val="center"/>
          </w:tcPr>
          <w:p w:rsidR="00BD5820" w:rsidRDefault="00F64314">
            <w:pPr>
              <w:topLinePunct w:val="0"/>
              <w:snapToGrid w:val="0"/>
              <w:spacing w:line="240" w:lineRule="auto"/>
              <w:ind w:firstLineChars="0" w:firstLine="0"/>
              <w:jc w:val="center"/>
              <w:rPr>
                <w:rFonts w:ascii="Times New Roman" w:hAnsi="宋体" w:cs="Times New Roman"/>
                <w:bCs/>
                <w:kern w:val="2"/>
                <w:sz w:val="21"/>
              </w:rPr>
            </w:pPr>
            <w:r>
              <w:rPr>
                <w:rFonts w:ascii="Times New Roman" w:hAnsi="宋体" w:cs="Times New Roman" w:hint="eastAsia"/>
                <w:kern w:val="2"/>
                <w:sz w:val="21"/>
              </w:rPr>
              <w:t>0.017</w:t>
            </w:r>
          </w:p>
        </w:tc>
        <w:tc>
          <w:tcPr>
            <w:tcW w:w="953" w:type="dxa"/>
            <w:vAlign w:val="center"/>
          </w:tcPr>
          <w:p w:rsidR="00BD5820" w:rsidRDefault="00F64314">
            <w:pPr>
              <w:topLinePunct w:val="0"/>
              <w:snapToGrid w:val="0"/>
              <w:spacing w:line="240" w:lineRule="auto"/>
              <w:ind w:firstLineChars="0" w:firstLine="0"/>
              <w:jc w:val="center"/>
              <w:rPr>
                <w:rFonts w:ascii="Times New Roman" w:hAnsi="宋体" w:cs="Times New Roman"/>
                <w:bCs/>
                <w:kern w:val="2"/>
                <w:sz w:val="21"/>
              </w:rPr>
            </w:pPr>
            <w:r>
              <w:rPr>
                <w:rFonts w:ascii="Times New Roman" w:hAnsi="宋体" w:cs="Times New Roman" w:hint="eastAsia"/>
                <w:kern w:val="2"/>
                <w:sz w:val="21"/>
              </w:rPr>
              <w:t>0.020</w:t>
            </w:r>
          </w:p>
        </w:tc>
        <w:tc>
          <w:tcPr>
            <w:tcW w:w="867"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1</w:t>
            </w:r>
          </w:p>
        </w:tc>
      </w:tr>
      <w:tr w:rsidR="00BD5820">
        <w:trPr>
          <w:trHeight w:val="288"/>
          <w:jc w:val="center"/>
        </w:trPr>
        <w:tc>
          <w:tcPr>
            <w:tcW w:w="236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硫酸盐</w:t>
            </w:r>
          </w:p>
        </w:tc>
        <w:tc>
          <w:tcPr>
            <w:tcW w:w="114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mg/L</w:t>
            </w:r>
            <w:r>
              <w:rPr>
                <w:rFonts w:ascii="Times New Roman" w:hAnsi="宋体" w:cs="Times New Roman"/>
                <w:sz w:val="21"/>
              </w:rPr>
              <w:t>）</w:t>
            </w:r>
          </w:p>
        </w:tc>
        <w:tc>
          <w:tcPr>
            <w:tcW w:w="749"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20.6</w:t>
            </w:r>
          </w:p>
        </w:tc>
        <w:tc>
          <w:tcPr>
            <w:tcW w:w="748"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hAnsi="宋体" w:cs="Times New Roman" w:hint="eastAsia"/>
                <w:kern w:val="2"/>
                <w:sz w:val="21"/>
              </w:rPr>
              <w:t>39.3</w:t>
            </w:r>
          </w:p>
        </w:tc>
        <w:tc>
          <w:tcPr>
            <w:tcW w:w="953"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12.3</w:t>
            </w:r>
          </w:p>
        </w:tc>
        <w:tc>
          <w:tcPr>
            <w:tcW w:w="748"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11.7</w:t>
            </w:r>
          </w:p>
        </w:tc>
        <w:tc>
          <w:tcPr>
            <w:tcW w:w="953"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11.8</w:t>
            </w:r>
          </w:p>
        </w:tc>
        <w:tc>
          <w:tcPr>
            <w:tcW w:w="867"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kern w:val="2"/>
                <w:sz w:val="21"/>
              </w:rPr>
              <w:t>≤</w:t>
            </w:r>
            <w:r>
              <w:rPr>
                <w:rFonts w:ascii="Times New Roman" w:hAnsi="宋体" w:cs="Times New Roman"/>
                <w:kern w:val="2"/>
                <w:sz w:val="21"/>
              </w:rPr>
              <w:t>250</w:t>
            </w:r>
          </w:p>
        </w:tc>
      </w:tr>
      <w:tr w:rsidR="00BD5820">
        <w:trPr>
          <w:trHeight w:val="288"/>
          <w:jc w:val="center"/>
        </w:trPr>
        <w:tc>
          <w:tcPr>
            <w:tcW w:w="236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kern w:val="2"/>
                <w:sz w:val="21"/>
              </w:rPr>
            </w:pPr>
            <w:r>
              <w:rPr>
                <w:rFonts w:ascii="Times New Roman" w:hAnsi="宋体" w:cs="Times New Roman"/>
                <w:sz w:val="21"/>
              </w:rPr>
              <w:t>总大肠菌群</w:t>
            </w:r>
          </w:p>
        </w:tc>
        <w:tc>
          <w:tcPr>
            <w:tcW w:w="114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pacing w:val="-11"/>
                <w:kern w:val="2"/>
                <w:sz w:val="21"/>
              </w:rPr>
            </w:pPr>
            <w:r>
              <w:rPr>
                <w:rFonts w:ascii="Times New Roman" w:hAnsi="宋体" w:cs="Times New Roman"/>
                <w:spacing w:val="-11"/>
                <w:sz w:val="21"/>
              </w:rPr>
              <w:t>MPN/100ml</w:t>
            </w:r>
          </w:p>
        </w:tc>
        <w:tc>
          <w:tcPr>
            <w:tcW w:w="749" w:type="dxa"/>
            <w:vAlign w:val="center"/>
          </w:tcPr>
          <w:p w:rsidR="00BD5820" w:rsidRDefault="00F64314">
            <w:pPr>
              <w:topLinePunct w:val="0"/>
              <w:snapToGrid w:val="0"/>
              <w:spacing w:line="240" w:lineRule="auto"/>
              <w:ind w:firstLineChars="0" w:firstLine="0"/>
              <w:jc w:val="center"/>
              <w:rPr>
                <w:rFonts w:ascii="Times New Roman" w:hAnsi="宋体" w:cs="Times New Roman"/>
                <w:bCs/>
                <w:kern w:val="2"/>
                <w:sz w:val="21"/>
              </w:rPr>
            </w:pPr>
            <w:r>
              <w:rPr>
                <w:rFonts w:ascii="Times New Roman" w:hAnsi="宋体" w:cs="Times New Roman" w:hint="eastAsia"/>
                <w:bCs/>
                <w:kern w:val="2"/>
                <w:sz w:val="21"/>
              </w:rPr>
              <w:t>1.0</w:t>
            </w:r>
          </w:p>
        </w:tc>
        <w:tc>
          <w:tcPr>
            <w:tcW w:w="748" w:type="dxa"/>
            <w:vAlign w:val="center"/>
          </w:tcPr>
          <w:p w:rsidR="00BD5820" w:rsidRDefault="00F64314">
            <w:pPr>
              <w:topLinePunct w:val="0"/>
              <w:snapToGrid w:val="0"/>
              <w:spacing w:line="240" w:lineRule="auto"/>
              <w:ind w:firstLineChars="0" w:firstLine="0"/>
              <w:jc w:val="center"/>
              <w:rPr>
                <w:rFonts w:ascii="Times New Roman" w:hAnsi="宋体" w:cs="Times New Roman"/>
                <w:bCs/>
                <w:kern w:val="2"/>
                <w:sz w:val="21"/>
              </w:rPr>
            </w:pPr>
            <w:r>
              <w:rPr>
                <w:rFonts w:ascii="Times New Roman" w:hAnsi="宋体" w:cs="Times New Roman" w:hint="eastAsia"/>
                <w:bCs/>
                <w:kern w:val="2"/>
                <w:sz w:val="21"/>
              </w:rPr>
              <w:t>1.0</w:t>
            </w:r>
          </w:p>
        </w:tc>
        <w:tc>
          <w:tcPr>
            <w:tcW w:w="953" w:type="dxa"/>
            <w:vAlign w:val="center"/>
          </w:tcPr>
          <w:p w:rsidR="00BD5820" w:rsidRDefault="00F64314">
            <w:pPr>
              <w:topLinePunct w:val="0"/>
              <w:snapToGrid w:val="0"/>
              <w:spacing w:line="240" w:lineRule="auto"/>
              <w:ind w:firstLineChars="0" w:firstLine="0"/>
              <w:jc w:val="center"/>
              <w:rPr>
                <w:rFonts w:ascii="Times New Roman" w:hAnsi="宋体" w:cs="Times New Roman"/>
                <w:bCs/>
                <w:kern w:val="2"/>
                <w:sz w:val="21"/>
              </w:rPr>
            </w:pPr>
            <w:r>
              <w:rPr>
                <w:rFonts w:ascii="Times New Roman" w:hAnsi="宋体" w:cs="Times New Roman"/>
                <w:bCs/>
                <w:kern w:val="2"/>
                <w:sz w:val="21"/>
              </w:rPr>
              <w:t>＜</w:t>
            </w:r>
            <w:r>
              <w:rPr>
                <w:rFonts w:ascii="Times New Roman" w:hAnsi="宋体" w:cs="Times New Roman" w:hint="eastAsia"/>
                <w:bCs/>
                <w:kern w:val="2"/>
                <w:sz w:val="21"/>
              </w:rPr>
              <w:t>1.0</w:t>
            </w:r>
          </w:p>
        </w:tc>
        <w:tc>
          <w:tcPr>
            <w:tcW w:w="748" w:type="dxa"/>
            <w:vAlign w:val="center"/>
          </w:tcPr>
          <w:p w:rsidR="00BD5820" w:rsidRDefault="00F64314">
            <w:pPr>
              <w:topLinePunct w:val="0"/>
              <w:snapToGrid w:val="0"/>
              <w:spacing w:line="240" w:lineRule="auto"/>
              <w:ind w:firstLineChars="0" w:firstLine="0"/>
              <w:jc w:val="center"/>
              <w:rPr>
                <w:rFonts w:ascii="Times New Roman" w:hAnsi="宋体" w:cs="Times New Roman"/>
                <w:bCs/>
                <w:kern w:val="2"/>
                <w:sz w:val="21"/>
              </w:rPr>
            </w:pPr>
            <w:r>
              <w:rPr>
                <w:rFonts w:ascii="Times New Roman" w:hAnsi="宋体" w:cs="Times New Roman" w:hint="eastAsia"/>
                <w:bCs/>
                <w:kern w:val="2"/>
                <w:sz w:val="21"/>
              </w:rPr>
              <w:t>2.0</w:t>
            </w:r>
          </w:p>
        </w:tc>
        <w:tc>
          <w:tcPr>
            <w:tcW w:w="953" w:type="dxa"/>
            <w:vAlign w:val="center"/>
          </w:tcPr>
          <w:p w:rsidR="00BD5820" w:rsidRDefault="00F64314">
            <w:pPr>
              <w:topLinePunct w:val="0"/>
              <w:snapToGrid w:val="0"/>
              <w:spacing w:line="240" w:lineRule="auto"/>
              <w:ind w:firstLineChars="0" w:firstLine="0"/>
              <w:jc w:val="center"/>
              <w:rPr>
                <w:rFonts w:ascii="Times New Roman" w:hAnsi="宋体" w:cs="Times New Roman"/>
                <w:bCs/>
                <w:kern w:val="2"/>
                <w:sz w:val="21"/>
              </w:rPr>
            </w:pPr>
            <w:r>
              <w:rPr>
                <w:rFonts w:ascii="Times New Roman" w:hAnsi="宋体" w:cs="Times New Roman" w:hint="eastAsia"/>
                <w:bCs/>
                <w:kern w:val="2"/>
                <w:sz w:val="21"/>
              </w:rPr>
              <w:t>1.0</w:t>
            </w:r>
          </w:p>
        </w:tc>
        <w:tc>
          <w:tcPr>
            <w:tcW w:w="867" w:type="dxa"/>
            <w:vAlign w:val="center"/>
          </w:tcPr>
          <w:p w:rsidR="00BD5820" w:rsidRDefault="00F64314">
            <w:pPr>
              <w:widowControl/>
              <w:topLinePunct w:val="0"/>
              <w:adjustRightInd/>
              <w:spacing w:line="240" w:lineRule="auto"/>
              <w:ind w:firstLineChars="0" w:firstLine="0"/>
              <w:jc w:val="center"/>
              <w:rPr>
                <w:rFonts w:ascii="Times New Roman" w:hAnsi="宋体" w:cs="Times New Roman"/>
                <w:kern w:val="2"/>
                <w:sz w:val="21"/>
              </w:rPr>
            </w:pPr>
            <w:r>
              <w:rPr>
                <w:rFonts w:ascii="Times New Roman" w:hAnsi="宋体" w:cs="Times New Roman"/>
                <w:kern w:val="2"/>
                <w:sz w:val="21"/>
              </w:rPr>
              <w:t>≤</w:t>
            </w:r>
            <w:r>
              <w:rPr>
                <w:rFonts w:ascii="Times New Roman" w:hAnsi="宋体" w:cs="Times New Roman"/>
                <w:kern w:val="2"/>
                <w:sz w:val="21"/>
              </w:rPr>
              <w:t>3.0</w:t>
            </w:r>
          </w:p>
        </w:tc>
      </w:tr>
      <w:tr w:rsidR="00BD5820">
        <w:trPr>
          <w:trHeight w:val="288"/>
          <w:jc w:val="center"/>
        </w:trPr>
        <w:tc>
          <w:tcPr>
            <w:tcW w:w="236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菌落总数</w:t>
            </w:r>
          </w:p>
        </w:tc>
        <w:tc>
          <w:tcPr>
            <w:tcW w:w="114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pacing w:val="-11"/>
                <w:kern w:val="2"/>
                <w:sz w:val="21"/>
              </w:rPr>
            </w:pPr>
            <w:r>
              <w:rPr>
                <w:rFonts w:ascii="Times New Roman" w:hAnsi="宋体" w:cs="Times New Roman"/>
                <w:spacing w:val="-11"/>
                <w:sz w:val="21"/>
              </w:rPr>
              <w:t>CFU/ml</w:t>
            </w:r>
          </w:p>
        </w:tc>
        <w:tc>
          <w:tcPr>
            <w:tcW w:w="749"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88</w:t>
            </w:r>
          </w:p>
        </w:tc>
        <w:tc>
          <w:tcPr>
            <w:tcW w:w="748"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85</w:t>
            </w:r>
          </w:p>
        </w:tc>
        <w:tc>
          <w:tcPr>
            <w:tcW w:w="953"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79</w:t>
            </w:r>
          </w:p>
        </w:tc>
        <w:tc>
          <w:tcPr>
            <w:tcW w:w="748"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91</w:t>
            </w:r>
          </w:p>
        </w:tc>
        <w:tc>
          <w:tcPr>
            <w:tcW w:w="953"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82</w:t>
            </w:r>
          </w:p>
        </w:tc>
        <w:tc>
          <w:tcPr>
            <w:tcW w:w="867" w:type="dxa"/>
            <w:vAlign w:val="center"/>
          </w:tcPr>
          <w:p w:rsidR="00BD5820" w:rsidRDefault="00F64314">
            <w:pPr>
              <w:widowControl/>
              <w:topLinePunct w:val="0"/>
              <w:adjustRightInd/>
              <w:spacing w:line="240" w:lineRule="auto"/>
              <w:ind w:firstLineChars="0" w:firstLine="0"/>
              <w:jc w:val="center"/>
              <w:rPr>
                <w:rFonts w:ascii="Times New Roman" w:hAnsi="宋体" w:cs="Times New Roman"/>
                <w:kern w:val="2"/>
                <w:sz w:val="21"/>
              </w:rPr>
            </w:pPr>
            <w:r>
              <w:rPr>
                <w:rFonts w:ascii="Times New Roman" w:hAnsi="宋体" w:cs="Times New Roman"/>
                <w:kern w:val="2"/>
                <w:sz w:val="21"/>
              </w:rPr>
              <w:t>≤</w:t>
            </w:r>
            <w:r>
              <w:rPr>
                <w:rFonts w:ascii="Times New Roman" w:hAnsi="宋体" w:cs="Times New Roman"/>
                <w:kern w:val="2"/>
                <w:sz w:val="21"/>
              </w:rPr>
              <w:t>100</w:t>
            </w:r>
          </w:p>
        </w:tc>
      </w:tr>
      <w:tr w:rsidR="00BD5820">
        <w:trPr>
          <w:trHeight w:val="288"/>
          <w:jc w:val="center"/>
        </w:trPr>
        <w:tc>
          <w:tcPr>
            <w:tcW w:w="236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氨氮</w:t>
            </w:r>
          </w:p>
        </w:tc>
        <w:tc>
          <w:tcPr>
            <w:tcW w:w="114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mg/L</w:t>
            </w:r>
            <w:r>
              <w:rPr>
                <w:rFonts w:ascii="Times New Roman" w:hAnsi="宋体" w:cs="Times New Roman"/>
                <w:sz w:val="21"/>
              </w:rPr>
              <w:t>）</w:t>
            </w:r>
          </w:p>
        </w:tc>
        <w:tc>
          <w:tcPr>
            <w:tcW w:w="749"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&lt;0.025</w:t>
            </w:r>
          </w:p>
        </w:tc>
        <w:tc>
          <w:tcPr>
            <w:tcW w:w="748"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&lt;0.025</w:t>
            </w:r>
          </w:p>
        </w:tc>
        <w:tc>
          <w:tcPr>
            <w:tcW w:w="953"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&lt;0.025</w:t>
            </w:r>
          </w:p>
        </w:tc>
        <w:tc>
          <w:tcPr>
            <w:tcW w:w="748"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0.115</w:t>
            </w:r>
          </w:p>
        </w:tc>
        <w:tc>
          <w:tcPr>
            <w:tcW w:w="953"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0.110</w:t>
            </w:r>
          </w:p>
        </w:tc>
        <w:tc>
          <w:tcPr>
            <w:tcW w:w="867"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0.5</w:t>
            </w:r>
          </w:p>
        </w:tc>
      </w:tr>
      <w:tr w:rsidR="00BD5820">
        <w:trPr>
          <w:trHeight w:val="288"/>
          <w:jc w:val="center"/>
        </w:trPr>
        <w:tc>
          <w:tcPr>
            <w:tcW w:w="236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氟化物</w:t>
            </w:r>
          </w:p>
        </w:tc>
        <w:tc>
          <w:tcPr>
            <w:tcW w:w="114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mg/L</w:t>
            </w:r>
            <w:r>
              <w:rPr>
                <w:rFonts w:ascii="Times New Roman" w:hAnsi="宋体" w:cs="Times New Roman"/>
                <w:sz w:val="21"/>
              </w:rPr>
              <w:t>）</w:t>
            </w:r>
          </w:p>
        </w:tc>
        <w:tc>
          <w:tcPr>
            <w:tcW w:w="749" w:type="dxa"/>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0.342</w:t>
            </w:r>
          </w:p>
        </w:tc>
        <w:tc>
          <w:tcPr>
            <w:tcW w:w="748"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0.241</w:t>
            </w:r>
          </w:p>
        </w:tc>
        <w:tc>
          <w:tcPr>
            <w:tcW w:w="953"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0.165</w:t>
            </w:r>
          </w:p>
        </w:tc>
        <w:tc>
          <w:tcPr>
            <w:tcW w:w="748"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0.138</w:t>
            </w:r>
          </w:p>
        </w:tc>
        <w:tc>
          <w:tcPr>
            <w:tcW w:w="953"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0.112</w:t>
            </w:r>
          </w:p>
        </w:tc>
        <w:tc>
          <w:tcPr>
            <w:tcW w:w="867"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1</w:t>
            </w:r>
          </w:p>
        </w:tc>
      </w:tr>
      <w:tr w:rsidR="00BD5820">
        <w:trPr>
          <w:trHeight w:val="288"/>
          <w:jc w:val="center"/>
        </w:trPr>
        <w:tc>
          <w:tcPr>
            <w:tcW w:w="236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氰化物</w:t>
            </w:r>
          </w:p>
        </w:tc>
        <w:tc>
          <w:tcPr>
            <w:tcW w:w="114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mg/L</w:t>
            </w:r>
            <w:r>
              <w:rPr>
                <w:rFonts w:ascii="Times New Roman" w:hAnsi="宋体" w:cs="Times New Roman"/>
                <w:sz w:val="21"/>
              </w:rPr>
              <w:t>）</w:t>
            </w:r>
          </w:p>
        </w:tc>
        <w:tc>
          <w:tcPr>
            <w:tcW w:w="749" w:type="dxa"/>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&lt;0.004</w:t>
            </w:r>
          </w:p>
        </w:tc>
        <w:tc>
          <w:tcPr>
            <w:tcW w:w="748"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&lt;0.004</w:t>
            </w:r>
          </w:p>
        </w:tc>
        <w:tc>
          <w:tcPr>
            <w:tcW w:w="953"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&lt;0.004</w:t>
            </w:r>
          </w:p>
        </w:tc>
        <w:tc>
          <w:tcPr>
            <w:tcW w:w="748"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&lt;0.004</w:t>
            </w:r>
          </w:p>
        </w:tc>
        <w:tc>
          <w:tcPr>
            <w:tcW w:w="953"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&lt;0.004</w:t>
            </w:r>
          </w:p>
        </w:tc>
        <w:tc>
          <w:tcPr>
            <w:tcW w:w="867"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0.05</w:t>
            </w:r>
          </w:p>
        </w:tc>
      </w:tr>
      <w:tr w:rsidR="00BD5820">
        <w:trPr>
          <w:trHeight w:val="288"/>
          <w:jc w:val="center"/>
        </w:trPr>
        <w:tc>
          <w:tcPr>
            <w:tcW w:w="236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汞（</w:t>
            </w:r>
            <w:r>
              <w:rPr>
                <w:rFonts w:ascii="Times New Roman" w:hAnsi="宋体" w:cs="Times New Roman"/>
                <w:sz w:val="21"/>
              </w:rPr>
              <w:t>Hg</w:t>
            </w:r>
            <w:r>
              <w:rPr>
                <w:rFonts w:ascii="Times New Roman" w:hAnsi="宋体" w:cs="Times New Roman"/>
                <w:sz w:val="21"/>
              </w:rPr>
              <w:t>）</w:t>
            </w:r>
          </w:p>
        </w:tc>
        <w:tc>
          <w:tcPr>
            <w:tcW w:w="114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mg/L</w:t>
            </w:r>
            <w:r>
              <w:rPr>
                <w:rFonts w:ascii="Times New Roman" w:hAnsi="宋体" w:cs="Times New Roman"/>
                <w:sz w:val="21"/>
              </w:rPr>
              <w:t>）</w:t>
            </w:r>
          </w:p>
        </w:tc>
        <w:tc>
          <w:tcPr>
            <w:tcW w:w="749" w:type="dxa"/>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0.00004</w:t>
            </w:r>
          </w:p>
        </w:tc>
        <w:tc>
          <w:tcPr>
            <w:tcW w:w="748"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&lt;0.00004</w:t>
            </w:r>
          </w:p>
        </w:tc>
        <w:tc>
          <w:tcPr>
            <w:tcW w:w="953"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&lt;0.00004</w:t>
            </w:r>
          </w:p>
        </w:tc>
        <w:tc>
          <w:tcPr>
            <w:tcW w:w="748"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&lt;0.00004</w:t>
            </w:r>
          </w:p>
        </w:tc>
        <w:tc>
          <w:tcPr>
            <w:tcW w:w="953"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&lt;0.00004</w:t>
            </w:r>
          </w:p>
        </w:tc>
        <w:tc>
          <w:tcPr>
            <w:tcW w:w="867"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0.001</w:t>
            </w:r>
          </w:p>
        </w:tc>
      </w:tr>
      <w:tr w:rsidR="00BD5820">
        <w:trPr>
          <w:trHeight w:val="288"/>
          <w:jc w:val="center"/>
        </w:trPr>
        <w:tc>
          <w:tcPr>
            <w:tcW w:w="236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砷（</w:t>
            </w:r>
            <w:r>
              <w:rPr>
                <w:rFonts w:ascii="Times New Roman" w:hAnsi="宋体" w:cs="Times New Roman"/>
                <w:sz w:val="21"/>
              </w:rPr>
              <w:t>As</w:t>
            </w:r>
            <w:r>
              <w:rPr>
                <w:rFonts w:ascii="Times New Roman" w:hAnsi="宋体" w:cs="Times New Roman"/>
                <w:sz w:val="21"/>
              </w:rPr>
              <w:t>）</w:t>
            </w:r>
          </w:p>
        </w:tc>
        <w:tc>
          <w:tcPr>
            <w:tcW w:w="114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mg/L</w:t>
            </w:r>
            <w:r>
              <w:rPr>
                <w:rFonts w:ascii="Times New Roman" w:hAnsi="宋体" w:cs="Times New Roman"/>
                <w:sz w:val="21"/>
              </w:rPr>
              <w:t>）</w:t>
            </w:r>
          </w:p>
        </w:tc>
        <w:tc>
          <w:tcPr>
            <w:tcW w:w="749" w:type="dxa"/>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&lt;</w:t>
            </w:r>
            <w:r>
              <w:rPr>
                <w:rFonts w:ascii="Times New Roman" w:hAnsi="宋体" w:cs="Times New Roman" w:hint="eastAsia"/>
                <w:kern w:val="2"/>
                <w:sz w:val="21"/>
              </w:rPr>
              <w:t>0.003</w:t>
            </w:r>
          </w:p>
        </w:tc>
        <w:tc>
          <w:tcPr>
            <w:tcW w:w="748"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&lt;</w:t>
            </w:r>
            <w:r>
              <w:rPr>
                <w:rFonts w:ascii="Times New Roman" w:hAnsi="宋体" w:cs="Times New Roman" w:hint="eastAsia"/>
                <w:kern w:val="2"/>
                <w:sz w:val="21"/>
              </w:rPr>
              <w:t>0.003</w:t>
            </w:r>
          </w:p>
        </w:tc>
        <w:tc>
          <w:tcPr>
            <w:tcW w:w="953"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&lt;</w:t>
            </w:r>
            <w:r>
              <w:rPr>
                <w:rFonts w:ascii="Times New Roman" w:hAnsi="宋体" w:cs="Times New Roman" w:hint="eastAsia"/>
                <w:kern w:val="2"/>
                <w:sz w:val="21"/>
              </w:rPr>
              <w:t>0.003</w:t>
            </w:r>
          </w:p>
        </w:tc>
        <w:tc>
          <w:tcPr>
            <w:tcW w:w="748"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&lt;</w:t>
            </w:r>
            <w:r>
              <w:rPr>
                <w:rFonts w:ascii="Times New Roman" w:hAnsi="宋体" w:cs="Times New Roman" w:hint="eastAsia"/>
                <w:kern w:val="2"/>
                <w:sz w:val="21"/>
              </w:rPr>
              <w:t>0.003</w:t>
            </w:r>
          </w:p>
        </w:tc>
        <w:tc>
          <w:tcPr>
            <w:tcW w:w="953"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&lt;</w:t>
            </w:r>
            <w:r>
              <w:rPr>
                <w:rFonts w:ascii="Times New Roman" w:hAnsi="宋体" w:cs="Times New Roman" w:hint="eastAsia"/>
                <w:kern w:val="2"/>
                <w:sz w:val="21"/>
              </w:rPr>
              <w:t>0.003</w:t>
            </w:r>
          </w:p>
        </w:tc>
        <w:tc>
          <w:tcPr>
            <w:tcW w:w="867"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0.01</w:t>
            </w:r>
          </w:p>
        </w:tc>
      </w:tr>
      <w:tr w:rsidR="00BD5820">
        <w:trPr>
          <w:trHeight w:val="288"/>
          <w:jc w:val="center"/>
        </w:trPr>
        <w:tc>
          <w:tcPr>
            <w:tcW w:w="236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镉（</w:t>
            </w:r>
            <w:r>
              <w:rPr>
                <w:rFonts w:ascii="Times New Roman" w:hAnsi="宋体" w:cs="Times New Roman"/>
                <w:sz w:val="21"/>
              </w:rPr>
              <w:t>Cd</w:t>
            </w:r>
            <w:r>
              <w:rPr>
                <w:rFonts w:ascii="Times New Roman" w:hAnsi="宋体" w:cs="Times New Roman"/>
                <w:sz w:val="21"/>
              </w:rPr>
              <w:t>）</w:t>
            </w:r>
          </w:p>
        </w:tc>
        <w:tc>
          <w:tcPr>
            <w:tcW w:w="114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mg/L</w:t>
            </w:r>
            <w:r>
              <w:rPr>
                <w:rFonts w:ascii="Times New Roman" w:hAnsi="宋体" w:cs="Times New Roman"/>
                <w:sz w:val="21"/>
              </w:rPr>
              <w:t>）</w:t>
            </w:r>
          </w:p>
        </w:tc>
        <w:tc>
          <w:tcPr>
            <w:tcW w:w="749"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&lt;</w:t>
            </w:r>
            <w:r>
              <w:rPr>
                <w:rFonts w:ascii="Times New Roman" w:hAnsi="宋体" w:cs="Times New Roman" w:hint="eastAsia"/>
                <w:kern w:val="2"/>
                <w:sz w:val="21"/>
              </w:rPr>
              <w:t>0.0001</w:t>
            </w:r>
          </w:p>
        </w:tc>
        <w:tc>
          <w:tcPr>
            <w:tcW w:w="748"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&lt;</w:t>
            </w:r>
            <w:r>
              <w:rPr>
                <w:rFonts w:ascii="Times New Roman" w:hAnsi="宋体" w:cs="Times New Roman" w:hint="eastAsia"/>
                <w:kern w:val="2"/>
                <w:sz w:val="21"/>
              </w:rPr>
              <w:t>0.0001</w:t>
            </w:r>
          </w:p>
        </w:tc>
        <w:tc>
          <w:tcPr>
            <w:tcW w:w="953"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kern w:val="2"/>
                <w:sz w:val="21"/>
              </w:rPr>
              <w:t>0.00018</w:t>
            </w:r>
          </w:p>
        </w:tc>
        <w:tc>
          <w:tcPr>
            <w:tcW w:w="748"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&lt;</w:t>
            </w:r>
            <w:r>
              <w:rPr>
                <w:rFonts w:ascii="Times New Roman" w:hAnsi="宋体" w:cs="Times New Roman" w:hint="eastAsia"/>
                <w:kern w:val="2"/>
                <w:sz w:val="21"/>
              </w:rPr>
              <w:t>0.0001</w:t>
            </w:r>
          </w:p>
        </w:tc>
        <w:tc>
          <w:tcPr>
            <w:tcW w:w="953"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&lt;</w:t>
            </w:r>
            <w:r>
              <w:rPr>
                <w:rFonts w:ascii="Times New Roman" w:hAnsi="宋体" w:cs="Times New Roman" w:hint="eastAsia"/>
                <w:kern w:val="2"/>
                <w:sz w:val="21"/>
              </w:rPr>
              <w:t>0.0001</w:t>
            </w:r>
          </w:p>
        </w:tc>
        <w:tc>
          <w:tcPr>
            <w:tcW w:w="867"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0.005</w:t>
            </w:r>
          </w:p>
        </w:tc>
      </w:tr>
      <w:tr w:rsidR="00BD5820">
        <w:trPr>
          <w:trHeight w:val="288"/>
          <w:jc w:val="center"/>
        </w:trPr>
        <w:tc>
          <w:tcPr>
            <w:tcW w:w="236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lastRenderedPageBreak/>
              <w:t>铬（六价）（</w:t>
            </w:r>
            <w:r>
              <w:rPr>
                <w:rFonts w:ascii="Times New Roman" w:hAnsi="宋体" w:cs="Times New Roman"/>
                <w:sz w:val="21"/>
              </w:rPr>
              <w:t>Cr</w:t>
            </w:r>
            <w:r>
              <w:rPr>
                <w:rFonts w:ascii="Times New Roman" w:hAnsi="宋体" w:cs="Times New Roman"/>
                <w:sz w:val="21"/>
                <w:vertAlign w:val="superscript"/>
              </w:rPr>
              <w:t>6+</w:t>
            </w:r>
            <w:r>
              <w:rPr>
                <w:rFonts w:ascii="Times New Roman" w:hAnsi="宋体" w:cs="Times New Roman"/>
                <w:sz w:val="21"/>
              </w:rPr>
              <w:t>）</w:t>
            </w:r>
          </w:p>
        </w:tc>
        <w:tc>
          <w:tcPr>
            <w:tcW w:w="114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mg/L</w:t>
            </w:r>
            <w:r>
              <w:rPr>
                <w:rFonts w:ascii="Times New Roman" w:hAnsi="宋体" w:cs="Times New Roman"/>
                <w:sz w:val="21"/>
              </w:rPr>
              <w:t>）</w:t>
            </w:r>
          </w:p>
        </w:tc>
        <w:tc>
          <w:tcPr>
            <w:tcW w:w="749" w:type="dxa"/>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&lt;0.004</w:t>
            </w:r>
          </w:p>
        </w:tc>
        <w:tc>
          <w:tcPr>
            <w:tcW w:w="748"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&lt;0.004</w:t>
            </w:r>
          </w:p>
        </w:tc>
        <w:tc>
          <w:tcPr>
            <w:tcW w:w="953"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&lt;0.004</w:t>
            </w:r>
          </w:p>
        </w:tc>
        <w:tc>
          <w:tcPr>
            <w:tcW w:w="748"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&lt;0.004</w:t>
            </w:r>
          </w:p>
        </w:tc>
        <w:tc>
          <w:tcPr>
            <w:tcW w:w="953"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&lt;0.004</w:t>
            </w:r>
          </w:p>
        </w:tc>
        <w:tc>
          <w:tcPr>
            <w:tcW w:w="867"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0.05</w:t>
            </w:r>
          </w:p>
        </w:tc>
      </w:tr>
      <w:tr w:rsidR="00BD5820">
        <w:trPr>
          <w:trHeight w:val="288"/>
          <w:jc w:val="center"/>
        </w:trPr>
        <w:tc>
          <w:tcPr>
            <w:tcW w:w="236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铅（</w:t>
            </w:r>
            <w:r>
              <w:rPr>
                <w:rFonts w:ascii="Times New Roman" w:hAnsi="宋体" w:cs="Times New Roman"/>
                <w:sz w:val="21"/>
              </w:rPr>
              <w:t>Pb</w:t>
            </w:r>
            <w:r>
              <w:rPr>
                <w:rFonts w:ascii="Times New Roman" w:hAnsi="宋体" w:cs="Times New Roman"/>
                <w:sz w:val="21"/>
              </w:rPr>
              <w:t>）</w:t>
            </w:r>
          </w:p>
        </w:tc>
        <w:tc>
          <w:tcPr>
            <w:tcW w:w="114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mg/L</w:t>
            </w:r>
            <w:r>
              <w:rPr>
                <w:rFonts w:ascii="Times New Roman" w:hAnsi="宋体" w:cs="Times New Roman"/>
                <w:sz w:val="21"/>
              </w:rPr>
              <w:t>）</w:t>
            </w:r>
          </w:p>
        </w:tc>
        <w:tc>
          <w:tcPr>
            <w:tcW w:w="749" w:type="dxa"/>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&lt;0.001</w:t>
            </w:r>
          </w:p>
        </w:tc>
        <w:tc>
          <w:tcPr>
            <w:tcW w:w="748"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&lt;0.001</w:t>
            </w:r>
          </w:p>
        </w:tc>
        <w:tc>
          <w:tcPr>
            <w:tcW w:w="953"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&lt;0.001</w:t>
            </w:r>
          </w:p>
        </w:tc>
        <w:tc>
          <w:tcPr>
            <w:tcW w:w="748"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&lt;0.001</w:t>
            </w:r>
          </w:p>
        </w:tc>
        <w:tc>
          <w:tcPr>
            <w:tcW w:w="953"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&lt;0.001</w:t>
            </w:r>
          </w:p>
        </w:tc>
        <w:tc>
          <w:tcPr>
            <w:tcW w:w="867"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0.01</w:t>
            </w:r>
          </w:p>
        </w:tc>
      </w:tr>
      <w:tr w:rsidR="00BD5820">
        <w:trPr>
          <w:trHeight w:val="288"/>
          <w:jc w:val="center"/>
        </w:trPr>
        <w:tc>
          <w:tcPr>
            <w:tcW w:w="236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硫化物</w:t>
            </w:r>
          </w:p>
        </w:tc>
        <w:tc>
          <w:tcPr>
            <w:tcW w:w="114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mg/L</w:t>
            </w:r>
            <w:r>
              <w:rPr>
                <w:rFonts w:ascii="Times New Roman" w:hAnsi="宋体" w:cs="Times New Roman"/>
                <w:sz w:val="21"/>
              </w:rPr>
              <w:t>）</w:t>
            </w:r>
          </w:p>
        </w:tc>
        <w:tc>
          <w:tcPr>
            <w:tcW w:w="749" w:type="dxa"/>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&lt;0.003</w:t>
            </w:r>
          </w:p>
        </w:tc>
        <w:tc>
          <w:tcPr>
            <w:tcW w:w="748"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&lt;0.003</w:t>
            </w:r>
          </w:p>
        </w:tc>
        <w:tc>
          <w:tcPr>
            <w:tcW w:w="953"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&lt;0.003</w:t>
            </w:r>
          </w:p>
        </w:tc>
        <w:tc>
          <w:tcPr>
            <w:tcW w:w="748"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0.019</w:t>
            </w:r>
          </w:p>
        </w:tc>
        <w:tc>
          <w:tcPr>
            <w:tcW w:w="953"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0.019</w:t>
            </w:r>
          </w:p>
        </w:tc>
        <w:tc>
          <w:tcPr>
            <w:tcW w:w="867"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p>
        </w:tc>
      </w:tr>
      <w:tr w:rsidR="00BD5820">
        <w:trPr>
          <w:trHeight w:val="288"/>
          <w:jc w:val="center"/>
        </w:trPr>
        <w:tc>
          <w:tcPr>
            <w:tcW w:w="236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石油类</w:t>
            </w:r>
          </w:p>
        </w:tc>
        <w:tc>
          <w:tcPr>
            <w:tcW w:w="114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mg/L</w:t>
            </w:r>
            <w:r>
              <w:rPr>
                <w:rFonts w:ascii="Times New Roman" w:hAnsi="宋体" w:cs="Times New Roman"/>
                <w:sz w:val="21"/>
              </w:rPr>
              <w:t>）</w:t>
            </w:r>
          </w:p>
        </w:tc>
        <w:tc>
          <w:tcPr>
            <w:tcW w:w="749" w:type="dxa"/>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0.04</w:t>
            </w:r>
          </w:p>
        </w:tc>
        <w:tc>
          <w:tcPr>
            <w:tcW w:w="748"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0.04</w:t>
            </w:r>
          </w:p>
        </w:tc>
        <w:tc>
          <w:tcPr>
            <w:tcW w:w="953"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0.02</w:t>
            </w:r>
          </w:p>
        </w:tc>
        <w:tc>
          <w:tcPr>
            <w:tcW w:w="748"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0.02</w:t>
            </w:r>
          </w:p>
        </w:tc>
        <w:tc>
          <w:tcPr>
            <w:tcW w:w="953"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0.04</w:t>
            </w:r>
          </w:p>
        </w:tc>
        <w:tc>
          <w:tcPr>
            <w:tcW w:w="867"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w:t>
            </w:r>
            <w:r>
              <w:rPr>
                <w:rFonts w:ascii="Times New Roman" w:hAnsi="宋体" w:cs="Times New Roman"/>
                <w:sz w:val="21"/>
              </w:rPr>
              <w:t>0.05</w:t>
            </w:r>
          </w:p>
        </w:tc>
      </w:tr>
      <w:tr w:rsidR="00BD5820">
        <w:trPr>
          <w:trHeight w:val="288"/>
          <w:jc w:val="center"/>
        </w:trPr>
        <w:tc>
          <w:tcPr>
            <w:tcW w:w="8522" w:type="dxa"/>
            <w:gridSpan w:val="8"/>
            <w:vAlign w:val="center"/>
          </w:tcPr>
          <w:p w:rsidR="00BD5820" w:rsidRDefault="00F64314">
            <w:pPr>
              <w:widowControl/>
              <w:topLinePunct w:val="0"/>
              <w:adjustRightInd/>
              <w:spacing w:line="240" w:lineRule="auto"/>
              <w:ind w:firstLineChars="0" w:firstLine="0"/>
              <w:rPr>
                <w:rFonts w:ascii="Times New Roman" w:hAnsi="宋体" w:cs="Times New Roman"/>
                <w:sz w:val="21"/>
              </w:rPr>
            </w:pPr>
            <w:r>
              <w:rPr>
                <w:rFonts w:ascii="Times New Roman" w:hAnsi="宋体" w:cs="Times New Roman"/>
                <w:sz w:val="21"/>
              </w:rPr>
              <w:t>备注：</w:t>
            </w:r>
            <w:r>
              <w:rPr>
                <w:rFonts w:ascii="Times New Roman" w:hAnsi="宋体" w:cs="Times New Roman"/>
                <w:sz w:val="21"/>
              </w:rPr>
              <w:t>ND</w:t>
            </w:r>
            <w:r>
              <w:rPr>
                <w:rFonts w:ascii="Times New Roman" w:hAnsi="宋体" w:cs="Times New Roman"/>
                <w:sz w:val="21"/>
              </w:rPr>
              <w:t>表示检测结果低于方法检出限或未检出。</w:t>
            </w:r>
          </w:p>
        </w:tc>
      </w:tr>
    </w:tbl>
    <w:p w:rsidR="00BD5820" w:rsidRDefault="00F64314">
      <w:pPr>
        <w:ind w:firstLineChars="0" w:firstLine="0"/>
        <w:jc w:val="center"/>
        <w:rPr>
          <w:rFonts w:ascii="Times New Roman" w:cs="Times New Roman"/>
          <w:b/>
        </w:rPr>
      </w:pPr>
      <w:r>
        <w:rPr>
          <w:rFonts w:ascii="Times New Roman" w:cs="Times New Roman"/>
          <w:b/>
          <w:bCs/>
          <w:sz w:val="21"/>
          <w:szCs w:val="21"/>
        </w:rPr>
        <w:t>表</w:t>
      </w:r>
      <w:r>
        <w:rPr>
          <w:rFonts w:ascii="Times New Roman" w:cs="Times New Roman"/>
          <w:b/>
          <w:bCs/>
          <w:sz w:val="21"/>
          <w:szCs w:val="21"/>
        </w:rPr>
        <w:t>5.5-</w:t>
      </w:r>
      <w:r>
        <w:rPr>
          <w:rFonts w:ascii="Times New Roman" w:cs="Times New Roman" w:hint="eastAsia"/>
          <w:b/>
          <w:bCs/>
          <w:sz w:val="21"/>
          <w:szCs w:val="21"/>
        </w:rPr>
        <w:t>7</w:t>
      </w:r>
      <w:r>
        <w:rPr>
          <w:rFonts w:ascii="Times New Roman" w:cs="Times New Roman"/>
          <w:b/>
          <w:bCs/>
          <w:sz w:val="21"/>
          <w:szCs w:val="21"/>
        </w:rPr>
        <w:t xml:space="preserve">  </w:t>
      </w:r>
      <w:r>
        <w:rPr>
          <w:rFonts w:ascii="Times New Roman" w:cs="Times New Roman"/>
          <w:b/>
          <w:bCs/>
          <w:sz w:val="21"/>
          <w:szCs w:val="21"/>
        </w:rPr>
        <w:t>普光气田</w:t>
      </w:r>
      <w:r>
        <w:rPr>
          <w:rFonts w:ascii="Times New Roman" w:cs="Times New Roman" w:hint="eastAsia"/>
          <w:b/>
          <w:bCs/>
          <w:sz w:val="21"/>
          <w:szCs w:val="21"/>
        </w:rPr>
        <w:t>2</w:t>
      </w:r>
      <w:r>
        <w:rPr>
          <w:rFonts w:ascii="Times New Roman" w:cs="Times New Roman"/>
          <w:b/>
          <w:bCs/>
          <w:sz w:val="21"/>
          <w:szCs w:val="21"/>
        </w:rPr>
        <w:t>#</w:t>
      </w:r>
      <w:r>
        <w:rPr>
          <w:rFonts w:ascii="Times New Roman" w:cs="Times New Roman"/>
          <w:b/>
          <w:bCs/>
          <w:sz w:val="21"/>
          <w:szCs w:val="21"/>
        </w:rPr>
        <w:t>增压站所在地</w:t>
      </w:r>
      <w:r>
        <w:rPr>
          <w:rFonts w:ascii="Times New Roman" w:cs="Times New Roman"/>
          <w:b/>
          <w:sz w:val="21"/>
          <w:szCs w:val="21"/>
        </w:rPr>
        <w:t>地下水环境质量现状评价结果</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3466"/>
        <w:gridCol w:w="1010"/>
        <w:gridCol w:w="1010"/>
        <w:gridCol w:w="1012"/>
        <w:gridCol w:w="1012"/>
        <w:gridCol w:w="1012"/>
      </w:tblGrid>
      <w:tr w:rsidR="00BD5820">
        <w:trPr>
          <w:trHeight w:val="300"/>
          <w:jc w:val="center"/>
        </w:trPr>
        <w:tc>
          <w:tcPr>
            <w:tcW w:w="3466" w:type="dxa"/>
            <w:vMerge w:val="restart"/>
            <w:vAlign w:val="center"/>
          </w:tcPr>
          <w:p w:rsidR="00BD5820" w:rsidRDefault="00F64314">
            <w:pPr>
              <w:widowControl/>
              <w:topLinePunct w:val="0"/>
              <w:adjustRightInd/>
              <w:spacing w:line="240" w:lineRule="auto"/>
              <w:ind w:firstLineChars="0" w:firstLine="0"/>
              <w:jc w:val="center"/>
              <w:rPr>
                <w:rFonts w:ascii="Times New Roman" w:hAnsi="宋体" w:cs="Times New Roman"/>
                <w:b/>
                <w:sz w:val="21"/>
              </w:rPr>
            </w:pPr>
            <w:r>
              <w:rPr>
                <w:rFonts w:ascii="Times New Roman" w:hAnsi="宋体" w:cs="Times New Roman"/>
                <w:b/>
                <w:sz w:val="21"/>
              </w:rPr>
              <w:t>项目</w:t>
            </w:r>
          </w:p>
        </w:tc>
        <w:tc>
          <w:tcPr>
            <w:tcW w:w="5056" w:type="dxa"/>
            <w:gridSpan w:val="5"/>
          </w:tcPr>
          <w:p w:rsidR="00BD5820" w:rsidRDefault="00F64314">
            <w:pPr>
              <w:widowControl/>
              <w:topLinePunct w:val="0"/>
              <w:adjustRightInd/>
              <w:spacing w:line="240" w:lineRule="auto"/>
              <w:ind w:firstLineChars="0" w:firstLine="0"/>
              <w:jc w:val="center"/>
              <w:rPr>
                <w:rFonts w:ascii="Times New Roman" w:hAnsi="宋体" w:cs="Times New Roman"/>
                <w:b/>
                <w:sz w:val="21"/>
              </w:rPr>
            </w:pPr>
            <w:r>
              <w:rPr>
                <w:rFonts w:ascii="Times New Roman" w:hAnsi="宋体" w:cs="Times New Roman"/>
                <w:b/>
                <w:sz w:val="21"/>
              </w:rPr>
              <w:t>评价值</w:t>
            </w:r>
          </w:p>
        </w:tc>
      </w:tr>
      <w:tr w:rsidR="00BD5820">
        <w:trPr>
          <w:trHeight w:val="339"/>
          <w:jc w:val="center"/>
        </w:trPr>
        <w:tc>
          <w:tcPr>
            <w:tcW w:w="3466" w:type="dxa"/>
            <w:vMerge/>
            <w:vAlign w:val="center"/>
          </w:tcPr>
          <w:p w:rsidR="00BD5820" w:rsidRDefault="00BD5820">
            <w:pPr>
              <w:widowControl/>
              <w:topLinePunct w:val="0"/>
              <w:adjustRightInd/>
              <w:spacing w:line="240" w:lineRule="auto"/>
              <w:ind w:firstLineChars="0" w:firstLine="0"/>
              <w:jc w:val="left"/>
              <w:rPr>
                <w:rFonts w:ascii="Times New Roman" w:hAnsi="宋体" w:cs="Times New Roman"/>
                <w:b/>
                <w:sz w:val="21"/>
              </w:rPr>
            </w:pPr>
          </w:p>
        </w:tc>
        <w:tc>
          <w:tcPr>
            <w:tcW w:w="1010" w:type="dxa"/>
            <w:vAlign w:val="center"/>
          </w:tcPr>
          <w:p w:rsidR="00BD5820" w:rsidRDefault="00F64314">
            <w:pPr>
              <w:widowControl/>
              <w:topLinePunct w:val="0"/>
              <w:adjustRightInd/>
              <w:spacing w:line="240" w:lineRule="auto"/>
              <w:ind w:firstLineChars="0" w:firstLine="0"/>
              <w:jc w:val="center"/>
              <w:rPr>
                <w:rFonts w:ascii="Times New Roman" w:hAnsi="宋体" w:cs="Times New Roman"/>
                <w:b/>
                <w:sz w:val="21"/>
              </w:rPr>
            </w:pPr>
            <w:r>
              <w:rPr>
                <w:rFonts w:ascii="Times New Roman" w:hAnsi="宋体" w:cs="Times New Roman" w:hint="eastAsia"/>
                <w:b/>
                <w:sz w:val="21"/>
              </w:rPr>
              <w:t>JC</w:t>
            </w:r>
            <w:r>
              <w:rPr>
                <w:rFonts w:ascii="Times New Roman" w:hAnsi="宋体" w:cs="Times New Roman"/>
                <w:b/>
                <w:sz w:val="21"/>
              </w:rPr>
              <w:t>1</w:t>
            </w:r>
          </w:p>
        </w:tc>
        <w:tc>
          <w:tcPr>
            <w:tcW w:w="1010" w:type="dxa"/>
            <w:vAlign w:val="center"/>
          </w:tcPr>
          <w:p w:rsidR="00BD5820" w:rsidRDefault="00F64314">
            <w:pPr>
              <w:widowControl/>
              <w:topLinePunct w:val="0"/>
              <w:adjustRightInd/>
              <w:spacing w:line="240" w:lineRule="auto"/>
              <w:ind w:firstLineChars="0" w:firstLine="0"/>
              <w:jc w:val="center"/>
              <w:rPr>
                <w:rFonts w:ascii="Times New Roman" w:hAnsi="宋体" w:cs="Times New Roman"/>
                <w:b/>
                <w:sz w:val="21"/>
              </w:rPr>
            </w:pPr>
            <w:r>
              <w:rPr>
                <w:rFonts w:ascii="Times New Roman" w:hAnsi="宋体" w:cs="Times New Roman" w:hint="eastAsia"/>
                <w:b/>
                <w:sz w:val="21"/>
              </w:rPr>
              <w:t>JC</w:t>
            </w:r>
            <w:r>
              <w:rPr>
                <w:rFonts w:ascii="Times New Roman" w:hAnsi="宋体" w:cs="Times New Roman"/>
                <w:b/>
                <w:sz w:val="21"/>
              </w:rPr>
              <w:t>2</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b/>
                <w:sz w:val="21"/>
              </w:rPr>
            </w:pPr>
            <w:r>
              <w:rPr>
                <w:rFonts w:ascii="Times New Roman" w:hAnsi="宋体" w:cs="Times New Roman" w:hint="eastAsia"/>
                <w:b/>
                <w:sz w:val="21"/>
              </w:rPr>
              <w:t>JC</w:t>
            </w:r>
            <w:r>
              <w:rPr>
                <w:rFonts w:ascii="Times New Roman" w:hAnsi="宋体" w:cs="Times New Roman"/>
                <w:b/>
                <w:sz w:val="21"/>
              </w:rPr>
              <w:t>3</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b/>
                <w:sz w:val="21"/>
              </w:rPr>
            </w:pPr>
            <w:r>
              <w:rPr>
                <w:rFonts w:ascii="Times New Roman" w:hAnsi="宋体" w:cs="Times New Roman" w:hint="eastAsia"/>
                <w:b/>
                <w:sz w:val="21"/>
              </w:rPr>
              <w:t>JC</w:t>
            </w:r>
            <w:r>
              <w:rPr>
                <w:rFonts w:ascii="Times New Roman" w:hAnsi="宋体" w:cs="Times New Roman"/>
                <w:b/>
                <w:sz w:val="21"/>
              </w:rPr>
              <w:t>4</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b/>
                <w:sz w:val="21"/>
              </w:rPr>
            </w:pPr>
            <w:r>
              <w:rPr>
                <w:rFonts w:ascii="Times New Roman" w:hAnsi="宋体" w:cs="Times New Roman" w:hint="eastAsia"/>
                <w:b/>
                <w:sz w:val="21"/>
              </w:rPr>
              <w:t>JC</w:t>
            </w:r>
            <w:r>
              <w:rPr>
                <w:rFonts w:ascii="Times New Roman" w:hAnsi="宋体" w:cs="Times New Roman"/>
                <w:b/>
                <w:sz w:val="21"/>
              </w:rPr>
              <w:t>5</w:t>
            </w:r>
          </w:p>
        </w:tc>
      </w:tr>
      <w:tr w:rsidR="00BD5820">
        <w:trPr>
          <w:trHeight w:val="90"/>
          <w:jc w:val="center"/>
        </w:trPr>
        <w:tc>
          <w:tcPr>
            <w:tcW w:w="3466"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pH</w:t>
            </w:r>
          </w:p>
        </w:tc>
        <w:tc>
          <w:tcPr>
            <w:tcW w:w="1010"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0</w:t>
            </w:r>
          </w:p>
        </w:tc>
        <w:tc>
          <w:tcPr>
            <w:tcW w:w="1010"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0.07</w:t>
            </w:r>
          </w:p>
        </w:tc>
        <w:tc>
          <w:tcPr>
            <w:tcW w:w="1012"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0.07</w:t>
            </w:r>
          </w:p>
        </w:tc>
        <w:tc>
          <w:tcPr>
            <w:tcW w:w="1012"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0.27</w:t>
            </w:r>
          </w:p>
        </w:tc>
        <w:tc>
          <w:tcPr>
            <w:tcW w:w="1012"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0.27</w:t>
            </w:r>
          </w:p>
        </w:tc>
      </w:tr>
      <w:tr w:rsidR="00BD5820">
        <w:trPr>
          <w:trHeight w:val="309"/>
          <w:jc w:val="center"/>
        </w:trPr>
        <w:tc>
          <w:tcPr>
            <w:tcW w:w="3466"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总硬度（以</w:t>
            </w:r>
            <w:r>
              <w:rPr>
                <w:rFonts w:ascii="Times New Roman" w:hAnsi="宋体" w:cs="Times New Roman"/>
                <w:sz w:val="21"/>
              </w:rPr>
              <w:t>CaCO</w:t>
            </w:r>
            <w:r>
              <w:rPr>
                <w:rFonts w:ascii="Times New Roman" w:hAnsi="宋体" w:cs="Times New Roman"/>
                <w:sz w:val="21"/>
                <w:vertAlign w:val="subscript"/>
              </w:rPr>
              <w:t>3</w:t>
            </w:r>
            <w:r>
              <w:rPr>
                <w:rFonts w:ascii="Times New Roman" w:hAnsi="宋体" w:cs="Times New Roman"/>
                <w:sz w:val="21"/>
              </w:rPr>
              <w:t>计）</w:t>
            </w:r>
          </w:p>
        </w:tc>
        <w:tc>
          <w:tcPr>
            <w:tcW w:w="1010"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0427</w:t>
            </w:r>
          </w:p>
        </w:tc>
        <w:tc>
          <w:tcPr>
            <w:tcW w:w="1010"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0.636</w:t>
            </w:r>
          </w:p>
        </w:tc>
        <w:tc>
          <w:tcPr>
            <w:tcW w:w="1012"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0.436</w:t>
            </w:r>
          </w:p>
        </w:tc>
        <w:tc>
          <w:tcPr>
            <w:tcW w:w="1012"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0.153</w:t>
            </w:r>
          </w:p>
        </w:tc>
        <w:tc>
          <w:tcPr>
            <w:tcW w:w="1012"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0.151</w:t>
            </w:r>
          </w:p>
        </w:tc>
      </w:tr>
      <w:tr w:rsidR="00BD5820">
        <w:trPr>
          <w:trHeight w:val="309"/>
          <w:jc w:val="center"/>
        </w:trPr>
        <w:tc>
          <w:tcPr>
            <w:tcW w:w="3466"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溶解性总固体</w:t>
            </w:r>
          </w:p>
        </w:tc>
        <w:tc>
          <w:tcPr>
            <w:tcW w:w="1010"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0.452</w:t>
            </w:r>
          </w:p>
        </w:tc>
        <w:tc>
          <w:tcPr>
            <w:tcW w:w="1010"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0.618</w:t>
            </w:r>
          </w:p>
        </w:tc>
        <w:tc>
          <w:tcPr>
            <w:tcW w:w="1012"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0.485</w:t>
            </w:r>
          </w:p>
        </w:tc>
        <w:tc>
          <w:tcPr>
            <w:tcW w:w="1012"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0.137</w:t>
            </w:r>
          </w:p>
        </w:tc>
        <w:tc>
          <w:tcPr>
            <w:tcW w:w="1012"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0.138</w:t>
            </w:r>
          </w:p>
        </w:tc>
      </w:tr>
      <w:tr w:rsidR="00BD5820">
        <w:trPr>
          <w:trHeight w:val="309"/>
          <w:jc w:val="center"/>
        </w:trPr>
        <w:tc>
          <w:tcPr>
            <w:tcW w:w="3466"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氯化物</w:t>
            </w:r>
          </w:p>
        </w:tc>
        <w:tc>
          <w:tcPr>
            <w:tcW w:w="1010"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kern w:val="2"/>
                <w:sz w:val="21"/>
                <w:szCs w:val="21"/>
              </w:rPr>
              <w:t>0.149</w:t>
            </w:r>
          </w:p>
        </w:tc>
        <w:tc>
          <w:tcPr>
            <w:tcW w:w="1010"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kern w:val="2"/>
                <w:sz w:val="21"/>
                <w:szCs w:val="21"/>
              </w:rPr>
              <w:t>0.092</w:t>
            </w:r>
          </w:p>
        </w:tc>
        <w:tc>
          <w:tcPr>
            <w:tcW w:w="1012"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kern w:val="2"/>
                <w:sz w:val="21"/>
                <w:szCs w:val="21"/>
              </w:rPr>
              <w:t>0.057</w:t>
            </w:r>
          </w:p>
        </w:tc>
        <w:tc>
          <w:tcPr>
            <w:tcW w:w="1012"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0.004</w:t>
            </w:r>
          </w:p>
        </w:tc>
        <w:tc>
          <w:tcPr>
            <w:tcW w:w="1012"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0.004</w:t>
            </w:r>
          </w:p>
        </w:tc>
      </w:tr>
      <w:tr w:rsidR="00BD5820">
        <w:trPr>
          <w:trHeight w:val="309"/>
          <w:jc w:val="center"/>
        </w:trPr>
        <w:tc>
          <w:tcPr>
            <w:tcW w:w="3466"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铁（</w:t>
            </w:r>
            <w:r>
              <w:rPr>
                <w:rFonts w:ascii="Times New Roman" w:hAnsi="宋体" w:cs="Times New Roman"/>
                <w:sz w:val="21"/>
              </w:rPr>
              <w:t>Fe</w:t>
            </w:r>
            <w:r>
              <w:rPr>
                <w:rFonts w:ascii="Times New Roman" w:hAnsi="宋体" w:cs="Times New Roman"/>
                <w:sz w:val="21"/>
              </w:rPr>
              <w:t>）</w:t>
            </w:r>
          </w:p>
        </w:tc>
        <w:tc>
          <w:tcPr>
            <w:tcW w:w="1010" w:type="dxa"/>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w:t>
            </w:r>
          </w:p>
        </w:tc>
        <w:tc>
          <w:tcPr>
            <w:tcW w:w="1010"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w:t>
            </w:r>
          </w:p>
        </w:tc>
      </w:tr>
      <w:tr w:rsidR="00BD5820">
        <w:trPr>
          <w:trHeight w:val="309"/>
          <w:jc w:val="center"/>
        </w:trPr>
        <w:tc>
          <w:tcPr>
            <w:tcW w:w="3466"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锰（</w:t>
            </w:r>
            <w:r>
              <w:rPr>
                <w:rFonts w:ascii="Times New Roman" w:hAnsi="宋体" w:cs="Times New Roman"/>
                <w:sz w:val="21"/>
              </w:rPr>
              <w:t>Mn</w:t>
            </w:r>
            <w:r>
              <w:rPr>
                <w:rFonts w:ascii="Times New Roman" w:hAnsi="宋体" w:cs="Times New Roman"/>
                <w:sz w:val="21"/>
              </w:rPr>
              <w:t>）</w:t>
            </w:r>
          </w:p>
        </w:tc>
        <w:tc>
          <w:tcPr>
            <w:tcW w:w="1010" w:type="dxa"/>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w:t>
            </w:r>
          </w:p>
        </w:tc>
        <w:tc>
          <w:tcPr>
            <w:tcW w:w="1010"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w:t>
            </w:r>
          </w:p>
        </w:tc>
      </w:tr>
      <w:tr w:rsidR="00BD5820">
        <w:trPr>
          <w:trHeight w:val="309"/>
          <w:jc w:val="center"/>
        </w:trPr>
        <w:tc>
          <w:tcPr>
            <w:tcW w:w="3466"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挥发酚</w:t>
            </w:r>
          </w:p>
        </w:tc>
        <w:tc>
          <w:tcPr>
            <w:tcW w:w="1010"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0.02</w:t>
            </w:r>
          </w:p>
        </w:tc>
        <w:tc>
          <w:tcPr>
            <w:tcW w:w="1010"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0.025</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0.03</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0.025</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0.02</w:t>
            </w:r>
          </w:p>
        </w:tc>
      </w:tr>
      <w:tr w:rsidR="00BD5820">
        <w:trPr>
          <w:trHeight w:val="309"/>
          <w:jc w:val="center"/>
        </w:trPr>
        <w:tc>
          <w:tcPr>
            <w:tcW w:w="3466"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耗氧量</w:t>
            </w:r>
          </w:p>
        </w:tc>
        <w:tc>
          <w:tcPr>
            <w:tcW w:w="1010"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0.47</w:t>
            </w:r>
          </w:p>
        </w:tc>
        <w:tc>
          <w:tcPr>
            <w:tcW w:w="1010"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bCs/>
                <w:kern w:val="2"/>
                <w:sz w:val="21"/>
                <w:szCs w:val="21"/>
              </w:rPr>
              <w:t>0.87</w:t>
            </w:r>
          </w:p>
        </w:tc>
        <w:tc>
          <w:tcPr>
            <w:tcW w:w="1012"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0.4</w:t>
            </w:r>
          </w:p>
        </w:tc>
        <w:tc>
          <w:tcPr>
            <w:tcW w:w="1012"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0.93</w:t>
            </w:r>
          </w:p>
        </w:tc>
        <w:tc>
          <w:tcPr>
            <w:tcW w:w="1012"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0.9</w:t>
            </w:r>
          </w:p>
        </w:tc>
      </w:tr>
      <w:tr w:rsidR="00BD5820">
        <w:trPr>
          <w:trHeight w:val="309"/>
          <w:jc w:val="center"/>
        </w:trPr>
        <w:tc>
          <w:tcPr>
            <w:tcW w:w="3466"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硝酸盐（以</w:t>
            </w:r>
            <w:r>
              <w:rPr>
                <w:rFonts w:ascii="Times New Roman" w:hAnsi="宋体" w:cs="Times New Roman"/>
                <w:sz w:val="21"/>
              </w:rPr>
              <w:t>N</w:t>
            </w:r>
            <w:r>
              <w:rPr>
                <w:rFonts w:ascii="Times New Roman" w:hAnsi="宋体" w:cs="Times New Roman"/>
                <w:sz w:val="21"/>
              </w:rPr>
              <w:t>计）</w:t>
            </w:r>
          </w:p>
        </w:tc>
        <w:tc>
          <w:tcPr>
            <w:tcW w:w="1010"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0.045</w:t>
            </w:r>
          </w:p>
        </w:tc>
        <w:tc>
          <w:tcPr>
            <w:tcW w:w="1010"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0.132</w:t>
            </w:r>
          </w:p>
        </w:tc>
        <w:tc>
          <w:tcPr>
            <w:tcW w:w="1012"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0.095</w:t>
            </w:r>
          </w:p>
        </w:tc>
        <w:tc>
          <w:tcPr>
            <w:tcW w:w="1012"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w:t>
            </w:r>
          </w:p>
        </w:tc>
        <w:tc>
          <w:tcPr>
            <w:tcW w:w="1012"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0.004</w:t>
            </w:r>
          </w:p>
        </w:tc>
      </w:tr>
      <w:tr w:rsidR="00BD5820">
        <w:trPr>
          <w:trHeight w:val="309"/>
          <w:jc w:val="center"/>
        </w:trPr>
        <w:tc>
          <w:tcPr>
            <w:tcW w:w="3466"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亚硝酸盐（以</w:t>
            </w:r>
            <w:r>
              <w:rPr>
                <w:rFonts w:ascii="Times New Roman" w:hAnsi="宋体" w:cs="Times New Roman"/>
                <w:sz w:val="21"/>
              </w:rPr>
              <w:t>N</w:t>
            </w:r>
            <w:r>
              <w:rPr>
                <w:rFonts w:ascii="Times New Roman" w:hAnsi="宋体" w:cs="Times New Roman"/>
                <w:sz w:val="21"/>
              </w:rPr>
              <w:t>计）</w:t>
            </w:r>
          </w:p>
        </w:tc>
        <w:tc>
          <w:tcPr>
            <w:tcW w:w="1010" w:type="dxa"/>
            <w:vAlign w:val="center"/>
          </w:tcPr>
          <w:p w:rsidR="00BD5820" w:rsidRDefault="00F64314">
            <w:pPr>
              <w:topLinePunct w:val="0"/>
              <w:spacing w:line="240" w:lineRule="auto"/>
              <w:ind w:firstLineChars="0" w:firstLine="0"/>
              <w:jc w:val="center"/>
              <w:rPr>
                <w:rFonts w:ascii="Times New Roman" w:hAnsi="宋体" w:cs="Times New Roman"/>
                <w:bCs/>
                <w:kern w:val="2"/>
                <w:sz w:val="21"/>
              </w:rPr>
            </w:pPr>
            <w:r>
              <w:rPr>
                <w:rFonts w:ascii="Times New Roman" w:cs="Times New Roman" w:hint="eastAsia"/>
                <w:bCs/>
                <w:kern w:val="2"/>
                <w:sz w:val="21"/>
                <w:szCs w:val="21"/>
              </w:rPr>
              <w:t>/</w:t>
            </w:r>
          </w:p>
        </w:tc>
        <w:tc>
          <w:tcPr>
            <w:tcW w:w="1010" w:type="dxa"/>
            <w:vAlign w:val="center"/>
          </w:tcPr>
          <w:p w:rsidR="00BD5820" w:rsidRDefault="00F64314">
            <w:pPr>
              <w:topLinePunct w:val="0"/>
              <w:spacing w:line="240" w:lineRule="auto"/>
              <w:ind w:firstLineChars="0" w:firstLine="0"/>
              <w:jc w:val="center"/>
              <w:rPr>
                <w:rFonts w:ascii="Times New Roman" w:hAnsi="宋体" w:cs="Times New Roman"/>
                <w:bCs/>
                <w:kern w:val="2"/>
                <w:sz w:val="21"/>
              </w:rPr>
            </w:pPr>
            <w:r>
              <w:rPr>
                <w:rFonts w:ascii="Times New Roman" w:hAnsi="宋体" w:cs="Times New Roman" w:hint="eastAsia"/>
                <w:kern w:val="2"/>
                <w:sz w:val="21"/>
              </w:rPr>
              <w:t>0.003</w:t>
            </w:r>
          </w:p>
        </w:tc>
        <w:tc>
          <w:tcPr>
            <w:tcW w:w="1012" w:type="dxa"/>
            <w:vAlign w:val="center"/>
          </w:tcPr>
          <w:p w:rsidR="00BD5820" w:rsidRDefault="00F64314">
            <w:pPr>
              <w:topLinePunct w:val="0"/>
              <w:snapToGrid w:val="0"/>
              <w:spacing w:line="240" w:lineRule="auto"/>
              <w:ind w:firstLineChars="0" w:firstLine="0"/>
              <w:jc w:val="center"/>
              <w:rPr>
                <w:rFonts w:ascii="Times New Roman" w:hAnsi="宋体" w:cs="Times New Roman"/>
                <w:bCs/>
                <w:kern w:val="2"/>
                <w:sz w:val="21"/>
              </w:rPr>
            </w:pPr>
            <w:r>
              <w:rPr>
                <w:rFonts w:ascii="Times New Roman" w:hAnsi="宋体" w:cs="Times New Roman" w:hint="eastAsia"/>
                <w:kern w:val="2"/>
                <w:sz w:val="21"/>
              </w:rPr>
              <w:t>0.036</w:t>
            </w:r>
          </w:p>
        </w:tc>
        <w:tc>
          <w:tcPr>
            <w:tcW w:w="1012" w:type="dxa"/>
            <w:vAlign w:val="center"/>
          </w:tcPr>
          <w:p w:rsidR="00BD5820" w:rsidRDefault="00F64314">
            <w:pPr>
              <w:topLinePunct w:val="0"/>
              <w:snapToGrid w:val="0"/>
              <w:spacing w:line="240" w:lineRule="auto"/>
              <w:ind w:firstLineChars="0" w:firstLine="0"/>
              <w:jc w:val="center"/>
              <w:rPr>
                <w:rFonts w:ascii="Times New Roman" w:hAnsi="宋体" w:cs="Times New Roman"/>
                <w:bCs/>
                <w:kern w:val="2"/>
                <w:sz w:val="21"/>
              </w:rPr>
            </w:pPr>
            <w:r>
              <w:rPr>
                <w:rFonts w:ascii="Times New Roman" w:hAnsi="宋体" w:cs="Times New Roman" w:hint="eastAsia"/>
                <w:kern w:val="2"/>
                <w:sz w:val="21"/>
              </w:rPr>
              <w:t>0.017</w:t>
            </w:r>
          </w:p>
        </w:tc>
        <w:tc>
          <w:tcPr>
            <w:tcW w:w="1012" w:type="dxa"/>
            <w:vAlign w:val="center"/>
          </w:tcPr>
          <w:p w:rsidR="00BD5820" w:rsidRDefault="00F64314">
            <w:pPr>
              <w:topLinePunct w:val="0"/>
              <w:snapToGrid w:val="0"/>
              <w:spacing w:line="240" w:lineRule="auto"/>
              <w:ind w:firstLineChars="0" w:firstLine="0"/>
              <w:jc w:val="center"/>
              <w:rPr>
                <w:rFonts w:ascii="Times New Roman" w:hAnsi="宋体" w:cs="Times New Roman"/>
                <w:bCs/>
                <w:kern w:val="2"/>
                <w:sz w:val="21"/>
              </w:rPr>
            </w:pPr>
            <w:r>
              <w:rPr>
                <w:rFonts w:ascii="Times New Roman" w:hAnsi="宋体" w:cs="Times New Roman" w:hint="eastAsia"/>
                <w:kern w:val="2"/>
                <w:sz w:val="21"/>
              </w:rPr>
              <w:t>0.02</w:t>
            </w:r>
          </w:p>
        </w:tc>
      </w:tr>
      <w:tr w:rsidR="00BD5820">
        <w:trPr>
          <w:trHeight w:val="309"/>
          <w:jc w:val="center"/>
        </w:trPr>
        <w:tc>
          <w:tcPr>
            <w:tcW w:w="3466"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硫酸盐</w:t>
            </w:r>
          </w:p>
        </w:tc>
        <w:tc>
          <w:tcPr>
            <w:tcW w:w="1010"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0.082</w:t>
            </w:r>
          </w:p>
        </w:tc>
        <w:tc>
          <w:tcPr>
            <w:tcW w:w="1010"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hAnsi="宋体" w:cs="Times New Roman" w:hint="eastAsia"/>
                <w:kern w:val="2"/>
                <w:sz w:val="21"/>
              </w:rPr>
              <w:t>0.157</w:t>
            </w:r>
          </w:p>
        </w:tc>
        <w:tc>
          <w:tcPr>
            <w:tcW w:w="1012"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0.049</w:t>
            </w:r>
          </w:p>
        </w:tc>
        <w:tc>
          <w:tcPr>
            <w:tcW w:w="1012"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0.047</w:t>
            </w:r>
          </w:p>
        </w:tc>
        <w:tc>
          <w:tcPr>
            <w:tcW w:w="1012" w:type="dxa"/>
            <w:vAlign w:val="center"/>
          </w:tcPr>
          <w:p w:rsidR="00BD5820" w:rsidRDefault="00F64314">
            <w:pPr>
              <w:snapToGrid w:val="0"/>
              <w:ind w:firstLineChars="0" w:firstLine="0"/>
              <w:jc w:val="center"/>
              <w:rPr>
                <w:rFonts w:ascii="Times New Roman" w:cs="Times New Roman"/>
                <w:kern w:val="2"/>
                <w:sz w:val="21"/>
                <w:szCs w:val="21"/>
              </w:rPr>
            </w:pPr>
            <w:r>
              <w:rPr>
                <w:rFonts w:ascii="Times New Roman" w:cs="Times New Roman" w:hint="eastAsia"/>
                <w:kern w:val="2"/>
                <w:sz w:val="21"/>
                <w:szCs w:val="21"/>
              </w:rPr>
              <w:t>0.047</w:t>
            </w:r>
          </w:p>
        </w:tc>
      </w:tr>
      <w:tr w:rsidR="00BD5820">
        <w:trPr>
          <w:trHeight w:val="309"/>
          <w:jc w:val="center"/>
        </w:trPr>
        <w:tc>
          <w:tcPr>
            <w:tcW w:w="3466" w:type="dxa"/>
            <w:vAlign w:val="center"/>
          </w:tcPr>
          <w:p w:rsidR="00BD5820" w:rsidRDefault="00F64314">
            <w:pPr>
              <w:widowControl/>
              <w:topLinePunct w:val="0"/>
              <w:adjustRightInd/>
              <w:spacing w:line="240" w:lineRule="auto"/>
              <w:ind w:firstLineChars="0" w:firstLine="0"/>
              <w:jc w:val="center"/>
              <w:rPr>
                <w:rFonts w:ascii="Times New Roman" w:hAnsi="宋体" w:cs="Times New Roman"/>
                <w:kern w:val="2"/>
                <w:sz w:val="21"/>
              </w:rPr>
            </w:pPr>
            <w:r>
              <w:rPr>
                <w:rFonts w:ascii="Times New Roman" w:hAnsi="宋体" w:cs="Times New Roman"/>
                <w:sz w:val="21"/>
              </w:rPr>
              <w:t>总大肠菌群</w:t>
            </w:r>
          </w:p>
        </w:tc>
        <w:tc>
          <w:tcPr>
            <w:tcW w:w="1010" w:type="dxa"/>
            <w:vAlign w:val="center"/>
          </w:tcPr>
          <w:p w:rsidR="00BD5820" w:rsidRDefault="00F64314">
            <w:pPr>
              <w:topLinePunct w:val="0"/>
              <w:snapToGrid w:val="0"/>
              <w:spacing w:line="240" w:lineRule="auto"/>
              <w:ind w:firstLineChars="0" w:firstLine="0"/>
              <w:jc w:val="center"/>
              <w:rPr>
                <w:rFonts w:ascii="Times New Roman" w:hAnsi="宋体" w:cs="Times New Roman"/>
                <w:bCs/>
                <w:kern w:val="2"/>
                <w:sz w:val="21"/>
              </w:rPr>
            </w:pPr>
            <w:r>
              <w:rPr>
                <w:rFonts w:ascii="Times New Roman" w:hAnsi="宋体" w:cs="Times New Roman" w:hint="eastAsia"/>
                <w:bCs/>
                <w:kern w:val="2"/>
                <w:sz w:val="21"/>
              </w:rPr>
              <w:t>0.33</w:t>
            </w:r>
          </w:p>
        </w:tc>
        <w:tc>
          <w:tcPr>
            <w:tcW w:w="1010" w:type="dxa"/>
            <w:vAlign w:val="center"/>
          </w:tcPr>
          <w:p w:rsidR="00BD5820" w:rsidRDefault="00F64314">
            <w:pPr>
              <w:topLinePunct w:val="0"/>
              <w:snapToGrid w:val="0"/>
              <w:spacing w:line="240" w:lineRule="auto"/>
              <w:ind w:firstLineChars="0" w:firstLine="0"/>
              <w:jc w:val="center"/>
              <w:rPr>
                <w:rFonts w:ascii="Times New Roman" w:hAnsi="宋体" w:cs="Times New Roman"/>
                <w:bCs/>
                <w:kern w:val="2"/>
                <w:sz w:val="21"/>
              </w:rPr>
            </w:pPr>
            <w:r>
              <w:rPr>
                <w:rFonts w:ascii="Times New Roman" w:hAnsi="宋体" w:cs="Times New Roman" w:hint="eastAsia"/>
                <w:bCs/>
                <w:kern w:val="2"/>
                <w:sz w:val="21"/>
              </w:rPr>
              <w:t>0.33</w:t>
            </w:r>
          </w:p>
        </w:tc>
        <w:tc>
          <w:tcPr>
            <w:tcW w:w="1012" w:type="dxa"/>
            <w:vAlign w:val="center"/>
          </w:tcPr>
          <w:p w:rsidR="00BD5820" w:rsidRDefault="00F64314">
            <w:pPr>
              <w:topLinePunct w:val="0"/>
              <w:snapToGrid w:val="0"/>
              <w:spacing w:line="240" w:lineRule="auto"/>
              <w:ind w:firstLineChars="0" w:firstLine="0"/>
              <w:jc w:val="center"/>
              <w:rPr>
                <w:rFonts w:ascii="Times New Roman" w:hAnsi="宋体" w:cs="Times New Roman"/>
                <w:bCs/>
                <w:kern w:val="2"/>
                <w:sz w:val="21"/>
              </w:rPr>
            </w:pPr>
            <w:r>
              <w:rPr>
                <w:rFonts w:ascii="Times New Roman" w:cs="Times New Roman" w:hint="eastAsia"/>
                <w:bCs/>
                <w:kern w:val="2"/>
                <w:sz w:val="21"/>
                <w:szCs w:val="21"/>
              </w:rPr>
              <w:t>/</w:t>
            </w:r>
          </w:p>
        </w:tc>
        <w:tc>
          <w:tcPr>
            <w:tcW w:w="1012" w:type="dxa"/>
            <w:vAlign w:val="center"/>
          </w:tcPr>
          <w:p w:rsidR="00BD5820" w:rsidRDefault="00F64314">
            <w:pPr>
              <w:topLinePunct w:val="0"/>
              <w:snapToGrid w:val="0"/>
              <w:spacing w:line="240" w:lineRule="auto"/>
              <w:ind w:firstLineChars="0" w:firstLine="0"/>
              <w:jc w:val="center"/>
              <w:rPr>
                <w:rFonts w:ascii="Times New Roman" w:hAnsi="宋体" w:cs="Times New Roman"/>
                <w:bCs/>
                <w:kern w:val="2"/>
                <w:sz w:val="21"/>
              </w:rPr>
            </w:pPr>
            <w:r>
              <w:rPr>
                <w:rFonts w:ascii="Times New Roman" w:hAnsi="宋体" w:cs="Times New Roman" w:hint="eastAsia"/>
                <w:bCs/>
                <w:kern w:val="2"/>
                <w:sz w:val="21"/>
              </w:rPr>
              <w:t>0.67</w:t>
            </w:r>
          </w:p>
        </w:tc>
        <w:tc>
          <w:tcPr>
            <w:tcW w:w="1012" w:type="dxa"/>
            <w:vAlign w:val="center"/>
          </w:tcPr>
          <w:p w:rsidR="00BD5820" w:rsidRDefault="00F64314">
            <w:pPr>
              <w:topLinePunct w:val="0"/>
              <w:snapToGrid w:val="0"/>
              <w:spacing w:line="240" w:lineRule="auto"/>
              <w:ind w:firstLineChars="0" w:firstLine="0"/>
              <w:jc w:val="center"/>
              <w:rPr>
                <w:rFonts w:ascii="Times New Roman" w:hAnsi="宋体" w:cs="Times New Roman"/>
                <w:bCs/>
                <w:kern w:val="2"/>
                <w:sz w:val="21"/>
              </w:rPr>
            </w:pPr>
            <w:r>
              <w:rPr>
                <w:rFonts w:ascii="Times New Roman" w:hAnsi="宋体" w:cs="Times New Roman" w:hint="eastAsia"/>
                <w:bCs/>
                <w:kern w:val="2"/>
                <w:sz w:val="21"/>
              </w:rPr>
              <w:t>0.33</w:t>
            </w:r>
          </w:p>
        </w:tc>
      </w:tr>
      <w:tr w:rsidR="00BD5820">
        <w:trPr>
          <w:trHeight w:val="309"/>
          <w:jc w:val="center"/>
        </w:trPr>
        <w:tc>
          <w:tcPr>
            <w:tcW w:w="3466"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菌落总数</w:t>
            </w:r>
          </w:p>
        </w:tc>
        <w:tc>
          <w:tcPr>
            <w:tcW w:w="1010"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0.88</w:t>
            </w:r>
          </w:p>
        </w:tc>
        <w:tc>
          <w:tcPr>
            <w:tcW w:w="1010"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0.85</w:t>
            </w:r>
          </w:p>
        </w:tc>
        <w:tc>
          <w:tcPr>
            <w:tcW w:w="1012"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0.79</w:t>
            </w:r>
          </w:p>
        </w:tc>
        <w:tc>
          <w:tcPr>
            <w:tcW w:w="1012"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0.91</w:t>
            </w:r>
          </w:p>
        </w:tc>
        <w:tc>
          <w:tcPr>
            <w:tcW w:w="1012"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0.82</w:t>
            </w:r>
          </w:p>
        </w:tc>
      </w:tr>
      <w:tr w:rsidR="00BD5820">
        <w:trPr>
          <w:trHeight w:val="309"/>
          <w:jc w:val="center"/>
        </w:trPr>
        <w:tc>
          <w:tcPr>
            <w:tcW w:w="3466"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氨氮</w:t>
            </w:r>
          </w:p>
        </w:tc>
        <w:tc>
          <w:tcPr>
            <w:tcW w:w="1010" w:type="dxa"/>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w:t>
            </w:r>
          </w:p>
        </w:tc>
        <w:tc>
          <w:tcPr>
            <w:tcW w:w="1010"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w:t>
            </w:r>
          </w:p>
        </w:tc>
        <w:tc>
          <w:tcPr>
            <w:tcW w:w="1012"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0.23</w:t>
            </w:r>
          </w:p>
        </w:tc>
        <w:tc>
          <w:tcPr>
            <w:tcW w:w="1012" w:type="dxa"/>
            <w:vAlign w:val="center"/>
          </w:tcPr>
          <w:p w:rsidR="00BD5820" w:rsidRDefault="00F64314">
            <w:pPr>
              <w:snapToGrid w:val="0"/>
              <w:ind w:firstLineChars="0" w:firstLine="0"/>
              <w:jc w:val="center"/>
              <w:rPr>
                <w:rFonts w:ascii="Times New Roman" w:cs="Times New Roman"/>
                <w:bCs/>
                <w:kern w:val="2"/>
                <w:sz w:val="21"/>
                <w:szCs w:val="21"/>
              </w:rPr>
            </w:pPr>
            <w:r>
              <w:rPr>
                <w:rFonts w:ascii="Times New Roman" w:cs="Times New Roman" w:hint="eastAsia"/>
                <w:bCs/>
                <w:kern w:val="2"/>
                <w:sz w:val="21"/>
                <w:szCs w:val="21"/>
              </w:rPr>
              <w:t>0.22</w:t>
            </w:r>
          </w:p>
        </w:tc>
      </w:tr>
      <w:tr w:rsidR="00BD5820">
        <w:trPr>
          <w:trHeight w:val="309"/>
          <w:jc w:val="center"/>
        </w:trPr>
        <w:tc>
          <w:tcPr>
            <w:tcW w:w="3466"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氟化物</w:t>
            </w:r>
          </w:p>
        </w:tc>
        <w:tc>
          <w:tcPr>
            <w:tcW w:w="1010" w:type="dxa"/>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0.342</w:t>
            </w:r>
          </w:p>
        </w:tc>
        <w:tc>
          <w:tcPr>
            <w:tcW w:w="1010"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0.241</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0.165</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0.138</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0.112</w:t>
            </w:r>
          </w:p>
        </w:tc>
      </w:tr>
      <w:tr w:rsidR="00BD5820">
        <w:trPr>
          <w:trHeight w:val="309"/>
          <w:jc w:val="center"/>
        </w:trPr>
        <w:tc>
          <w:tcPr>
            <w:tcW w:w="3466"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氰化物</w:t>
            </w:r>
          </w:p>
        </w:tc>
        <w:tc>
          <w:tcPr>
            <w:tcW w:w="1010" w:type="dxa"/>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w:t>
            </w:r>
          </w:p>
        </w:tc>
        <w:tc>
          <w:tcPr>
            <w:tcW w:w="1010"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w:t>
            </w:r>
          </w:p>
        </w:tc>
      </w:tr>
      <w:tr w:rsidR="00BD5820">
        <w:trPr>
          <w:trHeight w:val="309"/>
          <w:jc w:val="center"/>
        </w:trPr>
        <w:tc>
          <w:tcPr>
            <w:tcW w:w="3466"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汞（</w:t>
            </w:r>
            <w:r>
              <w:rPr>
                <w:rFonts w:ascii="Times New Roman" w:hAnsi="宋体" w:cs="Times New Roman"/>
                <w:sz w:val="21"/>
              </w:rPr>
              <w:t>Hg</w:t>
            </w:r>
            <w:r>
              <w:rPr>
                <w:rFonts w:ascii="Times New Roman" w:hAnsi="宋体" w:cs="Times New Roman"/>
                <w:sz w:val="21"/>
              </w:rPr>
              <w:t>）</w:t>
            </w:r>
          </w:p>
        </w:tc>
        <w:tc>
          <w:tcPr>
            <w:tcW w:w="1010" w:type="dxa"/>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0.04</w:t>
            </w:r>
          </w:p>
        </w:tc>
        <w:tc>
          <w:tcPr>
            <w:tcW w:w="1010"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w:t>
            </w:r>
          </w:p>
        </w:tc>
      </w:tr>
      <w:tr w:rsidR="00BD5820">
        <w:trPr>
          <w:trHeight w:val="309"/>
          <w:jc w:val="center"/>
        </w:trPr>
        <w:tc>
          <w:tcPr>
            <w:tcW w:w="3466"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砷（</w:t>
            </w:r>
            <w:r>
              <w:rPr>
                <w:rFonts w:ascii="Times New Roman" w:hAnsi="宋体" w:cs="Times New Roman"/>
                <w:sz w:val="21"/>
              </w:rPr>
              <w:t>As</w:t>
            </w:r>
            <w:r>
              <w:rPr>
                <w:rFonts w:ascii="Times New Roman" w:hAnsi="宋体" w:cs="Times New Roman"/>
                <w:sz w:val="21"/>
              </w:rPr>
              <w:t>）</w:t>
            </w:r>
          </w:p>
        </w:tc>
        <w:tc>
          <w:tcPr>
            <w:tcW w:w="1010" w:type="dxa"/>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w:t>
            </w:r>
          </w:p>
        </w:tc>
        <w:tc>
          <w:tcPr>
            <w:tcW w:w="1010"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w:t>
            </w:r>
          </w:p>
        </w:tc>
      </w:tr>
      <w:tr w:rsidR="00BD5820">
        <w:trPr>
          <w:trHeight w:val="309"/>
          <w:jc w:val="center"/>
        </w:trPr>
        <w:tc>
          <w:tcPr>
            <w:tcW w:w="3466"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镉（</w:t>
            </w:r>
            <w:r>
              <w:rPr>
                <w:rFonts w:ascii="Times New Roman" w:hAnsi="宋体" w:cs="Times New Roman"/>
                <w:sz w:val="21"/>
              </w:rPr>
              <w:t>Cd</w:t>
            </w:r>
            <w:r>
              <w:rPr>
                <w:rFonts w:ascii="Times New Roman" w:hAnsi="宋体" w:cs="Times New Roman"/>
                <w:sz w:val="21"/>
              </w:rPr>
              <w:t>）</w:t>
            </w:r>
          </w:p>
        </w:tc>
        <w:tc>
          <w:tcPr>
            <w:tcW w:w="1010" w:type="dxa"/>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w:t>
            </w:r>
          </w:p>
        </w:tc>
        <w:tc>
          <w:tcPr>
            <w:tcW w:w="1010"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kern w:val="2"/>
                <w:sz w:val="21"/>
              </w:rPr>
              <w:t>0.036</w:t>
            </w:r>
          </w:p>
        </w:tc>
        <w:tc>
          <w:tcPr>
            <w:tcW w:w="1012" w:type="dxa"/>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w:t>
            </w:r>
          </w:p>
        </w:tc>
      </w:tr>
      <w:tr w:rsidR="00BD5820">
        <w:trPr>
          <w:trHeight w:val="309"/>
          <w:jc w:val="center"/>
        </w:trPr>
        <w:tc>
          <w:tcPr>
            <w:tcW w:w="3466"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铬（六价）（</w:t>
            </w:r>
            <w:r>
              <w:rPr>
                <w:rFonts w:ascii="Times New Roman" w:hAnsi="宋体" w:cs="Times New Roman"/>
                <w:sz w:val="21"/>
              </w:rPr>
              <w:t>Cr</w:t>
            </w:r>
            <w:r>
              <w:rPr>
                <w:rFonts w:ascii="Times New Roman" w:hAnsi="宋体" w:cs="Times New Roman"/>
                <w:sz w:val="21"/>
                <w:vertAlign w:val="superscript"/>
              </w:rPr>
              <w:t>6+</w:t>
            </w:r>
            <w:r>
              <w:rPr>
                <w:rFonts w:ascii="Times New Roman" w:hAnsi="宋体" w:cs="Times New Roman"/>
                <w:sz w:val="21"/>
              </w:rPr>
              <w:t>）</w:t>
            </w:r>
          </w:p>
        </w:tc>
        <w:tc>
          <w:tcPr>
            <w:tcW w:w="1010" w:type="dxa"/>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w:t>
            </w:r>
          </w:p>
        </w:tc>
        <w:tc>
          <w:tcPr>
            <w:tcW w:w="1010"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w:t>
            </w:r>
          </w:p>
        </w:tc>
      </w:tr>
      <w:tr w:rsidR="00BD5820">
        <w:trPr>
          <w:trHeight w:val="309"/>
          <w:jc w:val="center"/>
        </w:trPr>
        <w:tc>
          <w:tcPr>
            <w:tcW w:w="3466"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铅（</w:t>
            </w:r>
            <w:r>
              <w:rPr>
                <w:rFonts w:ascii="Times New Roman" w:hAnsi="宋体" w:cs="Times New Roman"/>
                <w:sz w:val="21"/>
              </w:rPr>
              <w:t>Pb</w:t>
            </w:r>
            <w:r>
              <w:rPr>
                <w:rFonts w:ascii="Times New Roman" w:hAnsi="宋体" w:cs="Times New Roman"/>
                <w:sz w:val="21"/>
              </w:rPr>
              <w:t>）</w:t>
            </w:r>
          </w:p>
        </w:tc>
        <w:tc>
          <w:tcPr>
            <w:tcW w:w="1010" w:type="dxa"/>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w:t>
            </w:r>
          </w:p>
        </w:tc>
        <w:tc>
          <w:tcPr>
            <w:tcW w:w="1010"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w:t>
            </w:r>
          </w:p>
        </w:tc>
      </w:tr>
      <w:tr w:rsidR="00BD5820">
        <w:trPr>
          <w:trHeight w:val="309"/>
          <w:jc w:val="center"/>
        </w:trPr>
        <w:tc>
          <w:tcPr>
            <w:tcW w:w="3466"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硫化物</w:t>
            </w:r>
          </w:p>
        </w:tc>
        <w:tc>
          <w:tcPr>
            <w:tcW w:w="1010" w:type="dxa"/>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w:t>
            </w:r>
          </w:p>
        </w:tc>
        <w:tc>
          <w:tcPr>
            <w:tcW w:w="1010"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cs="Times New Roman" w:hint="eastAsia"/>
                <w:bCs/>
                <w:kern w:val="2"/>
                <w:sz w:val="21"/>
                <w:szCs w:val="21"/>
              </w:rPr>
              <w:t>/</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w:t>
            </w:r>
          </w:p>
        </w:tc>
      </w:tr>
      <w:tr w:rsidR="00BD5820">
        <w:trPr>
          <w:trHeight w:val="309"/>
          <w:jc w:val="center"/>
        </w:trPr>
        <w:tc>
          <w:tcPr>
            <w:tcW w:w="3466"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sz w:val="21"/>
              </w:rPr>
              <w:t>石油类</w:t>
            </w:r>
          </w:p>
        </w:tc>
        <w:tc>
          <w:tcPr>
            <w:tcW w:w="1010" w:type="dxa"/>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0.8</w:t>
            </w:r>
          </w:p>
        </w:tc>
        <w:tc>
          <w:tcPr>
            <w:tcW w:w="1010"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0.8</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0.4</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0.4</w:t>
            </w:r>
          </w:p>
        </w:tc>
        <w:tc>
          <w:tcPr>
            <w:tcW w:w="101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sz w:val="21"/>
              </w:rPr>
            </w:pPr>
            <w:r>
              <w:rPr>
                <w:rFonts w:ascii="Times New Roman" w:hAnsi="宋体" w:cs="Times New Roman" w:hint="eastAsia"/>
                <w:sz w:val="21"/>
              </w:rPr>
              <w:t>0.8</w:t>
            </w:r>
          </w:p>
        </w:tc>
      </w:tr>
    </w:tbl>
    <w:p w:rsidR="00BD5820" w:rsidRDefault="00F64314">
      <w:pPr>
        <w:pStyle w:val="10"/>
        <w:rPr>
          <w:rFonts w:cs="Times New Roman"/>
        </w:rPr>
      </w:pPr>
      <w:r>
        <w:rPr>
          <w:rFonts w:cs="Times New Roman"/>
        </w:rPr>
        <w:t>表</w:t>
      </w:r>
      <w:r>
        <w:rPr>
          <w:rFonts w:cs="Times New Roman"/>
        </w:rPr>
        <w:t>5.5-</w:t>
      </w:r>
      <w:r>
        <w:rPr>
          <w:rFonts w:cs="Times New Roman" w:hint="eastAsia"/>
        </w:rPr>
        <w:t>8</w:t>
      </w:r>
      <w:r>
        <w:rPr>
          <w:rFonts w:cs="Times New Roman"/>
        </w:rPr>
        <w:t xml:space="preserve">  </w:t>
      </w:r>
      <w:r>
        <w:rPr>
          <w:rFonts w:cs="Times New Roman"/>
          <w:bCs/>
          <w:szCs w:val="21"/>
        </w:rPr>
        <w:t>普光气田</w:t>
      </w:r>
      <w:r>
        <w:rPr>
          <w:rFonts w:cs="Times New Roman" w:hint="eastAsia"/>
          <w:bCs/>
          <w:szCs w:val="21"/>
        </w:rPr>
        <w:t>2</w:t>
      </w:r>
      <w:r>
        <w:rPr>
          <w:rFonts w:cs="Times New Roman"/>
          <w:bCs/>
          <w:szCs w:val="21"/>
        </w:rPr>
        <w:t>#</w:t>
      </w:r>
      <w:r>
        <w:rPr>
          <w:rFonts w:cs="Times New Roman"/>
          <w:bCs/>
          <w:szCs w:val="21"/>
        </w:rPr>
        <w:t>增压站所在地</w:t>
      </w:r>
      <w:r>
        <w:rPr>
          <w:rFonts w:cs="Times New Roman"/>
        </w:rPr>
        <w:t>地下水水位调查结果</w:t>
      </w:r>
    </w:p>
    <w:tbl>
      <w:tblPr>
        <w:tblW w:w="5000" w:type="pct"/>
        <w:jc w:val="center"/>
        <w:tblBorders>
          <w:top w:val="single" w:sz="12" w:space="0" w:color="000000"/>
          <w:bottom w:val="single" w:sz="12" w:space="0" w:color="000000"/>
          <w:insideH w:val="single" w:sz="4" w:space="0" w:color="000000"/>
          <w:insideV w:val="single" w:sz="4" w:space="0" w:color="000000"/>
        </w:tblBorders>
        <w:tblLook w:val="04A0"/>
      </w:tblPr>
      <w:tblGrid>
        <w:gridCol w:w="1101"/>
        <w:gridCol w:w="992"/>
        <w:gridCol w:w="1075"/>
        <w:gridCol w:w="1236"/>
        <w:gridCol w:w="1371"/>
        <w:gridCol w:w="1376"/>
        <w:gridCol w:w="1371"/>
      </w:tblGrid>
      <w:tr w:rsidR="00BD5820">
        <w:trPr>
          <w:trHeight w:val="48"/>
          <w:jc w:val="center"/>
        </w:trPr>
        <w:tc>
          <w:tcPr>
            <w:tcW w:w="1101" w:type="dxa"/>
            <w:vAlign w:val="center"/>
          </w:tcPr>
          <w:p w:rsidR="00BD5820" w:rsidRDefault="00F64314">
            <w:pPr>
              <w:pStyle w:val="afffffff3"/>
              <w:rPr>
                <w:b/>
                <w:bCs/>
              </w:rPr>
            </w:pPr>
            <w:r>
              <w:rPr>
                <w:b/>
                <w:bCs/>
              </w:rPr>
              <w:t>点位</w:t>
            </w:r>
          </w:p>
        </w:tc>
        <w:tc>
          <w:tcPr>
            <w:tcW w:w="992" w:type="dxa"/>
            <w:vAlign w:val="center"/>
          </w:tcPr>
          <w:p w:rsidR="00BD5820" w:rsidRDefault="00F64314">
            <w:pPr>
              <w:widowControl/>
              <w:topLinePunct w:val="0"/>
              <w:adjustRightInd/>
              <w:spacing w:line="240" w:lineRule="auto"/>
              <w:ind w:firstLineChars="0" w:firstLine="0"/>
              <w:jc w:val="center"/>
              <w:rPr>
                <w:rFonts w:ascii="Times New Roman" w:hAnsi="宋体" w:cs="Times New Roman"/>
                <w:b/>
                <w:sz w:val="21"/>
              </w:rPr>
            </w:pPr>
            <w:r>
              <w:rPr>
                <w:rFonts w:ascii="Times New Roman" w:hAnsi="宋体" w:cs="Times New Roman" w:hint="eastAsia"/>
                <w:b/>
                <w:sz w:val="21"/>
              </w:rPr>
              <w:t>JC</w:t>
            </w:r>
            <w:r>
              <w:rPr>
                <w:rFonts w:ascii="Times New Roman" w:hAnsi="宋体" w:cs="Times New Roman"/>
                <w:b/>
                <w:sz w:val="21"/>
              </w:rPr>
              <w:t>1</w:t>
            </w:r>
          </w:p>
        </w:tc>
        <w:tc>
          <w:tcPr>
            <w:tcW w:w="1075" w:type="dxa"/>
            <w:vAlign w:val="center"/>
          </w:tcPr>
          <w:p w:rsidR="00BD5820" w:rsidRDefault="00F64314">
            <w:pPr>
              <w:widowControl/>
              <w:topLinePunct w:val="0"/>
              <w:adjustRightInd/>
              <w:spacing w:line="240" w:lineRule="auto"/>
              <w:ind w:firstLineChars="0" w:firstLine="0"/>
              <w:jc w:val="center"/>
              <w:rPr>
                <w:rFonts w:ascii="Times New Roman" w:hAnsi="宋体" w:cs="Times New Roman"/>
                <w:b/>
                <w:sz w:val="21"/>
              </w:rPr>
            </w:pPr>
            <w:r>
              <w:rPr>
                <w:rFonts w:ascii="Times New Roman" w:hAnsi="宋体" w:cs="Times New Roman" w:hint="eastAsia"/>
                <w:b/>
                <w:sz w:val="21"/>
              </w:rPr>
              <w:t>JC</w:t>
            </w:r>
            <w:r>
              <w:rPr>
                <w:rFonts w:ascii="Times New Roman" w:hAnsi="宋体" w:cs="Times New Roman"/>
                <w:b/>
                <w:sz w:val="21"/>
              </w:rPr>
              <w:t>2</w:t>
            </w:r>
          </w:p>
        </w:tc>
        <w:tc>
          <w:tcPr>
            <w:tcW w:w="1236" w:type="dxa"/>
            <w:vAlign w:val="center"/>
          </w:tcPr>
          <w:p w:rsidR="00BD5820" w:rsidRDefault="00F64314">
            <w:pPr>
              <w:widowControl/>
              <w:topLinePunct w:val="0"/>
              <w:adjustRightInd/>
              <w:spacing w:line="240" w:lineRule="auto"/>
              <w:ind w:firstLineChars="0" w:firstLine="0"/>
              <w:jc w:val="center"/>
              <w:rPr>
                <w:rFonts w:ascii="Times New Roman" w:hAnsi="宋体" w:cs="Times New Roman"/>
                <w:b/>
                <w:sz w:val="21"/>
              </w:rPr>
            </w:pPr>
            <w:r>
              <w:rPr>
                <w:rFonts w:ascii="Times New Roman" w:hAnsi="宋体" w:cs="Times New Roman" w:hint="eastAsia"/>
                <w:b/>
                <w:sz w:val="21"/>
              </w:rPr>
              <w:t>JC</w:t>
            </w:r>
            <w:r>
              <w:rPr>
                <w:rFonts w:ascii="Times New Roman" w:hAnsi="宋体" w:cs="Times New Roman"/>
                <w:b/>
                <w:sz w:val="21"/>
              </w:rPr>
              <w:t>3</w:t>
            </w:r>
          </w:p>
        </w:tc>
        <w:tc>
          <w:tcPr>
            <w:tcW w:w="1371" w:type="dxa"/>
            <w:vAlign w:val="center"/>
          </w:tcPr>
          <w:p w:rsidR="00BD5820" w:rsidRDefault="00F64314">
            <w:pPr>
              <w:widowControl/>
              <w:topLinePunct w:val="0"/>
              <w:adjustRightInd/>
              <w:spacing w:line="240" w:lineRule="auto"/>
              <w:ind w:firstLineChars="0" w:firstLine="0"/>
              <w:jc w:val="center"/>
              <w:rPr>
                <w:rFonts w:ascii="Times New Roman" w:hAnsi="宋体" w:cs="Times New Roman"/>
                <w:b/>
                <w:sz w:val="21"/>
              </w:rPr>
            </w:pPr>
            <w:r>
              <w:rPr>
                <w:rFonts w:ascii="Times New Roman" w:hAnsi="宋体" w:cs="Times New Roman" w:hint="eastAsia"/>
                <w:b/>
                <w:sz w:val="21"/>
              </w:rPr>
              <w:t>JC</w:t>
            </w:r>
            <w:r>
              <w:rPr>
                <w:rFonts w:ascii="Times New Roman" w:hAnsi="宋体" w:cs="Times New Roman"/>
                <w:b/>
                <w:sz w:val="21"/>
              </w:rPr>
              <w:t>4</w:t>
            </w:r>
          </w:p>
        </w:tc>
        <w:tc>
          <w:tcPr>
            <w:tcW w:w="1376" w:type="dxa"/>
            <w:vAlign w:val="center"/>
          </w:tcPr>
          <w:p w:rsidR="00BD5820" w:rsidRDefault="00F64314">
            <w:pPr>
              <w:widowControl/>
              <w:topLinePunct w:val="0"/>
              <w:adjustRightInd/>
              <w:spacing w:line="240" w:lineRule="auto"/>
              <w:ind w:firstLineChars="0" w:firstLine="0"/>
              <w:jc w:val="center"/>
              <w:rPr>
                <w:rFonts w:ascii="Times New Roman" w:hAnsi="宋体" w:cs="Times New Roman"/>
                <w:b/>
                <w:sz w:val="21"/>
              </w:rPr>
            </w:pPr>
            <w:r>
              <w:rPr>
                <w:rFonts w:ascii="Times New Roman" w:hAnsi="宋体" w:cs="Times New Roman" w:hint="eastAsia"/>
                <w:b/>
                <w:sz w:val="21"/>
              </w:rPr>
              <w:t>JC</w:t>
            </w:r>
            <w:r>
              <w:rPr>
                <w:rFonts w:ascii="Times New Roman" w:hAnsi="宋体" w:cs="Times New Roman"/>
                <w:b/>
                <w:sz w:val="21"/>
              </w:rPr>
              <w:t>5</w:t>
            </w:r>
          </w:p>
        </w:tc>
        <w:tc>
          <w:tcPr>
            <w:tcW w:w="1371" w:type="dxa"/>
            <w:vAlign w:val="center"/>
          </w:tcPr>
          <w:p w:rsidR="00BD5820" w:rsidRDefault="00F64314">
            <w:pPr>
              <w:pStyle w:val="afffffff3"/>
              <w:rPr>
                <w:b/>
                <w:bCs/>
              </w:rPr>
            </w:pPr>
            <w:r>
              <w:rPr>
                <w:rFonts w:hAnsi="宋体" w:hint="eastAsia"/>
                <w:b/>
              </w:rPr>
              <w:t>JC</w:t>
            </w:r>
            <w:r>
              <w:rPr>
                <w:b/>
                <w:bCs/>
              </w:rPr>
              <w:t>6</w:t>
            </w:r>
          </w:p>
        </w:tc>
      </w:tr>
      <w:tr w:rsidR="00BD5820">
        <w:trPr>
          <w:trHeight w:val="229"/>
          <w:jc w:val="center"/>
        </w:trPr>
        <w:tc>
          <w:tcPr>
            <w:tcW w:w="1101" w:type="dxa"/>
            <w:vAlign w:val="center"/>
          </w:tcPr>
          <w:p w:rsidR="00BD5820" w:rsidRDefault="00F64314">
            <w:pPr>
              <w:pStyle w:val="afffffff3"/>
            </w:pPr>
            <w:r>
              <w:t>井深</w:t>
            </w:r>
            <w:r>
              <w:rPr>
                <w:rFonts w:hint="eastAsia"/>
              </w:rPr>
              <w:t>（</w:t>
            </w:r>
            <w:r>
              <w:rPr>
                <w:rFonts w:hint="eastAsia"/>
              </w:rPr>
              <w:t>m</w:t>
            </w:r>
            <w:r>
              <w:rPr>
                <w:rFonts w:hint="eastAsia"/>
              </w:rPr>
              <w:t>）</w:t>
            </w:r>
          </w:p>
        </w:tc>
        <w:tc>
          <w:tcPr>
            <w:tcW w:w="992" w:type="dxa"/>
            <w:vAlign w:val="center"/>
          </w:tcPr>
          <w:p w:rsidR="00BD5820" w:rsidRDefault="00F64314">
            <w:pPr>
              <w:pStyle w:val="afffffff3"/>
            </w:pPr>
            <w:r>
              <w:rPr>
                <w:rFonts w:hint="eastAsia"/>
              </w:rPr>
              <w:t>30</w:t>
            </w:r>
          </w:p>
        </w:tc>
        <w:tc>
          <w:tcPr>
            <w:tcW w:w="1075" w:type="dxa"/>
            <w:vAlign w:val="center"/>
          </w:tcPr>
          <w:p w:rsidR="00BD5820" w:rsidRDefault="00F64314">
            <w:pPr>
              <w:pStyle w:val="afffffff3"/>
            </w:pPr>
            <w:r>
              <w:rPr>
                <w:rFonts w:hint="eastAsia"/>
              </w:rPr>
              <w:t>4.1</w:t>
            </w:r>
          </w:p>
        </w:tc>
        <w:tc>
          <w:tcPr>
            <w:tcW w:w="1236" w:type="dxa"/>
            <w:vAlign w:val="center"/>
          </w:tcPr>
          <w:p w:rsidR="00BD5820" w:rsidRDefault="00F64314">
            <w:pPr>
              <w:pStyle w:val="afffffff3"/>
            </w:pPr>
            <w:r>
              <w:rPr>
                <w:rFonts w:hint="eastAsia"/>
              </w:rPr>
              <w:t>4.8</w:t>
            </w:r>
          </w:p>
        </w:tc>
        <w:tc>
          <w:tcPr>
            <w:tcW w:w="1371" w:type="dxa"/>
            <w:vAlign w:val="center"/>
          </w:tcPr>
          <w:p w:rsidR="00BD5820" w:rsidRDefault="00F64314">
            <w:pPr>
              <w:pStyle w:val="afffffff3"/>
            </w:pPr>
            <w:r>
              <w:rPr>
                <w:rFonts w:hint="eastAsia"/>
              </w:rPr>
              <w:t>3.3</w:t>
            </w:r>
          </w:p>
        </w:tc>
        <w:tc>
          <w:tcPr>
            <w:tcW w:w="1376" w:type="dxa"/>
            <w:vAlign w:val="center"/>
          </w:tcPr>
          <w:p w:rsidR="00BD5820" w:rsidRDefault="00F64314">
            <w:pPr>
              <w:pStyle w:val="afffffff3"/>
            </w:pPr>
            <w:r>
              <w:rPr>
                <w:rFonts w:hint="eastAsia"/>
              </w:rPr>
              <w:t>5.1</w:t>
            </w:r>
          </w:p>
        </w:tc>
        <w:tc>
          <w:tcPr>
            <w:tcW w:w="1371" w:type="dxa"/>
            <w:vAlign w:val="center"/>
          </w:tcPr>
          <w:p w:rsidR="00BD5820" w:rsidRDefault="00F64314">
            <w:pPr>
              <w:pStyle w:val="afffffff3"/>
            </w:pPr>
            <w:r>
              <w:rPr>
                <w:rFonts w:hint="eastAsia"/>
              </w:rPr>
              <w:t>4.7</w:t>
            </w:r>
          </w:p>
        </w:tc>
      </w:tr>
      <w:tr w:rsidR="00BD5820">
        <w:trPr>
          <w:trHeight w:val="217"/>
          <w:jc w:val="center"/>
        </w:trPr>
        <w:tc>
          <w:tcPr>
            <w:tcW w:w="1101" w:type="dxa"/>
            <w:vAlign w:val="center"/>
          </w:tcPr>
          <w:p w:rsidR="00BD5820" w:rsidRDefault="00F64314">
            <w:pPr>
              <w:pStyle w:val="afffffff3"/>
            </w:pPr>
            <w:r>
              <w:t>水位</w:t>
            </w:r>
            <w:r>
              <w:rPr>
                <w:rFonts w:hint="eastAsia"/>
              </w:rPr>
              <w:t>（</w:t>
            </w:r>
            <w:r>
              <w:rPr>
                <w:rFonts w:hint="eastAsia"/>
              </w:rPr>
              <w:t>m</w:t>
            </w:r>
            <w:r>
              <w:rPr>
                <w:rFonts w:hint="eastAsia"/>
              </w:rPr>
              <w:t>）</w:t>
            </w:r>
          </w:p>
        </w:tc>
        <w:tc>
          <w:tcPr>
            <w:tcW w:w="992" w:type="dxa"/>
            <w:vAlign w:val="center"/>
          </w:tcPr>
          <w:p w:rsidR="00BD5820" w:rsidRDefault="00F64314">
            <w:pPr>
              <w:pStyle w:val="afffffff3"/>
            </w:pPr>
            <w:r>
              <w:rPr>
                <w:rFonts w:hint="eastAsia"/>
                <w:szCs w:val="21"/>
              </w:rPr>
              <w:t>341</w:t>
            </w:r>
          </w:p>
        </w:tc>
        <w:tc>
          <w:tcPr>
            <w:tcW w:w="1075" w:type="dxa"/>
            <w:vAlign w:val="center"/>
          </w:tcPr>
          <w:p w:rsidR="00BD5820" w:rsidRDefault="00F64314">
            <w:pPr>
              <w:pStyle w:val="afffffff3"/>
            </w:pPr>
            <w:r>
              <w:rPr>
                <w:rFonts w:hint="eastAsia"/>
                <w:szCs w:val="21"/>
              </w:rPr>
              <w:t>368.9</w:t>
            </w:r>
          </w:p>
        </w:tc>
        <w:tc>
          <w:tcPr>
            <w:tcW w:w="1236" w:type="dxa"/>
            <w:vAlign w:val="center"/>
          </w:tcPr>
          <w:p w:rsidR="00BD5820" w:rsidRDefault="00F64314">
            <w:pPr>
              <w:pStyle w:val="afffffff3"/>
            </w:pPr>
            <w:r>
              <w:rPr>
                <w:rFonts w:hint="eastAsia"/>
                <w:szCs w:val="21"/>
              </w:rPr>
              <w:t>381.2</w:t>
            </w:r>
          </w:p>
        </w:tc>
        <w:tc>
          <w:tcPr>
            <w:tcW w:w="1371" w:type="dxa"/>
            <w:vAlign w:val="center"/>
          </w:tcPr>
          <w:p w:rsidR="00BD5820" w:rsidRDefault="00F64314">
            <w:pPr>
              <w:pStyle w:val="afffffff3"/>
            </w:pPr>
            <w:r>
              <w:rPr>
                <w:rFonts w:hint="eastAsia"/>
                <w:szCs w:val="21"/>
              </w:rPr>
              <w:t>655.7</w:t>
            </w:r>
          </w:p>
        </w:tc>
        <w:tc>
          <w:tcPr>
            <w:tcW w:w="1376" w:type="dxa"/>
            <w:vAlign w:val="center"/>
          </w:tcPr>
          <w:p w:rsidR="00BD5820" w:rsidRDefault="00F64314">
            <w:pPr>
              <w:pStyle w:val="afffffff3"/>
            </w:pPr>
            <w:r>
              <w:rPr>
                <w:rFonts w:hint="eastAsia"/>
                <w:szCs w:val="21"/>
              </w:rPr>
              <w:t>573.9</w:t>
            </w:r>
          </w:p>
        </w:tc>
        <w:tc>
          <w:tcPr>
            <w:tcW w:w="1371" w:type="dxa"/>
            <w:vAlign w:val="center"/>
          </w:tcPr>
          <w:p w:rsidR="00BD5820" w:rsidRDefault="00F64314">
            <w:pPr>
              <w:pStyle w:val="afffffff3"/>
            </w:pPr>
            <w:r>
              <w:rPr>
                <w:rFonts w:hint="eastAsia"/>
                <w:szCs w:val="21"/>
              </w:rPr>
              <w:t>422.3</w:t>
            </w:r>
          </w:p>
        </w:tc>
      </w:tr>
      <w:tr w:rsidR="00BD5820">
        <w:trPr>
          <w:trHeight w:val="217"/>
          <w:jc w:val="center"/>
        </w:trPr>
        <w:tc>
          <w:tcPr>
            <w:tcW w:w="1101" w:type="dxa"/>
            <w:vAlign w:val="center"/>
          </w:tcPr>
          <w:p w:rsidR="00BD5820" w:rsidRDefault="00F64314">
            <w:pPr>
              <w:pStyle w:val="afffffff3"/>
            </w:pPr>
            <w:r>
              <w:rPr>
                <w:b/>
                <w:bCs/>
              </w:rPr>
              <w:t>点位</w:t>
            </w:r>
          </w:p>
        </w:tc>
        <w:tc>
          <w:tcPr>
            <w:tcW w:w="992" w:type="dxa"/>
            <w:vAlign w:val="center"/>
          </w:tcPr>
          <w:p w:rsidR="00BD5820" w:rsidRDefault="00F64314">
            <w:pPr>
              <w:pStyle w:val="afffffff3"/>
              <w:rPr>
                <w:b/>
                <w:bCs/>
              </w:rPr>
            </w:pPr>
            <w:r>
              <w:rPr>
                <w:rFonts w:hAnsi="宋体" w:hint="eastAsia"/>
                <w:b/>
              </w:rPr>
              <w:t>JC</w:t>
            </w:r>
            <w:r>
              <w:rPr>
                <w:rFonts w:hint="eastAsia"/>
                <w:b/>
                <w:bCs/>
              </w:rPr>
              <w:t>7</w:t>
            </w:r>
          </w:p>
        </w:tc>
        <w:tc>
          <w:tcPr>
            <w:tcW w:w="1075" w:type="dxa"/>
            <w:vAlign w:val="center"/>
          </w:tcPr>
          <w:p w:rsidR="00BD5820" w:rsidRDefault="00F64314">
            <w:pPr>
              <w:pStyle w:val="afffffff3"/>
              <w:rPr>
                <w:b/>
                <w:bCs/>
              </w:rPr>
            </w:pPr>
            <w:r>
              <w:rPr>
                <w:rFonts w:hAnsi="宋体" w:hint="eastAsia"/>
                <w:b/>
              </w:rPr>
              <w:t>JC</w:t>
            </w:r>
            <w:r>
              <w:rPr>
                <w:rFonts w:hint="eastAsia"/>
                <w:b/>
                <w:bCs/>
              </w:rPr>
              <w:t>8</w:t>
            </w:r>
          </w:p>
        </w:tc>
        <w:tc>
          <w:tcPr>
            <w:tcW w:w="1236" w:type="dxa"/>
            <w:vAlign w:val="center"/>
          </w:tcPr>
          <w:p w:rsidR="00BD5820" w:rsidRDefault="00F64314">
            <w:pPr>
              <w:pStyle w:val="afffffff3"/>
              <w:rPr>
                <w:b/>
                <w:bCs/>
              </w:rPr>
            </w:pPr>
            <w:r>
              <w:rPr>
                <w:rFonts w:hAnsi="宋体" w:hint="eastAsia"/>
                <w:b/>
              </w:rPr>
              <w:t>JC</w:t>
            </w:r>
            <w:r>
              <w:rPr>
                <w:rFonts w:hint="eastAsia"/>
                <w:b/>
                <w:bCs/>
              </w:rPr>
              <w:t>9</w:t>
            </w:r>
          </w:p>
        </w:tc>
        <w:tc>
          <w:tcPr>
            <w:tcW w:w="1371" w:type="dxa"/>
            <w:vAlign w:val="center"/>
          </w:tcPr>
          <w:p w:rsidR="00BD5820" w:rsidRDefault="00F64314">
            <w:pPr>
              <w:pStyle w:val="afffffff3"/>
              <w:rPr>
                <w:b/>
                <w:bCs/>
              </w:rPr>
            </w:pPr>
            <w:r>
              <w:rPr>
                <w:rFonts w:hAnsi="宋体" w:hint="eastAsia"/>
                <w:b/>
              </w:rPr>
              <w:t>JC</w:t>
            </w:r>
            <w:r>
              <w:rPr>
                <w:rFonts w:hint="eastAsia"/>
                <w:b/>
                <w:bCs/>
              </w:rPr>
              <w:t>10</w:t>
            </w:r>
          </w:p>
        </w:tc>
        <w:tc>
          <w:tcPr>
            <w:tcW w:w="1376" w:type="dxa"/>
            <w:vAlign w:val="center"/>
          </w:tcPr>
          <w:p w:rsidR="00BD5820" w:rsidRDefault="00BD5820">
            <w:pPr>
              <w:pStyle w:val="afffffff3"/>
            </w:pPr>
          </w:p>
        </w:tc>
        <w:tc>
          <w:tcPr>
            <w:tcW w:w="1371" w:type="dxa"/>
            <w:vAlign w:val="center"/>
          </w:tcPr>
          <w:p w:rsidR="00BD5820" w:rsidRDefault="00BD5820">
            <w:pPr>
              <w:pStyle w:val="afffffff3"/>
            </w:pPr>
          </w:p>
        </w:tc>
      </w:tr>
      <w:tr w:rsidR="00BD5820">
        <w:trPr>
          <w:trHeight w:val="217"/>
          <w:jc w:val="center"/>
        </w:trPr>
        <w:tc>
          <w:tcPr>
            <w:tcW w:w="1101" w:type="dxa"/>
            <w:vAlign w:val="center"/>
          </w:tcPr>
          <w:p w:rsidR="00BD5820" w:rsidRDefault="00F64314">
            <w:pPr>
              <w:pStyle w:val="afffffff3"/>
            </w:pPr>
            <w:r>
              <w:t>井深</w:t>
            </w:r>
            <w:r>
              <w:rPr>
                <w:rFonts w:hint="eastAsia"/>
              </w:rPr>
              <w:t>（</w:t>
            </w:r>
            <w:r>
              <w:rPr>
                <w:rFonts w:hint="eastAsia"/>
              </w:rPr>
              <w:t>m</w:t>
            </w:r>
            <w:r>
              <w:rPr>
                <w:rFonts w:hint="eastAsia"/>
              </w:rPr>
              <w:t>）</w:t>
            </w:r>
          </w:p>
        </w:tc>
        <w:tc>
          <w:tcPr>
            <w:tcW w:w="992" w:type="dxa"/>
            <w:vAlign w:val="center"/>
          </w:tcPr>
          <w:p w:rsidR="00BD5820" w:rsidRDefault="00F64314">
            <w:pPr>
              <w:pStyle w:val="afffffff3"/>
              <w:rPr>
                <w:bCs/>
              </w:rPr>
            </w:pPr>
            <w:r>
              <w:rPr>
                <w:rFonts w:hint="eastAsia"/>
                <w:bCs/>
              </w:rPr>
              <w:t>3.8</w:t>
            </w:r>
          </w:p>
        </w:tc>
        <w:tc>
          <w:tcPr>
            <w:tcW w:w="1075" w:type="dxa"/>
            <w:vAlign w:val="center"/>
          </w:tcPr>
          <w:p w:rsidR="00BD5820" w:rsidRDefault="00F64314">
            <w:pPr>
              <w:pStyle w:val="afffffff3"/>
              <w:rPr>
                <w:bCs/>
              </w:rPr>
            </w:pPr>
            <w:r>
              <w:rPr>
                <w:rFonts w:hint="eastAsia"/>
                <w:bCs/>
              </w:rPr>
              <w:t>3.5</w:t>
            </w:r>
          </w:p>
        </w:tc>
        <w:tc>
          <w:tcPr>
            <w:tcW w:w="1236" w:type="dxa"/>
            <w:vAlign w:val="center"/>
          </w:tcPr>
          <w:p w:rsidR="00BD5820" w:rsidRDefault="00F64314">
            <w:pPr>
              <w:pStyle w:val="afffffff3"/>
              <w:rPr>
                <w:bCs/>
              </w:rPr>
            </w:pPr>
            <w:r>
              <w:rPr>
                <w:rFonts w:hint="eastAsia"/>
                <w:bCs/>
              </w:rPr>
              <w:t>7.3</w:t>
            </w:r>
          </w:p>
        </w:tc>
        <w:tc>
          <w:tcPr>
            <w:tcW w:w="1371" w:type="dxa"/>
            <w:vAlign w:val="center"/>
          </w:tcPr>
          <w:p w:rsidR="00BD5820" w:rsidRDefault="00F64314">
            <w:pPr>
              <w:pStyle w:val="afffffff3"/>
              <w:rPr>
                <w:bCs/>
              </w:rPr>
            </w:pPr>
            <w:r>
              <w:rPr>
                <w:rFonts w:hint="eastAsia"/>
                <w:bCs/>
              </w:rPr>
              <w:t>5.0</w:t>
            </w:r>
          </w:p>
        </w:tc>
        <w:tc>
          <w:tcPr>
            <w:tcW w:w="1376" w:type="dxa"/>
            <w:vAlign w:val="center"/>
          </w:tcPr>
          <w:p w:rsidR="00BD5820" w:rsidRDefault="00BD5820">
            <w:pPr>
              <w:pStyle w:val="afffffff3"/>
            </w:pPr>
          </w:p>
        </w:tc>
        <w:tc>
          <w:tcPr>
            <w:tcW w:w="1371" w:type="dxa"/>
            <w:vAlign w:val="center"/>
          </w:tcPr>
          <w:p w:rsidR="00BD5820" w:rsidRDefault="00BD5820">
            <w:pPr>
              <w:pStyle w:val="afffffff3"/>
            </w:pPr>
          </w:p>
        </w:tc>
      </w:tr>
      <w:tr w:rsidR="00BD5820">
        <w:trPr>
          <w:trHeight w:val="217"/>
          <w:jc w:val="center"/>
        </w:trPr>
        <w:tc>
          <w:tcPr>
            <w:tcW w:w="1101" w:type="dxa"/>
            <w:vAlign w:val="center"/>
          </w:tcPr>
          <w:p w:rsidR="00BD5820" w:rsidRDefault="00F64314">
            <w:pPr>
              <w:pStyle w:val="afffffff3"/>
            </w:pPr>
            <w:r>
              <w:lastRenderedPageBreak/>
              <w:t>水位</w:t>
            </w:r>
            <w:r>
              <w:rPr>
                <w:rFonts w:hint="eastAsia"/>
              </w:rPr>
              <w:t>（</w:t>
            </w:r>
            <w:r>
              <w:rPr>
                <w:rFonts w:hint="eastAsia"/>
              </w:rPr>
              <w:t>m</w:t>
            </w:r>
            <w:r>
              <w:rPr>
                <w:rFonts w:hint="eastAsia"/>
              </w:rPr>
              <w:t>）</w:t>
            </w:r>
          </w:p>
        </w:tc>
        <w:tc>
          <w:tcPr>
            <w:tcW w:w="992" w:type="dxa"/>
            <w:vAlign w:val="center"/>
          </w:tcPr>
          <w:p w:rsidR="00BD5820" w:rsidRDefault="00F64314">
            <w:pPr>
              <w:pStyle w:val="afffffff3"/>
            </w:pPr>
            <w:r>
              <w:rPr>
                <w:rFonts w:hint="eastAsia"/>
                <w:szCs w:val="21"/>
              </w:rPr>
              <w:t>432.2</w:t>
            </w:r>
          </w:p>
        </w:tc>
        <w:tc>
          <w:tcPr>
            <w:tcW w:w="1075" w:type="dxa"/>
            <w:vAlign w:val="center"/>
          </w:tcPr>
          <w:p w:rsidR="00BD5820" w:rsidRDefault="00F64314">
            <w:pPr>
              <w:pStyle w:val="afffffff3"/>
            </w:pPr>
            <w:r>
              <w:rPr>
                <w:rFonts w:hint="eastAsia"/>
                <w:szCs w:val="21"/>
              </w:rPr>
              <w:t>374.5</w:t>
            </w:r>
          </w:p>
        </w:tc>
        <w:tc>
          <w:tcPr>
            <w:tcW w:w="1236" w:type="dxa"/>
            <w:vAlign w:val="center"/>
          </w:tcPr>
          <w:p w:rsidR="00BD5820" w:rsidRDefault="00F64314">
            <w:pPr>
              <w:pStyle w:val="afffffff3"/>
            </w:pPr>
            <w:r>
              <w:rPr>
                <w:rFonts w:hint="eastAsia"/>
                <w:szCs w:val="21"/>
              </w:rPr>
              <w:t>373.7</w:t>
            </w:r>
          </w:p>
        </w:tc>
        <w:tc>
          <w:tcPr>
            <w:tcW w:w="1371" w:type="dxa"/>
            <w:vAlign w:val="center"/>
          </w:tcPr>
          <w:p w:rsidR="00BD5820" w:rsidRDefault="00F64314">
            <w:pPr>
              <w:pStyle w:val="afffffff3"/>
            </w:pPr>
            <w:r>
              <w:rPr>
                <w:rFonts w:hint="eastAsia"/>
                <w:szCs w:val="21"/>
              </w:rPr>
              <w:t>347</w:t>
            </w:r>
          </w:p>
        </w:tc>
        <w:tc>
          <w:tcPr>
            <w:tcW w:w="1376" w:type="dxa"/>
            <w:vAlign w:val="center"/>
          </w:tcPr>
          <w:p w:rsidR="00BD5820" w:rsidRDefault="00BD5820">
            <w:pPr>
              <w:pStyle w:val="afffffff3"/>
            </w:pPr>
          </w:p>
        </w:tc>
        <w:tc>
          <w:tcPr>
            <w:tcW w:w="1371" w:type="dxa"/>
            <w:vAlign w:val="center"/>
          </w:tcPr>
          <w:p w:rsidR="00BD5820" w:rsidRDefault="00BD5820">
            <w:pPr>
              <w:pStyle w:val="afffffff3"/>
            </w:pPr>
          </w:p>
        </w:tc>
      </w:tr>
    </w:tbl>
    <w:p w:rsidR="00BD5820" w:rsidRDefault="00F64314">
      <w:pPr>
        <w:pStyle w:val="affa"/>
        <w:ind w:firstLine="480"/>
      </w:pPr>
      <w:r>
        <w:t xml:space="preserve"> </w:t>
      </w:r>
      <w:r>
        <w:t>根据地下水监测统计结果可知，项目</w:t>
      </w:r>
      <w:r>
        <w:rPr>
          <w:rFonts w:hint="eastAsia"/>
        </w:rPr>
        <w:t>涉及的</w:t>
      </w:r>
      <w:r>
        <w:t>普光气田</w:t>
      </w:r>
      <w:r>
        <w:t>1#</w:t>
      </w:r>
      <w:r>
        <w:t>增压站所在地</w:t>
      </w:r>
      <w:r>
        <w:rPr>
          <w:rFonts w:hint="eastAsia"/>
        </w:rPr>
        <w:t>和</w:t>
      </w:r>
      <w:r>
        <w:t>普光气田</w:t>
      </w:r>
      <w:r>
        <w:rPr>
          <w:rFonts w:hint="eastAsia"/>
        </w:rPr>
        <w:t>2</w:t>
      </w:r>
      <w:r>
        <w:t>#</w:t>
      </w:r>
      <w:r>
        <w:t>增压站所在地各地下水监测点各监测因子标准指数均小于</w:t>
      </w:r>
      <w:r>
        <w:t>1</w:t>
      </w:r>
      <w:r>
        <w:t>，满足《地下水质量标准》（</w:t>
      </w:r>
      <w:r>
        <w:t>GB/T14848-</w:t>
      </w:r>
      <w:r>
        <w:rPr>
          <w:rFonts w:hint="eastAsia"/>
        </w:rPr>
        <w:t>2017</w:t>
      </w:r>
      <w:r>
        <w:t>）</w:t>
      </w:r>
      <w:r>
        <w:t>Ⅲ</w:t>
      </w:r>
      <w:r>
        <w:t>类标准要求，石油类满足《地表水环境质量标准》（</w:t>
      </w:r>
      <w:r>
        <w:t>GB3838-2002</w:t>
      </w:r>
      <w:r>
        <w:t>）</w:t>
      </w:r>
      <w:r>
        <w:t>Ⅲ</w:t>
      </w:r>
      <w:r>
        <w:t>类标准要求。</w:t>
      </w:r>
    </w:p>
    <w:p w:rsidR="00BD5820" w:rsidRDefault="00F64314">
      <w:pPr>
        <w:pStyle w:val="2"/>
        <w:spacing w:before="0"/>
        <w:rPr>
          <w:rFonts w:cs="Times New Roman"/>
        </w:rPr>
      </w:pPr>
      <w:bookmarkStart w:id="359" w:name="_Toc12288574"/>
      <w:bookmarkStart w:id="360" w:name="_Toc19816017"/>
      <w:bookmarkStart w:id="361" w:name="_Toc30135"/>
      <w:r>
        <w:rPr>
          <w:rFonts w:cs="Times New Roman"/>
        </w:rPr>
        <w:t xml:space="preserve">5.6 </w:t>
      </w:r>
      <w:r>
        <w:rPr>
          <w:rFonts w:cs="Times New Roman"/>
        </w:rPr>
        <w:t>声环境质量现状与评价</w:t>
      </w:r>
      <w:bookmarkEnd w:id="359"/>
      <w:bookmarkEnd w:id="360"/>
      <w:bookmarkEnd w:id="361"/>
    </w:p>
    <w:p w:rsidR="00BD5820" w:rsidRDefault="00F64314">
      <w:pPr>
        <w:pStyle w:val="affa"/>
        <w:ind w:firstLine="480"/>
      </w:pPr>
      <w:r>
        <w:t>根据项目工程特点的具体情况，本次评价对项目沿线及场站可能造成声环境影响的附近敏感点及其场界进行声环境质量现状监测。</w:t>
      </w:r>
      <w:r>
        <w:rPr>
          <w:rFonts w:hint="eastAsia"/>
        </w:rPr>
        <w:t>本次评价委托四川省工业环境监测研究院于</w:t>
      </w:r>
      <w:r>
        <w:rPr>
          <w:rFonts w:hint="eastAsia"/>
        </w:rPr>
        <w:t>2023</w:t>
      </w:r>
      <w:r>
        <w:rPr>
          <w:rFonts w:hint="eastAsia"/>
        </w:rPr>
        <w:t>年</w:t>
      </w:r>
      <w:r>
        <w:rPr>
          <w:rFonts w:hint="eastAsia"/>
        </w:rPr>
        <w:t>7</w:t>
      </w:r>
      <w:r>
        <w:rPr>
          <w:rFonts w:hint="eastAsia"/>
        </w:rPr>
        <w:t>月</w:t>
      </w:r>
      <w:r>
        <w:rPr>
          <w:rFonts w:hint="eastAsia"/>
        </w:rPr>
        <w:t>9</w:t>
      </w:r>
      <w:r>
        <w:rPr>
          <w:rFonts w:hint="eastAsia"/>
        </w:rPr>
        <w:t>日</w:t>
      </w:r>
      <w:r>
        <w:rPr>
          <w:rFonts w:hint="eastAsia"/>
        </w:rPr>
        <w:t>~10</w:t>
      </w:r>
      <w:r>
        <w:rPr>
          <w:rFonts w:hint="eastAsia"/>
        </w:rPr>
        <w:t>日，对项目区域声环境质量进行的现状监测进行评价，布设</w:t>
      </w:r>
      <w:r>
        <w:rPr>
          <w:rFonts w:hint="eastAsia"/>
        </w:rPr>
        <w:t>3</w:t>
      </w:r>
      <w:r>
        <w:rPr>
          <w:rFonts w:hint="eastAsia"/>
        </w:rPr>
        <w:t>个点位</w:t>
      </w:r>
      <w:r>
        <w:rPr>
          <w:rFonts w:hint="eastAsia"/>
          <w:bCs/>
        </w:rPr>
        <w:t>。</w:t>
      </w:r>
    </w:p>
    <w:p w:rsidR="00BD5820" w:rsidRDefault="00F64314">
      <w:pPr>
        <w:pStyle w:val="affa"/>
        <w:ind w:firstLine="482"/>
        <w:rPr>
          <w:b/>
          <w:bCs/>
        </w:rPr>
      </w:pPr>
      <w:bookmarkStart w:id="362" w:name="_Toc12288575"/>
      <w:r>
        <w:rPr>
          <w:b/>
          <w:bCs/>
        </w:rPr>
        <w:t>1</w:t>
      </w:r>
      <w:r>
        <w:rPr>
          <w:b/>
          <w:bCs/>
        </w:rPr>
        <w:t>、监测布点</w:t>
      </w:r>
      <w:bookmarkEnd w:id="362"/>
    </w:p>
    <w:p w:rsidR="00BD5820" w:rsidRDefault="00F64314">
      <w:pPr>
        <w:pStyle w:val="affa"/>
        <w:ind w:firstLine="480"/>
      </w:pPr>
      <w:r>
        <w:t>根据本项目工况、评价范围内环境保护目标分布情况及区域环境状况，对其管线沿线及场站附近敏感点布点监测，共计噪声监测点位</w:t>
      </w:r>
      <w:r>
        <w:rPr>
          <w:rFonts w:hint="eastAsia"/>
        </w:rPr>
        <w:t>10</w:t>
      </w:r>
      <w:r>
        <w:t>个。</w:t>
      </w:r>
      <w:r>
        <w:rPr>
          <w:rFonts w:hint="eastAsia"/>
        </w:rPr>
        <w:t>声环境监测点设</w:t>
      </w:r>
      <w:r>
        <w:rPr>
          <w:rFonts w:hint="eastAsia"/>
        </w:rPr>
        <w:t>10</w:t>
      </w:r>
      <w:r>
        <w:rPr>
          <w:rFonts w:hint="eastAsia"/>
        </w:rPr>
        <w:t>个。</w:t>
      </w:r>
    </w:p>
    <w:p w:rsidR="00BD5820" w:rsidRDefault="00F64314">
      <w:pPr>
        <w:pStyle w:val="affa"/>
        <w:ind w:firstLine="480"/>
      </w:pPr>
      <w:r>
        <w:rPr>
          <w:rFonts w:hint="eastAsia"/>
        </w:rPr>
        <w:t>1#</w:t>
      </w:r>
      <w:r>
        <w:t>——</w:t>
      </w:r>
      <w:r>
        <w:rPr>
          <w:rFonts w:hint="eastAsia"/>
        </w:rPr>
        <w:t>普光气田</w:t>
      </w:r>
      <w:r>
        <w:t>1#</w:t>
      </w:r>
      <w:r>
        <w:rPr>
          <w:rFonts w:hint="eastAsia"/>
        </w:rPr>
        <w:t>增压站所在地南侧边界</w:t>
      </w:r>
      <w:r>
        <w:t>；</w:t>
      </w:r>
    </w:p>
    <w:p w:rsidR="00BD5820" w:rsidRDefault="00F64314">
      <w:pPr>
        <w:pStyle w:val="affa"/>
        <w:ind w:firstLine="480"/>
      </w:pPr>
      <w:r>
        <w:rPr>
          <w:rFonts w:hint="eastAsia"/>
        </w:rPr>
        <w:t>2#</w:t>
      </w:r>
      <w:r>
        <w:t>——P106-P104-2#</w:t>
      </w:r>
      <w:r>
        <w:rPr>
          <w:rFonts w:hint="eastAsia"/>
        </w:rPr>
        <w:t>增压站集输管道南侧北斗村住户处</w:t>
      </w:r>
      <w:r>
        <w:t>；</w:t>
      </w:r>
    </w:p>
    <w:p w:rsidR="00BD5820" w:rsidRDefault="00F64314">
      <w:pPr>
        <w:pStyle w:val="affa"/>
        <w:ind w:firstLine="480"/>
      </w:pPr>
      <w:r>
        <w:rPr>
          <w:rFonts w:hint="eastAsia"/>
        </w:rPr>
        <w:t>3#</w:t>
      </w:r>
      <w:r>
        <w:t>——P106-P104-2#</w:t>
      </w:r>
      <w:r>
        <w:rPr>
          <w:rFonts w:hint="eastAsia"/>
        </w:rPr>
        <w:t>增压站集输管道北侧干</w:t>
      </w:r>
      <w:r>
        <w:t>河沟</w:t>
      </w:r>
      <w:r>
        <w:rPr>
          <w:rFonts w:hint="eastAsia"/>
        </w:rPr>
        <w:t>住户处；</w:t>
      </w:r>
    </w:p>
    <w:p w:rsidR="00BD5820" w:rsidRDefault="00F64314">
      <w:pPr>
        <w:pStyle w:val="affa"/>
        <w:ind w:firstLine="480"/>
      </w:pPr>
      <w:r>
        <w:rPr>
          <w:rFonts w:hint="eastAsia"/>
        </w:rPr>
        <w:t>4#</w:t>
      </w:r>
      <w:r>
        <w:t>——P106-P104-2#</w:t>
      </w:r>
      <w:r>
        <w:rPr>
          <w:rFonts w:hint="eastAsia"/>
        </w:rPr>
        <w:t>增压站集输管道北侧慈云寺住户；</w:t>
      </w:r>
    </w:p>
    <w:p w:rsidR="00BD5820" w:rsidRDefault="00F64314">
      <w:pPr>
        <w:pStyle w:val="affa"/>
        <w:ind w:firstLine="480"/>
      </w:pPr>
      <w:r>
        <w:rPr>
          <w:rFonts w:hint="eastAsia"/>
        </w:rPr>
        <w:t>5#</w:t>
      </w:r>
      <w:r>
        <w:t>——P106-P104-2#</w:t>
      </w:r>
      <w:r>
        <w:rPr>
          <w:rFonts w:hint="eastAsia"/>
        </w:rPr>
        <w:t>增压站集输管道南侧北斗村住户；</w:t>
      </w:r>
    </w:p>
    <w:p w:rsidR="00BD5820" w:rsidRDefault="00F64314">
      <w:pPr>
        <w:pStyle w:val="affa"/>
        <w:ind w:firstLine="480"/>
      </w:pPr>
      <w:r>
        <w:rPr>
          <w:rFonts w:hint="eastAsia"/>
        </w:rPr>
        <w:t>6#</w:t>
      </w:r>
      <w:r>
        <w:t>——P104</w:t>
      </w:r>
      <w:r>
        <w:t>集气站</w:t>
      </w:r>
      <w:r>
        <w:rPr>
          <w:rFonts w:hint="eastAsia"/>
        </w:rPr>
        <w:t>所在地东侧边界；</w:t>
      </w:r>
    </w:p>
    <w:p w:rsidR="00BD5820" w:rsidRDefault="00F64314">
      <w:pPr>
        <w:pStyle w:val="affa"/>
        <w:ind w:firstLine="480"/>
      </w:pPr>
      <w:r>
        <w:rPr>
          <w:rFonts w:hint="eastAsia"/>
        </w:rPr>
        <w:t>7#</w:t>
      </w:r>
      <w:r>
        <w:t>——P106-P104-2#</w:t>
      </w:r>
      <w:r>
        <w:rPr>
          <w:rFonts w:hint="eastAsia"/>
        </w:rPr>
        <w:t>增压站集输管道东侧下塝住户处；</w:t>
      </w:r>
    </w:p>
    <w:p w:rsidR="00BD5820" w:rsidRDefault="00F64314">
      <w:pPr>
        <w:pStyle w:val="affa"/>
        <w:ind w:firstLine="480"/>
      </w:pPr>
      <w:r>
        <w:rPr>
          <w:rFonts w:hint="eastAsia"/>
        </w:rPr>
        <w:t>8#</w:t>
      </w:r>
      <w:r>
        <w:t>——</w:t>
      </w:r>
      <w:r>
        <w:rPr>
          <w:rFonts w:hint="eastAsia"/>
        </w:rPr>
        <w:t>P106</w:t>
      </w:r>
      <w:r>
        <w:rPr>
          <w:rFonts w:hint="eastAsia"/>
        </w:rPr>
        <w:t>集气站所在地北侧边界；</w:t>
      </w:r>
    </w:p>
    <w:p w:rsidR="00BD5820" w:rsidRDefault="00F64314">
      <w:pPr>
        <w:pStyle w:val="affa"/>
        <w:ind w:firstLine="480"/>
      </w:pPr>
      <w:r>
        <w:rPr>
          <w:rFonts w:hint="eastAsia"/>
        </w:rPr>
        <w:t>9#</w:t>
      </w:r>
      <w:r>
        <w:t>——</w:t>
      </w:r>
      <w:r>
        <w:rPr>
          <w:rFonts w:hint="eastAsia"/>
        </w:rPr>
        <w:t>普光气田</w:t>
      </w:r>
      <w:r>
        <w:rPr>
          <w:rFonts w:hint="eastAsia"/>
        </w:rPr>
        <w:t>2</w:t>
      </w:r>
      <w:r>
        <w:t>#</w:t>
      </w:r>
      <w:r>
        <w:rPr>
          <w:rFonts w:hint="eastAsia"/>
        </w:rPr>
        <w:t>增压站所在地东侧边界；</w:t>
      </w:r>
    </w:p>
    <w:p w:rsidR="00BD5820" w:rsidRDefault="00F64314">
      <w:pPr>
        <w:pStyle w:val="affa"/>
        <w:ind w:firstLine="480"/>
      </w:pPr>
      <w:r>
        <w:rPr>
          <w:rFonts w:hint="eastAsia"/>
        </w:rPr>
        <w:t>10#</w:t>
      </w:r>
      <w:r>
        <w:t>——</w:t>
      </w:r>
      <w:r>
        <w:rPr>
          <w:rFonts w:hint="eastAsia"/>
        </w:rPr>
        <w:t>普光气田</w:t>
      </w:r>
      <w:r>
        <w:rPr>
          <w:rFonts w:hint="eastAsia"/>
        </w:rPr>
        <w:t>2</w:t>
      </w:r>
      <w:r>
        <w:t>#</w:t>
      </w:r>
      <w:r>
        <w:rPr>
          <w:rFonts w:hint="eastAsia"/>
        </w:rPr>
        <w:t>增压站所在地东北侧铜坎村处。</w:t>
      </w:r>
    </w:p>
    <w:p w:rsidR="00BD5820" w:rsidRDefault="00F64314">
      <w:pPr>
        <w:pStyle w:val="affa"/>
        <w:ind w:firstLine="480"/>
        <w:rPr>
          <w:b/>
        </w:rPr>
      </w:pPr>
      <w:r>
        <w:t>2</w:t>
      </w:r>
      <w:r>
        <w:rPr>
          <w:b/>
        </w:rPr>
        <w:t>、监测项目</w:t>
      </w:r>
    </w:p>
    <w:p w:rsidR="00BD5820" w:rsidRDefault="00F64314">
      <w:pPr>
        <w:pStyle w:val="affa"/>
        <w:ind w:firstLine="480"/>
      </w:pPr>
      <w:r>
        <w:t>昼夜等效连续</w:t>
      </w:r>
      <w:r>
        <w:t>A</w:t>
      </w:r>
      <w:r>
        <w:t>声级。</w:t>
      </w:r>
    </w:p>
    <w:p w:rsidR="00BD5820" w:rsidRDefault="00F64314">
      <w:pPr>
        <w:pStyle w:val="affa"/>
        <w:ind w:firstLine="482"/>
        <w:rPr>
          <w:b/>
        </w:rPr>
      </w:pPr>
      <w:r>
        <w:rPr>
          <w:b/>
        </w:rPr>
        <w:t>3</w:t>
      </w:r>
      <w:r>
        <w:rPr>
          <w:b/>
        </w:rPr>
        <w:t>、监测频次</w:t>
      </w:r>
    </w:p>
    <w:p w:rsidR="00BD5820" w:rsidRDefault="00F64314">
      <w:pPr>
        <w:pStyle w:val="affa"/>
        <w:ind w:firstLine="480"/>
      </w:pPr>
      <w:r>
        <w:t>每个监测点位连续监测</w:t>
      </w:r>
      <w:r>
        <w:t>2</w:t>
      </w:r>
      <w:r>
        <w:t>天，监测时间为昼夜各一次。</w:t>
      </w:r>
    </w:p>
    <w:p w:rsidR="00BD5820" w:rsidRDefault="00F64314">
      <w:pPr>
        <w:pStyle w:val="affa"/>
        <w:ind w:firstLine="482"/>
        <w:rPr>
          <w:b/>
        </w:rPr>
      </w:pPr>
      <w:r>
        <w:rPr>
          <w:b/>
        </w:rPr>
        <w:t>4</w:t>
      </w:r>
      <w:r>
        <w:rPr>
          <w:b/>
        </w:rPr>
        <w:t>、采样及分析方法</w:t>
      </w:r>
    </w:p>
    <w:p w:rsidR="00BD5820" w:rsidRDefault="00F64314">
      <w:pPr>
        <w:pStyle w:val="affa"/>
        <w:ind w:firstLine="480"/>
      </w:pPr>
      <w:r>
        <w:lastRenderedPageBreak/>
        <w:t>采样及分析方法按国家有关规定进行。</w:t>
      </w:r>
    </w:p>
    <w:p w:rsidR="00BD5820" w:rsidRDefault="00F64314">
      <w:pPr>
        <w:pStyle w:val="affa"/>
        <w:ind w:firstLine="482"/>
        <w:rPr>
          <w:b/>
        </w:rPr>
      </w:pPr>
      <w:bookmarkStart w:id="363" w:name="_Toc12288576"/>
      <w:r>
        <w:rPr>
          <w:b/>
        </w:rPr>
        <w:t>5</w:t>
      </w:r>
      <w:r>
        <w:rPr>
          <w:b/>
        </w:rPr>
        <w:t>、评价标准</w:t>
      </w:r>
      <w:bookmarkEnd w:id="363"/>
    </w:p>
    <w:p w:rsidR="00BD5820" w:rsidRDefault="00F64314">
      <w:pPr>
        <w:pStyle w:val="affa"/>
        <w:ind w:firstLine="480"/>
      </w:pPr>
      <w:r>
        <w:t>管线经过区域和场站声环境执行《声环境质量标准》（</w:t>
      </w:r>
      <w:r>
        <w:t>GB3096-2008</w:t>
      </w:r>
      <w:r>
        <w:t>）中的</w:t>
      </w:r>
      <w:r>
        <w:t>2</w:t>
      </w:r>
      <w:r>
        <w:t>类标准，即昼间</w:t>
      </w:r>
      <w:r>
        <w:t>60dB</w:t>
      </w:r>
      <w:r>
        <w:rPr>
          <w:rFonts w:hint="eastAsia"/>
        </w:rPr>
        <w:t>（</w:t>
      </w:r>
      <w:r>
        <w:t>A</w:t>
      </w:r>
      <w:r>
        <w:rPr>
          <w:rFonts w:hint="eastAsia"/>
        </w:rPr>
        <w:t>）</w:t>
      </w:r>
      <w:r>
        <w:t>，夜间</w:t>
      </w:r>
      <w:r>
        <w:t>50dB</w:t>
      </w:r>
      <w:r>
        <w:rPr>
          <w:rFonts w:hint="eastAsia"/>
        </w:rPr>
        <w:t>（</w:t>
      </w:r>
      <w:r>
        <w:t>A</w:t>
      </w:r>
      <w:r>
        <w:rPr>
          <w:rFonts w:hint="eastAsia"/>
        </w:rPr>
        <w:t>）</w:t>
      </w:r>
      <w:r>
        <w:t>。</w:t>
      </w:r>
      <w:bookmarkStart w:id="364" w:name="_Toc12288577"/>
    </w:p>
    <w:p w:rsidR="00BD5820" w:rsidRDefault="00F64314">
      <w:pPr>
        <w:pStyle w:val="affa"/>
        <w:ind w:firstLine="482"/>
        <w:rPr>
          <w:b/>
          <w:bCs/>
        </w:rPr>
      </w:pPr>
      <w:r>
        <w:rPr>
          <w:b/>
          <w:bCs/>
        </w:rPr>
        <w:t>6</w:t>
      </w:r>
      <w:r>
        <w:rPr>
          <w:b/>
          <w:bCs/>
        </w:rPr>
        <w:t>、监测结果</w:t>
      </w:r>
      <w:bookmarkEnd w:id="364"/>
    </w:p>
    <w:p w:rsidR="00BD5820" w:rsidRDefault="00F64314">
      <w:pPr>
        <w:pStyle w:val="affa"/>
        <w:ind w:firstLine="480"/>
      </w:pPr>
      <w:r>
        <w:t>声环境质量现状值监测结果见表</w:t>
      </w:r>
      <w:r>
        <w:t>5.6-1</w:t>
      </w:r>
      <w:r>
        <w:t>。</w:t>
      </w:r>
    </w:p>
    <w:p w:rsidR="00BD5820" w:rsidRDefault="00F64314">
      <w:pPr>
        <w:pStyle w:val="10"/>
        <w:rPr>
          <w:rFonts w:cs="Times New Roman"/>
        </w:rPr>
      </w:pPr>
      <w:r>
        <w:rPr>
          <w:rFonts w:cs="Times New Roman"/>
        </w:rPr>
        <w:t>表</w:t>
      </w:r>
      <w:r>
        <w:rPr>
          <w:rFonts w:cs="Times New Roman"/>
        </w:rPr>
        <w:t xml:space="preserve">5.6-1  </w:t>
      </w:r>
      <w:r>
        <w:rPr>
          <w:rFonts w:cs="Times New Roman"/>
        </w:rPr>
        <w:t>声环境质量现状监测及评价结果</w:t>
      </w:r>
    </w:p>
    <w:tbl>
      <w:tblPr>
        <w:tblW w:w="5181" w:type="pct"/>
        <w:jc w:val="center"/>
        <w:tblBorders>
          <w:top w:val="single" w:sz="12" w:space="0" w:color="000000"/>
          <w:bottom w:val="single" w:sz="12" w:space="0" w:color="000000"/>
          <w:insideH w:val="single" w:sz="2" w:space="0" w:color="000000"/>
          <w:insideV w:val="single" w:sz="4" w:space="0" w:color="000000"/>
        </w:tblBorders>
        <w:tblCellMar>
          <w:left w:w="0" w:type="dxa"/>
          <w:right w:w="0" w:type="dxa"/>
        </w:tblCellMar>
        <w:tblLook w:val="04A0"/>
      </w:tblPr>
      <w:tblGrid>
        <w:gridCol w:w="1060"/>
        <w:gridCol w:w="3052"/>
        <w:gridCol w:w="1133"/>
        <w:gridCol w:w="1134"/>
        <w:gridCol w:w="1138"/>
        <w:gridCol w:w="1090"/>
      </w:tblGrid>
      <w:tr w:rsidR="00BD5820">
        <w:trPr>
          <w:trHeight w:val="55"/>
          <w:tblHeader/>
          <w:jc w:val="center"/>
        </w:trPr>
        <w:tc>
          <w:tcPr>
            <w:tcW w:w="615" w:type="pct"/>
            <w:vAlign w:val="center"/>
          </w:tcPr>
          <w:p w:rsidR="00BD5820" w:rsidRDefault="00F64314">
            <w:pPr>
              <w:pStyle w:val="afff1"/>
              <w:rPr>
                <w:b/>
                <w:bCs/>
              </w:rPr>
            </w:pPr>
            <w:r>
              <w:rPr>
                <w:b/>
                <w:bCs/>
              </w:rPr>
              <w:t>点位编号</w:t>
            </w:r>
          </w:p>
        </w:tc>
        <w:tc>
          <w:tcPr>
            <w:tcW w:w="1772" w:type="pct"/>
            <w:vAlign w:val="center"/>
          </w:tcPr>
          <w:p w:rsidR="00BD5820" w:rsidRDefault="00F64314">
            <w:pPr>
              <w:pStyle w:val="afff1"/>
              <w:rPr>
                <w:b/>
                <w:bCs/>
              </w:rPr>
            </w:pPr>
            <w:r>
              <w:rPr>
                <w:b/>
                <w:bCs/>
              </w:rPr>
              <w:t>点位名称</w:t>
            </w:r>
          </w:p>
        </w:tc>
        <w:tc>
          <w:tcPr>
            <w:tcW w:w="658" w:type="pct"/>
            <w:vAlign w:val="center"/>
          </w:tcPr>
          <w:p w:rsidR="00BD5820" w:rsidRDefault="00F64314">
            <w:pPr>
              <w:pStyle w:val="afff1"/>
              <w:rPr>
                <w:b/>
                <w:bCs/>
              </w:rPr>
            </w:pPr>
            <w:r>
              <w:rPr>
                <w:b/>
                <w:bCs/>
              </w:rPr>
              <w:t>监测时间</w:t>
            </w:r>
          </w:p>
        </w:tc>
        <w:tc>
          <w:tcPr>
            <w:tcW w:w="659" w:type="pct"/>
            <w:vAlign w:val="center"/>
          </w:tcPr>
          <w:p w:rsidR="00BD5820" w:rsidRDefault="00F64314">
            <w:pPr>
              <w:pStyle w:val="afff1"/>
              <w:rPr>
                <w:b/>
                <w:bCs/>
              </w:rPr>
            </w:pPr>
            <w:r>
              <w:rPr>
                <w:b/>
                <w:bCs/>
              </w:rPr>
              <w:t>昼间</w:t>
            </w:r>
          </w:p>
          <w:p w:rsidR="00BD5820" w:rsidRDefault="00F64314">
            <w:pPr>
              <w:pStyle w:val="afff1"/>
              <w:rPr>
                <w:b/>
                <w:bCs/>
              </w:rPr>
            </w:pPr>
            <w:r>
              <w:rPr>
                <w:b/>
                <w:bCs/>
              </w:rPr>
              <w:t>dB(A)</w:t>
            </w:r>
          </w:p>
        </w:tc>
        <w:tc>
          <w:tcPr>
            <w:tcW w:w="661" w:type="pct"/>
            <w:vAlign w:val="center"/>
          </w:tcPr>
          <w:p w:rsidR="00BD5820" w:rsidRDefault="00F64314">
            <w:pPr>
              <w:pStyle w:val="afff1"/>
              <w:rPr>
                <w:b/>
                <w:bCs/>
              </w:rPr>
            </w:pPr>
            <w:r>
              <w:rPr>
                <w:b/>
                <w:bCs/>
              </w:rPr>
              <w:t>夜间</w:t>
            </w:r>
          </w:p>
          <w:p w:rsidR="00BD5820" w:rsidRDefault="00F64314">
            <w:pPr>
              <w:pStyle w:val="afff1"/>
              <w:rPr>
                <w:b/>
                <w:bCs/>
              </w:rPr>
            </w:pPr>
            <w:r>
              <w:rPr>
                <w:b/>
                <w:bCs/>
              </w:rPr>
              <w:t>dB(A)</w:t>
            </w:r>
          </w:p>
        </w:tc>
        <w:tc>
          <w:tcPr>
            <w:tcW w:w="633" w:type="pct"/>
            <w:vAlign w:val="center"/>
          </w:tcPr>
          <w:p w:rsidR="00BD5820" w:rsidRDefault="00F64314">
            <w:pPr>
              <w:pStyle w:val="afff1"/>
              <w:rPr>
                <w:b/>
                <w:bCs/>
              </w:rPr>
            </w:pPr>
            <w:r>
              <w:rPr>
                <w:b/>
                <w:bCs/>
              </w:rPr>
              <w:t>达标</w:t>
            </w:r>
          </w:p>
          <w:p w:rsidR="00BD5820" w:rsidRDefault="00F64314">
            <w:pPr>
              <w:pStyle w:val="afff1"/>
              <w:rPr>
                <w:b/>
                <w:bCs/>
              </w:rPr>
            </w:pPr>
            <w:r>
              <w:rPr>
                <w:b/>
                <w:bCs/>
              </w:rPr>
              <w:t>情况</w:t>
            </w:r>
          </w:p>
        </w:tc>
      </w:tr>
      <w:tr w:rsidR="00BD5820">
        <w:trPr>
          <w:trHeight w:val="90"/>
          <w:jc w:val="center"/>
        </w:trPr>
        <w:tc>
          <w:tcPr>
            <w:tcW w:w="615" w:type="pct"/>
            <w:vMerge w:val="restart"/>
            <w:vAlign w:val="center"/>
          </w:tcPr>
          <w:p w:rsidR="00BD5820" w:rsidRDefault="00F64314">
            <w:pPr>
              <w:pStyle w:val="afff1"/>
            </w:pPr>
            <w:r>
              <w:t>1</w:t>
            </w:r>
            <w:r>
              <w:rPr>
                <w:rFonts w:hint="eastAsia"/>
              </w:rPr>
              <w:t>#</w:t>
            </w:r>
          </w:p>
        </w:tc>
        <w:tc>
          <w:tcPr>
            <w:tcW w:w="1772" w:type="pct"/>
            <w:vMerge w:val="restart"/>
            <w:vAlign w:val="center"/>
          </w:tcPr>
          <w:p w:rsidR="00BD5820" w:rsidRDefault="00F64314">
            <w:pPr>
              <w:spacing w:line="0" w:lineRule="atLeast"/>
              <w:ind w:firstLineChars="0" w:firstLine="0"/>
              <w:jc w:val="center"/>
              <w:rPr>
                <w:rFonts w:ascii="Times New Roman" w:cs="Times New Roman"/>
                <w:kern w:val="2"/>
                <w:sz w:val="21"/>
                <w:szCs w:val="21"/>
              </w:rPr>
            </w:pPr>
            <w:r>
              <w:rPr>
                <w:rFonts w:ascii="Times New Roman" w:cs="Times New Roman" w:hint="eastAsia"/>
                <w:kern w:val="2"/>
                <w:sz w:val="21"/>
                <w:szCs w:val="21"/>
              </w:rPr>
              <w:t>普光气田</w:t>
            </w:r>
            <w:r>
              <w:rPr>
                <w:rFonts w:ascii="Times New Roman" w:cs="Times New Roman" w:hint="eastAsia"/>
                <w:kern w:val="2"/>
                <w:sz w:val="21"/>
                <w:szCs w:val="21"/>
              </w:rPr>
              <w:t>1#</w:t>
            </w:r>
            <w:r>
              <w:rPr>
                <w:rFonts w:ascii="Times New Roman" w:cs="Times New Roman" w:hint="eastAsia"/>
                <w:kern w:val="2"/>
                <w:sz w:val="21"/>
                <w:szCs w:val="21"/>
              </w:rPr>
              <w:t>增压站所在地南侧边界</w:t>
            </w:r>
          </w:p>
        </w:tc>
        <w:tc>
          <w:tcPr>
            <w:tcW w:w="658" w:type="pct"/>
            <w:vAlign w:val="center"/>
          </w:tcPr>
          <w:p w:rsidR="00BD5820" w:rsidRDefault="00F64314">
            <w:pPr>
              <w:pStyle w:val="afff1"/>
            </w:pPr>
            <w:r>
              <w:rPr>
                <w:rFonts w:hint="eastAsia"/>
              </w:rPr>
              <w:t>7</w:t>
            </w:r>
            <w:r>
              <w:t>.</w:t>
            </w:r>
            <w:r>
              <w:rPr>
                <w:rFonts w:hint="eastAsia"/>
              </w:rPr>
              <w:t>9</w:t>
            </w:r>
          </w:p>
        </w:tc>
        <w:tc>
          <w:tcPr>
            <w:tcW w:w="659" w:type="pct"/>
            <w:vAlign w:val="center"/>
          </w:tcPr>
          <w:p w:rsidR="00BD5820" w:rsidRDefault="00F64314">
            <w:pPr>
              <w:pStyle w:val="afff1"/>
            </w:pPr>
            <w:r>
              <w:rPr>
                <w:rFonts w:hint="eastAsia"/>
              </w:rPr>
              <w:t>46</w:t>
            </w:r>
          </w:p>
        </w:tc>
        <w:tc>
          <w:tcPr>
            <w:tcW w:w="661" w:type="pct"/>
            <w:vAlign w:val="center"/>
          </w:tcPr>
          <w:p w:rsidR="00BD5820" w:rsidRDefault="00F64314">
            <w:pPr>
              <w:pStyle w:val="afff1"/>
            </w:pPr>
            <w:r>
              <w:rPr>
                <w:rFonts w:hint="eastAsia"/>
              </w:rPr>
              <w:t>44</w:t>
            </w:r>
          </w:p>
        </w:tc>
        <w:tc>
          <w:tcPr>
            <w:tcW w:w="633" w:type="pct"/>
            <w:vMerge w:val="restart"/>
            <w:vAlign w:val="center"/>
          </w:tcPr>
          <w:p w:rsidR="00BD5820" w:rsidRDefault="00F64314">
            <w:pPr>
              <w:pStyle w:val="afff1"/>
            </w:pPr>
            <w:r>
              <w:t>达标</w:t>
            </w:r>
          </w:p>
        </w:tc>
      </w:tr>
      <w:tr w:rsidR="00BD5820">
        <w:trPr>
          <w:trHeight w:val="18"/>
          <w:jc w:val="center"/>
        </w:trPr>
        <w:tc>
          <w:tcPr>
            <w:tcW w:w="615" w:type="pct"/>
            <w:vMerge/>
            <w:vAlign w:val="center"/>
          </w:tcPr>
          <w:p w:rsidR="00BD5820" w:rsidRDefault="00BD5820">
            <w:pPr>
              <w:pStyle w:val="afff1"/>
            </w:pPr>
          </w:p>
        </w:tc>
        <w:tc>
          <w:tcPr>
            <w:tcW w:w="1772" w:type="pct"/>
            <w:vMerge/>
            <w:vAlign w:val="center"/>
          </w:tcPr>
          <w:p w:rsidR="00BD5820" w:rsidRDefault="00BD5820">
            <w:pPr>
              <w:pStyle w:val="afff1"/>
            </w:pPr>
          </w:p>
        </w:tc>
        <w:tc>
          <w:tcPr>
            <w:tcW w:w="658" w:type="pct"/>
            <w:vAlign w:val="center"/>
          </w:tcPr>
          <w:p w:rsidR="00BD5820" w:rsidRDefault="00F64314">
            <w:pPr>
              <w:pStyle w:val="afff1"/>
            </w:pPr>
            <w:r>
              <w:rPr>
                <w:rFonts w:hint="eastAsia"/>
              </w:rPr>
              <w:t>7</w:t>
            </w:r>
            <w:r>
              <w:t>.</w:t>
            </w:r>
            <w:r>
              <w:rPr>
                <w:rFonts w:hint="eastAsia"/>
              </w:rPr>
              <w:t>10</w:t>
            </w:r>
          </w:p>
        </w:tc>
        <w:tc>
          <w:tcPr>
            <w:tcW w:w="659" w:type="pct"/>
            <w:vAlign w:val="center"/>
          </w:tcPr>
          <w:p w:rsidR="00BD5820" w:rsidRDefault="00F64314">
            <w:pPr>
              <w:pStyle w:val="afff1"/>
            </w:pPr>
            <w:r>
              <w:rPr>
                <w:rFonts w:hint="eastAsia"/>
              </w:rPr>
              <w:t>50</w:t>
            </w:r>
          </w:p>
        </w:tc>
        <w:tc>
          <w:tcPr>
            <w:tcW w:w="661" w:type="pct"/>
            <w:vAlign w:val="center"/>
          </w:tcPr>
          <w:p w:rsidR="00BD5820" w:rsidRDefault="00F64314">
            <w:pPr>
              <w:pStyle w:val="afff1"/>
            </w:pPr>
            <w:r>
              <w:rPr>
                <w:rFonts w:hint="eastAsia"/>
              </w:rPr>
              <w:t>47</w:t>
            </w:r>
          </w:p>
        </w:tc>
        <w:tc>
          <w:tcPr>
            <w:tcW w:w="633" w:type="pct"/>
            <w:vMerge/>
            <w:vAlign w:val="center"/>
          </w:tcPr>
          <w:p w:rsidR="00BD5820" w:rsidRDefault="00BD5820">
            <w:pPr>
              <w:pStyle w:val="afff1"/>
            </w:pPr>
          </w:p>
        </w:tc>
      </w:tr>
      <w:tr w:rsidR="00BD5820">
        <w:trPr>
          <w:trHeight w:val="18"/>
          <w:jc w:val="center"/>
        </w:trPr>
        <w:tc>
          <w:tcPr>
            <w:tcW w:w="615" w:type="pct"/>
            <w:vMerge w:val="restart"/>
            <w:vAlign w:val="center"/>
          </w:tcPr>
          <w:p w:rsidR="00BD5820" w:rsidRDefault="00F64314">
            <w:pPr>
              <w:pStyle w:val="afff1"/>
            </w:pPr>
            <w:r>
              <w:t>2</w:t>
            </w:r>
            <w:r>
              <w:rPr>
                <w:rFonts w:hint="eastAsia"/>
              </w:rPr>
              <w:t>#</w:t>
            </w:r>
          </w:p>
        </w:tc>
        <w:tc>
          <w:tcPr>
            <w:tcW w:w="1772" w:type="pct"/>
            <w:vMerge w:val="restart"/>
            <w:vAlign w:val="center"/>
          </w:tcPr>
          <w:p w:rsidR="00BD5820" w:rsidRDefault="00F64314">
            <w:pPr>
              <w:pStyle w:val="afff1"/>
            </w:pPr>
            <w:r>
              <w:t>P106-P104-2#</w:t>
            </w:r>
            <w:r>
              <w:rPr>
                <w:rFonts w:hint="eastAsia"/>
              </w:rPr>
              <w:t>增压站集输管道南侧北斗村住户处</w:t>
            </w:r>
          </w:p>
        </w:tc>
        <w:tc>
          <w:tcPr>
            <w:tcW w:w="658" w:type="pct"/>
            <w:vAlign w:val="center"/>
          </w:tcPr>
          <w:p w:rsidR="00BD5820" w:rsidRDefault="00F64314">
            <w:pPr>
              <w:pStyle w:val="afff1"/>
            </w:pPr>
            <w:r>
              <w:rPr>
                <w:rFonts w:hint="eastAsia"/>
              </w:rPr>
              <w:t>7</w:t>
            </w:r>
            <w:r>
              <w:t>.</w:t>
            </w:r>
            <w:r>
              <w:rPr>
                <w:rFonts w:hint="eastAsia"/>
              </w:rPr>
              <w:t>9</w:t>
            </w:r>
          </w:p>
        </w:tc>
        <w:tc>
          <w:tcPr>
            <w:tcW w:w="659" w:type="pct"/>
            <w:vAlign w:val="center"/>
          </w:tcPr>
          <w:p w:rsidR="00BD5820" w:rsidRDefault="00F64314">
            <w:pPr>
              <w:pStyle w:val="afff1"/>
            </w:pPr>
            <w:r>
              <w:rPr>
                <w:rFonts w:hint="eastAsia"/>
              </w:rPr>
              <w:t>47</w:t>
            </w:r>
          </w:p>
        </w:tc>
        <w:tc>
          <w:tcPr>
            <w:tcW w:w="661" w:type="pct"/>
            <w:vAlign w:val="center"/>
          </w:tcPr>
          <w:p w:rsidR="00BD5820" w:rsidRDefault="00F64314">
            <w:pPr>
              <w:pStyle w:val="afff1"/>
            </w:pPr>
            <w:r>
              <w:rPr>
                <w:rFonts w:hint="eastAsia"/>
              </w:rPr>
              <w:t>44</w:t>
            </w:r>
          </w:p>
        </w:tc>
        <w:tc>
          <w:tcPr>
            <w:tcW w:w="633" w:type="pct"/>
            <w:vMerge w:val="restart"/>
            <w:vAlign w:val="center"/>
          </w:tcPr>
          <w:p w:rsidR="00BD5820" w:rsidRDefault="00F64314">
            <w:pPr>
              <w:pStyle w:val="afff1"/>
            </w:pPr>
            <w:r>
              <w:t>达标</w:t>
            </w:r>
          </w:p>
        </w:tc>
      </w:tr>
      <w:tr w:rsidR="00BD5820">
        <w:trPr>
          <w:trHeight w:val="280"/>
          <w:jc w:val="center"/>
        </w:trPr>
        <w:tc>
          <w:tcPr>
            <w:tcW w:w="615" w:type="pct"/>
            <w:vMerge/>
            <w:vAlign w:val="center"/>
          </w:tcPr>
          <w:p w:rsidR="00BD5820" w:rsidRDefault="00BD5820">
            <w:pPr>
              <w:pStyle w:val="afff1"/>
            </w:pPr>
          </w:p>
        </w:tc>
        <w:tc>
          <w:tcPr>
            <w:tcW w:w="1772" w:type="pct"/>
            <w:vMerge/>
            <w:vAlign w:val="center"/>
          </w:tcPr>
          <w:p w:rsidR="00BD5820" w:rsidRDefault="00BD5820">
            <w:pPr>
              <w:pStyle w:val="afff1"/>
            </w:pPr>
          </w:p>
        </w:tc>
        <w:tc>
          <w:tcPr>
            <w:tcW w:w="658" w:type="pct"/>
            <w:vAlign w:val="center"/>
          </w:tcPr>
          <w:p w:rsidR="00BD5820" w:rsidRDefault="00F64314">
            <w:pPr>
              <w:pStyle w:val="afff1"/>
            </w:pPr>
            <w:r>
              <w:rPr>
                <w:rFonts w:hint="eastAsia"/>
              </w:rPr>
              <w:t>7</w:t>
            </w:r>
            <w:r>
              <w:t>.</w:t>
            </w:r>
            <w:r>
              <w:rPr>
                <w:rFonts w:hint="eastAsia"/>
              </w:rPr>
              <w:t>10</w:t>
            </w:r>
          </w:p>
        </w:tc>
        <w:tc>
          <w:tcPr>
            <w:tcW w:w="659" w:type="pct"/>
            <w:vAlign w:val="center"/>
          </w:tcPr>
          <w:p w:rsidR="00BD5820" w:rsidRDefault="00F64314">
            <w:pPr>
              <w:pStyle w:val="afff1"/>
            </w:pPr>
            <w:r>
              <w:rPr>
                <w:rFonts w:hint="eastAsia"/>
              </w:rPr>
              <w:t>48</w:t>
            </w:r>
          </w:p>
        </w:tc>
        <w:tc>
          <w:tcPr>
            <w:tcW w:w="661" w:type="pct"/>
            <w:vAlign w:val="center"/>
          </w:tcPr>
          <w:p w:rsidR="00BD5820" w:rsidRDefault="00F64314">
            <w:pPr>
              <w:pStyle w:val="afff1"/>
            </w:pPr>
            <w:r>
              <w:rPr>
                <w:rFonts w:hint="eastAsia"/>
              </w:rPr>
              <w:t>45</w:t>
            </w:r>
          </w:p>
        </w:tc>
        <w:tc>
          <w:tcPr>
            <w:tcW w:w="633" w:type="pct"/>
            <w:vMerge/>
            <w:vAlign w:val="center"/>
          </w:tcPr>
          <w:p w:rsidR="00BD5820" w:rsidRDefault="00BD5820">
            <w:pPr>
              <w:pStyle w:val="afff1"/>
            </w:pPr>
          </w:p>
        </w:tc>
      </w:tr>
      <w:tr w:rsidR="00BD5820">
        <w:trPr>
          <w:trHeight w:val="18"/>
          <w:jc w:val="center"/>
        </w:trPr>
        <w:tc>
          <w:tcPr>
            <w:tcW w:w="615" w:type="pct"/>
            <w:vMerge w:val="restart"/>
            <w:vAlign w:val="center"/>
          </w:tcPr>
          <w:p w:rsidR="00BD5820" w:rsidRDefault="00F64314">
            <w:pPr>
              <w:pStyle w:val="afff1"/>
            </w:pPr>
            <w:r>
              <w:t>3</w:t>
            </w:r>
            <w:r>
              <w:rPr>
                <w:rFonts w:hint="eastAsia"/>
              </w:rPr>
              <w:t>#</w:t>
            </w:r>
          </w:p>
        </w:tc>
        <w:tc>
          <w:tcPr>
            <w:tcW w:w="1772" w:type="pct"/>
            <w:vMerge w:val="restart"/>
            <w:vAlign w:val="center"/>
          </w:tcPr>
          <w:p w:rsidR="00BD5820" w:rsidRDefault="00F64314">
            <w:pPr>
              <w:pStyle w:val="afff1"/>
            </w:pPr>
            <w:r>
              <w:t>P106-P104-2#</w:t>
            </w:r>
            <w:r>
              <w:rPr>
                <w:rFonts w:hint="eastAsia"/>
              </w:rPr>
              <w:t>增压站集输管道北侧干</w:t>
            </w:r>
            <w:r>
              <w:t>河沟</w:t>
            </w:r>
            <w:r>
              <w:rPr>
                <w:rFonts w:hint="eastAsia"/>
              </w:rPr>
              <w:t>住户处</w:t>
            </w:r>
          </w:p>
        </w:tc>
        <w:tc>
          <w:tcPr>
            <w:tcW w:w="658" w:type="pct"/>
            <w:vAlign w:val="center"/>
          </w:tcPr>
          <w:p w:rsidR="00BD5820" w:rsidRDefault="00F64314">
            <w:pPr>
              <w:pStyle w:val="afff1"/>
            </w:pPr>
            <w:r>
              <w:rPr>
                <w:rFonts w:hint="eastAsia"/>
              </w:rPr>
              <w:t>7</w:t>
            </w:r>
            <w:r>
              <w:t>.</w:t>
            </w:r>
            <w:r>
              <w:rPr>
                <w:rFonts w:hint="eastAsia"/>
              </w:rPr>
              <w:t>9</w:t>
            </w:r>
          </w:p>
        </w:tc>
        <w:tc>
          <w:tcPr>
            <w:tcW w:w="659" w:type="pct"/>
            <w:vAlign w:val="center"/>
          </w:tcPr>
          <w:p w:rsidR="00BD5820" w:rsidRDefault="00F64314">
            <w:pPr>
              <w:pStyle w:val="afff1"/>
            </w:pPr>
            <w:r>
              <w:rPr>
                <w:rFonts w:hint="eastAsia"/>
              </w:rPr>
              <w:t>46</w:t>
            </w:r>
          </w:p>
        </w:tc>
        <w:tc>
          <w:tcPr>
            <w:tcW w:w="661" w:type="pct"/>
            <w:vAlign w:val="center"/>
          </w:tcPr>
          <w:p w:rsidR="00BD5820" w:rsidRDefault="00F64314">
            <w:pPr>
              <w:pStyle w:val="afff1"/>
            </w:pPr>
            <w:r>
              <w:rPr>
                <w:rFonts w:hint="eastAsia"/>
              </w:rPr>
              <w:t>43</w:t>
            </w:r>
          </w:p>
        </w:tc>
        <w:tc>
          <w:tcPr>
            <w:tcW w:w="633" w:type="pct"/>
            <w:vMerge w:val="restart"/>
            <w:vAlign w:val="center"/>
          </w:tcPr>
          <w:p w:rsidR="00BD5820" w:rsidRDefault="00F64314">
            <w:pPr>
              <w:pStyle w:val="afff1"/>
            </w:pPr>
            <w:r>
              <w:t>达标</w:t>
            </w:r>
          </w:p>
        </w:tc>
      </w:tr>
      <w:tr w:rsidR="00BD5820">
        <w:trPr>
          <w:trHeight w:val="18"/>
          <w:jc w:val="center"/>
        </w:trPr>
        <w:tc>
          <w:tcPr>
            <w:tcW w:w="615" w:type="pct"/>
            <w:vMerge/>
            <w:vAlign w:val="center"/>
          </w:tcPr>
          <w:p w:rsidR="00BD5820" w:rsidRDefault="00BD5820">
            <w:pPr>
              <w:pStyle w:val="afff1"/>
            </w:pPr>
          </w:p>
        </w:tc>
        <w:tc>
          <w:tcPr>
            <w:tcW w:w="1772" w:type="pct"/>
            <w:vMerge/>
            <w:vAlign w:val="center"/>
          </w:tcPr>
          <w:p w:rsidR="00BD5820" w:rsidRDefault="00BD5820">
            <w:pPr>
              <w:pStyle w:val="afff1"/>
            </w:pPr>
          </w:p>
        </w:tc>
        <w:tc>
          <w:tcPr>
            <w:tcW w:w="658" w:type="pct"/>
            <w:vAlign w:val="center"/>
          </w:tcPr>
          <w:p w:rsidR="00BD5820" w:rsidRDefault="00F64314">
            <w:pPr>
              <w:pStyle w:val="afff1"/>
            </w:pPr>
            <w:r>
              <w:rPr>
                <w:rFonts w:hint="eastAsia"/>
              </w:rPr>
              <w:t>7</w:t>
            </w:r>
            <w:r>
              <w:t>.</w:t>
            </w:r>
            <w:r>
              <w:rPr>
                <w:rFonts w:hint="eastAsia"/>
              </w:rPr>
              <w:t>10</w:t>
            </w:r>
          </w:p>
        </w:tc>
        <w:tc>
          <w:tcPr>
            <w:tcW w:w="659" w:type="pct"/>
            <w:vAlign w:val="center"/>
          </w:tcPr>
          <w:p w:rsidR="00BD5820" w:rsidRDefault="00F64314">
            <w:pPr>
              <w:pStyle w:val="afff1"/>
            </w:pPr>
            <w:r>
              <w:rPr>
                <w:rFonts w:hint="eastAsia"/>
              </w:rPr>
              <w:t>47</w:t>
            </w:r>
          </w:p>
        </w:tc>
        <w:tc>
          <w:tcPr>
            <w:tcW w:w="661" w:type="pct"/>
            <w:vAlign w:val="center"/>
          </w:tcPr>
          <w:p w:rsidR="00BD5820" w:rsidRDefault="00F64314">
            <w:pPr>
              <w:pStyle w:val="afff1"/>
            </w:pPr>
            <w:r>
              <w:rPr>
                <w:rFonts w:hint="eastAsia"/>
              </w:rPr>
              <w:t>44</w:t>
            </w:r>
          </w:p>
        </w:tc>
        <w:tc>
          <w:tcPr>
            <w:tcW w:w="633" w:type="pct"/>
            <w:vMerge/>
            <w:vAlign w:val="center"/>
          </w:tcPr>
          <w:p w:rsidR="00BD5820" w:rsidRDefault="00BD5820">
            <w:pPr>
              <w:pStyle w:val="afff1"/>
            </w:pPr>
          </w:p>
        </w:tc>
      </w:tr>
      <w:tr w:rsidR="00BD5820">
        <w:trPr>
          <w:trHeight w:val="18"/>
          <w:jc w:val="center"/>
        </w:trPr>
        <w:tc>
          <w:tcPr>
            <w:tcW w:w="615" w:type="pct"/>
            <w:vMerge w:val="restart"/>
            <w:vAlign w:val="center"/>
          </w:tcPr>
          <w:p w:rsidR="00BD5820" w:rsidRDefault="00F64314">
            <w:pPr>
              <w:pStyle w:val="afff1"/>
            </w:pPr>
            <w:r>
              <w:rPr>
                <w:rFonts w:hint="eastAsia"/>
              </w:rPr>
              <w:t>4#</w:t>
            </w:r>
          </w:p>
        </w:tc>
        <w:tc>
          <w:tcPr>
            <w:tcW w:w="1772" w:type="pct"/>
            <w:vMerge w:val="restart"/>
            <w:vAlign w:val="center"/>
          </w:tcPr>
          <w:p w:rsidR="00BD5820" w:rsidRDefault="00F64314">
            <w:pPr>
              <w:pStyle w:val="afff1"/>
            </w:pPr>
            <w:r>
              <w:t>P106-P104-2#</w:t>
            </w:r>
            <w:r>
              <w:rPr>
                <w:rFonts w:hint="eastAsia"/>
              </w:rPr>
              <w:t>增压站集输管道北侧慈云寺住户</w:t>
            </w:r>
          </w:p>
        </w:tc>
        <w:tc>
          <w:tcPr>
            <w:tcW w:w="658" w:type="pct"/>
            <w:vAlign w:val="center"/>
          </w:tcPr>
          <w:p w:rsidR="00BD5820" w:rsidRDefault="00F64314">
            <w:pPr>
              <w:pStyle w:val="afff1"/>
            </w:pPr>
            <w:r>
              <w:rPr>
                <w:rFonts w:hint="eastAsia"/>
              </w:rPr>
              <w:t>7</w:t>
            </w:r>
            <w:r>
              <w:t>.</w:t>
            </w:r>
            <w:r>
              <w:rPr>
                <w:rFonts w:hint="eastAsia"/>
              </w:rPr>
              <w:t>9</w:t>
            </w:r>
          </w:p>
        </w:tc>
        <w:tc>
          <w:tcPr>
            <w:tcW w:w="659" w:type="pct"/>
            <w:vAlign w:val="center"/>
          </w:tcPr>
          <w:p w:rsidR="00BD5820" w:rsidRDefault="00F64314">
            <w:pPr>
              <w:pStyle w:val="afff1"/>
            </w:pPr>
            <w:r>
              <w:rPr>
                <w:rFonts w:hint="eastAsia"/>
              </w:rPr>
              <w:t>49</w:t>
            </w:r>
          </w:p>
        </w:tc>
        <w:tc>
          <w:tcPr>
            <w:tcW w:w="661" w:type="pct"/>
            <w:vAlign w:val="center"/>
          </w:tcPr>
          <w:p w:rsidR="00BD5820" w:rsidRDefault="00F64314">
            <w:pPr>
              <w:pStyle w:val="afff1"/>
            </w:pPr>
            <w:r>
              <w:rPr>
                <w:rFonts w:hint="eastAsia"/>
              </w:rPr>
              <w:t>44</w:t>
            </w:r>
          </w:p>
        </w:tc>
        <w:tc>
          <w:tcPr>
            <w:tcW w:w="633" w:type="pct"/>
            <w:vMerge w:val="restart"/>
            <w:vAlign w:val="center"/>
          </w:tcPr>
          <w:p w:rsidR="00BD5820" w:rsidRDefault="00F64314">
            <w:pPr>
              <w:pStyle w:val="afff1"/>
            </w:pPr>
            <w:r>
              <w:t>达标</w:t>
            </w:r>
          </w:p>
        </w:tc>
      </w:tr>
      <w:tr w:rsidR="00BD5820">
        <w:trPr>
          <w:trHeight w:val="18"/>
          <w:jc w:val="center"/>
        </w:trPr>
        <w:tc>
          <w:tcPr>
            <w:tcW w:w="615" w:type="pct"/>
            <w:vMerge/>
            <w:vAlign w:val="center"/>
          </w:tcPr>
          <w:p w:rsidR="00BD5820" w:rsidRDefault="00BD5820">
            <w:pPr>
              <w:pStyle w:val="afff1"/>
            </w:pPr>
          </w:p>
        </w:tc>
        <w:tc>
          <w:tcPr>
            <w:tcW w:w="1772" w:type="pct"/>
            <w:vMerge/>
            <w:vAlign w:val="center"/>
          </w:tcPr>
          <w:p w:rsidR="00BD5820" w:rsidRDefault="00BD5820">
            <w:pPr>
              <w:pStyle w:val="afff1"/>
            </w:pPr>
          </w:p>
        </w:tc>
        <w:tc>
          <w:tcPr>
            <w:tcW w:w="658" w:type="pct"/>
            <w:vAlign w:val="center"/>
          </w:tcPr>
          <w:p w:rsidR="00BD5820" w:rsidRDefault="00F64314">
            <w:pPr>
              <w:pStyle w:val="afff1"/>
            </w:pPr>
            <w:r>
              <w:rPr>
                <w:rFonts w:hint="eastAsia"/>
              </w:rPr>
              <w:t>7</w:t>
            </w:r>
            <w:r>
              <w:t>.</w:t>
            </w:r>
            <w:r>
              <w:rPr>
                <w:rFonts w:hint="eastAsia"/>
              </w:rPr>
              <w:t>10</w:t>
            </w:r>
          </w:p>
        </w:tc>
        <w:tc>
          <w:tcPr>
            <w:tcW w:w="659" w:type="pct"/>
            <w:vAlign w:val="center"/>
          </w:tcPr>
          <w:p w:rsidR="00BD5820" w:rsidRDefault="00F64314">
            <w:pPr>
              <w:pStyle w:val="afff1"/>
            </w:pPr>
            <w:r>
              <w:rPr>
                <w:rFonts w:hint="eastAsia"/>
              </w:rPr>
              <w:t>48</w:t>
            </w:r>
          </w:p>
        </w:tc>
        <w:tc>
          <w:tcPr>
            <w:tcW w:w="661" w:type="pct"/>
            <w:vAlign w:val="center"/>
          </w:tcPr>
          <w:p w:rsidR="00BD5820" w:rsidRDefault="00F64314">
            <w:pPr>
              <w:pStyle w:val="afff1"/>
            </w:pPr>
            <w:r>
              <w:rPr>
                <w:rFonts w:hint="eastAsia"/>
              </w:rPr>
              <w:t>45</w:t>
            </w:r>
          </w:p>
        </w:tc>
        <w:tc>
          <w:tcPr>
            <w:tcW w:w="633" w:type="pct"/>
            <w:vMerge/>
            <w:vAlign w:val="center"/>
          </w:tcPr>
          <w:p w:rsidR="00BD5820" w:rsidRDefault="00BD5820">
            <w:pPr>
              <w:pStyle w:val="afff1"/>
            </w:pPr>
          </w:p>
        </w:tc>
      </w:tr>
      <w:tr w:rsidR="00BD5820">
        <w:trPr>
          <w:trHeight w:val="249"/>
          <w:jc w:val="center"/>
        </w:trPr>
        <w:tc>
          <w:tcPr>
            <w:tcW w:w="615" w:type="pct"/>
            <w:vMerge w:val="restart"/>
            <w:vAlign w:val="center"/>
          </w:tcPr>
          <w:p w:rsidR="00BD5820" w:rsidRDefault="00F64314">
            <w:pPr>
              <w:pStyle w:val="afff1"/>
            </w:pPr>
            <w:r>
              <w:rPr>
                <w:rFonts w:hint="eastAsia"/>
              </w:rPr>
              <w:t>5#</w:t>
            </w:r>
          </w:p>
        </w:tc>
        <w:tc>
          <w:tcPr>
            <w:tcW w:w="1772" w:type="pct"/>
            <w:vMerge w:val="restart"/>
            <w:vAlign w:val="center"/>
          </w:tcPr>
          <w:p w:rsidR="00BD5820" w:rsidRDefault="00F64314">
            <w:pPr>
              <w:pStyle w:val="afff1"/>
            </w:pPr>
            <w:r>
              <w:t>P106-P104-2#</w:t>
            </w:r>
            <w:r>
              <w:rPr>
                <w:rFonts w:hint="eastAsia"/>
              </w:rPr>
              <w:t>增压站集输管道南侧北斗村住户</w:t>
            </w:r>
          </w:p>
        </w:tc>
        <w:tc>
          <w:tcPr>
            <w:tcW w:w="658" w:type="pct"/>
            <w:vAlign w:val="center"/>
          </w:tcPr>
          <w:p w:rsidR="00BD5820" w:rsidRDefault="00F64314">
            <w:pPr>
              <w:pStyle w:val="afff1"/>
            </w:pPr>
            <w:r>
              <w:rPr>
                <w:rFonts w:hint="eastAsia"/>
              </w:rPr>
              <w:t>7</w:t>
            </w:r>
            <w:r>
              <w:t>.</w:t>
            </w:r>
            <w:r>
              <w:rPr>
                <w:rFonts w:hint="eastAsia"/>
              </w:rPr>
              <w:t>9</w:t>
            </w:r>
          </w:p>
        </w:tc>
        <w:tc>
          <w:tcPr>
            <w:tcW w:w="659" w:type="pct"/>
            <w:vAlign w:val="center"/>
          </w:tcPr>
          <w:p w:rsidR="00BD5820" w:rsidRDefault="00F64314">
            <w:pPr>
              <w:pStyle w:val="afff1"/>
            </w:pPr>
            <w:r>
              <w:rPr>
                <w:rFonts w:hint="eastAsia"/>
              </w:rPr>
              <w:t>46</w:t>
            </w:r>
          </w:p>
        </w:tc>
        <w:tc>
          <w:tcPr>
            <w:tcW w:w="661" w:type="pct"/>
            <w:vAlign w:val="center"/>
          </w:tcPr>
          <w:p w:rsidR="00BD5820" w:rsidRDefault="00F64314">
            <w:pPr>
              <w:pStyle w:val="afff1"/>
            </w:pPr>
            <w:r>
              <w:rPr>
                <w:rFonts w:hint="eastAsia"/>
              </w:rPr>
              <w:t>49</w:t>
            </w:r>
          </w:p>
        </w:tc>
        <w:tc>
          <w:tcPr>
            <w:tcW w:w="633" w:type="pct"/>
            <w:vMerge w:val="restart"/>
            <w:vAlign w:val="center"/>
          </w:tcPr>
          <w:p w:rsidR="00BD5820" w:rsidRDefault="00F64314">
            <w:pPr>
              <w:pStyle w:val="afff1"/>
            </w:pPr>
            <w:r>
              <w:t>达标</w:t>
            </w:r>
          </w:p>
        </w:tc>
      </w:tr>
      <w:tr w:rsidR="00BD5820">
        <w:trPr>
          <w:trHeight w:val="18"/>
          <w:jc w:val="center"/>
        </w:trPr>
        <w:tc>
          <w:tcPr>
            <w:tcW w:w="615" w:type="pct"/>
            <w:vMerge/>
            <w:vAlign w:val="center"/>
          </w:tcPr>
          <w:p w:rsidR="00BD5820" w:rsidRDefault="00BD5820">
            <w:pPr>
              <w:pStyle w:val="afff1"/>
            </w:pPr>
          </w:p>
        </w:tc>
        <w:tc>
          <w:tcPr>
            <w:tcW w:w="1772" w:type="pct"/>
            <w:vMerge/>
            <w:vAlign w:val="center"/>
          </w:tcPr>
          <w:p w:rsidR="00BD5820" w:rsidRDefault="00BD5820">
            <w:pPr>
              <w:pStyle w:val="afff1"/>
            </w:pPr>
          </w:p>
        </w:tc>
        <w:tc>
          <w:tcPr>
            <w:tcW w:w="658" w:type="pct"/>
            <w:vAlign w:val="center"/>
          </w:tcPr>
          <w:p w:rsidR="00BD5820" w:rsidRDefault="00F64314">
            <w:pPr>
              <w:pStyle w:val="afff1"/>
            </w:pPr>
            <w:r>
              <w:rPr>
                <w:rFonts w:hint="eastAsia"/>
              </w:rPr>
              <w:t>7</w:t>
            </w:r>
            <w:r>
              <w:t>.</w:t>
            </w:r>
            <w:r>
              <w:rPr>
                <w:rFonts w:hint="eastAsia"/>
              </w:rPr>
              <w:t>10</w:t>
            </w:r>
          </w:p>
        </w:tc>
        <w:tc>
          <w:tcPr>
            <w:tcW w:w="659" w:type="pct"/>
            <w:vAlign w:val="center"/>
          </w:tcPr>
          <w:p w:rsidR="00BD5820" w:rsidRDefault="00F64314">
            <w:pPr>
              <w:pStyle w:val="afff1"/>
            </w:pPr>
            <w:r>
              <w:rPr>
                <w:rFonts w:hint="eastAsia"/>
              </w:rPr>
              <w:t>44</w:t>
            </w:r>
          </w:p>
        </w:tc>
        <w:tc>
          <w:tcPr>
            <w:tcW w:w="661" w:type="pct"/>
            <w:vAlign w:val="center"/>
          </w:tcPr>
          <w:p w:rsidR="00BD5820" w:rsidRDefault="00F64314">
            <w:pPr>
              <w:pStyle w:val="afff1"/>
            </w:pPr>
            <w:r>
              <w:rPr>
                <w:rFonts w:hint="eastAsia"/>
              </w:rPr>
              <w:t>46</w:t>
            </w:r>
          </w:p>
        </w:tc>
        <w:tc>
          <w:tcPr>
            <w:tcW w:w="633" w:type="pct"/>
            <w:vMerge/>
            <w:vAlign w:val="center"/>
          </w:tcPr>
          <w:p w:rsidR="00BD5820" w:rsidRDefault="00BD5820">
            <w:pPr>
              <w:pStyle w:val="afff1"/>
            </w:pPr>
          </w:p>
        </w:tc>
      </w:tr>
      <w:tr w:rsidR="00BD5820">
        <w:trPr>
          <w:trHeight w:val="264"/>
          <w:jc w:val="center"/>
        </w:trPr>
        <w:tc>
          <w:tcPr>
            <w:tcW w:w="615" w:type="pct"/>
            <w:vMerge w:val="restart"/>
            <w:vAlign w:val="center"/>
          </w:tcPr>
          <w:p w:rsidR="00BD5820" w:rsidRDefault="00F64314">
            <w:pPr>
              <w:pStyle w:val="afff1"/>
            </w:pPr>
            <w:r>
              <w:rPr>
                <w:rFonts w:hint="eastAsia"/>
              </w:rPr>
              <w:t>6#</w:t>
            </w:r>
          </w:p>
        </w:tc>
        <w:tc>
          <w:tcPr>
            <w:tcW w:w="1772" w:type="pct"/>
            <w:vMerge w:val="restart"/>
            <w:vAlign w:val="center"/>
          </w:tcPr>
          <w:p w:rsidR="00BD5820" w:rsidRDefault="00F64314">
            <w:pPr>
              <w:pStyle w:val="afff1"/>
            </w:pPr>
            <w:r>
              <w:t>P104</w:t>
            </w:r>
            <w:r>
              <w:t>集气站</w:t>
            </w:r>
            <w:r>
              <w:rPr>
                <w:rFonts w:hint="eastAsia"/>
              </w:rPr>
              <w:t>所在地东侧边界</w:t>
            </w:r>
          </w:p>
        </w:tc>
        <w:tc>
          <w:tcPr>
            <w:tcW w:w="658" w:type="pct"/>
            <w:vAlign w:val="center"/>
          </w:tcPr>
          <w:p w:rsidR="00BD5820" w:rsidRDefault="00F64314">
            <w:pPr>
              <w:pStyle w:val="afff1"/>
            </w:pPr>
            <w:r>
              <w:rPr>
                <w:rFonts w:hint="eastAsia"/>
              </w:rPr>
              <w:t>7</w:t>
            </w:r>
            <w:r>
              <w:t>.</w:t>
            </w:r>
            <w:r>
              <w:rPr>
                <w:rFonts w:hint="eastAsia"/>
              </w:rPr>
              <w:t>9</w:t>
            </w:r>
          </w:p>
        </w:tc>
        <w:tc>
          <w:tcPr>
            <w:tcW w:w="659" w:type="pct"/>
            <w:vAlign w:val="center"/>
          </w:tcPr>
          <w:p w:rsidR="00BD5820" w:rsidRDefault="00F64314">
            <w:pPr>
              <w:pStyle w:val="afff1"/>
            </w:pPr>
            <w:r>
              <w:rPr>
                <w:rFonts w:hint="eastAsia"/>
              </w:rPr>
              <w:t>48</w:t>
            </w:r>
          </w:p>
        </w:tc>
        <w:tc>
          <w:tcPr>
            <w:tcW w:w="661" w:type="pct"/>
            <w:vAlign w:val="center"/>
          </w:tcPr>
          <w:p w:rsidR="00BD5820" w:rsidRDefault="00F64314">
            <w:pPr>
              <w:pStyle w:val="afff1"/>
            </w:pPr>
            <w:r>
              <w:rPr>
                <w:rFonts w:hint="eastAsia"/>
              </w:rPr>
              <w:t>45</w:t>
            </w:r>
          </w:p>
        </w:tc>
        <w:tc>
          <w:tcPr>
            <w:tcW w:w="633" w:type="pct"/>
            <w:vMerge w:val="restart"/>
            <w:vAlign w:val="center"/>
          </w:tcPr>
          <w:p w:rsidR="00BD5820" w:rsidRDefault="00F64314">
            <w:pPr>
              <w:pStyle w:val="afff1"/>
            </w:pPr>
            <w:r>
              <w:t>达标</w:t>
            </w:r>
          </w:p>
        </w:tc>
      </w:tr>
      <w:tr w:rsidR="00BD5820">
        <w:trPr>
          <w:trHeight w:val="18"/>
          <w:jc w:val="center"/>
        </w:trPr>
        <w:tc>
          <w:tcPr>
            <w:tcW w:w="615" w:type="pct"/>
            <w:vMerge/>
            <w:vAlign w:val="center"/>
          </w:tcPr>
          <w:p w:rsidR="00BD5820" w:rsidRDefault="00BD5820">
            <w:pPr>
              <w:pStyle w:val="afff1"/>
            </w:pPr>
          </w:p>
        </w:tc>
        <w:tc>
          <w:tcPr>
            <w:tcW w:w="1772" w:type="pct"/>
            <w:vMerge/>
            <w:vAlign w:val="center"/>
          </w:tcPr>
          <w:p w:rsidR="00BD5820" w:rsidRDefault="00BD5820">
            <w:pPr>
              <w:pStyle w:val="afff1"/>
            </w:pPr>
          </w:p>
        </w:tc>
        <w:tc>
          <w:tcPr>
            <w:tcW w:w="658" w:type="pct"/>
            <w:vAlign w:val="center"/>
          </w:tcPr>
          <w:p w:rsidR="00BD5820" w:rsidRDefault="00F64314">
            <w:pPr>
              <w:pStyle w:val="afff1"/>
            </w:pPr>
            <w:r>
              <w:rPr>
                <w:rFonts w:hint="eastAsia"/>
              </w:rPr>
              <w:t>7</w:t>
            </w:r>
            <w:r>
              <w:t>.</w:t>
            </w:r>
            <w:r>
              <w:rPr>
                <w:rFonts w:hint="eastAsia"/>
              </w:rPr>
              <w:t>10</w:t>
            </w:r>
          </w:p>
        </w:tc>
        <w:tc>
          <w:tcPr>
            <w:tcW w:w="659" w:type="pct"/>
            <w:vAlign w:val="center"/>
          </w:tcPr>
          <w:p w:rsidR="00BD5820" w:rsidRDefault="00F64314">
            <w:pPr>
              <w:pStyle w:val="afff1"/>
            </w:pPr>
            <w:r>
              <w:rPr>
                <w:rFonts w:hint="eastAsia"/>
              </w:rPr>
              <w:t>48</w:t>
            </w:r>
          </w:p>
        </w:tc>
        <w:tc>
          <w:tcPr>
            <w:tcW w:w="661" w:type="pct"/>
            <w:vAlign w:val="center"/>
          </w:tcPr>
          <w:p w:rsidR="00BD5820" w:rsidRDefault="00F64314">
            <w:pPr>
              <w:pStyle w:val="afff1"/>
            </w:pPr>
            <w:r>
              <w:rPr>
                <w:rFonts w:hint="eastAsia"/>
              </w:rPr>
              <w:t>46</w:t>
            </w:r>
          </w:p>
        </w:tc>
        <w:tc>
          <w:tcPr>
            <w:tcW w:w="633" w:type="pct"/>
            <w:vMerge/>
            <w:vAlign w:val="center"/>
          </w:tcPr>
          <w:p w:rsidR="00BD5820" w:rsidRDefault="00BD5820">
            <w:pPr>
              <w:pStyle w:val="afff1"/>
            </w:pPr>
          </w:p>
        </w:tc>
      </w:tr>
      <w:tr w:rsidR="00BD5820">
        <w:trPr>
          <w:trHeight w:val="18"/>
          <w:jc w:val="center"/>
        </w:trPr>
        <w:tc>
          <w:tcPr>
            <w:tcW w:w="615" w:type="pct"/>
            <w:vMerge w:val="restart"/>
            <w:vAlign w:val="center"/>
          </w:tcPr>
          <w:p w:rsidR="00BD5820" w:rsidRDefault="00F64314">
            <w:pPr>
              <w:pStyle w:val="afff1"/>
            </w:pPr>
            <w:r>
              <w:rPr>
                <w:rFonts w:hint="eastAsia"/>
              </w:rPr>
              <w:t>7#</w:t>
            </w:r>
          </w:p>
        </w:tc>
        <w:tc>
          <w:tcPr>
            <w:tcW w:w="1772" w:type="pct"/>
            <w:vMerge w:val="restart"/>
            <w:vAlign w:val="center"/>
          </w:tcPr>
          <w:p w:rsidR="00BD5820" w:rsidRDefault="00F64314">
            <w:pPr>
              <w:pStyle w:val="afff1"/>
            </w:pPr>
            <w:r>
              <w:t>P106-P104-2#</w:t>
            </w:r>
            <w:r>
              <w:rPr>
                <w:rFonts w:hint="eastAsia"/>
              </w:rPr>
              <w:t>增压站集输管道东侧下塝住户处</w:t>
            </w:r>
          </w:p>
        </w:tc>
        <w:tc>
          <w:tcPr>
            <w:tcW w:w="658" w:type="pct"/>
            <w:vAlign w:val="center"/>
          </w:tcPr>
          <w:p w:rsidR="00BD5820" w:rsidRDefault="00F64314">
            <w:pPr>
              <w:pStyle w:val="afff1"/>
            </w:pPr>
            <w:r>
              <w:rPr>
                <w:rFonts w:hint="eastAsia"/>
              </w:rPr>
              <w:t>7</w:t>
            </w:r>
            <w:r>
              <w:t>.</w:t>
            </w:r>
            <w:r>
              <w:rPr>
                <w:rFonts w:hint="eastAsia"/>
              </w:rPr>
              <w:t>9</w:t>
            </w:r>
          </w:p>
        </w:tc>
        <w:tc>
          <w:tcPr>
            <w:tcW w:w="659" w:type="pct"/>
            <w:vAlign w:val="center"/>
          </w:tcPr>
          <w:p w:rsidR="00BD5820" w:rsidRDefault="00F64314">
            <w:pPr>
              <w:pStyle w:val="afff1"/>
            </w:pPr>
            <w:r>
              <w:rPr>
                <w:rFonts w:hint="eastAsia"/>
              </w:rPr>
              <w:t>50</w:t>
            </w:r>
          </w:p>
        </w:tc>
        <w:tc>
          <w:tcPr>
            <w:tcW w:w="661" w:type="pct"/>
            <w:vAlign w:val="center"/>
          </w:tcPr>
          <w:p w:rsidR="00BD5820" w:rsidRDefault="00F64314">
            <w:pPr>
              <w:pStyle w:val="afff1"/>
            </w:pPr>
            <w:r>
              <w:rPr>
                <w:rFonts w:hint="eastAsia"/>
              </w:rPr>
              <w:t>49</w:t>
            </w:r>
          </w:p>
        </w:tc>
        <w:tc>
          <w:tcPr>
            <w:tcW w:w="633" w:type="pct"/>
            <w:vMerge w:val="restart"/>
            <w:vAlign w:val="center"/>
          </w:tcPr>
          <w:p w:rsidR="00BD5820" w:rsidRDefault="00F64314">
            <w:pPr>
              <w:pStyle w:val="afff1"/>
            </w:pPr>
            <w:r>
              <w:t>达标</w:t>
            </w:r>
          </w:p>
        </w:tc>
      </w:tr>
      <w:tr w:rsidR="00BD5820">
        <w:trPr>
          <w:trHeight w:val="18"/>
          <w:jc w:val="center"/>
        </w:trPr>
        <w:tc>
          <w:tcPr>
            <w:tcW w:w="615" w:type="pct"/>
            <w:vMerge/>
            <w:vAlign w:val="center"/>
          </w:tcPr>
          <w:p w:rsidR="00BD5820" w:rsidRDefault="00BD5820">
            <w:pPr>
              <w:pStyle w:val="afff1"/>
            </w:pPr>
          </w:p>
        </w:tc>
        <w:tc>
          <w:tcPr>
            <w:tcW w:w="1772" w:type="pct"/>
            <w:vMerge/>
            <w:vAlign w:val="center"/>
          </w:tcPr>
          <w:p w:rsidR="00BD5820" w:rsidRDefault="00BD5820">
            <w:pPr>
              <w:pStyle w:val="afff1"/>
            </w:pPr>
          </w:p>
        </w:tc>
        <w:tc>
          <w:tcPr>
            <w:tcW w:w="658" w:type="pct"/>
            <w:vAlign w:val="center"/>
          </w:tcPr>
          <w:p w:rsidR="00BD5820" w:rsidRDefault="00F64314">
            <w:pPr>
              <w:pStyle w:val="afff1"/>
            </w:pPr>
            <w:r>
              <w:rPr>
                <w:rFonts w:hint="eastAsia"/>
              </w:rPr>
              <w:t>7</w:t>
            </w:r>
            <w:r>
              <w:t>.</w:t>
            </w:r>
            <w:r>
              <w:rPr>
                <w:rFonts w:hint="eastAsia"/>
              </w:rPr>
              <w:t>10</w:t>
            </w:r>
          </w:p>
        </w:tc>
        <w:tc>
          <w:tcPr>
            <w:tcW w:w="659" w:type="pct"/>
            <w:vAlign w:val="center"/>
          </w:tcPr>
          <w:p w:rsidR="00BD5820" w:rsidRDefault="00F64314">
            <w:pPr>
              <w:pStyle w:val="afff1"/>
            </w:pPr>
            <w:r>
              <w:rPr>
                <w:rFonts w:hint="eastAsia"/>
              </w:rPr>
              <w:t>45</w:t>
            </w:r>
          </w:p>
        </w:tc>
        <w:tc>
          <w:tcPr>
            <w:tcW w:w="661" w:type="pct"/>
            <w:vAlign w:val="center"/>
          </w:tcPr>
          <w:p w:rsidR="00BD5820" w:rsidRDefault="00F64314">
            <w:pPr>
              <w:pStyle w:val="afff1"/>
            </w:pPr>
            <w:r>
              <w:rPr>
                <w:rFonts w:hint="eastAsia"/>
              </w:rPr>
              <w:t>47</w:t>
            </w:r>
          </w:p>
        </w:tc>
        <w:tc>
          <w:tcPr>
            <w:tcW w:w="633" w:type="pct"/>
            <w:vMerge/>
            <w:vAlign w:val="center"/>
          </w:tcPr>
          <w:p w:rsidR="00BD5820" w:rsidRDefault="00BD5820">
            <w:pPr>
              <w:pStyle w:val="afff1"/>
            </w:pPr>
          </w:p>
        </w:tc>
      </w:tr>
      <w:tr w:rsidR="00BD5820">
        <w:trPr>
          <w:trHeight w:val="18"/>
          <w:jc w:val="center"/>
        </w:trPr>
        <w:tc>
          <w:tcPr>
            <w:tcW w:w="615" w:type="pct"/>
            <w:vMerge w:val="restart"/>
            <w:vAlign w:val="center"/>
          </w:tcPr>
          <w:p w:rsidR="00BD5820" w:rsidRDefault="00F64314">
            <w:pPr>
              <w:pStyle w:val="afff1"/>
            </w:pPr>
            <w:r>
              <w:rPr>
                <w:rFonts w:hint="eastAsia"/>
              </w:rPr>
              <w:t>8#</w:t>
            </w:r>
          </w:p>
        </w:tc>
        <w:tc>
          <w:tcPr>
            <w:tcW w:w="1772" w:type="pct"/>
            <w:vMerge w:val="restart"/>
            <w:vAlign w:val="center"/>
          </w:tcPr>
          <w:p w:rsidR="00BD5820" w:rsidRDefault="00F64314">
            <w:pPr>
              <w:pStyle w:val="afff1"/>
            </w:pPr>
            <w:r>
              <w:rPr>
                <w:rFonts w:hint="eastAsia"/>
              </w:rPr>
              <w:t>P106</w:t>
            </w:r>
            <w:r>
              <w:rPr>
                <w:rFonts w:hint="eastAsia"/>
              </w:rPr>
              <w:t>集气站所在地北侧边界</w:t>
            </w:r>
          </w:p>
        </w:tc>
        <w:tc>
          <w:tcPr>
            <w:tcW w:w="658" w:type="pct"/>
            <w:vAlign w:val="center"/>
          </w:tcPr>
          <w:p w:rsidR="00BD5820" w:rsidRDefault="00F64314">
            <w:pPr>
              <w:pStyle w:val="afff1"/>
            </w:pPr>
            <w:r>
              <w:rPr>
                <w:rFonts w:hint="eastAsia"/>
              </w:rPr>
              <w:t>7</w:t>
            </w:r>
            <w:r>
              <w:t>.</w:t>
            </w:r>
            <w:r>
              <w:rPr>
                <w:rFonts w:hint="eastAsia"/>
              </w:rPr>
              <w:t>9</w:t>
            </w:r>
          </w:p>
        </w:tc>
        <w:tc>
          <w:tcPr>
            <w:tcW w:w="659" w:type="pct"/>
            <w:vAlign w:val="center"/>
          </w:tcPr>
          <w:p w:rsidR="00BD5820" w:rsidRDefault="00F64314">
            <w:pPr>
              <w:pStyle w:val="afff1"/>
            </w:pPr>
            <w:r>
              <w:rPr>
                <w:rFonts w:hint="eastAsia"/>
              </w:rPr>
              <w:t>47</w:t>
            </w:r>
          </w:p>
        </w:tc>
        <w:tc>
          <w:tcPr>
            <w:tcW w:w="661" w:type="pct"/>
            <w:vAlign w:val="center"/>
          </w:tcPr>
          <w:p w:rsidR="00BD5820" w:rsidRDefault="00F64314">
            <w:pPr>
              <w:pStyle w:val="afff1"/>
            </w:pPr>
            <w:r>
              <w:rPr>
                <w:rFonts w:hint="eastAsia"/>
              </w:rPr>
              <w:t>51</w:t>
            </w:r>
          </w:p>
        </w:tc>
        <w:tc>
          <w:tcPr>
            <w:tcW w:w="633" w:type="pct"/>
            <w:vMerge w:val="restart"/>
            <w:vAlign w:val="center"/>
          </w:tcPr>
          <w:p w:rsidR="00BD5820" w:rsidRDefault="00F64314">
            <w:pPr>
              <w:pStyle w:val="afff1"/>
            </w:pPr>
            <w:r>
              <w:t>达标</w:t>
            </w:r>
          </w:p>
        </w:tc>
      </w:tr>
      <w:tr w:rsidR="00BD5820">
        <w:trPr>
          <w:trHeight w:val="18"/>
          <w:jc w:val="center"/>
        </w:trPr>
        <w:tc>
          <w:tcPr>
            <w:tcW w:w="615" w:type="pct"/>
            <w:vMerge/>
            <w:vAlign w:val="center"/>
          </w:tcPr>
          <w:p w:rsidR="00BD5820" w:rsidRDefault="00BD5820">
            <w:pPr>
              <w:pStyle w:val="afff1"/>
            </w:pPr>
          </w:p>
        </w:tc>
        <w:tc>
          <w:tcPr>
            <w:tcW w:w="1772" w:type="pct"/>
            <w:vMerge/>
            <w:vAlign w:val="center"/>
          </w:tcPr>
          <w:p w:rsidR="00BD5820" w:rsidRDefault="00BD5820">
            <w:pPr>
              <w:pStyle w:val="afff1"/>
            </w:pPr>
          </w:p>
        </w:tc>
        <w:tc>
          <w:tcPr>
            <w:tcW w:w="658" w:type="pct"/>
            <w:vAlign w:val="center"/>
          </w:tcPr>
          <w:p w:rsidR="00BD5820" w:rsidRDefault="00F64314">
            <w:pPr>
              <w:pStyle w:val="afff1"/>
            </w:pPr>
            <w:r>
              <w:rPr>
                <w:rFonts w:hint="eastAsia"/>
              </w:rPr>
              <w:t>7</w:t>
            </w:r>
            <w:r>
              <w:t>.</w:t>
            </w:r>
            <w:r>
              <w:rPr>
                <w:rFonts w:hint="eastAsia"/>
              </w:rPr>
              <w:t>10</w:t>
            </w:r>
          </w:p>
        </w:tc>
        <w:tc>
          <w:tcPr>
            <w:tcW w:w="659" w:type="pct"/>
            <w:vAlign w:val="center"/>
          </w:tcPr>
          <w:p w:rsidR="00BD5820" w:rsidRDefault="00F64314">
            <w:pPr>
              <w:pStyle w:val="afff1"/>
            </w:pPr>
            <w:r>
              <w:rPr>
                <w:rFonts w:hint="eastAsia"/>
              </w:rPr>
              <w:t>45</w:t>
            </w:r>
          </w:p>
        </w:tc>
        <w:tc>
          <w:tcPr>
            <w:tcW w:w="661" w:type="pct"/>
            <w:vAlign w:val="center"/>
          </w:tcPr>
          <w:p w:rsidR="00BD5820" w:rsidRDefault="00F64314">
            <w:pPr>
              <w:pStyle w:val="afff1"/>
            </w:pPr>
            <w:r>
              <w:rPr>
                <w:rFonts w:hint="eastAsia"/>
              </w:rPr>
              <w:t>47</w:t>
            </w:r>
          </w:p>
        </w:tc>
        <w:tc>
          <w:tcPr>
            <w:tcW w:w="633" w:type="pct"/>
            <w:vMerge/>
            <w:vAlign w:val="center"/>
          </w:tcPr>
          <w:p w:rsidR="00BD5820" w:rsidRDefault="00BD5820">
            <w:pPr>
              <w:pStyle w:val="afff1"/>
            </w:pPr>
          </w:p>
        </w:tc>
      </w:tr>
      <w:tr w:rsidR="00BD5820">
        <w:trPr>
          <w:trHeight w:val="18"/>
          <w:jc w:val="center"/>
        </w:trPr>
        <w:tc>
          <w:tcPr>
            <w:tcW w:w="615" w:type="pct"/>
            <w:vMerge w:val="restart"/>
            <w:vAlign w:val="center"/>
          </w:tcPr>
          <w:p w:rsidR="00BD5820" w:rsidRDefault="00F64314">
            <w:pPr>
              <w:pStyle w:val="afff1"/>
            </w:pPr>
            <w:r>
              <w:rPr>
                <w:rFonts w:hint="eastAsia"/>
              </w:rPr>
              <w:t>9#</w:t>
            </w:r>
          </w:p>
        </w:tc>
        <w:tc>
          <w:tcPr>
            <w:tcW w:w="1772" w:type="pct"/>
            <w:vMerge w:val="restart"/>
            <w:vAlign w:val="center"/>
          </w:tcPr>
          <w:p w:rsidR="00BD5820" w:rsidRDefault="00F64314">
            <w:pPr>
              <w:pStyle w:val="afff1"/>
            </w:pPr>
            <w:r>
              <w:rPr>
                <w:rFonts w:hint="eastAsia"/>
              </w:rPr>
              <w:t>普光气田</w:t>
            </w:r>
            <w:r>
              <w:rPr>
                <w:rFonts w:hint="eastAsia"/>
              </w:rPr>
              <w:t>2</w:t>
            </w:r>
            <w:r>
              <w:t>#</w:t>
            </w:r>
            <w:r>
              <w:rPr>
                <w:rFonts w:hint="eastAsia"/>
              </w:rPr>
              <w:t>增压站所在地东侧边界</w:t>
            </w:r>
          </w:p>
        </w:tc>
        <w:tc>
          <w:tcPr>
            <w:tcW w:w="658" w:type="pct"/>
            <w:vAlign w:val="center"/>
          </w:tcPr>
          <w:p w:rsidR="00BD5820" w:rsidRDefault="00F64314">
            <w:pPr>
              <w:pStyle w:val="afff1"/>
            </w:pPr>
            <w:r>
              <w:rPr>
                <w:rFonts w:hint="eastAsia"/>
              </w:rPr>
              <w:t>7</w:t>
            </w:r>
            <w:r>
              <w:t>.</w:t>
            </w:r>
            <w:r>
              <w:rPr>
                <w:rFonts w:hint="eastAsia"/>
              </w:rPr>
              <w:t>9</w:t>
            </w:r>
          </w:p>
        </w:tc>
        <w:tc>
          <w:tcPr>
            <w:tcW w:w="659" w:type="pct"/>
            <w:vAlign w:val="center"/>
          </w:tcPr>
          <w:p w:rsidR="00BD5820" w:rsidRDefault="00F64314">
            <w:pPr>
              <w:pStyle w:val="afff1"/>
            </w:pPr>
            <w:r>
              <w:rPr>
                <w:rFonts w:hint="eastAsia"/>
              </w:rPr>
              <w:t>50</w:t>
            </w:r>
          </w:p>
        </w:tc>
        <w:tc>
          <w:tcPr>
            <w:tcW w:w="661" w:type="pct"/>
            <w:vAlign w:val="center"/>
          </w:tcPr>
          <w:p w:rsidR="00BD5820" w:rsidRDefault="00F64314">
            <w:pPr>
              <w:pStyle w:val="afff1"/>
            </w:pPr>
            <w:r>
              <w:rPr>
                <w:rFonts w:hint="eastAsia"/>
              </w:rPr>
              <w:t>51</w:t>
            </w:r>
          </w:p>
        </w:tc>
        <w:tc>
          <w:tcPr>
            <w:tcW w:w="633" w:type="pct"/>
            <w:vMerge w:val="restart"/>
            <w:vAlign w:val="center"/>
          </w:tcPr>
          <w:p w:rsidR="00BD5820" w:rsidRDefault="00F64314">
            <w:pPr>
              <w:pStyle w:val="afff1"/>
            </w:pPr>
            <w:r>
              <w:t>达标</w:t>
            </w:r>
          </w:p>
        </w:tc>
      </w:tr>
      <w:tr w:rsidR="00BD5820">
        <w:trPr>
          <w:trHeight w:val="18"/>
          <w:jc w:val="center"/>
        </w:trPr>
        <w:tc>
          <w:tcPr>
            <w:tcW w:w="615" w:type="pct"/>
            <w:vMerge/>
            <w:vAlign w:val="center"/>
          </w:tcPr>
          <w:p w:rsidR="00BD5820" w:rsidRDefault="00BD5820">
            <w:pPr>
              <w:pStyle w:val="afff1"/>
            </w:pPr>
          </w:p>
        </w:tc>
        <w:tc>
          <w:tcPr>
            <w:tcW w:w="1772" w:type="pct"/>
            <w:vMerge/>
            <w:vAlign w:val="center"/>
          </w:tcPr>
          <w:p w:rsidR="00BD5820" w:rsidRDefault="00BD5820">
            <w:pPr>
              <w:pStyle w:val="afff1"/>
            </w:pPr>
          </w:p>
        </w:tc>
        <w:tc>
          <w:tcPr>
            <w:tcW w:w="658" w:type="pct"/>
            <w:vAlign w:val="center"/>
          </w:tcPr>
          <w:p w:rsidR="00BD5820" w:rsidRDefault="00F64314">
            <w:pPr>
              <w:pStyle w:val="afff1"/>
            </w:pPr>
            <w:r>
              <w:rPr>
                <w:rFonts w:hint="eastAsia"/>
              </w:rPr>
              <w:t>7</w:t>
            </w:r>
            <w:r>
              <w:t>.</w:t>
            </w:r>
            <w:r>
              <w:rPr>
                <w:rFonts w:hint="eastAsia"/>
              </w:rPr>
              <w:t>10</w:t>
            </w:r>
          </w:p>
        </w:tc>
        <w:tc>
          <w:tcPr>
            <w:tcW w:w="659" w:type="pct"/>
            <w:vAlign w:val="center"/>
          </w:tcPr>
          <w:p w:rsidR="00BD5820" w:rsidRDefault="00F64314">
            <w:pPr>
              <w:pStyle w:val="afff1"/>
            </w:pPr>
            <w:r>
              <w:rPr>
                <w:rFonts w:hint="eastAsia"/>
              </w:rPr>
              <w:t>45</w:t>
            </w:r>
          </w:p>
        </w:tc>
        <w:tc>
          <w:tcPr>
            <w:tcW w:w="661" w:type="pct"/>
            <w:vAlign w:val="center"/>
          </w:tcPr>
          <w:p w:rsidR="00BD5820" w:rsidRDefault="00F64314">
            <w:pPr>
              <w:pStyle w:val="afff1"/>
            </w:pPr>
            <w:r>
              <w:rPr>
                <w:rFonts w:hint="eastAsia"/>
              </w:rPr>
              <w:t>46</w:t>
            </w:r>
          </w:p>
        </w:tc>
        <w:tc>
          <w:tcPr>
            <w:tcW w:w="633" w:type="pct"/>
            <w:vMerge/>
            <w:vAlign w:val="center"/>
          </w:tcPr>
          <w:p w:rsidR="00BD5820" w:rsidRDefault="00BD5820">
            <w:pPr>
              <w:pStyle w:val="afff1"/>
            </w:pPr>
          </w:p>
        </w:tc>
      </w:tr>
      <w:tr w:rsidR="00BD5820">
        <w:trPr>
          <w:trHeight w:val="18"/>
          <w:jc w:val="center"/>
        </w:trPr>
        <w:tc>
          <w:tcPr>
            <w:tcW w:w="615" w:type="pct"/>
            <w:vMerge w:val="restart"/>
            <w:vAlign w:val="center"/>
          </w:tcPr>
          <w:p w:rsidR="00BD5820" w:rsidRDefault="00F64314">
            <w:pPr>
              <w:pStyle w:val="afff1"/>
            </w:pPr>
            <w:r>
              <w:rPr>
                <w:rFonts w:hint="eastAsia"/>
              </w:rPr>
              <w:t>10#</w:t>
            </w:r>
          </w:p>
        </w:tc>
        <w:tc>
          <w:tcPr>
            <w:tcW w:w="1772" w:type="pct"/>
            <w:vMerge w:val="restart"/>
            <w:vAlign w:val="center"/>
          </w:tcPr>
          <w:p w:rsidR="00BD5820" w:rsidRDefault="00F64314">
            <w:pPr>
              <w:pStyle w:val="afff1"/>
            </w:pPr>
            <w:r>
              <w:rPr>
                <w:rFonts w:hint="eastAsia"/>
              </w:rPr>
              <w:t>普光气田</w:t>
            </w:r>
            <w:r>
              <w:rPr>
                <w:rFonts w:hint="eastAsia"/>
              </w:rPr>
              <w:t>2</w:t>
            </w:r>
            <w:r>
              <w:t>#</w:t>
            </w:r>
            <w:r>
              <w:rPr>
                <w:rFonts w:hint="eastAsia"/>
              </w:rPr>
              <w:t>增压站所在地东北侧铜坎村处</w:t>
            </w:r>
          </w:p>
        </w:tc>
        <w:tc>
          <w:tcPr>
            <w:tcW w:w="658" w:type="pct"/>
            <w:vAlign w:val="center"/>
          </w:tcPr>
          <w:p w:rsidR="00BD5820" w:rsidRDefault="00F64314">
            <w:pPr>
              <w:pStyle w:val="afff1"/>
            </w:pPr>
            <w:r>
              <w:rPr>
                <w:rFonts w:hint="eastAsia"/>
              </w:rPr>
              <w:t>7</w:t>
            </w:r>
            <w:r>
              <w:t>.</w:t>
            </w:r>
            <w:r>
              <w:rPr>
                <w:rFonts w:hint="eastAsia"/>
              </w:rPr>
              <w:t>9</w:t>
            </w:r>
          </w:p>
        </w:tc>
        <w:tc>
          <w:tcPr>
            <w:tcW w:w="659" w:type="pct"/>
            <w:vAlign w:val="center"/>
          </w:tcPr>
          <w:p w:rsidR="00BD5820" w:rsidRDefault="00F64314">
            <w:pPr>
              <w:pStyle w:val="afff1"/>
            </w:pPr>
            <w:r>
              <w:rPr>
                <w:rFonts w:hint="eastAsia"/>
              </w:rPr>
              <w:t>48</w:t>
            </w:r>
          </w:p>
        </w:tc>
        <w:tc>
          <w:tcPr>
            <w:tcW w:w="661" w:type="pct"/>
            <w:vAlign w:val="center"/>
          </w:tcPr>
          <w:p w:rsidR="00BD5820" w:rsidRDefault="00F64314">
            <w:pPr>
              <w:pStyle w:val="afff1"/>
            </w:pPr>
            <w:r>
              <w:rPr>
                <w:rFonts w:hint="eastAsia"/>
              </w:rPr>
              <w:t>43</w:t>
            </w:r>
          </w:p>
        </w:tc>
        <w:tc>
          <w:tcPr>
            <w:tcW w:w="633" w:type="pct"/>
            <w:vMerge w:val="restart"/>
            <w:vAlign w:val="center"/>
          </w:tcPr>
          <w:p w:rsidR="00BD5820" w:rsidRDefault="00F64314">
            <w:pPr>
              <w:pStyle w:val="afff1"/>
            </w:pPr>
            <w:r>
              <w:t>达标</w:t>
            </w:r>
          </w:p>
        </w:tc>
      </w:tr>
      <w:tr w:rsidR="00BD5820">
        <w:trPr>
          <w:trHeight w:val="18"/>
          <w:jc w:val="center"/>
        </w:trPr>
        <w:tc>
          <w:tcPr>
            <w:tcW w:w="615" w:type="pct"/>
            <w:vMerge/>
            <w:vAlign w:val="center"/>
          </w:tcPr>
          <w:p w:rsidR="00BD5820" w:rsidRDefault="00BD5820">
            <w:pPr>
              <w:pStyle w:val="afff1"/>
            </w:pPr>
          </w:p>
        </w:tc>
        <w:tc>
          <w:tcPr>
            <w:tcW w:w="1772" w:type="pct"/>
            <w:vMerge/>
            <w:vAlign w:val="center"/>
          </w:tcPr>
          <w:p w:rsidR="00BD5820" w:rsidRDefault="00BD5820">
            <w:pPr>
              <w:pStyle w:val="afff1"/>
            </w:pPr>
          </w:p>
        </w:tc>
        <w:tc>
          <w:tcPr>
            <w:tcW w:w="658" w:type="pct"/>
            <w:vAlign w:val="center"/>
          </w:tcPr>
          <w:p w:rsidR="00BD5820" w:rsidRDefault="00F64314">
            <w:pPr>
              <w:pStyle w:val="afff1"/>
            </w:pPr>
            <w:r>
              <w:rPr>
                <w:rFonts w:hint="eastAsia"/>
              </w:rPr>
              <w:t>7</w:t>
            </w:r>
            <w:r>
              <w:t>.</w:t>
            </w:r>
            <w:r>
              <w:rPr>
                <w:rFonts w:hint="eastAsia"/>
              </w:rPr>
              <w:t>10</w:t>
            </w:r>
          </w:p>
        </w:tc>
        <w:tc>
          <w:tcPr>
            <w:tcW w:w="659" w:type="pct"/>
            <w:vAlign w:val="center"/>
          </w:tcPr>
          <w:p w:rsidR="00BD5820" w:rsidRDefault="00F64314">
            <w:pPr>
              <w:pStyle w:val="afff1"/>
            </w:pPr>
            <w:r>
              <w:rPr>
                <w:rFonts w:hint="eastAsia"/>
              </w:rPr>
              <w:t>50</w:t>
            </w:r>
          </w:p>
        </w:tc>
        <w:tc>
          <w:tcPr>
            <w:tcW w:w="661" w:type="pct"/>
            <w:vAlign w:val="center"/>
          </w:tcPr>
          <w:p w:rsidR="00BD5820" w:rsidRDefault="00F64314">
            <w:pPr>
              <w:pStyle w:val="afff1"/>
            </w:pPr>
            <w:r>
              <w:rPr>
                <w:rFonts w:hint="eastAsia"/>
              </w:rPr>
              <w:t>44</w:t>
            </w:r>
          </w:p>
        </w:tc>
        <w:tc>
          <w:tcPr>
            <w:tcW w:w="633" w:type="pct"/>
            <w:vMerge/>
            <w:vAlign w:val="center"/>
          </w:tcPr>
          <w:p w:rsidR="00BD5820" w:rsidRDefault="00BD5820">
            <w:pPr>
              <w:pStyle w:val="afff1"/>
            </w:pPr>
          </w:p>
        </w:tc>
      </w:tr>
    </w:tbl>
    <w:p w:rsidR="00BD5820" w:rsidRDefault="00F64314">
      <w:pPr>
        <w:pStyle w:val="affa"/>
        <w:ind w:firstLine="480"/>
      </w:pPr>
      <w:r>
        <w:t>从监测结果可知，本项目站场及管道沿线声环境质量良好，监测点位处的昼间和夜间声环境质量现状值均满足《声环境质量标准》（</w:t>
      </w:r>
      <w:r>
        <w:t>GB3096-2008</w:t>
      </w:r>
      <w:r>
        <w:t>）中</w:t>
      </w:r>
      <w:r>
        <w:t>2</w:t>
      </w:r>
      <w:r>
        <w:t>类环境噪声限值要求。</w:t>
      </w:r>
    </w:p>
    <w:p w:rsidR="00BD5820" w:rsidRDefault="00F64314">
      <w:pPr>
        <w:pStyle w:val="2"/>
        <w:spacing w:before="0"/>
        <w:rPr>
          <w:rFonts w:cs="Times New Roman"/>
        </w:rPr>
      </w:pPr>
      <w:bookmarkStart w:id="365" w:name="_Toc18890"/>
      <w:r>
        <w:rPr>
          <w:rFonts w:cs="Times New Roman"/>
        </w:rPr>
        <w:t xml:space="preserve">5.7 </w:t>
      </w:r>
      <w:r>
        <w:rPr>
          <w:rFonts w:cs="Times New Roman"/>
        </w:rPr>
        <w:t>土壤环境质量现状与评价</w:t>
      </w:r>
      <w:bookmarkEnd w:id="365"/>
    </w:p>
    <w:p w:rsidR="00BD5820" w:rsidRDefault="00F64314">
      <w:pPr>
        <w:pStyle w:val="affa"/>
        <w:ind w:firstLine="480"/>
      </w:pPr>
      <w:r>
        <w:t>为了解项目所在地土壤环境质量现状，</w:t>
      </w:r>
      <w:r>
        <w:rPr>
          <w:rFonts w:hint="eastAsia"/>
        </w:rPr>
        <w:t>本次评价委托四川省工业环境监测研究院于</w:t>
      </w:r>
      <w:r>
        <w:rPr>
          <w:rFonts w:hint="eastAsia"/>
        </w:rPr>
        <w:t>2023</w:t>
      </w:r>
      <w:r>
        <w:rPr>
          <w:rFonts w:hint="eastAsia"/>
        </w:rPr>
        <w:t>年</w:t>
      </w:r>
      <w:r>
        <w:rPr>
          <w:rFonts w:hint="eastAsia"/>
        </w:rPr>
        <w:t>7</w:t>
      </w:r>
      <w:r>
        <w:rPr>
          <w:rFonts w:hint="eastAsia"/>
        </w:rPr>
        <w:t>月</w:t>
      </w:r>
      <w:r>
        <w:rPr>
          <w:rFonts w:hint="eastAsia"/>
        </w:rPr>
        <w:t>6</w:t>
      </w:r>
      <w:r>
        <w:rPr>
          <w:rFonts w:hint="eastAsia"/>
        </w:rPr>
        <w:t>日</w:t>
      </w:r>
      <w:r>
        <w:rPr>
          <w:rFonts w:hint="eastAsia"/>
        </w:rPr>
        <w:t>~7</w:t>
      </w:r>
      <w:r>
        <w:rPr>
          <w:rFonts w:hint="eastAsia"/>
        </w:rPr>
        <w:t>日</w:t>
      </w:r>
      <w:r>
        <w:t>对项目所在地土壤环境质量进行了现状监测。</w:t>
      </w:r>
    </w:p>
    <w:p w:rsidR="00BD5820" w:rsidRDefault="00F64314">
      <w:pPr>
        <w:pStyle w:val="affa"/>
        <w:ind w:firstLine="482"/>
        <w:rPr>
          <w:b/>
          <w:bCs/>
        </w:rPr>
      </w:pPr>
      <w:r>
        <w:rPr>
          <w:b/>
          <w:bCs/>
        </w:rPr>
        <w:t>（</w:t>
      </w:r>
      <w:r>
        <w:rPr>
          <w:b/>
          <w:bCs/>
        </w:rPr>
        <w:t>1</w:t>
      </w:r>
      <w:r>
        <w:rPr>
          <w:b/>
          <w:bCs/>
        </w:rPr>
        <w:t>）监测方案</w:t>
      </w:r>
    </w:p>
    <w:p w:rsidR="00BD5820" w:rsidRDefault="00F64314">
      <w:pPr>
        <w:pStyle w:val="affa"/>
        <w:ind w:firstLine="480"/>
      </w:pPr>
      <w:r>
        <w:t>监测布点：</w:t>
      </w:r>
      <w:r>
        <w:rPr>
          <w:rFonts w:hint="eastAsia"/>
        </w:rPr>
        <w:t>土壤环境监测点设</w:t>
      </w:r>
      <w:r>
        <w:rPr>
          <w:rFonts w:hint="eastAsia"/>
        </w:rPr>
        <w:t>12</w:t>
      </w:r>
      <w:r>
        <w:rPr>
          <w:rFonts w:hint="eastAsia"/>
        </w:rPr>
        <w:t>个，</w:t>
      </w:r>
      <w:r>
        <w:rPr>
          <w:rFonts w:hint="eastAsia"/>
        </w:rPr>
        <w:t>T1~T4</w:t>
      </w:r>
      <w:r>
        <w:rPr>
          <w:rFonts w:hint="eastAsia"/>
        </w:rPr>
        <w:t>均位于普光气田</w:t>
      </w:r>
      <w:r>
        <w:rPr>
          <w:rFonts w:hint="eastAsia"/>
        </w:rPr>
        <w:t>1#</w:t>
      </w:r>
      <w:r>
        <w:rPr>
          <w:rFonts w:hint="eastAsia"/>
        </w:rPr>
        <w:t>增压站所在地内、</w:t>
      </w:r>
      <w:r>
        <w:rPr>
          <w:rFonts w:hint="eastAsia"/>
        </w:rPr>
        <w:t>T5</w:t>
      </w:r>
      <w:r>
        <w:rPr>
          <w:rFonts w:hint="eastAsia"/>
        </w:rPr>
        <w:t>位于普光气田</w:t>
      </w:r>
      <w:r>
        <w:rPr>
          <w:rFonts w:hint="eastAsia"/>
        </w:rPr>
        <w:t>1#</w:t>
      </w:r>
      <w:r>
        <w:rPr>
          <w:rFonts w:hint="eastAsia"/>
        </w:rPr>
        <w:t>增压站所在地东北侧</w:t>
      </w:r>
      <w:r>
        <w:rPr>
          <w:rFonts w:hint="eastAsia"/>
        </w:rPr>
        <w:t>180m</w:t>
      </w:r>
      <w:r>
        <w:rPr>
          <w:rFonts w:hint="eastAsia"/>
        </w:rPr>
        <w:t>处、</w:t>
      </w:r>
      <w:r>
        <w:rPr>
          <w:rFonts w:hint="eastAsia"/>
        </w:rPr>
        <w:t>T6</w:t>
      </w:r>
      <w:r>
        <w:rPr>
          <w:rFonts w:hint="eastAsia"/>
        </w:rPr>
        <w:t>位于普光气田</w:t>
      </w:r>
      <w:r>
        <w:rPr>
          <w:rFonts w:hint="eastAsia"/>
        </w:rPr>
        <w:t>1#</w:t>
      </w:r>
      <w:r>
        <w:rPr>
          <w:rFonts w:hint="eastAsia"/>
        </w:rPr>
        <w:lastRenderedPageBreak/>
        <w:t>增压站所在地东南侧</w:t>
      </w:r>
      <w:r>
        <w:rPr>
          <w:rFonts w:hint="eastAsia"/>
        </w:rPr>
        <w:t>150m</w:t>
      </w:r>
      <w:r>
        <w:rPr>
          <w:rFonts w:hint="eastAsia"/>
        </w:rPr>
        <w:t>处；</w:t>
      </w:r>
      <w:r>
        <w:rPr>
          <w:rFonts w:hint="eastAsia"/>
        </w:rPr>
        <w:t>T7~T10</w:t>
      </w:r>
      <w:r>
        <w:rPr>
          <w:rFonts w:hint="eastAsia"/>
        </w:rPr>
        <w:t>均位于普光气田</w:t>
      </w:r>
      <w:r>
        <w:rPr>
          <w:rFonts w:hint="eastAsia"/>
        </w:rPr>
        <w:t>2#</w:t>
      </w:r>
      <w:r>
        <w:rPr>
          <w:rFonts w:hint="eastAsia"/>
        </w:rPr>
        <w:t>增压站所在地内、</w:t>
      </w:r>
      <w:r>
        <w:rPr>
          <w:rFonts w:hint="eastAsia"/>
        </w:rPr>
        <w:t>T11</w:t>
      </w:r>
      <w:r>
        <w:rPr>
          <w:rFonts w:hint="eastAsia"/>
        </w:rPr>
        <w:t>位于普光气田</w:t>
      </w:r>
      <w:r>
        <w:rPr>
          <w:rFonts w:hint="eastAsia"/>
        </w:rPr>
        <w:t>2#</w:t>
      </w:r>
      <w:r>
        <w:rPr>
          <w:rFonts w:hint="eastAsia"/>
        </w:rPr>
        <w:t>增压站所在地南侧</w:t>
      </w:r>
      <w:r>
        <w:rPr>
          <w:rFonts w:hint="eastAsia"/>
        </w:rPr>
        <w:t>100m</w:t>
      </w:r>
      <w:r>
        <w:rPr>
          <w:rFonts w:hint="eastAsia"/>
        </w:rPr>
        <w:t>处、</w:t>
      </w:r>
      <w:r>
        <w:rPr>
          <w:rFonts w:hint="eastAsia"/>
        </w:rPr>
        <w:t>T12</w:t>
      </w:r>
      <w:r>
        <w:rPr>
          <w:rFonts w:hint="eastAsia"/>
        </w:rPr>
        <w:t>位于普光气田</w:t>
      </w:r>
      <w:r>
        <w:rPr>
          <w:rFonts w:hint="eastAsia"/>
        </w:rPr>
        <w:t>2#</w:t>
      </w:r>
      <w:r>
        <w:rPr>
          <w:rFonts w:hint="eastAsia"/>
        </w:rPr>
        <w:t>增压站所在地东南侧</w:t>
      </w:r>
      <w:r>
        <w:rPr>
          <w:rFonts w:hint="eastAsia"/>
        </w:rPr>
        <w:t>120m</w:t>
      </w:r>
      <w:r>
        <w:rPr>
          <w:rFonts w:hint="eastAsia"/>
        </w:rPr>
        <w:t>处，监测布点见附图。</w:t>
      </w:r>
      <w:r>
        <w:rPr>
          <w:rFonts w:hint="eastAsia"/>
        </w:rPr>
        <w:t>T1</w:t>
      </w:r>
      <w:r>
        <w:rPr>
          <w:rFonts w:hint="eastAsia"/>
        </w:rPr>
        <w:t>、</w:t>
      </w:r>
      <w:r>
        <w:rPr>
          <w:rFonts w:hint="eastAsia"/>
        </w:rPr>
        <w:t>T2</w:t>
      </w:r>
      <w:r>
        <w:rPr>
          <w:rFonts w:hint="eastAsia"/>
        </w:rPr>
        <w:t>、</w:t>
      </w:r>
      <w:r>
        <w:rPr>
          <w:rFonts w:hint="eastAsia"/>
        </w:rPr>
        <w:t>T3</w:t>
      </w:r>
      <w:r>
        <w:rPr>
          <w:rFonts w:hint="eastAsia"/>
        </w:rPr>
        <w:t>、</w:t>
      </w:r>
      <w:r>
        <w:rPr>
          <w:rFonts w:hint="eastAsia"/>
        </w:rPr>
        <w:t>T7</w:t>
      </w:r>
      <w:r>
        <w:rPr>
          <w:rFonts w:hint="eastAsia"/>
        </w:rPr>
        <w:t>、</w:t>
      </w:r>
      <w:r>
        <w:rPr>
          <w:rFonts w:hint="eastAsia"/>
        </w:rPr>
        <w:t>T8</w:t>
      </w:r>
      <w:r>
        <w:rPr>
          <w:rFonts w:hint="eastAsia"/>
        </w:rPr>
        <w:t>、</w:t>
      </w:r>
      <w:r>
        <w:rPr>
          <w:rFonts w:hint="eastAsia"/>
        </w:rPr>
        <w:t>T9</w:t>
      </w:r>
      <w:r>
        <w:rPr>
          <w:rFonts w:hint="eastAsia"/>
        </w:rPr>
        <w:t>为柱状样点（在</w:t>
      </w:r>
      <w:r>
        <w:rPr>
          <w:rFonts w:hint="eastAsia"/>
        </w:rPr>
        <w:t>0~0.5m</w:t>
      </w:r>
      <w:r>
        <w:rPr>
          <w:rFonts w:hint="eastAsia"/>
        </w:rPr>
        <w:t>、</w:t>
      </w:r>
      <w:r>
        <w:rPr>
          <w:rFonts w:hint="eastAsia"/>
        </w:rPr>
        <w:t>0.5~1.5m</w:t>
      </w:r>
      <w:r>
        <w:rPr>
          <w:rFonts w:hint="eastAsia"/>
        </w:rPr>
        <w:t>、</w:t>
      </w:r>
      <w:r>
        <w:rPr>
          <w:rFonts w:hint="eastAsia"/>
        </w:rPr>
        <w:t>1.5~3m</w:t>
      </w:r>
      <w:r>
        <w:rPr>
          <w:rFonts w:hint="eastAsia"/>
        </w:rPr>
        <w:t>分别取样），</w:t>
      </w:r>
      <w:r>
        <w:rPr>
          <w:rFonts w:hint="eastAsia"/>
        </w:rPr>
        <w:t>T4</w:t>
      </w:r>
      <w:r>
        <w:rPr>
          <w:rFonts w:hint="eastAsia"/>
        </w:rPr>
        <w:t>、</w:t>
      </w:r>
      <w:r>
        <w:rPr>
          <w:rFonts w:hint="eastAsia"/>
        </w:rPr>
        <w:t>T5</w:t>
      </w:r>
      <w:r>
        <w:rPr>
          <w:rFonts w:hint="eastAsia"/>
        </w:rPr>
        <w:t>、</w:t>
      </w:r>
      <w:r>
        <w:rPr>
          <w:rFonts w:hint="eastAsia"/>
        </w:rPr>
        <w:t>T6</w:t>
      </w:r>
      <w:r>
        <w:rPr>
          <w:rFonts w:hint="eastAsia"/>
        </w:rPr>
        <w:t>、</w:t>
      </w:r>
      <w:r>
        <w:rPr>
          <w:rFonts w:hint="eastAsia"/>
        </w:rPr>
        <w:t>T10</w:t>
      </w:r>
      <w:r>
        <w:rPr>
          <w:rFonts w:hint="eastAsia"/>
        </w:rPr>
        <w:t>、</w:t>
      </w:r>
      <w:r>
        <w:rPr>
          <w:rFonts w:hint="eastAsia"/>
        </w:rPr>
        <w:t>T11</w:t>
      </w:r>
      <w:r>
        <w:rPr>
          <w:rFonts w:hint="eastAsia"/>
        </w:rPr>
        <w:t>、</w:t>
      </w:r>
      <w:r>
        <w:rPr>
          <w:rFonts w:hint="eastAsia"/>
        </w:rPr>
        <w:t>T12</w:t>
      </w:r>
      <w:r>
        <w:rPr>
          <w:rFonts w:hint="eastAsia"/>
        </w:rPr>
        <w:t>为表层样点（在</w:t>
      </w:r>
      <w:r>
        <w:rPr>
          <w:rFonts w:hint="eastAsia"/>
        </w:rPr>
        <w:t>0~0.2m</w:t>
      </w:r>
      <w:r>
        <w:rPr>
          <w:rFonts w:hint="eastAsia"/>
        </w:rPr>
        <w:t>取样）</w:t>
      </w:r>
      <w:r>
        <w:t>。</w:t>
      </w:r>
    </w:p>
    <w:p w:rsidR="00BD5820" w:rsidRDefault="00F64314">
      <w:pPr>
        <w:pStyle w:val="affa"/>
        <w:ind w:firstLine="480"/>
        <w:rPr>
          <w:b/>
          <w:bCs/>
          <w:sz w:val="21"/>
          <w:szCs w:val="16"/>
        </w:rPr>
      </w:pPr>
      <w:r>
        <w:t>本项目</w:t>
      </w:r>
      <w:r>
        <w:rPr>
          <w:rFonts w:hint="eastAsia"/>
        </w:rPr>
        <w:t>土壤监测布点一览表见表</w:t>
      </w:r>
      <w:r>
        <w:rPr>
          <w:rFonts w:hint="eastAsia"/>
        </w:rPr>
        <w:t>5.7-1</w:t>
      </w:r>
      <w:r>
        <w:t>。</w:t>
      </w:r>
      <w:r>
        <w:t xml:space="preserve">  </w:t>
      </w:r>
    </w:p>
    <w:p w:rsidR="00BD5820" w:rsidRDefault="00F64314">
      <w:pPr>
        <w:pStyle w:val="10"/>
        <w:rPr>
          <w:rFonts w:cs="Times New Roman"/>
        </w:rPr>
      </w:pPr>
      <w:r>
        <w:rPr>
          <w:rFonts w:cs="Times New Roman"/>
        </w:rPr>
        <w:t>表</w:t>
      </w:r>
      <w:r>
        <w:rPr>
          <w:rFonts w:cs="Times New Roman"/>
        </w:rPr>
        <w:t>5.7-</w:t>
      </w:r>
      <w:r>
        <w:rPr>
          <w:rFonts w:cs="Times New Roman" w:hint="eastAsia"/>
        </w:rPr>
        <w:t>1</w:t>
      </w:r>
      <w:r>
        <w:rPr>
          <w:rFonts w:cs="Times New Roman"/>
        </w:rPr>
        <w:t xml:space="preserve">  </w:t>
      </w:r>
      <w:r>
        <w:rPr>
          <w:rFonts w:cs="Times New Roman"/>
        </w:rPr>
        <w:t>项目土壤监测布点一览表</w:t>
      </w:r>
    </w:p>
    <w:tbl>
      <w:tblPr>
        <w:tblW w:w="5181" w:type="pct"/>
        <w:jc w:val="center"/>
        <w:tblBorders>
          <w:top w:val="single" w:sz="12" w:space="0" w:color="000000"/>
          <w:bottom w:val="single" w:sz="12" w:space="0" w:color="000000"/>
          <w:insideH w:val="single" w:sz="2" w:space="0" w:color="000000"/>
          <w:insideV w:val="single" w:sz="4" w:space="0" w:color="000000"/>
        </w:tblBorders>
        <w:tblCellMar>
          <w:left w:w="0" w:type="dxa"/>
          <w:right w:w="0" w:type="dxa"/>
        </w:tblCellMar>
        <w:tblLook w:val="04A0"/>
      </w:tblPr>
      <w:tblGrid>
        <w:gridCol w:w="860"/>
        <w:gridCol w:w="2684"/>
        <w:gridCol w:w="1276"/>
        <w:gridCol w:w="2692"/>
        <w:gridCol w:w="1095"/>
      </w:tblGrid>
      <w:tr w:rsidR="00BD5820">
        <w:trPr>
          <w:trHeight w:val="55"/>
          <w:tblHeader/>
          <w:jc w:val="center"/>
        </w:trPr>
        <w:tc>
          <w:tcPr>
            <w:tcW w:w="499" w:type="pct"/>
            <w:vAlign w:val="center"/>
          </w:tcPr>
          <w:p w:rsidR="00BD5820" w:rsidRDefault="00F64314">
            <w:pPr>
              <w:pStyle w:val="Default"/>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编号</w:t>
            </w:r>
          </w:p>
        </w:tc>
        <w:tc>
          <w:tcPr>
            <w:tcW w:w="1559" w:type="pct"/>
            <w:vAlign w:val="center"/>
          </w:tcPr>
          <w:p w:rsidR="00BD5820" w:rsidRDefault="00F64314">
            <w:pPr>
              <w:pStyle w:val="Default"/>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检测点位</w:t>
            </w:r>
          </w:p>
        </w:tc>
        <w:tc>
          <w:tcPr>
            <w:tcW w:w="741" w:type="pct"/>
            <w:vAlign w:val="center"/>
          </w:tcPr>
          <w:p w:rsidR="00BD5820" w:rsidRDefault="00F64314">
            <w:pPr>
              <w:pStyle w:val="Default"/>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用地性质</w:t>
            </w:r>
          </w:p>
        </w:tc>
        <w:tc>
          <w:tcPr>
            <w:tcW w:w="1564" w:type="pct"/>
            <w:vAlign w:val="center"/>
          </w:tcPr>
          <w:p w:rsidR="00BD5820" w:rsidRDefault="00F64314">
            <w:pPr>
              <w:pStyle w:val="afff1"/>
              <w:rPr>
                <w:b/>
                <w:bCs/>
                <w:szCs w:val="21"/>
              </w:rPr>
            </w:pPr>
            <w:r>
              <w:rPr>
                <w:b/>
                <w:bCs/>
                <w:szCs w:val="21"/>
              </w:rPr>
              <w:t>检测项目</w:t>
            </w:r>
          </w:p>
        </w:tc>
        <w:tc>
          <w:tcPr>
            <w:tcW w:w="636" w:type="pct"/>
            <w:vAlign w:val="center"/>
          </w:tcPr>
          <w:p w:rsidR="00BD5820" w:rsidRDefault="00F64314">
            <w:pPr>
              <w:pStyle w:val="Default"/>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检测频次</w:t>
            </w:r>
          </w:p>
        </w:tc>
      </w:tr>
      <w:tr w:rsidR="00BD5820">
        <w:trPr>
          <w:trHeight w:val="18"/>
          <w:jc w:val="center"/>
        </w:trPr>
        <w:tc>
          <w:tcPr>
            <w:tcW w:w="499" w:type="pct"/>
            <w:vAlign w:val="center"/>
          </w:tcPr>
          <w:p w:rsidR="00BD5820" w:rsidRDefault="00F64314">
            <w:pPr>
              <w:pStyle w:val="afff1"/>
              <w:rPr>
                <w:szCs w:val="21"/>
              </w:rPr>
            </w:pPr>
            <w:r>
              <w:rPr>
                <w:rFonts w:hint="eastAsia"/>
                <w:szCs w:val="21"/>
              </w:rPr>
              <w:t>T1~T4</w:t>
            </w:r>
            <w:r>
              <w:rPr>
                <w:szCs w:val="21"/>
              </w:rPr>
              <w:t xml:space="preserve"> </w:t>
            </w:r>
          </w:p>
        </w:tc>
        <w:tc>
          <w:tcPr>
            <w:tcW w:w="1559" w:type="pct"/>
            <w:vAlign w:val="center"/>
          </w:tcPr>
          <w:p w:rsidR="00BD5820" w:rsidRDefault="00F64314">
            <w:pPr>
              <w:pStyle w:val="afff1"/>
              <w:rPr>
                <w:szCs w:val="21"/>
              </w:rPr>
            </w:pPr>
            <w:r>
              <w:rPr>
                <w:rFonts w:hint="eastAsia"/>
                <w:szCs w:val="21"/>
              </w:rPr>
              <w:t>均位于普光气田</w:t>
            </w:r>
            <w:r>
              <w:rPr>
                <w:rFonts w:hint="eastAsia"/>
                <w:szCs w:val="21"/>
              </w:rPr>
              <w:t>1#</w:t>
            </w:r>
            <w:r>
              <w:rPr>
                <w:rFonts w:hint="eastAsia"/>
                <w:szCs w:val="21"/>
              </w:rPr>
              <w:t>增压站所在地内</w:t>
            </w:r>
          </w:p>
        </w:tc>
        <w:tc>
          <w:tcPr>
            <w:tcW w:w="741" w:type="pct"/>
            <w:vMerge w:val="restart"/>
            <w:vAlign w:val="center"/>
          </w:tcPr>
          <w:p w:rsidR="00BD5820" w:rsidRDefault="00F64314">
            <w:pPr>
              <w:pStyle w:val="afff1"/>
              <w:rPr>
                <w:szCs w:val="21"/>
              </w:rPr>
            </w:pPr>
            <w:r>
              <w:rPr>
                <w:rFonts w:hint="eastAsia"/>
                <w:szCs w:val="21"/>
              </w:rPr>
              <w:t>建设用地</w:t>
            </w:r>
          </w:p>
        </w:tc>
        <w:tc>
          <w:tcPr>
            <w:tcW w:w="1564" w:type="pct"/>
            <w:vMerge w:val="restart"/>
            <w:vAlign w:val="center"/>
          </w:tcPr>
          <w:p w:rsidR="00BD5820" w:rsidRDefault="00F64314">
            <w:pPr>
              <w:pStyle w:val="afff1"/>
              <w:rPr>
                <w:szCs w:val="21"/>
              </w:rPr>
            </w:pPr>
            <w:r>
              <w:rPr>
                <w:rFonts w:hint="eastAsia"/>
                <w:szCs w:val="21"/>
              </w:rPr>
              <w:t>《土壤环境质量</w:t>
            </w:r>
            <w:r>
              <w:rPr>
                <w:rFonts w:hint="eastAsia"/>
                <w:szCs w:val="21"/>
              </w:rPr>
              <w:t xml:space="preserve"> </w:t>
            </w:r>
            <w:r>
              <w:rPr>
                <w:rFonts w:hint="eastAsia"/>
                <w:szCs w:val="21"/>
              </w:rPr>
              <w:t>建设用地土壤污染风险管控标准（试行）》（</w:t>
            </w:r>
            <w:r>
              <w:rPr>
                <w:rFonts w:hint="eastAsia"/>
                <w:szCs w:val="21"/>
              </w:rPr>
              <w:t>GB 36600-2018</w:t>
            </w:r>
            <w:r>
              <w:rPr>
                <w:rFonts w:hint="eastAsia"/>
                <w:szCs w:val="21"/>
              </w:rPr>
              <w:t>）中</w:t>
            </w:r>
            <w:r>
              <w:rPr>
                <w:rFonts w:hint="eastAsia"/>
                <w:szCs w:val="21"/>
              </w:rPr>
              <w:t>45</w:t>
            </w:r>
            <w:r>
              <w:rPr>
                <w:rFonts w:hint="eastAsia"/>
                <w:szCs w:val="21"/>
              </w:rPr>
              <w:t>项基本项目、</w:t>
            </w:r>
            <w:r>
              <w:rPr>
                <w:szCs w:val="21"/>
              </w:rPr>
              <w:t>总石油烃</w:t>
            </w:r>
          </w:p>
        </w:tc>
        <w:tc>
          <w:tcPr>
            <w:tcW w:w="636" w:type="pct"/>
            <w:vMerge w:val="restart"/>
            <w:vAlign w:val="center"/>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color w:val="auto"/>
                <w:sz w:val="21"/>
                <w:szCs w:val="21"/>
              </w:rPr>
              <w:t>1</w:t>
            </w:r>
            <w:r>
              <w:rPr>
                <w:rFonts w:ascii="Times New Roman" w:hAnsi="Times New Roman" w:cs="Times New Roman"/>
                <w:color w:val="auto"/>
                <w:sz w:val="21"/>
                <w:szCs w:val="21"/>
              </w:rPr>
              <w:t>次</w:t>
            </w:r>
            <w:r>
              <w:rPr>
                <w:rFonts w:ascii="Times New Roman" w:hAnsi="Times New Roman" w:cs="Times New Roman"/>
                <w:color w:val="auto"/>
                <w:sz w:val="21"/>
                <w:szCs w:val="21"/>
              </w:rPr>
              <w:t>/</w:t>
            </w:r>
            <w:r>
              <w:rPr>
                <w:rFonts w:ascii="Times New Roman" w:hAnsi="Times New Roman" w:cs="Times New Roman"/>
                <w:color w:val="auto"/>
                <w:sz w:val="21"/>
                <w:szCs w:val="21"/>
              </w:rPr>
              <w:t>日，</w:t>
            </w:r>
          </w:p>
          <w:p w:rsidR="00BD5820" w:rsidRDefault="00F64314">
            <w:pPr>
              <w:pStyle w:val="afff1"/>
              <w:rPr>
                <w:szCs w:val="21"/>
              </w:rPr>
            </w:pPr>
            <w:r>
              <w:rPr>
                <w:szCs w:val="21"/>
              </w:rPr>
              <w:t>检测</w:t>
            </w:r>
            <w:r>
              <w:rPr>
                <w:szCs w:val="21"/>
              </w:rPr>
              <w:t>1</w:t>
            </w:r>
            <w:r>
              <w:rPr>
                <w:szCs w:val="21"/>
              </w:rPr>
              <w:t>日</w:t>
            </w:r>
          </w:p>
        </w:tc>
      </w:tr>
      <w:tr w:rsidR="00BD5820">
        <w:trPr>
          <w:trHeight w:val="18"/>
          <w:jc w:val="center"/>
        </w:trPr>
        <w:tc>
          <w:tcPr>
            <w:tcW w:w="499" w:type="pct"/>
            <w:vAlign w:val="center"/>
          </w:tcPr>
          <w:p w:rsidR="00BD5820" w:rsidRDefault="00F64314">
            <w:pPr>
              <w:pStyle w:val="afff1"/>
              <w:rPr>
                <w:szCs w:val="21"/>
              </w:rPr>
            </w:pPr>
            <w:r>
              <w:rPr>
                <w:rFonts w:hint="eastAsia"/>
                <w:szCs w:val="21"/>
              </w:rPr>
              <w:t>T7~T10</w:t>
            </w:r>
          </w:p>
        </w:tc>
        <w:tc>
          <w:tcPr>
            <w:tcW w:w="1559" w:type="pct"/>
            <w:vAlign w:val="center"/>
          </w:tcPr>
          <w:p w:rsidR="00BD5820" w:rsidRDefault="00F64314">
            <w:pPr>
              <w:pStyle w:val="afff1"/>
              <w:rPr>
                <w:szCs w:val="21"/>
              </w:rPr>
            </w:pPr>
            <w:r>
              <w:rPr>
                <w:rFonts w:hint="eastAsia"/>
                <w:szCs w:val="21"/>
              </w:rPr>
              <w:t>均位于普光气田</w:t>
            </w:r>
            <w:r>
              <w:rPr>
                <w:rFonts w:hint="eastAsia"/>
                <w:szCs w:val="21"/>
              </w:rPr>
              <w:t>2#</w:t>
            </w:r>
            <w:r>
              <w:rPr>
                <w:rFonts w:hint="eastAsia"/>
                <w:szCs w:val="21"/>
              </w:rPr>
              <w:t>增压站所在地内</w:t>
            </w:r>
          </w:p>
        </w:tc>
        <w:tc>
          <w:tcPr>
            <w:tcW w:w="741" w:type="pct"/>
            <w:vMerge/>
            <w:vAlign w:val="center"/>
          </w:tcPr>
          <w:p w:rsidR="00BD5820" w:rsidRDefault="00BD5820">
            <w:pPr>
              <w:pStyle w:val="afff1"/>
              <w:rPr>
                <w:szCs w:val="21"/>
              </w:rPr>
            </w:pPr>
          </w:p>
        </w:tc>
        <w:tc>
          <w:tcPr>
            <w:tcW w:w="1564" w:type="pct"/>
            <w:vMerge/>
            <w:vAlign w:val="center"/>
          </w:tcPr>
          <w:p w:rsidR="00BD5820" w:rsidRDefault="00BD5820">
            <w:pPr>
              <w:pStyle w:val="afff1"/>
              <w:rPr>
                <w:szCs w:val="21"/>
              </w:rPr>
            </w:pPr>
          </w:p>
        </w:tc>
        <w:tc>
          <w:tcPr>
            <w:tcW w:w="636" w:type="pct"/>
            <w:vMerge/>
            <w:vAlign w:val="center"/>
          </w:tcPr>
          <w:p w:rsidR="00BD5820" w:rsidRDefault="00BD5820">
            <w:pPr>
              <w:pStyle w:val="afff1"/>
              <w:rPr>
                <w:szCs w:val="21"/>
              </w:rPr>
            </w:pPr>
          </w:p>
        </w:tc>
      </w:tr>
      <w:tr w:rsidR="00BD5820">
        <w:trPr>
          <w:trHeight w:val="18"/>
          <w:jc w:val="center"/>
        </w:trPr>
        <w:tc>
          <w:tcPr>
            <w:tcW w:w="499" w:type="pct"/>
            <w:vAlign w:val="center"/>
          </w:tcPr>
          <w:p w:rsidR="00BD5820" w:rsidRDefault="00F64314">
            <w:pPr>
              <w:pStyle w:val="afff1"/>
              <w:rPr>
                <w:szCs w:val="21"/>
              </w:rPr>
            </w:pPr>
            <w:r>
              <w:rPr>
                <w:rFonts w:hint="eastAsia"/>
                <w:szCs w:val="21"/>
              </w:rPr>
              <w:t>T5</w:t>
            </w:r>
          </w:p>
        </w:tc>
        <w:tc>
          <w:tcPr>
            <w:tcW w:w="1559" w:type="pct"/>
            <w:vAlign w:val="center"/>
          </w:tcPr>
          <w:p w:rsidR="00BD5820" w:rsidRDefault="00F64314">
            <w:pPr>
              <w:pStyle w:val="afff1"/>
              <w:rPr>
                <w:szCs w:val="21"/>
              </w:rPr>
            </w:pPr>
            <w:r>
              <w:rPr>
                <w:rFonts w:hint="eastAsia"/>
                <w:szCs w:val="21"/>
              </w:rPr>
              <w:t>位于普光气田</w:t>
            </w:r>
            <w:r>
              <w:rPr>
                <w:rFonts w:hint="eastAsia"/>
                <w:szCs w:val="21"/>
              </w:rPr>
              <w:t>1#</w:t>
            </w:r>
            <w:r>
              <w:rPr>
                <w:rFonts w:hint="eastAsia"/>
                <w:szCs w:val="21"/>
              </w:rPr>
              <w:t>增压站所在地东北侧</w:t>
            </w:r>
            <w:r>
              <w:rPr>
                <w:rFonts w:hint="eastAsia"/>
                <w:szCs w:val="21"/>
              </w:rPr>
              <w:t>180m</w:t>
            </w:r>
            <w:r>
              <w:rPr>
                <w:rFonts w:hint="eastAsia"/>
                <w:szCs w:val="21"/>
              </w:rPr>
              <w:t>处</w:t>
            </w:r>
          </w:p>
        </w:tc>
        <w:tc>
          <w:tcPr>
            <w:tcW w:w="741" w:type="pct"/>
            <w:vAlign w:val="center"/>
          </w:tcPr>
          <w:p w:rsidR="00BD5820" w:rsidRDefault="00F64314">
            <w:pPr>
              <w:pStyle w:val="afff1"/>
              <w:rPr>
                <w:szCs w:val="21"/>
              </w:rPr>
            </w:pPr>
            <w:r>
              <w:rPr>
                <w:szCs w:val="21"/>
              </w:rPr>
              <w:t>农用地</w:t>
            </w:r>
          </w:p>
        </w:tc>
        <w:tc>
          <w:tcPr>
            <w:tcW w:w="1564" w:type="pct"/>
            <w:vMerge w:val="restart"/>
            <w:vAlign w:val="center"/>
          </w:tcPr>
          <w:p w:rsidR="00BD5820" w:rsidRDefault="00F64314">
            <w:pPr>
              <w:pStyle w:val="afff1"/>
              <w:rPr>
                <w:szCs w:val="21"/>
              </w:rPr>
            </w:pPr>
            <w:bookmarkStart w:id="366" w:name="OLE_LINK192"/>
            <w:bookmarkStart w:id="367" w:name="OLE_LINK193"/>
            <w:r>
              <w:rPr>
                <w:szCs w:val="21"/>
              </w:rPr>
              <w:t>pH</w:t>
            </w:r>
            <w:r>
              <w:rPr>
                <w:szCs w:val="21"/>
              </w:rPr>
              <w:t>、镉、汞、砷、铅、铜、镍、铬、锌</w:t>
            </w:r>
            <w:bookmarkEnd w:id="366"/>
            <w:bookmarkEnd w:id="367"/>
          </w:p>
        </w:tc>
        <w:tc>
          <w:tcPr>
            <w:tcW w:w="636" w:type="pct"/>
            <w:vAlign w:val="center"/>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color w:val="auto"/>
                <w:sz w:val="21"/>
                <w:szCs w:val="21"/>
              </w:rPr>
              <w:t>1</w:t>
            </w:r>
            <w:r>
              <w:rPr>
                <w:rFonts w:ascii="Times New Roman" w:hAnsi="Times New Roman" w:cs="Times New Roman"/>
                <w:color w:val="auto"/>
                <w:sz w:val="21"/>
                <w:szCs w:val="21"/>
              </w:rPr>
              <w:t>次</w:t>
            </w:r>
            <w:r>
              <w:rPr>
                <w:rFonts w:ascii="Times New Roman" w:hAnsi="Times New Roman" w:cs="Times New Roman"/>
                <w:color w:val="auto"/>
                <w:sz w:val="21"/>
                <w:szCs w:val="21"/>
              </w:rPr>
              <w:t>/</w:t>
            </w:r>
            <w:r>
              <w:rPr>
                <w:rFonts w:ascii="Times New Roman" w:hAnsi="Times New Roman" w:cs="Times New Roman"/>
                <w:color w:val="auto"/>
                <w:sz w:val="21"/>
                <w:szCs w:val="21"/>
              </w:rPr>
              <w:t>日，</w:t>
            </w:r>
          </w:p>
          <w:p w:rsidR="00BD5820" w:rsidRDefault="00F64314">
            <w:pPr>
              <w:pStyle w:val="afff1"/>
              <w:rPr>
                <w:szCs w:val="21"/>
              </w:rPr>
            </w:pPr>
            <w:r>
              <w:rPr>
                <w:szCs w:val="21"/>
              </w:rPr>
              <w:t>检测</w:t>
            </w:r>
            <w:r>
              <w:rPr>
                <w:szCs w:val="21"/>
              </w:rPr>
              <w:t>1</w:t>
            </w:r>
            <w:r>
              <w:rPr>
                <w:szCs w:val="21"/>
              </w:rPr>
              <w:t>日</w:t>
            </w:r>
          </w:p>
        </w:tc>
      </w:tr>
      <w:tr w:rsidR="00BD5820">
        <w:trPr>
          <w:trHeight w:val="18"/>
          <w:jc w:val="center"/>
        </w:trPr>
        <w:tc>
          <w:tcPr>
            <w:tcW w:w="499" w:type="pct"/>
            <w:vAlign w:val="center"/>
          </w:tcPr>
          <w:p w:rsidR="00BD5820" w:rsidRDefault="00F64314">
            <w:pPr>
              <w:pStyle w:val="afff1"/>
              <w:rPr>
                <w:szCs w:val="21"/>
              </w:rPr>
            </w:pPr>
            <w:r>
              <w:rPr>
                <w:rFonts w:hint="eastAsia"/>
                <w:szCs w:val="21"/>
              </w:rPr>
              <w:t>T6</w:t>
            </w:r>
          </w:p>
        </w:tc>
        <w:tc>
          <w:tcPr>
            <w:tcW w:w="1559" w:type="pct"/>
            <w:vAlign w:val="center"/>
          </w:tcPr>
          <w:p w:rsidR="00BD5820" w:rsidRDefault="00F64314">
            <w:pPr>
              <w:pStyle w:val="afff1"/>
              <w:rPr>
                <w:szCs w:val="21"/>
              </w:rPr>
            </w:pPr>
            <w:r>
              <w:rPr>
                <w:rFonts w:hint="eastAsia"/>
                <w:szCs w:val="21"/>
              </w:rPr>
              <w:t>位于普光气田</w:t>
            </w:r>
            <w:r>
              <w:rPr>
                <w:rFonts w:hint="eastAsia"/>
                <w:szCs w:val="21"/>
              </w:rPr>
              <w:t>1#</w:t>
            </w:r>
            <w:r>
              <w:rPr>
                <w:rFonts w:hint="eastAsia"/>
                <w:szCs w:val="21"/>
              </w:rPr>
              <w:t>增压站所在地东南侧</w:t>
            </w:r>
            <w:r>
              <w:rPr>
                <w:rFonts w:hint="eastAsia"/>
                <w:szCs w:val="21"/>
              </w:rPr>
              <w:t>150m</w:t>
            </w:r>
            <w:r>
              <w:rPr>
                <w:rFonts w:hint="eastAsia"/>
                <w:szCs w:val="21"/>
              </w:rPr>
              <w:t>处</w:t>
            </w:r>
          </w:p>
        </w:tc>
        <w:tc>
          <w:tcPr>
            <w:tcW w:w="741" w:type="pct"/>
            <w:vAlign w:val="center"/>
          </w:tcPr>
          <w:p w:rsidR="00BD5820" w:rsidRDefault="00F64314">
            <w:pPr>
              <w:pStyle w:val="afff1"/>
              <w:rPr>
                <w:szCs w:val="21"/>
              </w:rPr>
            </w:pPr>
            <w:r>
              <w:rPr>
                <w:szCs w:val="21"/>
              </w:rPr>
              <w:t>农用地</w:t>
            </w:r>
          </w:p>
        </w:tc>
        <w:tc>
          <w:tcPr>
            <w:tcW w:w="1564" w:type="pct"/>
            <w:vMerge/>
            <w:vAlign w:val="center"/>
          </w:tcPr>
          <w:p w:rsidR="00BD5820" w:rsidRDefault="00BD5820">
            <w:pPr>
              <w:pStyle w:val="afff1"/>
              <w:rPr>
                <w:szCs w:val="21"/>
              </w:rPr>
            </w:pPr>
          </w:p>
        </w:tc>
        <w:tc>
          <w:tcPr>
            <w:tcW w:w="636" w:type="pct"/>
            <w:vAlign w:val="center"/>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color w:val="auto"/>
                <w:sz w:val="21"/>
                <w:szCs w:val="21"/>
              </w:rPr>
              <w:t>1</w:t>
            </w:r>
            <w:r>
              <w:rPr>
                <w:rFonts w:ascii="Times New Roman" w:hAnsi="Times New Roman" w:cs="Times New Roman"/>
                <w:color w:val="auto"/>
                <w:sz w:val="21"/>
                <w:szCs w:val="21"/>
              </w:rPr>
              <w:t>次</w:t>
            </w:r>
            <w:r>
              <w:rPr>
                <w:rFonts w:ascii="Times New Roman" w:hAnsi="Times New Roman" w:cs="Times New Roman"/>
                <w:color w:val="auto"/>
                <w:sz w:val="21"/>
                <w:szCs w:val="21"/>
              </w:rPr>
              <w:t>/</w:t>
            </w:r>
            <w:r>
              <w:rPr>
                <w:rFonts w:ascii="Times New Roman" w:hAnsi="Times New Roman" w:cs="Times New Roman"/>
                <w:color w:val="auto"/>
                <w:sz w:val="21"/>
                <w:szCs w:val="21"/>
              </w:rPr>
              <w:t>日，</w:t>
            </w:r>
          </w:p>
          <w:p w:rsidR="00BD5820" w:rsidRDefault="00F64314">
            <w:pPr>
              <w:pStyle w:val="afff1"/>
              <w:rPr>
                <w:szCs w:val="21"/>
              </w:rPr>
            </w:pPr>
            <w:r>
              <w:rPr>
                <w:szCs w:val="21"/>
              </w:rPr>
              <w:t>检测</w:t>
            </w:r>
            <w:r>
              <w:rPr>
                <w:szCs w:val="21"/>
              </w:rPr>
              <w:t>1</w:t>
            </w:r>
            <w:r>
              <w:rPr>
                <w:szCs w:val="21"/>
              </w:rPr>
              <w:t>日</w:t>
            </w:r>
          </w:p>
        </w:tc>
      </w:tr>
      <w:tr w:rsidR="00BD5820">
        <w:trPr>
          <w:trHeight w:val="18"/>
          <w:jc w:val="center"/>
        </w:trPr>
        <w:tc>
          <w:tcPr>
            <w:tcW w:w="499" w:type="pct"/>
            <w:vAlign w:val="center"/>
          </w:tcPr>
          <w:p w:rsidR="00BD5820" w:rsidRDefault="00F64314">
            <w:pPr>
              <w:pStyle w:val="afff1"/>
              <w:rPr>
                <w:szCs w:val="21"/>
              </w:rPr>
            </w:pPr>
            <w:r>
              <w:rPr>
                <w:rFonts w:hint="eastAsia"/>
                <w:szCs w:val="21"/>
              </w:rPr>
              <w:t>T11</w:t>
            </w:r>
          </w:p>
        </w:tc>
        <w:tc>
          <w:tcPr>
            <w:tcW w:w="1559" w:type="pct"/>
            <w:vAlign w:val="center"/>
          </w:tcPr>
          <w:p w:rsidR="00BD5820" w:rsidRDefault="00F64314">
            <w:pPr>
              <w:pStyle w:val="afff1"/>
              <w:rPr>
                <w:szCs w:val="21"/>
              </w:rPr>
            </w:pPr>
            <w:r>
              <w:rPr>
                <w:rFonts w:hint="eastAsia"/>
                <w:szCs w:val="21"/>
              </w:rPr>
              <w:t>位于普光气田</w:t>
            </w:r>
            <w:r>
              <w:rPr>
                <w:rFonts w:hint="eastAsia"/>
                <w:szCs w:val="21"/>
              </w:rPr>
              <w:t>2#</w:t>
            </w:r>
            <w:r>
              <w:rPr>
                <w:rFonts w:hint="eastAsia"/>
                <w:szCs w:val="21"/>
              </w:rPr>
              <w:t>增压站所在地南侧</w:t>
            </w:r>
            <w:r>
              <w:rPr>
                <w:rFonts w:hint="eastAsia"/>
                <w:szCs w:val="21"/>
              </w:rPr>
              <w:t>100m</w:t>
            </w:r>
            <w:r>
              <w:rPr>
                <w:rFonts w:hint="eastAsia"/>
                <w:szCs w:val="21"/>
              </w:rPr>
              <w:t>处</w:t>
            </w:r>
          </w:p>
        </w:tc>
        <w:tc>
          <w:tcPr>
            <w:tcW w:w="741" w:type="pct"/>
            <w:vAlign w:val="center"/>
          </w:tcPr>
          <w:p w:rsidR="00BD5820" w:rsidRDefault="00F64314">
            <w:pPr>
              <w:pStyle w:val="afff1"/>
              <w:rPr>
                <w:szCs w:val="21"/>
              </w:rPr>
            </w:pPr>
            <w:r>
              <w:rPr>
                <w:szCs w:val="21"/>
              </w:rPr>
              <w:t>农用地</w:t>
            </w:r>
          </w:p>
        </w:tc>
        <w:tc>
          <w:tcPr>
            <w:tcW w:w="1564" w:type="pct"/>
            <w:vMerge/>
            <w:vAlign w:val="center"/>
          </w:tcPr>
          <w:p w:rsidR="00BD5820" w:rsidRDefault="00BD5820">
            <w:pPr>
              <w:pStyle w:val="afff1"/>
              <w:rPr>
                <w:szCs w:val="21"/>
              </w:rPr>
            </w:pPr>
          </w:p>
        </w:tc>
        <w:tc>
          <w:tcPr>
            <w:tcW w:w="636" w:type="pct"/>
            <w:vAlign w:val="center"/>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color w:val="auto"/>
                <w:sz w:val="21"/>
                <w:szCs w:val="21"/>
              </w:rPr>
              <w:t>1</w:t>
            </w:r>
            <w:r>
              <w:rPr>
                <w:rFonts w:ascii="Times New Roman" w:hAnsi="Times New Roman" w:cs="Times New Roman"/>
                <w:color w:val="auto"/>
                <w:sz w:val="21"/>
                <w:szCs w:val="21"/>
              </w:rPr>
              <w:t>次</w:t>
            </w:r>
            <w:r>
              <w:rPr>
                <w:rFonts w:ascii="Times New Roman" w:hAnsi="Times New Roman" w:cs="Times New Roman"/>
                <w:color w:val="auto"/>
                <w:sz w:val="21"/>
                <w:szCs w:val="21"/>
              </w:rPr>
              <w:t>/</w:t>
            </w:r>
            <w:r>
              <w:rPr>
                <w:rFonts w:ascii="Times New Roman" w:hAnsi="Times New Roman" w:cs="Times New Roman"/>
                <w:color w:val="auto"/>
                <w:sz w:val="21"/>
                <w:szCs w:val="21"/>
              </w:rPr>
              <w:t>日，</w:t>
            </w:r>
          </w:p>
          <w:p w:rsidR="00BD5820" w:rsidRDefault="00F64314">
            <w:pPr>
              <w:pStyle w:val="afff1"/>
              <w:rPr>
                <w:szCs w:val="21"/>
              </w:rPr>
            </w:pPr>
            <w:r>
              <w:rPr>
                <w:szCs w:val="21"/>
              </w:rPr>
              <w:t>检测</w:t>
            </w:r>
            <w:r>
              <w:rPr>
                <w:szCs w:val="21"/>
              </w:rPr>
              <w:t>1</w:t>
            </w:r>
            <w:r>
              <w:rPr>
                <w:szCs w:val="21"/>
              </w:rPr>
              <w:t>日</w:t>
            </w:r>
          </w:p>
        </w:tc>
      </w:tr>
      <w:tr w:rsidR="00BD5820">
        <w:trPr>
          <w:trHeight w:val="18"/>
          <w:jc w:val="center"/>
        </w:trPr>
        <w:tc>
          <w:tcPr>
            <w:tcW w:w="499" w:type="pct"/>
            <w:vAlign w:val="center"/>
          </w:tcPr>
          <w:p w:rsidR="00BD5820" w:rsidRDefault="00F64314">
            <w:pPr>
              <w:pStyle w:val="afff1"/>
              <w:rPr>
                <w:szCs w:val="21"/>
              </w:rPr>
            </w:pPr>
            <w:r>
              <w:rPr>
                <w:rFonts w:hint="eastAsia"/>
                <w:szCs w:val="21"/>
              </w:rPr>
              <w:t>T12</w:t>
            </w:r>
          </w:p>
        </w:tc>
        <w:tc>
          <w:tcPr>
            <w:tcW w:w="1559" w:type="pct"/>
            <w:vAlign w:val="center"/>
          </w:tcPr>
          <w:p w:rsidR="00BD5820" w:rsidRDefault="00F64314">
            <w:pPr>
              <w:pStyle w:val="afff1"/>
              <w:rPr>
                <w:szCs w:val="21"/>
              </w:rPr>
            </w:pPr>
            <w:r>
              <w:rPr>
                <w:rFonts w:hint="eastAsia"/>
                <w:szCs w:val="21"/>
              </w:rPr>
              <w:t>位于普光气田</w:t>
            </w:r>
            <w:r>
              <w:rPr>
                <w:rFonts w:hint="eastAsia"/>
                <w:szCs w:val="21"/>
              </w:rPr>
              <w:t>2#</w:t>
            </w:r>
            <w:r>
              <w:rPr>
                <w:rFonts w:hint="eastAsia"/>
                <w:szCs w:val="21"/>
              </w:rPr>
              <w:t>增压站所在地东南侧</w:t>
            </w:r>
            <w:r>
              <w:rPr>
                <w:rFonts w:hint="eastAsia"/>
                <w:szCs w:val="21"/>
              </w:rPr>
              <w:t>120m</w:t>
            </w:r>
            <w:r>
              <w:rPr>
                <w:rFonts w:hint="eastAsia"/>
                <w:szCs w:val="21"/>
              </w:rPr>
              <w:t>处</w:t>
            </w:r>
          </w:p>
        </w:tc>
        <w:tc>
          <w:tcPr>
            <w:tcW w:w="741" w:type="pct"/>
            <w:vAlign w:val="center"/>
          </w:tcPr>
          <w:p w:rsidR="00BD5820" w:rsidRDefault="00F64314">
            <w:pPr>
              <w:pStyle w:val="afff1"/>
              <w:rPr>
                <w:szCs w:val="21"/>
              </w:rPr>
            </w:pPr>
            <w:r>
              <w:rPr>
                <w:szCs w:val="21"/>
              </w:rPr>
              <w:t>农用地</w:t>
            </w:r>
          </w:p>
        </w:tc>
        <w:tc>
          <w:tcPr>
            <w:tcW w:w="1564" w:type="pct"/>
            <w:vMerge/>
            <w:vAlign w:val="center"/>
          </w:tcPr>
          <w:p w:rsidR="00BD5820" w:rsidRDefault="00BD5820">
            <w:pPr>
              <w:pStyle w:val="afff1"/>
              <w:rPr>
                <w:szCs w:val="21"/>
              </w:rPr>
            </w:pPr>
          </w:p>
        </w:tc>
        <w:tc>
          <w:tcPr>
            <w:tcW w:w="636" w:type="pct"/>
            <w:vAlign w:val="center"/>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color w:val="auto"/>
                <w:sz w:val="21"/>
                <w:szCs w:val="21"/>
              </w:rPr>
              <w:t>1</w:t>
            </w:r>
            <w:r>
              <w:rPr>
                <w:rFonts w:ascii="Times New Roman" w:hAnsi="Times New Roman" w:cs="Times New Roman"/>
                <w:color w:val="auto"/>
                <w:sz w:val="21"/>
                <w:szCs w:val="21"/>
              </w:rPr>
              <w:t>次</w:t>
            </w:r>
            <w:r>
              <w:rPr>
                <w:rFonts w:ascii="Times New Roman" w:hAnsi="Times New Roman" w:cs="Times New Roman"/>
                <w:color w:val="auto"/>
                <w:sz w:val="21"/>
                <w:szCs w:val="21"/>
              </w:rPr>
              <w:t>/</w:t>
            </w:r>
            <w:r>
              <w:rPr>
                <w:rFonts w:ascii="Times New Roman" w:hAnsi="Times New Roman" w:cs="Times New Roman"/>
                <w:color w:val="auto"/>
                <w:sz w:val="21"/>
                <w:szCs w:val="21"/>
              </w:rPr>
              <w:t>日，</w:t>
            </w:r>
          </w:p>
          <w:p w:rsidR="00BD5820" w:rsidRDefault="00F64314">
            <w:pPr>
              <w:pStyle w:val="afff1"/>
              <w:rPr>
                <w:szCs w:val="21"/>
              </w:rPr>
            </w:pPr>
            <w:r>
              <w:rPr>
                <w:szCs w:val="21"/>
              </w:rPr>
              <w:t>检测</w:t>
            </w:r>
            <w:r>
              <w:rPr>
                <w:szCs w:val="21"/>
              </w:rPr>
              <w:t>1</w:t>
            </w:r>
            <w:r>
              <w:rPr>
                <w:szCs w:val="21"/>
              </w:rPr>
              <w:t>日</w:t>
            </w:r>
          </w:p>
        </w:tc>
      </w:tr>
    </w:tbl>
    <w:p w:rsidR="00BD5820" w:rsidRDefault="00F64314">
      <w:pPr>
        <w:pStyle w:val="affa"/>
        <w:ind w:firstLine="482"/>
        <w:rPr>
          <w:b/>
          <w:bCs/>
        </w:rPr>
      </w:pPr>
      <w:r>
        <w:rPr>
          <w:b/>
          <w:bCs/>
        </w:rPr>
        <w:t>（</w:t>
      </w:r>
      <w:r>
        <w:rPr>
          <w:b/>
          <w:bCs/>
        </w:rPr>
        <w:t>2</w:t>
      </w:r>
      <w:r>
        <w:rPr>
          <w:b/>
          <w:bCs/>
        </w:rPr>
        <w:t>）评价标准与方法</w:t>
      </w:r>
    </w:p>
    <w:p w:rsidR="00BD5820" w:rsidRDefault="00F64314">
      <w:pPr>
        <w:pStyle w:val="affa"/>
        <w:ind w:firstLine="480"/>
      </w:pPr>
      <w:r>
        <w:t>项目</w:t>
      </w:r>
      <w:r>
        <w:rPr>
          <w:rFonts w:hint="eastAsia"/>
        </w:rPr>
        <w:t>涉及的普光气田</w:t>
      </w:r>
      <w:r>
        <w:rPr>
          <w:rFonts w:hint="eastAsia"/>
        </w:rPr>
        <w:t>1#</w:t>
      </w:r>
      <w:r>
        <w:rPr>
          <w:rFonts w:hint="eastAsia"/>
        </w:rPr>
        <w:t>增压站、普光气田</w:t>
      </w:r>
      <w:r>
        <w:rPr>
          <w:rFonts w:hint="eastAsia"/>
        </w:rPr>
        <w:t>2#</w:t>
      </w:r>
      <w:r>
        <w:rPr>
          <w:rFonts w:hint="eastAsia"/>
        </w:rPr>
        <w:t>增压站</w:t>
      </w:r>
      <w:r>
        <w:t>执行</w:t>
      </w:r>
      <w:bookmarkStart w:id="368" w:name="OLE_LINK211"/>
      <w:bookmarkStart w:id="369" w:name="OLE_LINK212"/>
      <w:r>
        <w:rPr>
          <w:rFonts w:hint="eastAsia"/>
        </w:rPr>
        <w:t>《土壤环境质量</w:t>
      </w:r>
      <w:r>
        <w:rPr>
          <w:rFonts w:hint="eastAsia"/>
        </w:rPr>
        <w:t xml:space="preserve"> </w:t>
      </w:r>
      <w:r>
        <w:rPr>
          <w:rFonts w:hint="eastAsia"/>
        </w:rPr>
        <w:t>建设用地土壤污染风险管控标准（试行）》（</w:t>
      </w:r>
      <w:r>
        <w:rPr>
          <w:rFonts w:hint="eastAsia"/>
        </w:rPr>
        <w:t>GB 36600-2018</w:t>
      </w:r>
      <w:r>
        <w:rPr>
          <w:rFonts w:hint="eastAsia"/>
        </w:rPr>
        <w:t>）</w:t>
      </w:r>
      <w:bookmarkEnd w:id="368"/>
      <w:bookmarkEnd w:id="369"/>
      <w:r>
        <w:rPr>
          <w:rFonts w:hint="eastAsia"/>
        </w:rPr>
        <w:t>中风险筛选值；普光气田</w:t>
      </w:r>
      <w:r>
        <w:rPr>
          <w:rFonts w:hint="eastAsia"/>
        </w:rPr>
        <w:t>1#</w:t>
      </w:r>
      <w:r>
        <w:rPr>
          <w:rFonts w:hint="eastAsia"/>
        </w:rPr>
        <w:t>增压站、普光气田</w:t>
      </w:r>
      <w:r>
        <w:rPr>
          <w:rFonts w:hint="eastAsia"/>
        </w:rPr>
        <w:t>2#</w:t>
      </w:r>
      <w:r>
        <w:rPr>
          <w:rFonts w:hint="eastAsia"/>
        </w:rPr>
        <w:t>增压站</w:t>
      </w:r>
      <w:r>
        <w:t>周边</w:t>
      </w:r>
      <w:r>
        <w:rPr>
          <w:rFonts w:hint="eastAsia"/>
        </w:rPr>
        <w:t>耕地</w:t>
      </w:r>
      <w:r>
        <w:t>执行</w:t>
      </w:r>
      <w:bookmarkStart w:id="370" w:name="OLE_LINK191"/>
      <w:bookmarkStart w:id="371" w:name="OLE_LINK190"/>
      <w:r>
        <w:t>《土壤环境质量农用地土壤污染风险管控标准（试行）》（</w:t>
      </w:r>
      <w:r>
        <w:t>GB15618-2018</w:t>
      </w:r>
      <w:r>
        <w:t>）</w:t>
      </w:r>
      <w:bookmarkEnd w:id="370"/>
      <w:bookmarkEnd w:id="371"/>
      <w:r>
        <w:t>表</w:t>
      </w:r>
      <w:r>
        <w:t>1</w:t>
      </w:r>
      <w:r>
        <w:t>中其他标准限值。</w:t>
      </w:r>
    </w:p>
    <w:p w:rsidR="00BD5820" w:rsidRDefault="00F64314">
      <w:pPr>
        <w:pStyle w:val="affa"/>
        <w:ind w:firstLine="480"/>
      </w:pPr>
      <w:r>
        <w:t>土壤环境质量现状监测结果统计及评价见表</w:t>
      </w:r>
      <w:r>
        <w:t>5.7-</w:t>
      </w:r>
      <w:r>
        <w:rPr>
          <w:rFonts w:hint="eastAsia"/>
        </w:rPr>
        <w:t>2</w:t>
      </w:r>
      <w:r>
        <w:t>~5.7-</w:t>
      </w:r>
      <w:r>
        <w:rPr>
          <w:rFonts w:hint="eastAsia"/>
        </w:rPr>
        <w:t>5</w:t>
      </w:r>
      <w:r>
        <w:t>。</w:t>
      </w:r>
    </w:p>
    <w:p w:rsidR="00BD5820" w:rsidRDefault="00F64314">
      <w:pPr>
        <w:pStyle w:val="affa"/>
        <w:ind w:firstLineChars="0" w:firstLine="0"/>
        <w:jc w:val="center"/>
      </w:pPr>
      <w:r>
        <w:rPr>
          <w:b/>
          <w:sz w:val="21"/>
          <w:szCs w:val="21"/>
        </w:rPr>
        <w:t>表</w:t>
      </w:r>
      <w:r>
        <w:rPr>
          <w:b/>
          <w:sz w:val="21"/>
          <w:szCs w:val="21"/>
        </w:rPr>
        <w:t>5.7-</w:t>
      </w:r>
      <w:r>
        <w:rPr>
          <w:rFonts w:hint="eastAsia"/>
          <w:b/>
          <w:sz w:val="21"/>
          <w:szCs w:val="21"/>
        </w:rPr>
        <w:t>2</w:t>
      </w:r>
      <w:r>
        <w:rPr>
          <w:b/>
          <w:sz w:val="21"/>
          <w:szCs w:val="21"/>
        </w:rPr>
        <w:t xml:space="preserve">  </w:t>
      </w:r>
      <w:r>
        <w:rPr>
          <w:rFonts w:hint="eastAsia"/>
          <w:b/>
          <w:sz w:val="21"/>
          <w:szCs w:val="21"/>
        </w:rPr>
        <w:t>普光气田</w:t>
      </w:r>
      <w:r>
        <w:rPr>
          <w:rFonts w:hint="eastAsia"/>
          <w:b/>
          <w:sz w:val="21"/>
          <w:szCs w:val="21"/>
        </w:rPr>
        <w:t>1#</w:t>
      </w:r>
      <w:r>
        <w:rPr>
          <w:rFonts w:hint="eastAsia"/>
          <w:b/>
          <w:sz w:val="21"/>
          <w:szCs w:val="21"/>
        </w:rPr>
        <w:t>增压站内</w:t>
      </w:r>
      <w:r>
        <w:rPr>
          <w:b/>
          <w:sz w:val="21"/>
          <w:szCs w:val="21"/>
        </w:rPr>
        <w:t>土壤环境质量现状监测统计表（</w:t>
      </w:r>
      <w:r>
        <w:rPr>
          <w:rFonts w:hint="eastAsia"/>
          <w:b/>
          <w:sz w:val="21"/>
          <w:szCs w:val="21"/>
        </w:rPr>
        <w:t>T1</w:t>
      </w:r>
      <w:r>
        <w:rPr>
          <w:b/>
          <w:sz w:val="21"/>
          <w:szCs w:val="21"/>
        </w:rPr>
        <w:t>~</w:t>
      </w:r>
      <w:r>
        <w:rPr>
          <w:rFonts w:hint="eastAsia"/>
          <w:b/>
          <w:sz w:val="21"/>
          <w:szCs w:val="21"/>
        </w:rPr>
        <w:t>T4</w:t>
      </w:r>
      <w:r>
        <w:rPr>
          <w:b/>
          <w:sz w:val="21"/>
          <w:szCs w:val="21"/>
        </w:rPr>
        <w:t>）</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612"/>
        <w:gridCol w:w="1988"/>
        <w:gridCol w:w="1302"/>
        <w:gridCol w:w="1047"/>
        <w:gridCol w:w="1303"/>
        <w:gridCol w:w="1270"/>
      </w:tblGrid>
      <w:tr w:rsidR="00BD5820">
        <w:trPr>
          <w:trHeight w:val="297"/>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b/>
                <w:kern w:val="2"/>
                <w:sz w:val="21"/>
                <w:szCs w:val="21"/>
              </w:rPr>
            </w:pPr>
            <w:r>
              <w:rPr>
                <w:rFonts w:ascii="Times New Roman" w:cs="Times New Roman"/>
                <w:b/>
                <w:kern w:val="2"/>
                <w:sz w:val="21"/>
                <w:szCs w:val="21"/>
              </w:rPr>
              <w:t>序号</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b/>
                <w:kern w:val="2"/>
                <w:sz w:val="21"/>
                <w:szCs w:val="21"/>
              </w:rPr>
            </w:pPr>
            <w:r>
              <w:rPr>
                <w:rFonts w:ascii="Times New Roman" w:cs="Times New Roman"/>
                <w:b/>
                <w:kern w:val="2"/>
                <w:sz w:val="21"/>
                <w:szCs w:val="21"/>
              </w:rPr>
              <w:t>监测项目</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b/>
                <w:kern w:val="2"/>
                <w:sz w:val="21"/>
                <w:szCs w:val="21"/>
              </w:rPr>
            </w:pPr>
            <w:r>
              <w:rPr>
                <w:rFonts w:ascii="Times New Roman" w:cs="Times New Roman"/>
                <w:b/>
                <w:kern w:val="2"/>
                <w:sz w:val="21"/>
                <w:szCs w:val="21"/>
              </w:rPr>
              <w:t>单位</w:t>
            </w:r>
          </w:p>
        </w:tc>
        <w:tc>
          <w:tcPr>
            <w:tcW w:w="1047" w:type="dxa"/>
            <w:vAlign w:val="center"/>
          </w:tcPr>
          <w:p w:rsidR="00BD5820" w:rsidRDefault="00F64314">
            <w:pPr>
              <w:widowControl/>
              <w:topLinePunct w:val="0"/>
              <w:snapToGrid w:val="0"/>
              <w:spacing w:line="240" w:lineRule="auto"/>
              <w:ind w:firstLineChars="0" w:firstLine="0"/>
              <w:jc w:val="center"/>
              <w:rPr>
                <w:rFonts w:ascii="Times New Roman" w:cs="Times New Roman"/>
                <w:b/>
                <w:kern w:val="2"/>
                <w:sz w:val="21"/>
                <w:szCs w:val="21"/>
              </w:rPr>
            </w:pPr>
            <w:r>
              <w:rPr>
                <w:rFonts w:ascii="Times New Roman" w:cs="Times New Roman"/>
                <w:b/>
                <w:kern w:val="2"/>
                <w:sz w:val="21"/>
                <w:szCs w:val="21"/>
              </w:rPr>
              <w:t>标准值</w:t>
            </w:r>
          </w:p>
        </w:tc>
        <w:tc>
          <w:tcPr>
            <w:tcW w:w="1303" w:type="dxa"/>
            <w:vAlign w:val="center"/>
          </w:tcPr>
          <w:p w:rsidR="00BD5820" w:rsidRDefault="00F64314">
            <w:pPr>
              <w:widowControl/>
              <w:topLinePunct w:val="0"/>
              <w:snapToGrid w:val="0"/>
              <w:spacing w:line="240" w:lineRule="auto"/>
              <w:ind w:firstLineChars="0" w:firstLine="0"/>
              <w:jc w:val="center"/>
              <w:rPr>
                <w:rFonts w:ascii="Times New Roman" w:cs="Times New Roman"/>
                <w:b/>
                <w:kern w:val="2"/>
                <w:sz w:val="21"/>
                <w:szCs w:val="21"/>
              </w:rPr>
            </w:pPr>
            <w:r>
              <w:rPr>
                <w:rFonts w:ascii="Times New Roman" w:cs="Times New Roman"/>
                <w:b/>
                <w:kern w:val="2"/>
                <w:sz w:val="21"/>
                <w:szCs w:val="21"/>
              </w:rPr>
              <w:t>监测结果</w:t>
            </w:r>
          </w:p>
        </w:tc>
        <w:tc>
          <w:tcPr>
            <w:tcW w:w="1270" w:type="dxa"/>
            <w:vAlign w:val="center"/>
          </w:tcPr>
          <w:p w:rsidR="00BD5820" w:rsidRDefault="00F64314">
            <w:pPr>
              <w:widowControl/>
              <w:topLinePunct w:val="0"/>
              <w:snapToGrid w:val="0"/>
              <w:spacing w:line="240" w:lineRule="auto"/>
              <w:ind w:firstLineChars="0" w:firstLine="0"/>
              <w:jc w:val="center"/>
              <w:rPr>
                <w:rFonts w:ascii="Times New Roman" w:cs="Times New Roman"/>
                <w:b/>
                <w:kern w:val="2"/>
                <w:sz w:val="21"/>
                <w:szCs w:val="21"/>
              </w:rPr>
            </w:pPr>
            <w:r>
              <w:rPr>
                <w:rFonts w:ascii="Times New Roman" w:cs="Times New Roman"/>
                <w:b/>
                <w:bCs/>
                <w:kern w:val="2"/>
                <w:sz w:val="21"/>
                <w:szCs w:val="21"/>
              </w:rPr>
              <w:t>S</w:t>
            </w:r>
            <w:r>
              <w:rPr>
                <w:rFonts w:ascii="Times New Roman" w:cs="Times New Roman"/>
                <w:b/>
                <w:bCs/>
                <w:kern w:val="2"/>
                <w:sz w:val="21"/>
                <w:szCs w:val="21"/>
                <w:vertAlign w:val="subscript"/>
              </w:rPr>
              <w:t>i</w:t>
            </w:r>
            <w:r>
              <w:rPr>
                <w:rFonts w:ascii="Times New Roman" w:cs="Times New Roman"/>
                <w:b/>
                <w:bCs/>
                <w:kern w:val="2"/>
                <w:sz w:val="21"/>
                <w:szCs w:val="21"/>
                <w:vertAlign w:val="subscript"/>
              </w:rPr>
              <w:t>，</w:t>
            </w:r>
            <w:r>
              <w:rPr>
                <w:rFonts w:ascii="Times New Roman" w:cs="Times New Roman"/>
                <w:b/>
                <w:bCs/>
                <w:kern w:val="2"/>
                <w:sz w:val="21"/>
                <w:szCs w:val="21"/>
                <w:vertAlign w:val="subscript"/>
              </w:rPr>
              <w:t>j</w:t>
            </w:r>
          </w:p>
        </w:tc>
      </w:tr>
      <w:tr w:rsidR="00BD5820">
        <w:trPr>
          <w:trHeight w:val="318"/>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镉</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mg/kg</w:t>
            </w:r>
          </w:p>
        </w:tc>
        <w:tc>
          <w:tcPr>
            <w:tcW w:w="1047"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65</w:t>
            </w:r>
          </w:p>
        </w:tc>
        <w:tc>
          <w:tcPr>
            <w:tcW w:w="1303" w:type="dxa"/>
            <w:vAlign w:val="center"/>
          </w:tcPr>
          <w:p w:rsidR="00BD5820" w:rsidRDefault="00F64314">
            <w:pPr>
              <w:pStyle w:val="SSEC201503230"/>
              <w:rPr>
                <w:rFonts w:ascii="Times New Roman" w:hAnsi="Times New Roman"/>
              </w:rPr>
            </w:pPr>
            <w:r>
              <w:rPr>
                <w:rFonts w:ascii="Times New Roman" w:hAnsi="Times New Roman"/>
              </w:rPr>
              <w:t>0.1</w:t>
            </w:r>
            <w:r>
              <w:rPr>
                <w:rFonts w:ascii="Times New Roman" w:hAnsi="Times New Roman" w:hint="eastAsia"/>
              </w:rPr>
              <w:t>1</w:t>
            </w:r>
            <w:r>
              <w:rPr>
                <w:rFonts w:ascii="Times New Roman"/>
              </w:rPr>
              <w:t>～</w:t>
            </w:r>
            <w:r>
              <w:rPr>
                <w:rFonts w:ascii="Times New Roman" w:hAnsi="Times New Roman"/>
              </w:rPr>
              <w:t>0.</w:t>
            </w:r>
            <w:r>
              <w:rPr>
                <w:rFonts w:ascii="Times New Roman" w:hAnsi="Times New Roman" w:hint="eastAsia"/>
              </w:rPr>
              <w:t>19</w:t>
            </w:r>
          </w:p>
        </w:tc>
        <w:tc>
          <w:tcPr>
            <w:tcW w:w="1270" w:type="dxa"/>
            <w:vAlign w:val="center"/>
          </w:tcPr>
          <w:p w:rsidR="00BD5820" w:rsidRDefault="00F64314">
            <w:pPr>
              <w:pStyle w:val="SSEC201503230"/>
              <w:rPr>
                <w:rFonts w:ascii="Times New Roman" w:hAnsi="Times New Roman"/>
              </w:rPr>
            </w:pPr>
            <w:r>
              <w:rPr>
                <w:rFonts w:ascii="Times New Roman" w:hAnsi="Times New Roman"/>
              </w:rPr>
              <w:t>0.00</w:t>
            </w:r>
            <w:r>
              <w:rPr>
                <w:rFonts w:ascii="Times New Roman" w:hAnsi="Times New Roman" w:hint="eastAsia"/>
              </w:rPr>
              <w:t>2</w:t>
            </w:r>
            <w:r>
              <w:rPr>
                <w:rFonts w:ascii="Times New Roman"/>
              </w:rPr>
              <w:t>～</w:t>
            </w:r>
            <w:r>
              <w:rPr>
                <w:rFonts w:ascii="Times New Roman" w:hAnsi="Times New Roman"/>
              </w:rPr>
              <w:t>0.00</w:t>
            </w:r>
            <w:r>
              <w:rPr>
                <w:rFonts w:ascii="Times New Roman" w:hAnsi="Times New Roman" w:hint="eastAsia"/>
              </w:rPr>
              <w:t>3</w:t>
            </w:r>
          </w:p>
        </w:tc>
      </w:tr>
      <w:tr w:rsidR="00BD5820">
        <w:trPr>
          <w:trHeight w:val="221"/>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2</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汞</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mg/kg</w:t>
            </w:r>
          </w:p>
        </w:tc>
        <w:tc>
          <w:tcPr>
            <w:tcW w:w="1047"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38</w:t>
            </w:r>
          </w:p>
        </w:tc>
        <w:tc>
          <w:tcPr>
            <w:tcW w:w="1303" w:type="dxa"/>
            <w:vAlign w:val="center"/>
          </w:tcPr>
          <w:p w:rsidR="00BD5820" w:rsidRDefault="00F64314">
            <w:pPr>
              <w:pStyle w:val="SSEC201503230"/>
              <w:rPr>
                <w:rFonts w:ascii="Times New Roman" w:hAnsi="Times New Roman"/>
              </w:rPr>
            </w:pPr>
            <w:r>
              <w:rPr>
                <w:rFonts w:ascii="Times New Roman" w:hAnsi="Times New Roman" w:hint="eastAsia"/>
              </w:rPr>
              <w:t>0.016</w:t>
            </w:r>
            <w:r>
              <w:rPr>
                <w:rFonts w:ascii="Times New Roman"/>
              </w:rPr>
              <w:t>～</w:t>
            </w:r>
            <w:r>
              <w:rPr>
                <w:rFonts w:ascii="Times New Roman" w:hAnsi="Times New Roman" w:hint="eastAsia"/>
              </w:rPr>
              <w:t>0.032</w:t>
            </w:r>
          </w:p>
        </w:tc>
        <w:tc>
          <w:tcPr>
            <w:tcW w:w="1270" w:type="dxa"/>
            <w:vAlign w:val="center"/>
          </w:tcPr>
          <w:p w:rsidR="00BD5820" w:rsidRDefault="00F64314">
            <w:pPr>
              <w:pStyle w:val="SSEC201503230"/>
              <w:rPr>
                <w:rFonts w:ascii="Times New Roman" w:hAnsi="Times New Roman"/>
              </w:rPr>
            </w:pPr>
            <w:r>
              <w:rPr>
                <w:rFonts w:ascii="Times New Roman" w:hAnsi="Times New Roman"/>
              </w:rPr>
              <w:t>0.00</w:t>
            </w:r>
            <w:r>
              <w:rPr>
                <w:rFonts w:ascii="Times New Roman" w:hAnsi="Times New Roman" w:hint="eastAsia"/>
              </w:rPr>
              <w:t>04</w:t>
            </w:r>
            <w:r>
              <w:rPr>
                <w:rFonts w:ascii="Times New Roman"/>
              </w:rPr>
              <w:t>～</w:t>
            </w:r>
            <w:r>
              <w:rPr>
                <w:rFonts w:ascii="Times New Roman" w:hAnsi="Times New Roman"/>
              </w:rPr>
              <w:t>0.0</w:t>
            </w:r>
            <w:r>
              <w:rPr>
                <w:rFonts w:ascii="Times New Roman" w:hAnsi="Times New Roman" w:hint="eastAsia"/>
              </w:rPr>
              <w:t>008</w:t>
            </w:r>
          </w:p>
        </w:tc>
      </w:tr>
      <w:tr w:rsidR="00BD5820">
        <w:trPr>
          <w:trHeight w:val="240"/>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3</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砷</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mg/kg</w:t>
            </w:r>
          </w:p>
        </w:tc>
        <w:tc>
          <w:tcPr>
            <w:tcW w:w="1047"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60</w:t>
            </w:r>
          </w:p>
        </w:tc>
        <w:tc>
          <w:tcPr>
            <w:tcW w:w="1303" w:type="dxa"/>
            <w:vAlign w:val="center"/>
          </w:tcPr>
          <w:p w:rsidR="00BD5820" w:rsidRDefault="00F64314">
            <w:pPr>
              <w:pStyle w:val="SSEC201503230"/>
              <w:rPr>
                <w:rFonts w:ascii="Times New Roman" w:hAnsi="Times New Roman"/>
              </w:rPr>
            </w:pPr>
            <w:r>
              <w:rPr>
                <w:rFonts w:ascii="Times New Roman" w:hAnsi="Times New Roman" w:hint="eastAsia"/>
              </w:rPr>
              <w:t>1.34</w:t>
            </w:r>
            <w:r>
              <w:rPr>
                <w:rFonts w:ascii="Times New Roman"/>
              </w:rPr>
              <w:t>～</w:t>
            </w:r>
            <w:r>
              <w:rPr>
                <w:rFonts w:ascii="Times New Roman" w:hAnsi="Times New Roman" w:hint="eastAsia"/>
              </w:rPr>
              <w:t>1.50</w:t>
            </w:r>
          </w:p>
        </w:tc>
        <w:tc>
          <w:tcPr>
            <w:tcW w:w="1270" w:type="dxa"/>
            <w:vAlign w:val="center"/>
          </w:tcPr>
          <w:p w:rsidR="00BD5820" w:rsidRDefault="00F64314">
            <w:pPr>
              <w:pStyle w:val="SSEC201503230"/>
              <w:rPr>
                <w:rFonts w:ascii="Times New Roman" w:hAnsi="Times New Roman"/>
              </w:rPr>
            </w:pPr>
            <w:r>
              <w:rPr>
                <w:rFonts w:ascii="Times New Roman" w:hAnsi="Times New Roman"/>
              </w:rPr>
              <w:t>0.</w:t>
            </w:r>
            <w:r>
              <w:rPr>
                <w:rFonts w:ascii="Times New Roman" w:hAnsi="Times New Roman" w:hint="eastAsia"/>
              </w:rPr>
              <w:t>022</w:t>
            </w:r>
            <w:r>
              <w:rPr>
                <w:rFonts w:ascii="Times New Roman"/>
              </w:rPr>
              <w:t>～</w:t>
            </w:r>
            <w:r>
              <w:rPr>
                <w:rFonts w:ascii="Times New Roman" w:hAnsi="Times New Roman"/>
              </w:rPr>
              <w:t>0.</w:t>
            </w:r>
            <w:r>
              <w:rPr>
                <w:rFonts w:ascii="Times New Roman" w:hAnsi="Times New Roman" w:hint="eastAsia"/>
              </w:rPr>
              <w:t>025</w:t>
            </w:r>
          </w:p>
        </w:tc>
      </w:tr>
      <w:tr w:rsidR="00BD5820">
        <w:trPr>
          <w:trHeight w:val="243"/>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4</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铜</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mg/kg</w:t>
            </w:r>
          </w:p>
        </w:tc>
        <w:tc>
          <w:tcPr>
            <w:tcW w:w="1047"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18000</w:t>
            </w:r>
          </w:p>
        </w:tc>
        <w:tc>
          <w:tcPr>
            <w:tcW w:w="1303" w:type="dxa"/>
            <w:vAlign w:val="center"/>
          </w:tcPr>
          <w:p w:rsidR="00BD5820" w:rsidRDefault="00F64314">
            <w:pPr>
              <w:pStyle w:val="SSEC201503230"/>
              <w:rPr>
                <w:rFonts w:ascii="Times New Roman" w:hAnsi="Times New Roman"/>
              </w:rPr>
            </w:pPr>
            <w:r>
              <w:rPr>
                <w:rFonts w:ascii="Times New Roman" w:hAnsi="Times New Roman" w:hint="eastAsia"/>
              </w:rPr>
              <w:t>4</w:t>
            </w:r>
            <w:r>
              <w:rPr>
                <w:rFonts w:ascii="Times New Roman"/>
              </w:rPr>
              <w:t>～</w:t>
            </w:r>
            <w:r>
              <w:rPr>
                <w:rFonts w:ascii="Times New Roman" w:hint="eastAsia"/>
              </w:rPr>
              <w:t>13</w:t>
            </w:r>
          </w:p>
        </w:tc>
        <w:tc>
          <w:tcPr>
            <w:tcW w:w="1270" w:type="dxa"/>
            <w:vAlign w:val="center"/>
          </w:tcPr>
          <w:p w:rsidR="00BD5820" w:rsidRDefault="00F64314">
            <w:pPr>
              <w:pStyle w:val="SSEC201503230"/>
              <w:rPr>
                <w:rFonts w:ascii="Times New Roman" w:hAnsi="Times New Roman"/>
              </w:rPr>
            </w:pPr>
            <w:r>
              <w:rPr>
                <w:rFonts w:ascii="Times New Roman" w:hAnsi="Times New Roman"/>
              </w:rPr>
              <w:t>0.000</w:t>
            </w:r>
            <w:r>
              <w:rPr>
                <w:rFonts w:ascii="Times New Roman" w:hAnsi="Times New Roman" w:hint="eastAsia"/>
              </w:rPr>
              <w:t>2</w:t>
            </w:r>
            <w:r>
              <w:rPr>
                <w:rFonts w:ascii="Times New Roman"/>
              </w:rPr>
              <w:t>～</w:t>
            </w:r>
            <w:r>
              <w:rPr>
                <w:rFonts w:ascii="Times New Roman" w:hint="eastAsia"/>
              </w:rPr>
              <w:t>0.0007</w:t>
            </w:r>
          </w:p>
        </w:tc>
      </w:tr>
      <w:tr w:rsidR="00BD5820">
        <w:trPr>
          <w:trHeight w:val="23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5</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铅</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mg/kg</w:t>
            </w:r>
          </w:p>
        </w:tc>
        <w:tc>
          <w:tcPr>
            <w:tcW w:w="1047"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800</w:t>
            </w:r>
          </w:p>
        </w:tc>
        <w:tc>
          <w:tcPr>
            <w:tcW w:w="1303" w:type="dxa"/>
            <w:vAlign w:val="center"/>
          </w:tcPr>
          <w:p w:rsidR="00BD5820" w:rsidRDefault="00F64314">
            <w:pPr>
              <w:pStyle w:val="SSEC201503230"/>
              <w:rPr>
                <w:rFonts w:ascii="Times New Roman" w:hAnsi="Times New Roman"/>
              </w:rPr>
            </w:pPr>
            <w:r>
              <w:rPr>
                <w:rFonts w:ascii="Times New Roman" w:hAnsi="Times New Roman" w:hint="eastAsia"/>
              </w:rPr>
              <w:t>18.0</w:t>
            </w:r>
            <w:r>
              <w:rPr>
                <w:rFonts w:ascii="Times New Roman"/>
              </w:rPr>
              <w:t>～</w:t>
            </w:r>
            <w:r>
              <w:rPr>
                <w:rFonts w:ascii="Times New Roman" w:hAnsi="Times New Roman" w:hint="eastAsia"/>
              </w:rPr>
              <w:t>20.4</w:t>
            </w:r>
          </w:p>
        </w:tc>
        <w:tc>
          <w:tcPr>
            <w:tcW w:w="1270" w:type="dxa"/>
            <w:vAlign w:val="center"/>
          </w:tcPr>
          <w:p w:rsidR="00BD5820" w:rsidRDefault="00F64314">
            <w:pPr>
              <w:pStyle w:val="SSEC201503230"/>
              <w:rPr>
                <w:rFonts w:ascii="Times New Roman" w:hAnsi="Times New Roman"/>
              </w:rPr>
            </w:pPr>
            <w:r>
              <w:rPr>
                <w:rFonts w:ascii="Times New Roman" w:hAnsi="Times New Roman"/>
              </w:rPr>
              <w:t>0.0</w:t>
            </w:r>
            <w:r>
              <w:rPr>
                <w:rFonts w:ascii="Times New Roman" w:hAnsi="Times New Roman" w:hint="eastAsia"/>
              </w:rPr>
              <w:t>23</w:t>
            </w:r>
            <w:r>
              <w:rPr>
                <w:rFonts w:ascii="Times New Roman"/>
              </w:rPr>
              <w:t>～</w:t>
            </w:r>
            <w:r>
              <w:rPr>
                <w:rFonts w:ascii="Times New Roman" w:hAnsi="Times New Roman"/>
              </w:rPr>
              <w:t>0.0</w:t>
            </w:r>
            <w:r>
              <w:rPr>
                <w:rFonts w:ascii="Times New Roman" w:hAnsi="Times New Roman" w:hint="eastAsia"/>
              </w:rPr>
              <w:t>26</w:t>
            </w:r>
          </w:p>
        </w:tc>
      </w:tr>
      <w:tr w:rsidR="00BD5820">
        <w:trPr>
          <w:trHeight w:val="237"/>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6</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铬（六价）</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mg/kg</w:t>
            </w:r>
          </w:p>
        </w:tc>
        <w:tc>
          <w:tcPr>
            <w:tcW w:w="1047"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5.7</w:t>
            </w:r>
          </w:p>
        </w:tc>
        <w:tc>
          <w:tcPr>
            <w:tcW w:w="1303" w:type="dxa"/>
            <w:vAlign w:val="center"/>
          </w:tcPr>
          <w:p w:rsidR="00BD5820" w:rsidRDefault="00F64314">
            <w:pPr>
              <w:pStyle w:val="SSEC201503230"/>
              <w:rPr>
                <w:rFonts w:ascii="Times New Roman" w:hAnsi="Times New Roman"/>
              </w:rPr>
            </w:pPr>
            <w:r>
              <w:rPr>
                <w:rFonts w:ascii="Times New Roman" w:hint="eastAsia"/>
              </w:rPr>
              <w:t>0.8</w:t>
            </w:r>
            <w:r>
              <w:rPr>
                <w:rFonts w:ascii="Times New Roman"/>
              </w:rPr>
              <w:t>～</w:t>
            </w:r>
            <w:r>
              <w:rPr>
                <w:rFonts w:ascii="Times New Roman" w:hint="eastAsia"/>
              </w:rPr>
              <w:t>2.0</w:t>
            </w:r>
          </w:p>
        </w:tc>
        <w:tc>
          <w:tcPr>
            <w:tcW w:w="1270" w:type="dxa"/>
            <w:vAlign w:val="center"/>
          </w:tcPr>
          <w:p w:rsidR="00BD5820" w:rsidRDefault="00F64314">
            <w:pPr>
              <w:pStyle w:val="SSEC201503230"/>
              <w:rPr>
                <w:rFonts w:ascii="Times New Roman" w:hAnsi="Times New Roman"/>
              </w:rPr>
            </w:pPr>
            <w:r>
              <w:rPr>
                <w:rFonts w:ascii="Times New Roman" w:hint="eastAsia"/>
              </w:rPr>
              <w:t>0.14</w:t>
            </w:r>
            <w:r>
              <w:rPr>
                <w:rFonts w:ascii="Times New Roman"/>
              </w:rPr>
              <w:t>～</w:t>
            </w:r>
            <w:r>
              <w:rPr>
                <w:rFonts w:ascii="Times New Roman" w:hint="eastAsia"/>
              </w:rPr>
              <w:t>0.351</w:t>
            </w:r>
          </w:p>
        </w:tc>
      </w:tr>
      <w:tr w:rsidR="00BD5820">
        <w:trPr>
          <w:trHeight w:val="228"/>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7</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镍</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mg/kg</w:t>
            </w:r>
          </w:p>
        </w:tc>
        <w:tc>
          <w:tcPr>
            <w:tcW w:w="1047"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900</w:t>
            </w:r>
          </w:p>
        </w:tc>
        <w:tc>
          <w:tcPr>
            <w:tcW w:w="1303" w:type="dxa"/>
            <w:vAlign w:val="center"/>
          </w:tcPr>
          <w:p w:rsidR="00BD5820" w:rsidRDefault="00F64314">
            <w:pPr>
              <w:pStyle w:val="SSEC201503230"/>
              <w:rPr>
                <w:rFonts w:ascii="Times New Roman" w:hAnsi="Times New Roman"/>
              </w:rPr>
            </w:pPr>
            <w:r>
              <w:rPr>
                <w:rFonts w:ascii="Times New Roman" w:hAnsi="Times New Roman" w:hint="eastAsia"/>
              </w:rPr>
              <w:t>38</w:t>
            </w:r>
            <w:r>
              <w:rPr>
                <w:rFonts w:ascii="Times New Roman"/>
              </w:rPr>
              <w:t>～</w:t>
            </w:r>
            <w:r>
              <w:rPr>
                <w:rFonts w:ascii="Times New Roman" w:hAnsi="Times New Roman" w:hint="eastAsia"/>
              </w:rPr>
              <w:t>50</w:t>
            </w:r>
          </w:p>
        </w:tc>
        <w:tc>
          <w:tcPr>
            <w:tcW w:w="1270" w:type="dxa"/>
            <w:vAlign w:val="center"/>
          </w:tcPr>
          <w:p w:rsidR="00BD5820" w:rsidRDefault="00F64314">
            <w:pPr>
              <w:pStyle w:val="SSEC201503230"/>
              <w:rPr>
                <w:rFonts w:ascii="Times New Roman" w:hAnsi="Times New Roman"/>
              </w:rPr>
            </w:pPr>
            <w:r>
              <w:rPr>
                <w:rFonts w:ascii="Times New Roman" w:hAnsi="Times New Roman" w:hint="eastAsia"/>
              </w:rPr>
              <w:t>0.042</w:t>
            </w:r>
            <w:r>
              <w:rPr>
                <w:rFonts w:ascii="Times New Roman"/>
              </w:rPr>
              <w:t>～</w:t>
            </w:r>
            <w:r>
              <w:rPr>
                <w:rFonts w:ascii="Times New Roman" w:hint="eastAsia"/>
              </w:rPr>
              <w:lastRenderedPageBreak/>
              <w:t>0.056</w:t>
            </w:r>
          </w:p>
        </w:tc>
      </w:tr>
      <w:tr w:rsidR="00BD5820">
        <w:trPr>
          <w:trHeight w:val="245"/>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lastRenderedPageBreak/>
              <w:t>8</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总石油烃</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mg/kg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4500</w:t>
            </w:r>
          </w:p>
        </w:tc>
        <w:tc>
          <w:tcPr>
            <w:tcW w:w="1303" w:type="dxa"/>
            <w:vAlign w:val="center"/>
          </w:tcPr>
          <w:p w:rsidR="00BD5820" w:rsidRDefault="00F64314">
            <w:pPr>
              <w:pStyle w:val="SSEC201503230"/>
              <w:rPr>
                <w:rFonts w:ascii="Times New Roman" w:hAnsi="Times New Roman"/>
              </w:rPr>
            </w:pPr>
            <w:r>
              <w:rPr>
                <w:rFonts w:ascii="Times New Roman" w:hint="eastAsia"/>
              </w:rPr>
              <w:t>20</w:t>
            </w:r>
            <w:r>
              <w:rPr>
                <w:rFonts w:ascii="Times New Roman"/>
              </w:rPr>
              <w:t>～</w:t>
            </w:r>
            <w:r>
              <w:rPr>
                <w:rFonts w:ascii="Times New Roman" w:hint="eastAsia"/>
              </w:rPr>
              <w:t>24</w:t>
            </w:r>
          </w:p>
        </w:tc>
        <w:tc>
          <w:tcPr>
            <w:tcW w:w="1270" w:type="dxa"/>
            <w:vAlign w:val="center"/>
          </w:tcPr>
          <w:p w:rsidR="00BD5820" w:rsidRDefault="00F64314">
            <w:pPr>
              <w:pStyle w:val="SSEC201503230"/>
              <w:rPr>
                <w:rFonts w:ascii="Times New Roman" w:hAnsi="Times New Roman"/>
              </w:rPr>
            </w:pPr>
            <w:r>
              <w:rPr>
                <w:rFonts w:ascii="Times New Roman" w:hint="eastAsia"/>
              </w:rPr>
              <w:t>0.0044</w:t>
            </w:r>
            <w:r>
              <w:rPr>
                <w:rFonts w:ascii="Times New Roman"/>
              </w:rPr>
              <w:t>～</w:t>
            </w:r>
            <w:r>
              <w:rPr>
                <w:rFonts w:ascii="Times New Roman" w:hint="eastAsia"/>
              </w:rPr>
              <w:t>0.0053</w:t>
            </w:r>
          </w:p>
        </w:tc>
      </w:tr>
      <w:tr w:rsidR="00BD5820">
        <w:trPr>
          <w:trHeight w:val="250"/>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9</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苯</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4</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39"/>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10</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甲苯</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1200</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11</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乙苯</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28</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12</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间，对</w:t>
            </w:r>
            <w:r>
              <w:rPr>
                <w:rFonts w:ascii="Times New Roman" w:cs="Times New Roman"/>
                <w:kern w:val="2"/>
                <w:sz w:val="21"/>
                <w:szCs w:val="21"/>
              </w:rPr>
              <w:t>-</w:t>
            </w:r>
            <w:r>
              <w:rPr>
                <w:rFonts w:ascii="Times New Roman" w:cs="Times New Roman"/>
                <w:kern w:val="2"/>
                <w:sz w:val="21"/>
                <w:szCs w:val="21"/>
              </w:rPr>
              <w:t>二甲苯</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570</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13</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苯乙烯</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1290</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14</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邻</w:t>
            </w:r>
            <w:r>
              <w:rPr>
                <w:rFonts w:ascii="Times New Roman" w:cs="Times New Roman"/>
                <w:kern w:val="2"/>
                <w:sz w:val="21"/>
                <w:szCs w:val="21"/>
              </w:rPr>
              <w:t>-</w:t>
            </w:r>
            <w:r>
              <w:rPr>
                <w:rFonts w:ascii="Times New Roman" w:cs="Times New Roman"/>
                <w:kern w:val="2"/>
                <w:sz w:val="21"/>
                <w:szCs w:val="21"/>
              </w:rPr>
              <w:t>二甲苯</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640</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15</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w:t>
            </w:r>
            <w:r>
              <w:rPr>
                <w:rFonts w:ascii="Times New Roman" w:cs="Times New Roman"/>
                <w:kern w:val="2"/>
                <w:sz w:val="21"/>
                <w:szCs w:val="21"/>
              </w:rPr>
              <w:t>，</w:t>
            </w:r>
            <w:r>
              <w:rPr>
                <w:rFonts w:ascii="Times New Roman" w:cs="Times New Roman"/>
                <w:kern w:val="2"/>
                <w:sz w:val="21"/>
                <w:szCs w:val="21"/>
              </w:rPr>
              <w:t>2-</w:t>
            </w:r>
            <w:r>
              <w:rPr>
                <w:rFonts w:ascii="Times New Roman" w:cs="Times New Roman"/>
                <w:kern w:val="2"/>
                <w:sz w:val="21"/>
                <w:szCs w:val="21"/>
              </w:rPr>
              <w:t>二氯丙烷</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5</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16</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氯乙烯</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0.43</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17</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w:t>
            </w:r>
            <w:r>
              <w:rPr>
                <w:rFonts w:ascii="Times New Roman" w:cs="Times New Roman"/>
                <w:kern w:val="2"/>
                <w:sz w:val="21"/>
                <w:szCs w:val="21"/>
              </w:rPr>
              <w:t>，</w:t>
            </w:r>
            <w:r>
              <w:rPr>
                <w:rFonts w:ascii="Times New Roman" w:cs="Times New Roman"/>
                <w:kern w:val="2"/>
                <w:sz w:val="21"/>
                <w:szCs w:val="21"/>
              </w:rPr>
              <w:t>1-</w:t>
            </w:r>
            <w:r>
              <w:rPr>
                <w:rFonts w:ascii="Times New Roman" w:cs="Times New Roman"/>
                <w:kern w:val="2"/>
                <w:sz w:val="21"/>
                <w:szCs w:val="21"/>
              </w:rPr>
              <w:t>二氯乙烯</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66</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18</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二氯甲烷</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616</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19</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反式</w:t>
            </w:r>
            <w:r>
              <w:rPr>
                <w:rFonts w:ascii="Times New Roman" w:cs="Times New Roman"/>
                <w:kern w:val="2"/>
                <w:sz w:val="21"/>
                <w:szCs w:val="21"/>
              </w:rPr>
              <w:t>1</w:t>
            </w:r>
            <w:r>
              <w:rPr>
                <w:rFonts w:ascii="Times New Roman" w:cs="Times New Roman"/>
                <w:kern w:val="2"/>
                <w:sz w:val="21"/>
                <w:szCs w:val="21"/>
              </w:rPr>
              <w:t>，</w:t>
            </w:r>
            <w:r>
              <w:rPr>
                <w:rFonts w:ascii="Times New Roman" w:cs="Times New Roman"/>
                <w:kern w:val="2"/>
                <w:sz w:val="21"/>
                <w:szCs w:val="21"/>
              </w:rPr>
              <w:t>2-</w:t>
            </w:r>
            <w:r>
              <w:rPr>
                <w:rFonts w:ascii="Times New Roman" w:cs="Times New Roman"/>
                <w:kern w:val="2"/>
                <w:sz w:val="21"/>
                <w:szCs w:val="21"/>
              </w:rPr>
              <w:t>二氯乙烯</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54</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20</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w:t>
            </w:r>
            <w:r>
              <w:rPr>
                <w:rFonts w:ascii="Times New Roman" w:cs="Times New Roman"/>
                <w:kern w:val="2"/>
                <w:sz w:val="21"/>
                <w:szCs w:val="21"/>
              </w:rPr>
              <w:t>，</w:t>
            </w:r>
            <w:r>
              <w:rPr>
                <w:rFonts w:ascii="Times New Roman" w:cs="Times New Roman"/>
                <w:kern w:val="2"/>
                <w:sz w:val="21"/>
                <w:szCs w:val="21"/>
              </w:rPr>
              <w:t>1-</w:t>
            </w:r>
            <w:r>
              <w:rPr>
                <w:rFonts w:ascii="Times New Roman" w:cs="Times New Roman"/>
                <w:kern w:val="2"/>
                <w:sz w:val="21"/>
                <w:szCs w:val="21"/>
              </w:rPr>
              <w:t>二氯乙烷</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9</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21</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顺式</w:t>
            </w:r>
            <w:r>
              <w:rPr>
                <w:rFonts w:ascii="Times New Roman" w:cs="Times New Roman"/>
                <w:kern w:val="2"/>
                <w:sz w:val="21"/>
                <w:szCs w:val="21"/>
              </w:rPr>
              <w:t>1</w:t>
            </w:r>
            <w:r>
              <w:rPr>
                <w:rFonts w:ascii="Times New Roman" w:cs="Times New Roman"/>
                <w:kern w:val="2"/>
                <w:sz w:val="21"/>
                <w:szCs w:val="21"/>
              </w:rPr>
              <w:t>，</w:t>
            </w:r>
            <w:r>
              <w:rPr>
                <w:rFonts w:ascii="Times New Roman" w:cs="Times New Roman"/>
                <w:kern w:val="2"/>
                <w:sz w:val="21"/>
                <w:szCs w:val="21"/>
              </w:rPr>
              <w:t>2-</w:t>
            </w:r>
            <w:r>
              <w:rPr>
                <w:rFonts w:ascii="Times New Roman" w:cs="Times New Roman"/>
                <w:kern w:val="2"/>
                <w:sz w:val="21"/>
                <w:szCs w:val="21"/>
              </w:rPr>
              <w:t>二氯乙烯</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596</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22</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w:t>
            </w:r>
            <w:r>
              <w:rPr>
                <w:rFonts w:ascii="Times New Roman" w:cs="Times New Roman"/>
                <w:kern w:val="2"/>
                <w:sz w:val="21"/>
                <w:szCs w:val="21"/>
              </w:rPr>
              <w:t>，</w:t>
            </w:r>
            <w:r>
              <w:rPr>
                <w:rFonts w:ascii="Times New Roman" w:cs="Times New Roman"/>
                <w:kern w:val="2"/>
                <w:sz w:val="21"/>
                <w:szCs w:val="21"/>
              </w:rPr>
              <w:t>1</w:t>
            </w:r>
            <w:r>
              <w:rPr>
                <w:rFonts w:ascii="Times New Roman" w:cs="Times New Roman"/>
                <w:kern w:val="2"/>
                <w:sz w:val="21"/>
                <w:szCs w:val="21"/>
              </w:rPr>
              <w:t>，</w:t>
            </w:r>
            <w:r>
              <w:rPr>
                <w:rFonts w:ascii="Times New Roman" w:cs="Times New Roman"/>
                <w:kern w:val="2"/>
                <w:sz w:val="21"/>
                <w:szCs w:val="21"/>
              </w:rPr>
              <w:t>1-</w:t>
            </w:r>
            <w:r>
              <w:rPr>
                <w:rFonts w:ascii="Times New Roman" w:cs="Times New Roman"/>
                <w:kern w:val="2"/>
                <w:sz w:val="21"/>
                <w:szCs w:val="21"/>
              </w:rPr>
              <w:t>三氯乙烷</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840</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23</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四氯化碳</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2.8</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24</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w:t>
            </w:r>
            <w:r>
              <w:rPr>
                <w:rFonts w:ascii="Times New Roman" w:cs="Times New Roman"/>
                <w:kern w:val="2"/>
                <w:sz w:val="21"/>
                <w:szCs w:val="21"/>
              </w:rPr>
              <w:t>，</w:t>
            </w:r>
            <w:r>
              <w:rPr>
                <w:rFonts w:ascii="Times New Roman" w:cs="Times New Roman"/>
                <w:kern w:val="2"/>
                <w:sz w:val="21"/>
                <w:szCs w:val="21"/>
              </w:rPr>
              <w:t>2-</w:t>
            </w:r>
            <w:r>
              <w:rPr>
                <w:rFonts w:ascii="Times New Roman" w:cs="Times New Roman"/>
                <w:kern w:val="2"/>
                <w:sz w:val="21"/>
                <w:szCs w:val="21"/>
              </w:rPr>
              <w:t>二氯乙烷</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5</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25</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三氯乙烯</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2.8</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26</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w:t>
            </w:r>
            <w:r>
              <w:rPr>
                <w:rFonts w:ascii="Times New Roman" w:cs="Times New Roman"/>
                <w:kern w:val="2"/>
                <w:sz w:val="21"/>
                <w:szCs w:val="21"/>
              </w:rPr>
              <w:t>，</w:t>
            </w:r>
            <w:r>
              <w:rPr>
                <w:rFonts w:ascii="Times New Roman" w:cs="Times New Roman"/>
                <w:kern w:val="2"/>
                <w:sz w:val="21"/>
                <w:szCs w:val="21"/>
              </w:rPr>
              <w:t>1</w:t>
            </w:r>
            <w:r>
              <w:rPr>
                <w:rFonts w:ascii="Times New Roman" w:cs="Times New Roman"/>
                <w:kern w:val="2"/>
                <w:sz w:val="21"/>
                <w:szCs w:val="21"/>
              </w:rPr>
              <w:t>，</w:t>
            </w:r>
            <w:r>
              <w:rPr>
                <w:rFonts w:ascii="Times New Roman" w:cs="Times New Roman"/>
                <w:kern w:val="2"/>
                <w:sz w:val="21"/>
                <w:szCs w:val="21"/>
              </w:rPr>
              <w:t>2-</w:t>
            </w:r>
            <w:r>
              <w:rPr>
                <w:rFonts w:ascii="Times New Roman" w:cs="Times New Roman"/>
                <w:kern w:val="2"/>
                <w:sz w:val="21"/>
                <w:szCs w:val="21"/>
              </w:rPr>
              <w:t>三氯乙烷</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2.8</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27</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四氯乙烯</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53</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28</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w:t>
            </w:r>
            <w:r>
              <w:rPr>
                <w:rFonts w:ascii="Times New Roman" w:cs="Times New Roman"/>
                <w:kern w:val="2"/>
                <w:sz w:val="21"/>
                <w:szCs w:val="21"/>
              </w:rPr>
              <w:t>，</w:t>
            </w:r>
            <w:r>
              <w:rPr>
                <w:rFonts w:ascii="Times New Roman" w:cs="Times New Roman"/>
                <w:kern w:val="2"/>
                <w:sz w:val="21"/>
                <w:szCs w:val="21"/>
              </w:rPr>
              <w:t>1</w:t>
            </w:r>
            <w:r>
              <w:rPr>
                <w:rFonts w:ascii="Times New Roman" w:cs="Times New Roman"/>
                <w:kern w:val="2"/>
                <w:sz w:val="21"/>
                <w:szCs w:val="21"/>
              </w:rPr>
              <w:t>，</w:t>
            </w:r>
            <w:r>
              <w:rPr>
                <w:rFonts w:ascii="Times New Roman" w:cs="Times New Roman"/>
                <w:kern w:val="2"/>
                <w:sz w:val="21"/>
                <w:szCs w:val="21"/>
              </w:rPr>
              <w:t>1</w:t>
            </w:r>
            <w:r>
              <w:rPr>
                <w:rFonts w:ascii="Times New Roman" w:cs="Times New Roman"/>
                <w:kern w:val="2"/>
                <w:sz w:val="21"/>
                <w:szCs w:val="21"/>
              </w:rPr>
              <w:t>，</w:t>
            </w:r>
            <w:r>
              <w:rPr>
                <w:rFonts w:ascii="Times New Roman" w:cs="Times New Roman"/>
                <w:kern w:val="2"/>
                <w:sz w:val="21"/>
                <w:szCs w:val="21"/>
              </w:rPr>
              <w:t>2-</w:t>
            </w:r>
            <w:r>
              <w:rPr>
                <w:rFonts w:ascii="Times New Roman" w:cs="Times New Roman"/>
                <w:kern w:val="2"/>
                <w:sz w:val="21"/>
                <w:szCs w:val="21"/>
              </w:rPr>
              <w:t>四氯乙烷</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10</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29</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w:t>
            </w:r>
            <w:r>
              <w:rPr>
                <w:rFonts w:ascii="Times New Roman" w:cs="Times New Roman"/>
                <w:kern w:val="2"/>
                <w:sz w:val="21"/>
                <w:szCs w:val="21"/>
              </w:rPr>
              <w:t>，</w:t>
            </w:r>
            <w:r>
              <w:rPr>
                <w:rFonts w:ascii="Times New Roman" w:cs="Times New Roman"/>
                <w:kern w:val="2"/>
                <w:sz w:val="21"/>
                <w:szCs w:val="21"/>
              </w:rPr>
              <w:t>1</w:t>
            </w:r>
            <w:r>
              <w:rPr>
                <w:rFonts w:ascii="Times New Roman" w:cs="Times New Roman"/>
                <w:kern w:val="2"/>
                <w:sz w:val="21"/>
                <w:szCs w:val="21"/>
              </w:rPr>
              <w:t>，</w:t>
            </w:r>
            <w:r>
              <w:rPr>
                <w:rFonts w:ascii="Times New Roman" w:cs="Times New Roman"/>
                <w:kern w:val="2"/>
                <w:sz w:val="21"/>
                <w:szCs w:val="21"/>
              </w:rPr>
              <w:t>2</w:t>
            </w:r>
            <w:r>
              <w:rPr>
                <w:rFonts w:ascii="Times New Roman" w:cs="Times New Roman"/>
                <w:kern w:val="2"/>
                <w:sz w:val="21"/>
                <w:szCs w:val="21"/>
              </w:rPr>
              <w:t>，</w:t>
            </w:r>
            <w:r>
              <w:rPr>
                <w:rFonts w:ascii="Times New Roman" w:cs="Times New Roman"/>
                <w:kern w:val="2"/>
                <w:sz w:val="21"/>
                <w:szCs w:val="21"/>
              </w:rPr>
              <w:t>2-</w:t>
            </w:r>
            <w:r>
              <w:rPr>
                <w:rFonts w:ascii="Times New Roman" w:cs="Times New Roman"/>
                <w:kern w:val="2"/>
                <w:sz w:val="21"/>
                <w:szCs w:val="21"/>
              </w:rPr>
              <w:t>四氯乙烷</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6.8</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30</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w:t>
            </w:r>
            <w:r>
              <w:rPr>
                <w:rFonts w:ascii="Times New Roman" w:cs="Times New Roman"/>
                <w:kern w:val="2"/>
                <w:sz w:val="21"/>
                <w:szCs w:val="21"/>
              </w:rPr>
              <w:t>，</w:t>
            </w:r>
            <w:r>
              <w:rPr>
                <w:rFonts w:ascii="Times New Roman" w:cs="Times New Roman"/>
                <w:kern w:val="2"/>
                <w:sz w:val="21"/>
                <w:szCs w:val="21"/>
              </w:rPr>
              <w:t>2</w:t>
            </w:r>
            <w:r>
              <w:rPr>
                <w:rFonts w:ascii="Times New Roman" w:cs="Times New Roman"/>
                <w:kern w:val="2"/>
                <w:sz w:val="21"/>
                <w:szCs w:val="21"/>
              </w:rPr>
              <w:t>，</w:t>
            </w:r>
            <w:r>
              <w:rPr>
                <w:rFonts w:ascii="Times New Roman" w:cs="Times New Roman"/>
                <w:kern w:val="2"/>
                <w:sz w:val="21"/>
                <w:szCs w:val="21"/>
              </w:rPr>
              <w:t>3-</w:t>
            </w:r>
            <w:r>
              <w:rPr>
                <w:rFonts w:ascii="Times New Roman" w:cs="Times New Roman"/>
                <w:kern w:val="2"/>
                <w:sz w:val="21"/>
                <w:szCs w:val="21"/>
              </w:rPr>
              <w:t>三氯丙烷</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0.5</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31</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氯苯</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270</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32</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w:t>
            </w:r>
            <w:r>
              <w:rPr>
                <w:rFonts w:ascii="Times New Roman" w:cs="Times New Roman"/>
                <w:kern w:val="2"/>
                <w:sz w:val="21"/>
                <w:szCs w:val="21"/>
              </w:rPr>
              <w:t>，</w:t>
            </w:r>
            <w:r>
              <w:rPr>
                <w:rFonts w:ascii="Times New Roman" w:cs="Times New Roman"/>
                <w:kern w:val="2"/>
                <w:sz w:val="21"/>
                <w:szCs w:val="21"/>
              </w:rPr>
              <w:t>4-</w:t>
            </w:r>
            <w:r>
              <w:rPr>
                <w:rFonts w:ascii="Times New Roman" w:cs="Times New Roman"/>
                <w:kern w:val="2"/>
                <w:sz w:val="21"/>
                <w:szCs w:val="21"/>
              </w:rPr>
              <w:t>二氯苯</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20</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33</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w:t>
            </w:r>
            <w:r>
              <w:rPr>
                <w:rFonts w:ascii="Times New Roman" w:cs="Times New Roman"/>
                <w:kern w:val="2"/>
                <w:sz w:val="21"/>
                <w:szCs w:val="21"/>
              </w:rPr>
              <w:t>，</w:t>
            </w:r>
            <w:r>
              <w:rPr>
                <w:rFonts w:ascii="Times New Roman" w:cs="Times New Roman"/>
                <w:kern w:val="2"/>
                <w:sz w:val="21"/>
                <w:szCs w:val="21"/>
              </w:rPr>
              <w:t>2-</w:t>
            </w:r>
            <w:r>
              <w:rPr>
                <w:rFonts w:ascii="Times New Roman" w:cs="Times New Roman"/>
                <w:kern w:val="2"/>
                <w:sz w:val="21"/>
                <w:szCs w:val="21"/>
              </w:rPr>
              <w:t>二氯苯</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560</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34</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氯仿</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0.9</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35</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氯甲烷</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37</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36</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2-</w:t>
            </w:r>
            <w:r>
              <w:rPr>
                <w:rFonts w:ascii="Times New Roman" w:cs="Times New Roman"/>
                <w:kern w:val="2"/>
                <w:sz w:val="21"/>
                <w:szCs w:val="21"/>
              </w:rPr>
              <w:t>氯酚</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2256</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37</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苯并</w:t>
            </w:r>
            <w:r>
              <w:rPr>
                <w:rFonts w:ascii="Times New Roman" w:cs="Times New Roman"/>
                <w:kern w:val="2"/>
                <w:sz w:val="21"/>
                <w:szCs w:val="21"/>
              </w:rPr>
              <w:t>[a]</w:t>
            </w:r>
            <w:r>
              <w:rPr>
                <w:rFonts w:ascii="Times New Roman" w:cs="Times New Roman"/>
                <w:kern w:val="2"/>
                <w:sz w:val="21"/>
                <w:szCs w:val="21"/>
              </w:rPr>
              <w:t>蒽</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mg/kg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15</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38</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bCs/>
                <w:kern w:val="2"/>
                <w:sz w:val="21"/>
                <w:szCs w:val="21"/>
              </w:rPr>
              <w:t>䓛</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mg/kg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1.5</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39</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苯并</w:t>
            </w:r>
            <w:r>
              <w:rPr>
                <w:rFonts w:ascii="Times New Roman" w:cs="Times New Roman"/>
                <w:kern w:val="2"/>
                <w:sz w:val="21"/>
                <w:szCs w:val="21"/>
              </w:rPr>
              <w:t>[b]</w:t>
            </w:r>
            <w:r>
              <w:rPr>
                <w:rFonts w:ascii="Times New Roman" w:cs="Times New Roman"/>
                <w:kern w:val="2"/>
                <w:sz w:val="21"/>
                <w:szCs w:val="21"/>
              </w:rPr>
              <w:t>荧蒽</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mg/kg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15</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40</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苯并</w:t>
            </w:r>
            <w:r>
              <w:rPr>
                <w:rFonts w:ascii="Times New Roman" w:cs="Times New Roman"/>
                <w:kern w:val="2"/>
                <w:sz w:val="21"/>
                <w:szCs w:val="21"/>
              </w:rPr>
              <w:t>[k]</w:t>
            </w:r>
            <w:r>
              <w:rPr>
                <w:rFonts w:ascii="Times New Roman" w:cs="Times New Roman"/>
                <w:kern w:val="2"/>
                <w:sz w:val="21"/>
                <w:szCs w:val="21"/>
              </w:rPr>
              <w:t>荧蒽</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mg/kg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151</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41</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苯并</w:t>
            </w:r>
            <w:r>
              <w:rPr>
                <w:rFonts w:ascii="Times New Roman" w:cs="Times New Roman"/>
                <w:kern w:val="2"/>
                <w:sz w:val="21"/>
                <w:szCs w:val="21"/>
              </w:rPr>
              <w:t xml:space="preserve">[a] </w:t>
            </w:r>
            <w:r>
              <w:rPr>
                <w:rFonts w:ascii="Times New Roman" w:cs="Times New Roman"/>
                <w:kern w:val="2"/>
                <w:sz w:val="21"/>
                <w:szCs w:val="21"/>
              </w:rPr>
              <w:t>芘</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mg/kg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1.5</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42</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茚并</w:t>
            </w:r>
            <w:r>
              <w:rPr>
                <w:rFonts w:ascii="Times New Roman" w:cs="Times New Roman"/>
                <w:kern w:val="2"/>
                <w:sz w:val="21"/>
                <w:szCs w:val="21"/>
              </w:rPr>
              <w:t>[1</w:t>
            </w:r>
            <w:r>
              <w:rPr>
                <w:rFonts w:ascii="Times New Roman" w:cs="Times New Roman"/>
                <w:kern w:val="2"/>
                <w:sz w:val="21"/>
                <w:szCs w:val="21"/>
              </w:rPr>
              <w:t>，</w:t>
            </w:r>
            <w:r>
              <w:rPr>
                <w:rFonts w:ascii="Times New Roman" w:cs="Times New Roman"/>
                <w:kern w:val="2"/>
                <w:sz w:val="21"/>
                <w:szCs w:val="21"/>
              </w:rPr>
              <w:t>2</w:t>
            </w:r>
            <w:r>
              <w:rPr>
                <w:rFonts w:ascii="Times New Roman" w:cs="Times New Roman"/>
                <w:kern w:val="2"/>
                <w:sz w:val="21"/>
                <w:szCs w:val="21"/>
              </w:rPr>
              <w:t>，</w:t>
            </w:r>
            <w:r>
              <w:rPr>
                <w:rFonts w:ascii="Times New Roman" w:cs="Times New Roman"/>
                <w:kern w:val="2"/>
                <w:sz w:val="21"/>
                <w:szCs w:val="21"/>
              </w:rPr>
              <w:t xml:space="preserve">3-cd] </w:t>
            </w:r>
            <w:r>
              <w:rPr>
                <w:rFonts w:ascii="Times New Roman" w:cs="Times New Roman"/>
                <w:kern w:val="2"/>
                <w:sz w:val="21"/>
                <w:szCs w:val="21"/>
              </w:rPr>
              <w:t>芘</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mg/kg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15</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43</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二苯并</w:t>
            </w:r>
            <w:r>
              <w:rPr>
                <w:rFonts w:ascii="Times New Roman" w:cs="Times New Roman"/>
                <w:kern w:val="2"/>
                <w:sz w:val="21"/>
                <w:szCs w:val="21"/>
              </w:rPr>
              <w:t>[a</w:t>
            </w:r>
            <w:r>
              <w:rPr>
                <w:rFonts w:ascii="Times New Roman" w:cs="Times New Roman"/>
                <w:kern w:val="2"/>
                <w:sz w:val="21"/>
                <w:szCs w:val="21"/>
              </w:rPr>
              <w:t>，</w:t>
            </w:r>
            <w:r>
              <w:rPr>
                <w:rFonts w:ascii="Times New Roman" w:cs="Times New Roman"/>
                <w:kern w:val="2"/>
                <w:sz w:val="21"/>
                <w:szCs w:val="21"/>
              </w:rPr>
              <w:t>h]</w:t>
            </w:r>
            <w:r>
              <w:rPr>
                <w:rFonts w:ascii="Times New Roman" w:cs="Times New Roman"/>
                <w:kern w:val="2"/>
                <w:sz w:val="21"/>
                <w:szCs w:val="21"/>
              </w:rPr>
              <w:t>蒽</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mg/kg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1.5</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44</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硝基苯</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mg/kg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76</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45</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苯胺</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mg/kg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260</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46</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萘</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mg/kg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70</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bl>
    <w:p w:rsidR="00BD5820" w:rsidRDefault="00F64314">
      <w:pPr>
        <w:pStyle w:val="10"/>
        <w:ind w:firstLine="480"/>
        <w:rPr>
          <w:rFonts w:cs="Times New Roman"/>
        </w:rPr>
      </w:pPr>
      <w:r>
        <w:rPr>
          <w:rFonts w:cs="Times New Roman"/>
        </w:rPr>
        <w:t>表</w:t>
      </w:r>
      <w:r>
        <w:rPr>
          <w:rFonts w:cs="Times New Roman"/>
        </w:rPr>
        <w:t>5.7-</w:t>
      </w:r>
      <w:r>
        <w:rPr>
          <w:rFonts w:cs="Times New Roman" w:hint="eastAsia"/>
        </w:rPr>
        <w:t>3</w:t>
      </w:r>
      <w:r>
        <w:rPr>
          <w:rFonts w:cs="Times New Roman"/>
        </w:rPr>
        <w:t xml:space="preserve">  </w:t>
      </w:r>
      <w:r>
        <w:rPr>
          <w:rFonts w:cs="Times New Roman" w:hint="eastAsia"/>
        </w:rPr>
        <w:t>普光气田</w:t>
      </w:r>
      <w:r>
        <w:rPr>
          <w:rFonts w:cs="Times New Roman" w:hint="eastAsia"/>
        </w:rPr>
        <w:t>1#</w:t>
      </w:r>
      <w:r>
        <w:rPr>
          <w:rFonts w:cs="Times New Roman" w:hint="eastAsia"/>
        </w:rPr>
        <w:t>增压站外土壤环境质量</w:t>
      </w:r>
      <w:r>
        <w:rPr>
          <w:rFonts w:cs="Times New Roman"/>
        </w:rPr>
        <w:t>现状监测统计表</w:t>
      </w:r>
      <w:r>
        <w:rPr>
          <w:rFonts w:cs="Times New Roman" w:hint="eastAsia"/>
        </w:rPr>
        <w:t>（</w:t>
      </w:r>
      <w:r>
        <w:rPr>
          <w:rFonts w:cs="Times New Roman" w:hint="eastAsia"/>
        </w:rPr>
        <w:t>T5~T6</w:t>
      </w:r>
      <w:r>
        <w:rPr>
          <w:rFonts w:cs="Times New Roman" w:hint="eastAsia"/>
        </w:rPr>
        <w:t>）</w:t>
      </w:r>
      <w:r>
        <w:rPr>
          <w:rFonts w:cs="Times New Roman"/>
        </w:rPr>
        <w:t xml:space="preserve">  </w:t>
      </w:r>
      <w:r>
        <w:rPr>
          <w:rFonts w:cs="Times New Roman"/>
        </w:rPr>
        <w:t>单位：</w:t>
      </w:r>
      <w:r>
        <w:rPr>
          <w:rFonts w:cs="Times New Roman"/>
        </w:rPr>
        <w:t>mg/kg</w:t>
      </w:r>
    </w:p>
    <w:tbl>
      <w:tblPr>
        <w:tblW w:w="5208" w:type="pct"/>
        <w:jc w:val="center"/>
        <w:tblBorders>
          <w:top w:val="single" w:sz="12" w:space="0" w:color="000000"/>
          <w:bottom w:val="single" w:sz="12" w:space="0" w:color="000000"/>
          <w:insideH w:val="single" w:sz="2" w:space="0" w:color="000000"/>
          <w:insideV w:val="single" w:sz="4" w:space="0" w:color="000000"/>
        </w:tblBorders>
        <w:tblCellMar>
          <w:left w:w="0" w:type="dxa"/>
          <w:right w:w="0" w:type="dxa"/>
        </w:tblCellMar>
        <w:tblLook w:val="04A0"/>
      </w:tblPr>
      <w:tblGrid>
        <w:gridCol w:w="1410"/>
        <w:gridCol w:w="1694"/>
        <w:gridCol w:w="1779"/>
        <w:gridCol w:w="1478"/>
        <w:gridCol w:w="1147"/>
        <w:gridCol w:w="1144"/>
      </w:tblGrid>
      <w:tr w:rsidR="00BD5820">
        <w:trPr>
          <w:trHeight w:val="58"/>
          <w:tblHeader/>
          <w:jc w:val="center"/>
        </w:trPr>
        <w:tc>
          <w:tcPr>
            <w:tcW w:w="1794" w:type="pct"/>
            <w:gridSpan w:val="2"/>
            <w:tcBorders>
              <w:top w:val="single" w:sz="12" w:space="0" w:color="000000"/>
              <w:bottom w:val="single" w:sz="2" w:space="0" w:color="000000"/>
              <w:tl2br w:val="single" w:sz="2" w:space="0" w:color="000000"/>
            </w:tcBorders>
            <w:vAlign w:val="center"/>
          </w:tcPr>
          <w:p w:rsidR="00BD5820" w:rsidRDefault="00F64314">
            <w:pPr>
              <w:pStyle w:val="afff1"/>
              <w:jc w:val="right"/>
              <w:rPr>
                <w:b/>
                <w:bCs/>
                <w:szCs w:val="21"/>
              </w:rPr>
            </w:pPr>
            <w:r>
              <w:rPr>
                <w:b/>
                <w:bCs/>
                <w:szCs w:val="21"/>
              </w:rPr>
              <w:lastRenderedPageBreak/>
              <w:t>监测</w:t>
            </w:r>
            <w:r>
              <w:rPr>
                <w:rFonts w:hint="eastAsia"/>
                <w:b/>
                <w:bCs/>
                <w:szCs w:val="21"/>
              </w:rPr>
              <w:t>结果</w:t>
            </w:r>
          </w:p>
          <w:p w:rsidR="00BD5820" w:rsidRDefault="00F64314">
            <w:pPr>
              <w:pStyle w:val="afff1"/>
              <w:jc w:val="left"/>
              <w:rPr>
                <w:b/>
                <w:bCs/>
                <w:szCs w:val="21"/>
              </w:rPr>
            </w:pPr>
            <w:r>
              <w:rPr>
                <w:b/>
                <w:bCs/>
                <w:szCs w:val="21"/>
              </w:rPr>
              <w:t>监测项目</w:t>
            </w:r>
          </w:p>
        </w:tc>
        <w:tc>
          <w:tcPr>
            <w:tcW w:w="1028" w:type="pct"/>
            <w:tcBorders>
              <w:top w:val="single" w:sz="12" w:space="0" w:color="000000"/>
              <w:bottom w:val="single" w:sz="2" w:space="0" w:color="000000"/>
            </w:tcBorders>
            <w:vAlign w:val="center"/>
          </w:tcPr>
          <w:p w:rsidR="00BD5820" w:rsidRDefault="00F64314">
            <w:pPr>
              <w:pStyle w:val="afff1"/>
              <w:rPr>
                <w:b/>
                <w:bCs/>
                <w:szCs w:val="21"/>
              </w:rPr>
            </w:pPr>
            <w:r>
              <w:rPr>
                <w:b/>
                <w:bCs/>
                <w:szCs w:val="21"/>
              </w:rPr>
              <w:t>单位</w:t>
            </w:r>
          </w:p>
        </w:tc>
        <w:tc>
          <w:tcPr>
            <w:tcW w:w="854" w:type="pct"/>
            <w:tcBorders>
              <w:top w:val="single" w:sz="12" w:space="0" w:color="000000"/>
              <w:bottom w:val="single" w:sz="2" w:space="0" w:color="000000"/>
            </w:tcBorders>
            <w:vAlign w:val="center"/>
          </w:tcPr>
          <w:p w:rsidR="00BD5820" w:rsidRDefault="00F64314">
            <w:pPr>
              <w:pStyle w:val="afff1"/>
              <w:rPr>
                <w:b/>
                <w:bCs/>
                <w:szCs w:val="21"/>
              </w:rPr>
            </w:pPr>
            <w:r>
              <w:rPr>
                <w:b/>
                <w:bCs/>
                <w:szCs w:val="21"/>
              </w:rPr>
              <w:t>监测结果</w:t>
            </w:r>
            <w:r>
              <w:rPr>
                <w:rFonts w:hint="eastAsia"/>
                <w:b/>
                <w:bCs/>
                <w:szCs w:val="21"/>
              </w:rPr>
              <w:t>（</w:t>
            </w:r>
            <w:r>
              <w:rPr>
                <w:rFonts w:hint="eastAsia"/>
                <w:b/>
                <w:bCs/>
                <w:szCs w:val="21"/>
              </w:rPr>
              <w:t>6.5</w:t>
            </w:r>
            <w:r>
              <w:rPr>
                <w:b/>
                <w:bCs/>
                <w:szCs w:val="21"/>
              </w:rPr>
              <w:t>&lt;pH</w:t>
            </w:r>
            <w:r>
              <w:rPr>
                <w:rFonts w:hint="eastAsia"/>
                <w:b/>
                <w:bCs/>
                <w:szCs w:val="21"/>
              </w:rPr>
              <w:t>≤</w:t>
            </w:r>
            <w:r>
              <w:rPr>
                <w:b/>
                <w:bCs/>
                <w:szCs w:val="21"/>
              </w:rPr>
              <w:t>7.5</w:t>
            </w:r>
            <w:r>
              <w:rPr>
                <w:rFonts w:hint="eastAsia"/>
                <w:b/>
                <w:bCs/>
                <w:szCs w:val="21"/>
              </w:rPr>
              <w:t>）</w:t>
            </w:r>
          </w:p>
        </w:tc>
        <w:tc>
          <w:tcPr>
            <w:tcW w:w="663" w:type="pct"/>
            <w:tcBorders>
              <w:top w:val="single" w:sz="12" w:space="0" w:color="000000"/>
              <w:bottom w:val="single" w:sz="2" w:space="0" w:color="000000"/>
            </w:tcBorders>
            <w:vAlign w:val="center"/>
          </w:tcPr>
          <w:p w:rsidR="00BD5820" w:rsidRDefault="00F64314">
            <w:pPr>
              <w:pStyle w:val="afff1"/>
              <w:rPr>
                <w:b/>
                <w:bCs/>
                <w:szCs w:val="21"/>
              </w:rPr>
            </w:pPr>
            <w:r>
              <w:rPr>
                <w:b/>
                <w:bCs/>
                <w:szCs w:val="21"/>
              </w:rPr>
              <w:t>标准值</w:t>
            </w:r>
          </w:p>
        </w:tc>
        <w:tc>
          <w:tcPr>
            <w:tcW w:w="661" w:type="pct"/>
            <w:tcBorders>
              <w:top w:val="single" w:sz="12" w:space="0" w:color="000000"/>
              <w:bottom w:val="single" w:sz="2" w:space="0" w:color="000000"/>
            </w:tcBorders>
            <w:vAlign w:val="center"/>
          </w:tcPr>
          <w:p w:rsidR="00BD5820" w:rsidRDefault="00F64314">
            <w:pPr>
              <w:pStyle w:val="afff1"/>
              <w:rPr>
                <w:b/>
                <w:bCs/>
                <w:szCs w:val="21"/>
              </w:rPr>
            </w:pPr>
            <w:r>
              <w:rPr>
                <w:b/>
                <w:bCs/>
                <w:szCs w:val="21"/>
              </w:rPr>
              <w:t>S</w:t>
            </w:r>
            <w:r>
              <w:rPr>
                <w:b/>
                <w:bCs/>
                <w:szCs w:val="21"/>
                <w:vertAlign w:val="subscript"/>
              </w:rPr>
              <w:t>i</w:t>
            </w:r>
            <w:r>
              <w:rPr>
                <w:rFonts w:hint="eastAsia"/>
                <w:b/>
                <w:bCs/>
                <w:szCs w:val="21"/>
                <w:vertAlign w:val="subscript"/>
              </w:rPr>
              <w:t>，</w:t>
            </w:r>
            <w:r>
              <w:rPr>
                <w:b/>
                <w:bCs/>
                <w:szCs w:val="21"/>
                <w:vertAlign w:val="subscript"/>
              </w:rPr>
              <w:t>j</w:t>
            </w:r>
          </w:p>
        </w:tc>
      </w:tr>
      <w:tr w:rsidR="00BD5820">
        <w:trPr>
          <w:trHeight w:val="19"/>
          <w:jc w:val="center"/>
        </w:trPr>
        <w:tc>
          <w:tcPr>
            <w:tcW w:w="815" w:type="pct"/>
            <w:tcBorders>
              <w:top w:val="single" w:sz="2" w:space="0" w:color="000000"/>
              <w:bottom w:val="single" w:sz="2" w:space="0" w:color="000000"/>
            </w:tcBorders>
            <w:vAlign w:val="center"/>
          </w:tcPr>
          <w:p w:rsidR="00BD5820" w:rsidRDefault="00F64314">
            <w:pPr>
              <w:pStyle w:val="afff1"/>
              <w:rPr>
                <w:szCs w:val="21"/>
              </w:rPr>
            </w:pPr>
            <w:r>
              <w:rPr>
                <w:szCs w:val="21"/>
              </w:rPr>
              <w:t>1</w:t>
            </w:r>
          </w:p>
        </w:tc>
        <w:tc>
          <w:tcPr>
            <w:tcW w:w="979" w:type="pct"/>
            <w:tcBorders>
              <w:top w:val="single" w:sz="2" w:space="0" w:color="000000"/>
              <w:bottom w:val="single" w:sz="2" w:space="0" w:color="000000"/>
            </w:tcBorders>
            <w:vAlign w:val="center"/>
          </w:tcPr>
          <w:p w:rsidR="00BD5820" w:rsidRDefault="00F64314">
            <w:pPr>
              <w:pStyle w:val="afff1"/>
              <w:rPr>
                <w:szCs w:val="21"/>
              </w:rPr>
            </w:pPr>
            <w:r>
              <w:rPr>
                <w:szCs w:val="21"/>
              </w:rPr>
              <w:t>pH</w:t>
            </w:r>
          </w:p>
        </w:tc>
        <w:tc>
          <w:tcPr>
            <w:tcW w:w="1028" w:type="pct"/>
            <w:tcBorders>
              <w:top w:val="single" w:sz="2" w:space="0" w:color="000000"/>
              <w:bottom w:val="single" w:sz="2" w:space="0" w:color="000000"/>
            </w:tcBorders>
            <w:vAlign w:val="center"/>
          </w:tcPr>
          <w:p w:rsidR="00BD5820" w:rsidRDefault="00F64314">
            <w:pPr>
              <w:pStyle w:val="Default"/>
              <w:jc w:val="center"/>
              <w:rPr>
                <w:rFonts w:ascii="Times New Roman" w:hAnsi="Times New Roman" w:cs="Times New Roman"/>
                <w:color w:val="auto"/>
                <w:kern w:val="2"/>
                <w:sz w:val="21"/>
                <w:szCs w:val="21"/>
                <w:shd w:val="clear" w:color="auto" w:fill="FFFFFF"/>
              </w:rPr>
            </w:pPr>
            <w:r>
              <w:rPr>
                <w:rFonts w:ascii="Times New Roman" w:hAnsi="Times New Roman" w:cs="Times New Roman"/>
                <w:color w:val="auto"/>
                <w:kern w:val="2"/>
                <w:sz w:val="21"/>
                <w:szCs w:val="21"/>
                <w:shd w:val="clear" w:color="auto" w:fill="FFFFFF"/>
              </w:rPr>
              <w:t>无量纲</w:t>
            </w:r>
          </w:p>
        </w:tc>
        <w:tc>
          <w:tcPr>
            <w:tcW w:w="854" w:type="pct"/>
            <w:tcBorders>
              <w:top w:val="single" w:sz="2" w:space="0" w:color="000000"/>
              <w:bottom w:val="single" w:sz="2" w:space="0" w:color="000000"/>
            </w:tcBorders>
            <w:vAlign w:val="center"/>
          </w:tcPr>
          <w:p w:rsidR="00BD5820" w:rsidRDefault="00F64314">
            <w:pPr>
              <w:pStyle w:val="afff1"/>
              <w:rPr>
                <w:szCs w:val="21"/>
              </w:rPr>
            </w:pPr>
            <w:r>
              <w:rPr>
                <w:rFonts w:hint="eastAsia"/>
                <w:szCs w:val="21"/>
              </w:rPr>
              <w:t>6.96~7.25</w:t>
            </w:r>
          </w:p>
        </w:tc>
        <w:tc>
          <w:tcPr>
            <w:tcW w:w="663" w:type="pct"/>
            <w:tcBorders>
              <w:top w:val="single" w:sz="2" w:space="0" w:color="000000"/>
              <w:bottom w:val="single" w:sz="2" w:space="0" w:color="000000"/>
            </w:tcBorders>
            <w:vAlign w:val="center"/>
          </w:tcPr>
          <w:p w:rsidR="00BD5820" w:rsidRDefault="00F64314">
            <w:pPr>
              <w:pStyle w:val="afff1"/>
              <w:rPr>
                <w:szCs w:val="21"/>
              </w:rPr>
            </w:pPr>
            <w:r>
              <w:rPr>
                <w:rFonts w:hint="eastAsia"/>
                <w:bCs/>
                <w:szCs w:val="21"/>
              </w:rPr>
              <w:t>6.5&lt;pH</w:t>
            </w:r>
            <w:r>
              <w:rPr>
                <w:rFonts w:hint="eastAsia"/>
                <w:bCs/>
                <w:szCs w:val="21"/>
              </w:rPr>
              <w:t>≤</w:t>
            </w:r>
            <w:r>
              <w:rPr>
                <w:rFonts w:hint="eastAsia"/>
                <w:bCs/>
                <w:szCs w:val="21"/>
              </w:rPr>
              <w:t>7.5</w:t>
            </w:r>
          </w:p>
        </w:tc>
        <w:tc>
          <w:tcPr>
            <w:tcW w:w="661" w:type="pct"/>
            <w:tcBorders>
              <w:top w:val="single" w:sz="2" w:space="0" w:color="000000"/>
              <w:bottom w:val="single" w:sz="2" w:space="0" w:color="000000"/>
            </w:tcBorders>
            <w:vAlign w:val="center"/>
          </w:tcPr>
          <w:p w:rsidR="00BD5820" w:rsidRDefault="00F64314">
            <w:pPr>
              <w:pStyle w:val="afff1"/>
              <w:rPr>
                <w:szCs w:val="21"/>
              </w:rPr>
            </w:pPr>
            <w:r>
              <w:rPr>
                <w:szCs w:val="21"/>
              </w:rPr>
              <w:t>/</w:t>
            </w:r>
          </w:p>
        </w:tc>
      </w:tr>
      <w:tr w:rsidR="00BD5820">
        <w:trPr>
          <w:trHeight w:val="19"/>
          <w:jc w:val="center"/>
        </w:trPr>
        <w:tc>
          <w:tcPr>
            <w:tcW w:w="815" w:type="pct"/>
            <w:tcBorders>
              <w:top w:val="single" w:sz="2" w:space="0" w:color="000000"/>
              <w:bottom w:val="single" w:sz="2" w:space="0" w:color="000000"/>
            </w:tcBorders>
            <w:vAlign w:val="center"/>
          </w:tcPr>
          <w:p w:rsidR="00BD5820" w:rsidRDefault="00F64314">
            <w:pPr>
              <w:pStyle w:val="afff1"/>
              <w:rPr>
                <w:szCs w:val="21"/>
              </w:rPr>
            </w:pPr>
            <w:r>
              <w:rPr>
                <w:szCs w:val="21"/>
              </w:rPr>
              <w:t>2</w:t>
            </w:r>
          </w:p>
        </w:tc>
        <w:tc>
          <w:tcPr>
            <w:tcW w:w="979" w:type="pct"/>
            <w:tcBorders>
              <w:top w:val="single" w:sz="2" w:space="0" w:color="000000"/>
              <w:bottom w:val="single" w:sz="2" w:space="0" w:color="000000"/>
            </w:tcBorders>
            <w:vAlign w:val="center"/>
          </w:tcPr>
          <w:p w:rsidR="00BD5820" w:rsidRDefault="00F64314">
            <w:pPr>
              <w:pStyle w:val="afff1"/>
              <w:rPr>
                <w:szCs w:val="21"/>
              </w:rPr>
            </w:pPr>
            <w:r>
              <w:rPr>
                <w:szCs w:val="21"/>
              </w:rPr>
              <w:t>镉</w:t>
            </w:r>
          </w:p>
        </w:tc>
        <w:tc>
          <w:tcPr>
            <w:tcW w:w="1028" w:type="pct"/>
            <w:tcBorders>
              <w:top w:val="single" w:sz="2" w:space="0" w:color="000000"/>
              <w:bottom w:val="single" w:sz="2" w:space="0" w:color="000000"/>
            </w:tcBorders>
          </w:tcPr>
          <w:p w:rsidR="00BD5820" w:rsidRDefault="00F64314">
            <w:pPr>
              <w:pStyle w:val="Default"/>
              <w:jc w:val="center"/>
              <w:rPr>
                <w:rFonts w:ascii="Times New Roman" w:hAnsi="Times New Roman" w:cs="Times New Roman"/>
                <w:color w:val="auto"/>
                <w:kern w:val="2"/>
                <w:sz w:val="21"/>
                <w:szCs w:val="21"/>
                <w:shd w:val="clear" w:color="auto" w:fill="FFFFFF"/>
              </w:rPr>
            </w:pPr>
            <w:r>
              <w:rPr>
                <w:rFonts w:ascii="Times New Roman" w:hAnsi="Times New Roman" w:cs="Times New Roman"/>
                <w:color w:val="auto"/>
                <w:sz w:val="21"/>
                <w:szCs w:val="21"/>
              </w:rPr>
              <w:t>mg/kg</w:t>
            </w:r>
          </w:p>
        </w:tc>
        <w:tc>
          <w:tcPr>
            <w:tcW w:w="854" w:type="pct"/>
            <w:tcBorders>
              <w:top w:val="single" w:sz="2" w:space="0" w:color="000000"/>
              <w:bottom w:val="single" w:sz="2" w:space="0" w:color="000000"/>
            </w:tcBorders>
            <w:vAlign w:val="center"/>
          </w:tcPr>
          <w:p w:rsidR="00BD5820" w:rsidRDefault="00F64314">
            <w:pPr>
              <w:pStyle w:val="afff1"/>
              <w:rPr>
                <w:rFonts w:eastAsia="仿宋"/>
                <w:szCs w:val="21"/>
              </w:rPr>
            </w:pPr>
            <w:r>
              <w:rPr>
                <w:rFonts w:eastAsia="仿宋" w:hint="eastAsia"/>
                <w:bCs/>
                <w:szCs w:val="21"/>
              </w:rPr>
              <w:t>0.13</w:t>
            </w:r>
            <w:r>
              <w:rPr>
                <w:rFonts w:hint="eastAsia"/>
                <w:szCs w:val="21"/>
              </w:rPr>
              <w:t>~</w:t>
            </w:r>
            <w:r>
              <w:rPr>
                <w:rFonts w:eastAsia="仿宋" w:hint="eastAsia"/>
                <w:bCs/>
                <w:szCs w:val="21"/>
              </w:rPr>
              <w:t>0.17</w:t>
            </w:r>
          </w:p>
        </w:tc>
        <w:tc>
          <w:tcPr>
            <w:tcW w:w="663" w:type="pct"/>
            <w:tcBorders>
              <w:top w:val="single" w:sz="2" w:space="0" w:color="000000"/>
              <w:bottom w:val="single" w:sz="2" w:space="0" w:color="000000"/>
            </w:tcBorders>
            <w:vAlign w:val="center"/>
          </w:tcPr>
          <w:p w:rsidR="00BD5820" w:rsidRDefault="00F64314">
            <w:pPr>
              <w:pStyle w:val="afff1"/>
              <w:rPr>
                <w:szCs w:val="21"/>
              </w:rPr>
            </w:pPr>
            <w:r>
              <w:rPr>
                <w:szCs w:val="21"/>
              </w:rPr>
              <w:t>0.</w:t>
            </w:r>
            <w:r>
              <w:rPr>
                <w:rFonts w:hint="eastAsia"/>
                <w:szCs w:val="21"/>
              </w:rPr>
              <w:t>3</w:t>
            </w:r>
          </w:p>
        </w:tc>
        <w:tc>
          <w:tcPr>
            <w:tcW w:w="661" w:type="pct"/>
            <w:tcBorders>
              <w:top w:val="single" w:sz="2" w:space="0" w:color="000000"/>
              <w:bottom w:val="single" w:sz="2" w:space="0" w:color="000000"/>
            </w:tcBorders>
            <w:vAlign w:val="center"/>
          </w:tcPr>
          <w:p w:rsidR="00BD5820" w:rsidRDefault="00F64314">
            <w:pPr>
              <w:pStyle w:val="afff1"/>
              <w:rPr>
                <w:szCs w:val="21"/>
              </w:rPr>
            </w:pPr>
            <w:r>
              <w:rPr>
                <w:rFonts w:hint="eastAsia"/>
                <w:szCs w:val="21"/>
              </w:rPr>
              <w:t>0.43~0.57</w:t>
            </w:r>
          </w:p>
        </w:tc>
      </w:tr>
      <w:tr w:rsidR="00BD5820">
        <w:trPr>
          <w:trHeight w:val="19"/>
          <w:jc w:val="center"/>
        </w:trPr>
        <w:tc>
          <w:tcPr>
            <w:tcW w:w="815" w:type="pct"/>
            <w:tcBorders>
              <w:top w:val="single" w:sz="2" w:space="0" w:color="000000"/>
              <w:bottom w:val="single" w:sz="2" w:space="0" w:color="000000"/>
            </w:tcBorders>
            <w:vAlign w:val="center"/>
          </w:tcPr>
          <w:p w:rsidR="00BD5820" w:rsidRDefault="00F64314">
            <w:pPr>
              <w:pStyle w:val="afff1"/>
              <w:rPr>
                <w:szCs w:val="21"/>
              </w:rPr>
            </w:pPr>
            <w:r>
              <w:rPr>
                <w:szCs w:val="21"/>
              </w:rPr>
              <w:t>3</w:t>
            </w:r>
          </w:p>
        </w:tc>
        <w:tc>
          <w:tcPr>
            <w:tcW w:w="979" w:type="pct"/>
            <w:tcBorders>
              <w:top w:val="single" w:sz="2" w:space="0" w:color="000000"/>
              <w:bottom w:val="single" w:sz="2" w:space="0" w:color="000000"/>
            </w:tcBorders>
            <w:vAlign w:val="center"/>
          </w:tcPr>
          <w:p w:rsidR="00BD5820" w:rsidRDefault="00F64314">
            <w:pPr>
              <w:pStyle w:val="afff1"/>
              <w:rPr>
                <w:szCs w:val="21"/>
              </w:rPr>
            </w:pPr>
            <w:r>
              <w:rPr>
                <w:szCs w:val="21"/>
              </w:rPr>
              <w:t>汞</w:t>
            </w:r>
          </w:p>
        </w:tc>
        <w:tc>
          <w:tcPr>
            <w:tcW w:w="1028" w:type="pct"/>
            <w:tcBorders>
              <w:top w:val="single" w:sz="2" w:space="0" w:color="000000"/>
              <w:bottom w:val="single" w:sz="2" w:space="0" w:color="000000"/>
            </w:tcBorders>
          </w:tcPr>
          <w:p w:rsidR="00BD5820" w:rsidRDefault="00F64314">
            <w:pPr>
              <w:pStyle w:val="Default"/>
              <w:jc w:val="center"/>
              <w:rPr>
                <w:rFonts w:ascii="Times New Roman" w:hAnsi="Times New Roman" w:cs="Times New Roman"/>
                <w:color w:val="auto"/>
                <w:kern w:val="2"/>
                <w:sz w:val="21"/>
                <w:szCs w:val="21"/>
                <w:shd w:val="clear" w:color="auto" w:fill="FFFFFF"/>
              </w:rPr>
            </w:pPr>
            <w:r>
              <w:rPr>
                <w:rFonts w:ascii="Times New Roman" w:hAnsi="Times New Roman" w:cs="Times New Roman"/>
                <w:color w:val="auto"/>
                <w:sz w:val="21"/>
                <w:szCs w:val="21"/>
              </w:rPr>
              <w:t>mg/kg</w:t>
            </w:r>
          </w:p>
        </w:tc>
        <w:tc>
          <w:tcPr>
            <w:tcW w:w="854" w:type="pct"/>
            <w:tcBorders>
              <w:top w:val="single" w:sz="2" w:space="0" w:color="000000"/>
              <w:bottom w:val="single" w:sz="2" w:space="0" w:color="000000"/>
            </w:tcBorders>
            <w:vAlign w:val="center"/>
          </w:tcPr>
          <w:p w:rsidR="00BD5820" w:rsidRDefault="00F64314">
            <w:pPr>
              <w:pStyle w:val="afff1"/>
              <w:rPr>
                <w:rFonts w:eastAsia="仿宋"/>
                <w:szCs w:val="21"/>
              </w:rPr>
            </w:pPr>
            <w:r>
              <w:rPr>
                <w:rFonts w:eastAsia="仿宋" w:hint="eastAsia"/>
                <w:bCs/>
                <w:szCs w:val="21"/>
              </w:rPr>
              <w:t>0.022</w:t>
            </w:r>
            <w:r>
              <w:rPr>
                <w:rFonts w:hint="eastAsia"/>
                <w:szCs w:val="21"/>
              </w:rPr>
              <w:t>~</w:t>
            </w:r>
            <w:r>
              <w:rPr>
                <w:rFonts w:eastAsia="仿宋" w:hint="eastAsia"/>
                <w:bCs/>
                <w:szCs w:val="21"/>
              </w:rPr>
              <w:t>0.026</w:t>
            </w:r>
          </w:p>
        </w:tc>
        <w:tc>
          <w:tcPr>
            <w:tcW w:w="663" w:type="pct"/>
            <w:tcBorders>
              <w:top w:val="single" w:sz="2" w:space="0" w:color="000000"/>
              <w:bottom w:val="single" w:sz="2" w:space="0" w:color="000000"/>
            </w:tcBorders>
            <w:vAlign w:val="center"/>
          </w:tcPr>
          <w:p w:rsidR="00BD5820" w:rsidRDefault="00F64314">
            <w:pPr>
              <w:pStyle w:val="afff1"/>
              <w:rPr>
                <w:szCs w:val="21"/>
              </w:rPr>
            </w:pPr>
            <w:r>
              <w:rPr>
                <w:rFonts w:hint="eastAsia"/>
                <w:szCs w:val="21"/>
              </w:rPr>
              <w:t>2.4</w:t>
            </w:r>
          </w:p>
        </w:tc>
        <w:tc>
          <w:tcPr>
            <w:tcW w:w="661" w:type="pct"/>
            <w:tcBorders>
              <w:top w:val="single" w:sz="2" w:space="0" w:color="000000"/>
              <w:bottom w:val="single" w:sz="2" w:space="0" w:color="000000"/>
            </w:tcBorders>
            <w:vAlign w:val="center"/>
          </w:tcPr>
          <w:p w:rsidR="00BD5820" w:rsidRDefault="00F64314">
            <w:pPr>
              <w:pStyle w:val="afff1"/>
              <w:rPr>
                <w:szCs w:val="21"/>
              </w:rPr>
            </w:pPr>
            <w:r>
              <w:rPr>
                <w:rFonts w:hint="eastAsia"/>
                <w:szCs w:val="21"/>
              </w:rPr>
              <w:t>0.009~0.011</w:t>
            </w:r>
          </w:p>
        </w:tc>
      </w:tr>
      <w:tr w:rsidR="00BD5820">
        <w:trPr>
          <w:trHeight w:val="19"/>
          <w:jc w:val="center"/>
        </w:trPr>
        <w:tc>
          <w:tcPr>
            <w:tcW w:w="815" w:type="pct"/>
            <w:tcBorders>
              <w:top w:val="single" w:sz="2" w:space="0" w:color="000000"/>
              <w:bottom w:val="single" w:sz="2" w:space="0" w:color="000000"/>
            </w:tcBorders>
            <w:vAlign w:val="center"/>
          </w:tcPr>
          <w:p w:rsidR="00BD5820" w:rsidRDefault="00F64314">
            <w:pPr>
              <w:pStyle w:val="afff1"/>
              <w:rPr>
                <w:szCs w:val="21"/>
              </w:rPr>
            </w:pPr>
            <w:r>
              <w:rPr>
                <w:szCs w:val="21"/>
              </w:rPr>
              <w:t>4</w:t>
            </w:r>
          </w:p>
        </w:tc>
        <w:tc>
          <w:tcPr>
            <w:tcW w:w="979" w:type="pct"/>
            <w:tcBorders>
              <w:top w:val="single" w:sz="2" w:space="0" w:color="000000"/>
              <w:bottom w:val="single" w:sz="2" w:space="0" w:color="000000"/>
            </w:tcBorders>
            <w:vAlign w:val="center"/>
          </w:tcPr>
          <w:p w:rsidR="00BD5820" w:rsidRDefault="00F64314">
            <w:pPr>
              <w:pStyle w:val="afff1"/>
              <w:rPr>
                <w:szCs w:val="21"/>
              </w:rPr>
            </w:pPr>
            <w:r>
              <w:rPr>
                <w:szCs w:val="21"/>
              </w:rPr>
              <w:t>砷</w:t>
            </w:r>
          </w:p>
        </w:tc>
        <w:tc>
          <w:tcPr>
            <w:tcW w:w="1028" w:type="pct"/>
            <w:tcBorders>
              <w:top w:val="single" w:sz="2" w:space="0" w:color="000000"/>
              <w:bottom w:val="single" w:sz="2" w:space="0" w:color="000000"/>
            </w:tcBorders>
          </w:tcPr>
          <w:p w:rsidR="00BD5820" w:rsidRDefault="00F64314">
            <w:pPr>
              <w:pStyle w:val="Default"/>
              <w:jc w:val="center"/>
              <w:rPr>
                <w:rFonts w:ascii="Times New Roman" w:hAnsi="Times New Roman" w:cs="Times New Roman"/>
                <w:color w:val="auto"/>
                <w:kern w:val="2"/>
                <w:sz w:val="21"/>
                <w:szCs w:val="21"/>
                <w:shd w:val="clear" w:color="auto" w:fill="FFFFFF"/>
              </w:rPr>
            </w:pPr>
            <w:r>
              <w:rPr>
                <w:rFonts w:ascii="Times New Roman" w:hAnsi="Times New Roman" w:cs="Times New Roman"/>
                <w:color w:val="auto"/>
                <w:sz w:val="21"/>
                <w:szCs w:val="21"/>
              </w:rPr>
              <w:t>mg/kg</w:t>
            </w:r>
          </w:p>
        </w:tc>
        <w:tc>
          <w:tcPr>
            <w:tcW w:w="854" w:type="pct"/>
            <w:tcBorders>
              <w:top w:val="single" w:sz="2" w:space="0" w:color="000000"/>
              <w:bottom w:val="single" w:sz="2" w:space="0" w:color="000000"/>
            </w:tcBorders>
            <w:vAlign w:val="center"/>
          </w:tcPr>
          <w:p w:rsidR="00BD5820" w:rsidRDefault="00F64314">
            <w:pPr>
              <w:pStyle w:val="afff1"/>
              <w:rPr>
                <w:rFonts w:eastAsia="仿宋"/>
                <w:szCs w:val="21"/>
              </w:rPr>
            </w:pPr>
            <w:r>
              <w:rPr>
                <w:rFonts w:eastAsia="仿宋" w:hint="eastAsia"/>
                <w:bCs/>
                <w:szCs w:val="21"/>
              </w:rPr>
              <w:t>3.71</w:t>
            </w:r>
            <w:r>
              <w:rPr>
                <w:rFonts w:hint="eastAsia"/>
                <w:szCs w:val="21"/>
              </w:rPr>
              <w:t>~</w:t>
            </w:r>
            <w:r>
              <w:rPr>
                <w:rFonts w:eastAsia="仿宋" w:hint="eastAsia"/>
                <w:bCs/>
                <w:szCs w:val="21"/>
              </w:rPr>
              <w:t>4.26</w:t>
            </w:r>
          </w:p>
        </w:tc>
        <w:tc>
          <w:tcPr>
            <w:tcW w:w="663" w:type="pct"/>
            <w:tcBorders>
              <w:top w:val="single" w:sz="2" w:space="0" w:color="000000"/>
              <w:bottom w:val="single" w:sz="2" w:space="0" w:color="000000"/>
            </w:tcBorders>
            <w:vAlign w:val="center"/>
          </w:tcPr>
          <w:p w:rsidR="00BD5820" w:rsidRDefault="00F64314">
            <w:pPr>
              <w:pStyle w:val="afff1"/>
              <w:rPr>
                <w:szCs w:val="21"/>
              </w:rPr>
            </w:pPr>
            <w:r>
              <w:rPr>
                <w:rFonts w:hint="eastAsia"/>
                <w:szCs w:val="21"/>
              </w:rPr>
              <w:t>30</w:t>
            </w:r>
          </w:p>
        </w:tc>
        <w:tc>
          <w:tcPr>
            <w:tcW w:w="661" w:type="pct"/>
            <w:tcBorders>
              <w:top w:val="single" w:sz="2" w:space="0" w:color="000000"/>
              <w:bottom w:val="single" w:sz="2" w:space="0" w:color="000000"/>
            </w:tcBorders>
            <w:vAlign w:val="center"/>
          </w:tcPr>
          <w:p w:rsidR="00BD5820" w:rsidRDefault="00F64314">
            <w:pPr>
              <w:pStyle w:val="afff1"/>
              <w:rPr>
                <w:szCs w:val="21"/>
              </w:rPr>
            </w:pPr>
            <w:r>
              <w:rPr>
                <w:rFonts w:hint="eastAsia"/>
                <w:szCs w:val="21"/>
              </w:rPr>
              <w:t>0.124~0.142</w:t>
            </w:r>
          </w:p>
        </w:tc>
      </w:tr>
      <w:tr w:rsidR="00BD5820">
        <w:trPr>
          <w:trHeight w:val="19"/>
          <w:jc w:val="center"/>
        </w:trPr>
        <w:tc>
          <w:tcPr>
            <w:tcW w:w="815" w:type="pct"/>
            <w:tcBorders>
              <w:top w:val="single" w:sz="2" w:space="0" w:color="000000"/>
              <w:bottom w:val="single" w:sz="2" w:space="0" w:color="000000"/>
            </w:tcBorders>
            <w:vAlign w:val="center"/>
          </w:tcPr>
          <w:p w:rsidR="00BD5820" w:rsidRDefault="00F64314">
            <w:pPr>
              <w:pStyle w:val="afff1"/>
              <w:rPr>
                <w:szCs w:val="21"/>
              </w:rPr>
            </w:pPr>
            <w:r>
              <w:rPr>
                <w:szCs w:val="21"/>
              </w:rPr>
              <w:t>5</w:t>
            </w:r>
          </w:p>
        </w:tc>
        <w:tc>
          <w:tcPr>
            <w:tcW w:w="979" w:type="pct"/>
            <w:tcBorders>
              <w:top w:val="single" w:sz="2" w:space="0" w:color="000000"/>
              <w:bottom w:val="single" w:sz="2" w:space="0" w:color="000000"/>
            </w:tcBorders>
            <w:vAlign w:val="center"/>
          </w:tcPr>
          <w:p w:rsidR="00BD5820" w:rsidRDefault="00F64314">
            <w:pPr>
              <w:pStyle w:val="afff1"/>
              <w:rPr>
                <w:szCs w:val="21"/>
              </w:rPr>
            </w:pPr>
            <w:r>
              <w:rPr>
                <w:szCs w:val="21"/>
              </w:rPr>
              <w:t>铅</w:t>
            </w:r>
          </w:p>
        </w:tc>
        <w:tc>
          <w:tcPr>
            <w:tcW w:w="1028" w:type="pct"/>
            <w:tcBorders>
              <w:top w:val="single" w:sz="2" w:space="0" w:color="000000"/>
              <w:bottom w:val="single" w:sz="2" w:space="0" w:color="000000"/>
            </w:tcBorders>
          </w:tcPr>
          <w:p w:rsidR="00BD5820" w:rsidRDefault="00F64314">
            <w:pPr>
              <w:pStyle w:val="Default"/>
              <w:jc w:val="center"/>
              <w:rPr>
                <w:rFonts w:ascii="Times New Roman" w:hAnsi="Times New Roman" w:cs="Times New Roman"/>
                <w:color w:val="auto"/>
                <w:kern w:val="2"/>
                <w:sz w:val="21"/>
                <w:szCs w:val="21"/>
                <w:shd w:val="clear" w:color="auto" w:fill="FFFFFF"/>
              </w:rPr>
            </w:pPr>
            <w:r>
              <w:rPr>
                <w:rFonts w:ascii="Times New Roman" w:hAnsi="Times New Roman" w:cs="Times New Roman"/>
                <w:color w:val="auto"/>
                <w:sz w:val="21"/>
                <w:szCs w:val="21"/>
              </w:rPr>
              <w:t>mg/kg</w:t>
            </w:r>
          </w:p>
        </w:tc>
        <w:tc>
          <w:tcPr>
            <w:tcW w:w="854" w:type="pct"/>
            <w:tcBorders>
              <w:top w:val="single" w:sz="2" w:space="0" w:color="000000"/>
              <w:bottom w:val="single" w:sz="2" w:space="0" w:color="000000"/>
            </w:tcBorders>
            <w:vAlign w:val="center"/>
          </w:tcPr>
          <w:p w:rsidR="00BD5820" w:rsidRDefault="00F64314">
            <w:pPr>
              <w:pStyle w:val="afff1"/>
              <w:rPr>
                <w:szCs w:val="21"/>
              </w:rPr>
            </w:pPr>
            <w:r>
              <w:rPr>
                <w:rFonts w:eastAsia="仿宋" w:hint="eastAsia"/>
                <w:bCs/>
                <w:szCs w:val="21"/>
              </w:rPr>
              <w:t>18.4</w:t>
            </w:r>
            <w:r>
              <w:rPr>
                <w:rFonts w:hint="eastAsia"/>
                <w:szCs w:val="21"/>
              </w:rPr>
              <w:t>~</w:t>
            </w:r>
            <w:r>
              <w:rPr>
                <w:rFonts w:eastAsia="仿宋" w:hint="eastAsia"/>
                <w:bCs/>
                <w:szCs w:val="21"/>
              </w:rPr>
              <w:t>22.8</w:t>
            </w:r>
          </w:p>
        </w:tc>
        <w:tc>
          <w:tcPr>
            <w:tcW w:w="663" w:type="pct"/>
            <w:tcBorders>
              <w:top w:val="single" w:sz="2" w:space="0" w:color="000000"/>
              <w:bottom w:val="single" w:sz="2" w:space="0" w:color="000000"/>
            </w:tcBorders>
            <w:vAlign w:val="center"/>
          </w:tcPr>
          <w:p w:rsidR="00BD5820" w:rsidRDefault="00F64314">
            <w:pPr>
              <w:pStyle w:val="afff1"/>
              <w:rPr>
                <w:szCs w:val="21"/>
              </w:rPr>
            </w:pPr>
            <w:r>
              <w:rPr>
                <w:rFonts w:hint="eastAsia"/>
                <w:szCs w:val="21"/>
              </w:rPr>
              <w:t>12</w:t>
            </w:r>
            <w:r>
              <w:rPr>
                <w:szCs w:val="21"/>
              </w:rPr>
              <w:t>0</w:t>
            </w:r>
          </w:p>
        </w:tc>
        <w:tc>
          <w:tcPr>
            <w:tcW w:w="661" w:type="pct"/>
            <w:tcBorders>
              <w:top w:val="single" w:sz="2" w:space="0" w:color="000000"/>
              <w:bottom w:val="single" w:sz="2" w:space="0" w:color="000000"/>
            </w:tcBorders>
            <w:vAlign w:val="center"/>
          </w:tcPr>
          <w:p w:rsidR="00BD5820" w:rsidRDefault="00F64314">
            <w:pPr>
              <w:pStyle w:val="afff1"/>
              <w:rPr>
                <w:szCs w:val="21"/>
              </w:rPr>
            </w:pPr>
            <w:r>
              <w:rPr>
                <w:rFonts w:hint="eastAsia"/>
                <w:szCs w:val="21"/>
              </w:rPr>
              <w:t>0.153~0.19</w:t>
            </w:r>
          </w:p>
        </w:tc>
      </w:tr>
      <w:tr w:rsidR="00BD5820">
        <w:trPr>
          <w:trHeight w:val="19"/>
          <w:jc w:val="center"/>
        </w:trPr>
        <w:tc>
          <w:tcPr>
            <w:tcW w:w="815" w:type="pct"/>
            <w:tcBorders>
              <w:top w:val="single" w:sz="2" w:space="0" w:color="000000"/>
              <w:bottom w:val="single" w:sz="2" w:space="0" w:color="000000"/>
            </w:tcBorders>
            <w:vAlign w:val="center"/>
          </w:tcPr>
          <w:p w:rsidR="00BD5820" w:rsidRDefault="00F64314">
            <w:pPr>
              <w:pStyle w:val="afff1"/>
              <w:rPr>
                <w:szCs w:val="21"/>
              </w:rPr>
            </w:pPr>
            <w:r>
              <w:rPr>
                <w:szCs w:val="21"/>
              </w:rPr>
              <w:t>6</w:t>
            </w:r>
          </w:p>
        </w:tc>
        <w:tc>
          <w:tcPr>
            <w:tcW w:w="979" w:type="pct"/>
            <w:tcBorders>
              <w:top w:val="single" w:sz="2" w:space="0" w:color="000000"/>
              <w:bottom w:val="single" w:sz="2" w:space="0" w:color="000000"/>
            </w:tcBorders>
            <w:vAlign w:val="center"/>
          </w:tcPr>
          <w:p w:rsidR="00BD5820" w:rsidRDefault="00F64314">
            <w:pPr>
              <w:pStyle w:val="afff1"/>
              <w:rPr>
                <w:szCs w:val="21"/>
              </w:rPr>
            </w:pPr>
            <w:r>
              <w:rPr>
                <w:szCs w:val="21"/>
              </w:rPr>
              <w:t>铜</w:t>
            </w:r>
          </w:p>
        </w:tc>
        <w:tc>
          <w:tcPr>
            <w:tcW w:w="1028" w:type="pct"/>
            <w:tcBorders>
              <w:top w:val="single" w:sz="2" w:space="0" w:color="000000"/>
              <w:bottom w:val="single" w:sz="2" w:space="0" w:color="000000"/>
            </w:tcBorders>
          </w:tcPr>
          <w:p w:rsidR="00BD5820" w:rsidRDefault="00F64314">
            <w:pPr>
              <w:pStyle w:val="Default"/>
              <w:jc w:val="center"/>
              <w:rPr>
                <w:rFonts w:ascii="Times New Roman" w:hAnsi="Times New Roman" w:cs="Times New Roman"/>
                <w:color w:val="auto"/>
                <w:kern w:val="2"/>
                <w:sz w:val="21"/>
                <w:szCs w:val="21"/>
                <w:shd w:val="clear" w:color="auto" w:fill="FFFFFF"/>
              </w:rPr>
            </w:pPr>
            <w:r>
              <w:rPr>
                <w:rFonts w:ascii="Times New Roman" w:hAnsi="Times New Roman" w:cs="Times New Roman"/>
                <w:color w:val="auto"/>
                <w:sz w:val="21"/>
                <w:szCs w:val="21"/>
              </w:rPr>
              <w:t>mg/kg</w:t>
            </w:r>
          </w:p>
        </w:tc>
        <w:tc>
          <w:tcPr>
            <w:tcW w:w="854" w:type="pct"/>
            <w:tcBorders>
              <w:top w:val="single" w:sz="2" w:space="0" w:color="000000"/>
              <w:bottom w:val="single" w:sz="2" w:space="0" w:color="000000"/>
            </w:tcBorders>
            <w:vAlign w:val="center"/>
          </w:tcPr>
          <w:p w:rsidR="00BD5820" w:rsidRDefault="00F64314">
            <w:pPr>
              <w:pStyle w:val="afff1"/>
              <w:rPr>
                <w:szCs w:val="21"/>
              </w:rPr>
            </w:pPr>
            <w:r>
              <w:rPr>
                <w:rFonts w:eastAsia="仿宋" w:hint="eastAsia"/>
                <w:bCs/>
                <w:szCs w:val="21"/>
              </w:rPr>
              <w:t>9</w:t>
            </w:r>
            <w:r>
              <w:rPr>
                <w:rFonts w:hint="eastAsia"/>
                <w:szCs w:val="21"/>
              </w:rPr>
              <w:t>~11</w:t>
            </w:r>
          </w:p>
        </w:tc>
        <w:tc>
          <w:tcPr>
            <w:tcW w:w="663" w:type="pct"/>
            <w:tcBorders>
              <w:top w:val="single" w:sz="2" w:space="0" w:color="000000"/>
              <w:bottom w:val="single" w:sz="2" w:space="0" w:color="000000"/>
            </w:tcBorders>
            <w:vAlign w:val="center"/>
          </w:tcPr>
          <w:p w:rsidR="00BD5820" w:rsidRDefault="00F64314">
            <w:pPr>
              <w:pStyle w:val="afff1"/>
              <w:rPr>
                <w:szCs w:val="21"/>
              </w:rPr>
            </w:pPr>
            <w:r>
              <w:rPr>
                <w:rFonts w:hint="eastAsia"/>
                <w:szCs w:val="21"/>
              </w:rPr>
              <w:t>100</w:t>
            </w:r>
          </w:p>
        </w:tc>
        <w:tc>
          <w:tcPr>
            <w:tcW w:w="661" w:type="pct"/>
            <w:tcBorders>
              <w:top w:val="single" w:sz="2" w:space="0" w:color="000000"/>
              <w:bottom w:val="single" w:sz="2" w:space="0" w:color="000000"/>
            </w:tcBorders>
            <w:vAlign w:val="center"/>
          </w:tcPr>
          <w:p w:rsidR="00BD5820" w:rsidRDefault="00F64314">
            <w:pPr>
              <w:pStyle w:val="afff1"/>
              <w:rPr>
                <w:szCs w:val="21"/>
              </w:rPr>
            </w:pPr>
            <w:r>
              <w:rPr>
                <w:rFonts w:hint="eastAsia"/>
                <w:szCs w:val="21"/>
              </w:rPr>
              <w:t>0.09~0.11</w:t>
            </w:r>
          </w:p>
        </w:tc>
      </w:tr>
      <w:tr w:rsidR="00BD5820">
        <w:trPr>
          <w:trHeight w:val="19"/>
          <w:jc w:val="center"/>
        </w:trPr>
        <w:tc>
          <w:tcPr>
            <w:tcW w:w="815" w:type="pct"/>
            <w:tcBorders>
              <w:top w:val="single" w:sz="2" w:space="0" w:color="000000"/>
              <w:bottom w:val="single" w:sz="2" w:space="0" w:color="000000"/>
            </w:tcBorders>
            <w:vAlign w:val="center"/>
          </w:tcPr>
          <w:p w:rsidR="00BD5820" w:rsidRDefault="00F64314">
            <w:pPr>
              <w:pStyle w:val="afff1"/>
              <w:rPr>
                <w:szCs w:val="21"/>
              </w:rPr>
            </w:pPr>
            <w:r>
              <w:rPr>
                <w:szCs w:val="21"/>
              </w:rPr>
              <w:t>7</w:t>
            </w:r>
          </w:p>
        </w:tc>
        <w:tc>
          <w:tcPr>
            <w:tcW w:w="979" w:type="pct"/>
            <w:tcBorders>
              <w:top w:val="single" w:sz="2" w:space="0" w:color="000000"/>
              <w:bottom w:val="single" w:sz="2" w:space="0" w:color="000000"/>
            </w:tcBorders>
            <w:vAlign w:val="center"/>
          </w:tcPr>
          <w:p w:rsidR="00BD5820" w:rsidRDefault="00F64314">
            <w:pPr>
              <w:pStyle w:val="afff1"/>
              <w:rPr>
                <w:szCs w:val="21"/>
              </w:rPr>
            </w:pPr>
            <w:r>
              <w:rPr>
                <w:szCs w:val="21"/>
              </w:rPr>
              <w:t>镍</w:t>
            </w:r>
          </w:p>
        </w:tc>
        <w:tc>
          <w:tcPr>
            <w:tcW w:w="1028" w:type="pct"/>
            <w:tcBorders>
              <w:top w:val="single" w:sz="2" w:space="0" w:color="000000"/>
              <w:bottom w:val="single" w:sz="2" w:space="0" w:color="000000"/>
            </w:tcBorders>
          </w:tcPr>
          <w:p w:rsidR="00BD5820" w:rsidRDefault="00F64314">
            <w:pPr>
              <w:pStyle w:val="Default"/>
              <w:jc w:val="center"/>
              <w:rPr>
                <w:rFonts w:ascii="Times New Roman" w:hAnsi="Times New Roman" w:cs="Times New Roman"/>
                <w:color w:val="auto"/>
                <w:kern w:val="2"/>
                <w:sz w:val="21"/>
                <w:szCs w:val="21"/>
                <w:shd w:val="clear" w:color="auto" w:fill="FFFFFF"/>
              </w:rPr>
            </w:pPr>
            <w:r>
              <w:rPr>
                <w:rFonts w:ascii="Times New Roman" w:hAnsi="Times New Roman" w:cs="Times New Roman"/>
                <w:color w:val="auto"/>
                <w:sz w:val="21"/>
                <w:szCs w:val="21"/>
              </w:rPr>
              <w:t>mg/kg</w:t>
            </w:r>
          </w:p>
        </w:tc>
        <w:tc>
          <w:tcPr>
            <w:tcW w:w="854" w:type="pct"/>
            <w:tcBorders>
              <w:top w:val="single" w:sz="2" w:space="0" w:color="000000"/>
              <w:bottom w:val="single" w:sz="2" w:space="0" w:color="000000"/>
            </w:tcBorders>
            <w:vAlign w:val="center"/>
          </w:tcPr>
          <w:p w:rsidR="00BD5820" w:rsidRDefault="00F64314">
            <w:pPr>
              <w:pStyle w:val="afff1"/>
              <w:rPr>
                <w:szCs w:val="21"/>
              </w:rPr>
            </w:pPr>
            <w:r>
              <w:rPr>
                <w:rFonts w:eastAsia="仿宋" w:hint="eastAsia"/>
                <w:bCs/>
                <w:szCs w:val="21"/>
              </w:rPr>
              <w:t>53</w:t>
            </w:r>
            <w:r>
              <w:rPr>
                <w:rFonts w:hint="eastAsia"/>
                <w:szCs w:val="21"/>
              </w:rPr>
              <w:t>~60</w:t>
            </w:r>
          </w:p>
        </w:tc>
        <w:tc>
          <w:tcPr>
            <w:tcW w:w="663" w:type="pct"/>
            <w:tcBorders>
              <w:top w:val="single" w:sz="2" w:space="0" w:color="000000"/>
              <w:bottom w:val="single" w:sz="2" w:space="0" w:color="000000"/>
            </w:tcBorders>
            <w:vAlign w:val="center"/>
          </w:tcPr>
          <w:p w:rsidR="00BD5820" w:rsidRDefault="00F64314">
            <w:pPr>
              <w:pStyle w:val="afff1"/>
              <w:rPr>
                <w:szCs w:val="21"/>
              </w:rPr>
            </w:pPr>
            <w:r>
              <w:rPr>
                <w:rFonts w:hint="eastAsia"/>
                <w:szCs w:val="21"/>
              </w:rPr>
              <w:t>100</w:t>
            </w:r>
          </w:p>
        </w:tc>
        <w:tc>
          <w:tcPr>
            <w:tcW w:w="661" w:type="pct"/>
            <w:tcBorders>
              <w:top w:val="single" w:sz="2" w:space="0" w:color="000000"/>
              <w:bottom w:val="single" w:sz="2" w:space="0" w:color="000000"/>
            </w:tcBorders>
            <w:vAlign w:val="center"/>
          </w:tcPr>
          <w:p w:rsidR="00BD5820" w:rsidRDefault="00F64314">
            <w:pPr>
              <w:pStyle w:val="afff1"/>
              <w:rPr>
                <w:szCs w:val="21"/>
              </w:rPr>
            </w:pPr>
            <w:r>
              <w:rPr>
                <w:rFonts w:hint="eastAsia"/>
                <w:szCs w:val="21"/>
              </w:rPr>
              <w:t>0.53~0.60</w:t>
            </w:r>
          </w:p>
        </w:tc>
      </w:tr>
      <w:tr w:rsidR="00BD5820">
        <w:trPr>
          <w:trHeight w:val="19"/>
          <w:jc w:val="center"/>
        </w:trPr>
        <w:tc>
          <w:tcPr>
            <w:tcW w:w="815" w:type="pct"/>
            <w:tcBorders>
              <w:top w:val="single" w:sz="2" w:space="0" w:color="000000"/>
              <w:bottom w:val="single" w:sz="2" w:space="0" w:color="000000"/>
            </w:tcBorders>
            <w:vAlign w:val="center"/>
          </w:tcPr>
          <w:p w:rsidR="00BD5820" w:rsidRDefault="00F64314">
            <w:pPr>
              <w:pStyle w:val="afff1"/>
              <w:rPr>
                <w:szCs w:val="21"/>
              </w:rPr>
            </w:pPr>
            <w:r>
              <w:rPr>
                <w:szCs w:val="21"/>
              </w:rPr>
              <w:t>8</w:t>
            </w:r>
          </w:p>
        </w:tc>
        <w:tc>
          <w:tcPr>
            <w:tcW w:w="979" w:type="pct"/>
            <w:tcBorders>
              <w:top w:val="single" w:sz="2" w:space="0" w:color="000000"/>
              <w:bottom w:val="single" w:sz="2" w:space="0" w:color="000000"/>
            </w:tcBorders>
            <w:vAlign w:val="center"/>
          </w:tcPr>
          <w:p w:rsidR="00BD5820" w:rsidRDefault="00F64314">
            <w:pPr>
              <w:pStyle w:val="afff1"/>
              <w:rPr>
                <w:szCs w:val="21"/>
              </w:rPr>
            </w:pPr>
            <w:r>
              <w:rPr>
                <w:szCs w:val="21"/>
              </w:rPr>
              <w:t>铬</w:t>
            </w:r>
          </w:p>
        </w:tc>
        <w:tc>
          <w:tcPr>
            <w:tcW w:w="1028" w:type="pct"/>
            <w:tcBorders>
              <w:top w:val="single" w:sz="2" w:space="0" w:color="000000"/>
              <w:bottom w:val="single" w:sz="2" w:space="0" w:color="000000"/>
            </w:tcBorders>
          </w:tcPr>
          <w:p w:rsidR="00BD5820" w:rsidRDefault="00F64314">
            <w:pPr>
              <w:pStyle w:val="Default"/>
              <w:jc w:val="center"/>
              <w:rPr>
                <w:rFonts w:ascii="Times New Roman" w:hAnsi="Times New Roman" w:cs="Times New Roman"/>
                <w:color w:val="auto"/>
                <w:kern w:val="2"/>
                <w:sz w:val="21"/>
                <w:szCs w:val="21"/>
                <w:shd w:val="clear" w:color="auto" w:fill="FFFFFF"/>
              </w:rPr>
            </w:pPr>
            <w:r>
              <w:rPr>
                <w:rFonts w:ascii="Times New Roman" w:hAnsi="Times New Roman" w:cs="Times New Roman"/>
                <w:color w:val="auto"/>
                <w:sz w:val="21"/>
                <w:szCs w:val="21"/>
              </w:rPr>
              <w:t>mg/kg</w:t>
            </w:r>
          </w:p>
        </w:tc>
        <w:tc>
          <w:tcPr>
            <w:tcW w:w="854" w:type="pct"/>
            <w:tcBorders>
              <w:top w:val="single" w:sz="2" w:space="0" w:color="000000"/>
              <w:bottom w:val="single" w:sz="2" w:space="0" w:color="000000"/>
            </w:tcBorders>
            <w:vAlign w:val="center"/>
          </w:tcPr>
          <w:p w:rsidR="00BD5820" w:rsidRDefault="00F64314">
            <w:pPr>
              <w:pStyle w:val="afff1"/>
              <w:rPr>
                <w:szCs w:val="21"/>
              </w:rPr>
            </w:pPr>
            <w:r>
              <w:rPr>
                <w:rFonts w:eastAsia="仿宋" w:hint="eastAsia"/>
                <w:bCs/>
                <w:szCs w:val="21"/>
              </w:rPr>
              <w:t>93</w:t>
            </w:r>
            <w:r>
              <w:rPr>
                <w:rFonts w:hint="eastAsia"/>
                <w:szCs w:val="21"/>
              </w:rPr>
              <w:t>~</w:t>
            </w:r>
            <w:r>
              <w:rPr>
                <w:rFonts w:eastAsia="仿宋" w:hint="eastAsia"/>
                <w:bCs/>
                <w:szCs w:val="21"/>
              </w:rPr>
              <w:t>95</w:t>
            </w:r>
          </w:p>
        </w:tc>
        <w:tc>
          <w:tcPr>
            <w:tcW w:w="663" w:type="pct"/>
            <w:tcBorders>
              <w:top w:val="single" w:sz="2" w:space="0" w:color="000000"/>
              <w:bottom w:val="single" w:sz="2" w:space="0" w:color="000000"/>
            </w:tcBorders>
            <w:vAlign w:val="center"/>
          </w:tcPr>
          <w:p w:rsidR="00BD5820" w:rsidRDefault="00F64314">
            <w:pPr>
              <w:pStyle w:val="afff1"/>
              <w:rPr>
                <w:szCs w:val="21"/>
              </w:rPr>
            </w:pPr>
            <w:r>
              <w:rPr>
                <w:rFonts w:hint="eastAsia"/>
                <w:szCs w:val="21"/>
              </w:rPr>
              <w:t>20</w:t>
            </w:r>
            <w:r>
              <w:rPr>
                <w:szCs w:val="21"/>
              </w:rPr>
              <w:t>0</w:t>
            </w:r>
          </w:p>
        </w:tc>
        <w:tc>
          <w:tcPr>
            <w:tcW w:w="661" w:type="pct"/>
            <w:tcBorders>
              <w:top w:val="single" w:sz="2" w:space="0" w:color="000000"/>
              <w:bottom w:val="single" w:sz="2" w:space="0" w:color="000000"/>
            </w:tcBorders>
            <w:vAlign w:val="center"/>
          </w:tcPr>
          <w:p w:rsidR="00BD5820" w:rsidRDefault="00F64314">
            <w:pPr>
              <w:pStyle w:val="afff1"/>
              <w:rPr>
                <w:szCs w:val="21"/>
              </w:rPr>
            </w:pPr>
            <w:r>
              <w:rPr>
                <w:rFonts w:hint="eastAsia"/>
                <w:szCs w:val="21"/>
              </w:rPr>
              <w:t>0.465~0.475</w:t>
            </w:r>
          </w:p>
        </w:tc>
      </w:tr>
      <w:tr w:rsidR="00BD5820">
        <w:trPr>
          <w:trHeight w:val="19"/>
          <w:jc w:val="center"/>
        </w:trPr>
        <w:tc>
          <w:tcPr>
            <w:tcW w:w="815" w:type="pct"/>
            <w:tcBorders>
              <w:top w:val="single" w:sz="2" w:space="0" w:color="000000"/>
              <w:bottom w:val="single" w:sz="2" w:space="0" w:color="000000"/>
            </w:tcBorders>
            <w:vAlign w:val="center"/>
          </w:tcPr>
          <w:p w:rsidR="00BD5820" w:rsidRDefault="00F64314">
            <w:pPr>
              <w:pStyle w:val="afff1"/>
              <w:rPr>
                <w:szCs w:val="21"/>
              </w:rPr>
            </w:pPr>
            <w:r>
              <w:rPr>
                <w:szCs w:val="21"/>
              </w:rPr>
              <w:t>9</w:t>
            </w:r>
          </w:p>
        </w:tc>
        <w:tc>
          <w:tcPr>
            <w:tcW w:w="979" w:type="pct"/>
            <w:tcBorders>
              <w:top w:val="single" w:sz="2" w:space="0" w:color="000000"/>
              <w:bottom w:val="single" w:sz="2" w:space="0" w:color="000000"/>
            </w:tcBorders>
            <w:vAlign w:val="center"/>
          </w:tcPr>
          <w:p w:rsidR="00BD5820" w:rsidRDefault="00F64314">
            <w:pPr>
              <w:pStyle w:val="afff1"/>
              <w:rPr>
                <w:szCs w:val="21"/>
              </w:rPr>
            </w:pPr>
            <w:r>
              <w:rPr>
                <w:szCs w:val="21"/>
              </w:rPr>
              <w:t>锌</w:t>
            </w:r>
          </w:p>
        </w:tc>
        <w:tc>
          <w:tcPr>
            <w:tcW w:w="1028" w:type="pct"/>
            <w:tcBorders>
              <w:top w:val="single" w:sz="2" w:space="0" w:color="000000"/>
              <w:bottom w:val="single" w:sz="2" w:space="0" w:color="000000"/>
            </w:tcBorders>
          </w:tcPr>
          <w:p w:rsidR="00BD5820" w:rsidRDefault="00F64314">
            <w:pPr>
              <w:pStyle w:val="Default"/>
              <w:jc w:val="center"/>
              <w:rPr>
                <w:rFonts w:ascii="Times New Roman" w:hAnsi="Times New Roman" w:cs="Times New Roman"/>
                <w:color w:val="auto"/>
                <w:kern w:val="2"/>
                <w:sz w:val="21"/>
                <w:szCs w:val="21"/>
                <w:shd w:val="clear" w:color="auto" w:fill="FFFFFF"/>
              </w:rPr>
            </w:pPr>
            <w:r>
              <w:rPr>
                <w:rFonts w:ascii="Times New Roman" w:hAnsi="Times New Roman" w:cs="Times New Roman"/>
                <w:color w:val="auto"/>
                <w:sz w:val="21"/>
                <w:szCs w:val="21"/>
              </w:rPr>
              <w:t>mg/kg</w:t>
            </w:r>
          </w:p>
        </w:tc>
        <w:tc>
          <w:tcPr>
            <w:tcW w:w="854" w:type="pct"/>
            <w:tcBorders>
              <w:top w:val="single" w:sz="2" w:space="0" w:color="000000"/>
              <w:bottom w:val="single" w:sz="2" w:space="0" w:color="000000"/>
            </w:tcBorders>
            <w:vAlign w:val="center"/>
          </w:tcPr>
          <w:p w:rsidR="00BD5820" w:rsidRDefault="00F64314">
            <w:pPr>
              <w:pStyle w:val="afff1"/>
              <w:rPr>
                <w:szCs w:val="21"/>
              </w:rPr>
            </w:pPr>
            <w:r>
              <w:rPr>
                <w:rFonts w:eastAsia="仿宋" w:hint="eastAsia"/>
                <w:bCs/>
                <w:szCs w:val="21"/>
              </w:rPr>
              <w:t>38</w:t>
            </w:r>
            <w:r>
              <w:rPr>
                <w:rFonts w:hint="eastAsia"/>
                <w:szCs w:val="21"/>
              </w:rPr>
              <w:t>~</w:t>
            </w:r>
            <w:r>
              <w:rPr>
                <w:rFonts w:eastAsia="仿宋" w:hint="eastAsia"/>
                <w:bCs/>
                <w:szCs w:val="21"/>
              </w:rPr>
              <w:t>62</w:t>
            </w:r>
          </w:p>
        </w:tc>
        <w:tc>
          <w:tcPr>
            <w:tcW w:w="663" w:type="pct"/>
            <w:tcBorders>
              <w:top w:val="single" w:sz="2" w:space="0" w:color="000000"/>
              <w:bottom w:val="single" w:sz="2" w:space="0" w:color="000000"/>
            </w:tcBorders>
            <w:vAlign w:val="center"/>
          </w:tcPr>
          <w:p w:rsidR="00BD5820" w:rsidRDefault="00F64314">
            <w:pPr>
              <w:pStyle w:val="afff1"/>
              <w:rPr>
                <w:szCs w:val="21"/>
              </w:rPr>
            </w:pPr>
            <w:r>
              <w:rPr>
                <w:rFonts w:hint="eastAsia"/>
                <w:szCs w:val="21"/>
              </w:rPr>
              <w:t>25</w:t>
            </w:r>
            <w:r>
              <w:rPr>
                <w:szCs w:val="21"/>
              </w:rPr>
              <w:t>0</w:t>
            </w:r>
          </w:p>
        </w:tc>
        <w:tc>
          <w:tcPr>
            <w:tcW w:w="661" w:type="pct"/>
            <w:tcBorders>
              <w:top w:val="single" w:sz="2" w:space="0" w:color="000000"/>
              <w:bottom w:val="single" w:sz="2" w:space="0" w:color="000000"/>
            </w:tcBorders>
            <w:vAlign w:val="center"/>
          </w:tcPr>
          <w:p w:rsidR="00BD5820" w:rsidRDefault="00F64314">
            <w:pPr>
              <w:pStyle w:val="afff1"/>
              <w:rPr>
                <w:szCs w:val="21"/>
              </w:rPr>
            </w:pPr>
            <w:r>
              <w:rPr>
                <w:rFonts w:hint="eastAsia"/>
                <w:szCs w:val="21"/>
              </w:rPr>
              <w:t>0.152~0</w:t>
            </w:r>
            <w:r>
              <w:rPr>
                <w:szCs w:val="21"/>
              </w:rPr>
              <w:t>.</w:t>
            </w:r>
            <w:r>
              <w:rPr>
                <w:rFonts w:hint="eastAsia"/>
                <w:szCs w:val="21"/>
              </w:rPr>
              <w:t>248</w:t>
            </w:r>
          </w:p>
        </w:tc>
      </w:tr>
    </w:tbl>
    <w:p w:rsidR="00BD5820" w:rsidRDefault="00F64314">
      <w:pPr>
        <w:pStyle w:val="affa"/>
        <w:ind w:firstLineChars="0" w:firstLine="0"/>
        <w:jc w:val="center"/>
      </w:pPr>
      <w:r>
        <w:rPr>
          <w:b/>
          <w:sz w:val="21"/>
          <w:szCs w:val="21"/>
        </w:rPr>
        <w:t>表</w:t>
      </w:r>
      <w:r>
        <w:rPr>
          <w:b/>
          <w:sz w:val="21"/>
          <w:szCs w:val="21"/>
        </w:rPr>
        <w:t>5.7-</w:t>
      </w:r>
      <w:r>
        <w:rPr>
          <w:rFonts w:hint="eastAsia"/>
          <w:b/>
          <w:sz w:val="21"/>
          <w:szCs w:val="21"/>
        </w:rPr>
        <w:t>4</w:t>
      </w:r>
      <w:r>
        <w:rPr>
          <w:b/>
          <w:sz w:val="21"/>
          <w:szCs w:val="21"/>
        </w:rPr>
        <w:t xml:space="preserve">  </w:t>
      </w:r>
      <w:r>
        <w:rPr>
          <w:rFonts w:hint="eastAsia"/>
          <w:b/>
          <w:sz w:val="21"/>
          <w:szCs w:val="21"/>
        </w:rPr>
        <w:t>普光气田</w:t>
      </w:r>
      <w:r>
        <w:rPr>
          <w:rFonts w:hint="eastAsia"/>
          <w:b/>
          <w:sz w:val="21"/>
          <w:szCs w:val="21"/>
        </w:rPr>
        <w:t>2#</w:t>
      </w:r>
      <w:r>
        <w:rPr>
          <w:rFonts w:hint="eastAsia"/>
          <w:b/>
          <w:sz w:val="21"/>
          <w:szCs w:val="21"/>
        </w:rPr>
        <w:t>增压站内</w:t>
      </w:r>
      <w:r>
        <w:rPr>
          <w:b/>
          <w:sz w:val="21"/>
          <w:szCs w:val="21"/>
        </w:rPr>
        <w:t>土壤环境质量现状监测统计表（</w:t>
      </w:r>
      <w:r>
        <w:rPr>
          <w:rFonts w:hint="eastAsia"/>
          <w:b/>
          <w:sz w:val="21"/>
          <w:szCs w:val="21"/>
        </w:rPr>
        <w:t>T7</w:t>
      </w:r>
      <w:r>
        <w:rPr>
          <w:b/>
          <w:sz w:val="21"/>
          <w:szCs w:val="21"/>
        </w:rPr>
        <w:t>~</w:t>
      </w:r>
      <w:r>
        <w:rPr>
          <w:rFonts w:hint="eastAsia"/>
          <w:b/>
          <w:sz w:val="21"/>
          <w:szCs w:val="21"/>
        </w:rPr>
        <w:t>T10</w:t>
      </w:r>
      <w:r>
        <w:rPr>
          <w:b/>
          <w:sz w:val="21"/>
          <w:szCs w:val="21"/>
        </w:rPr>
        <w:t>）</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612"/>
        <w:gridCol w:w="1988"/>
        <w:gridCol w:w="1302"/>
        <w:gridCol w:w="1047"/>
        <w:gridCol w:w="1303"/>
        <w:gridCol w:w="1270"/>
      </w:tblGrid>
      <w:tr w:rsidR="00BD5820">
        <w:trPr>
          <w:trHeight w:val="297"/>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b/>
                <w:kern w:val="2"/>
                <w:sz w:val="21"/>
                <w:szCs w:val="21"/>
              </w:rPr>
            </w:pPr>
            <w:r>
              <w:rPr>
                <w:rFonts w:ascii="Times New Roman" w:cs="Times New Roman"/>
                <w:b/>
                <w:kern w:val="2"/>
                <w:sz w:val="21"/>
                <w:szCs w:val="21"/>
              </w:rPr>
              <w:t>序号</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b/>
                <w:kern w:val="2"/>
                <w:sz w:val="21"/>
                <w:szCs w:val="21"/>
              </w:rPr>
            </w:pPr>
            <w:r>
              <w:rPr>
                <w:rFonts w:ascii="Times New Roman" w:cs="Times New Roman"/>
                <w:b/>
                <w:kern w:val="2"/>
                <w:sz w:val="21"/>
                <w:szCs w:val="21"/>
              </w:rPr>
              <w:t>监测项目</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b/>
                <w:kern w:val="2"/>
                <w:sz w:val="21"/>
                <w:szCs w:val="21"/>
              </w:rPr>
            </w:pPr>
            <w:r>
              <w:rPr>
                <w:rFonts w:ascii="Times New Roman" w:cs="Times New Roman"/>
                <w:b/>
                <w:kern w:val="2"/>
                <w:sz w:val="21"/>
                <w:szCs w:val="21"/>
              </w:rPr>
              <w:t>单位</w:t>
            </w:r>
          </w:p>
        </w:tc>
        <w:tc>
          <w:tcPr>
            <w:tcW w:w="1047" w:type="dxa"/>
            <w:vAlign w:val="center"/>
          </w:tcPr>
          <w:p w:rsidR="00BD5820" w:rsidRDefault="00F64314">
            <w:pPr>
              <w:widowControl/>
              <w:topLinePunct w:val="0"/>
              <w:snapToGrid w:val="0"/>
              <w:spacing w:line="240" w:lineRule="auto"/>
              <w:ind w:firstLineChars="0" w:firstLine="0"/>
              <w:jc w:val="center"/>
              <w:rPr>
                <w:rFonts w:ascii="Times New Roman" w:cs="Times New Roman"/>
                <w:b/>
                <w:kern w:val="2"/>
                <w:sz w:val="21"/>
                <w:szCs w:val="21"/>
              </w:rPr>
            </w:pPr>
            <w:r>
              <w:rPr>
                <w:rFonts w:ascii="Times New Roman" w:cs="Times New Roman"/>
                <w:b/>
                <w:kern w:val="2"/>
                <w:sz w:val="21"/>
                <w:szCs w:val="21"/>
              </w:rPr>
              <w:t>标准值</w:t>
            </w:r>
          </w:p>
        </w:tc>
        <w:tc>
          <w:tcPr>
            <w:tcW w:w="1303" w:type="dxa"/>
            <w:vAlign w:val="center"/>
          </w:tcPr>
          <w:p w:rsidR="00BD5820" w:rsidRDefault="00F64314">
            <w:pPr>
              <w:widowControl/>
              <w:topLinePunct w:val="0"/>
              <w:snapToGrid w:val="0"/>
              <w:spacing w:line="240" w:lineRule="auto"/>
              <w:ind w:firstLineChars="0" w:firstLine="0"/>
              <w:jc w:val="center"/>
              <w:rPr>
                <w:rFonts w:ascii="Times New Roman" w:cs="Times New Roman"/>
                <w:b/>
                <w:kern w:val="2"/>
                <w:sz w:val="21"/>
                <w:szCs w:val="21"/>
              </w:rPr>
            </w:pPr>
            <w:r>
              <w:rPr>
                <w:rFonts w:ascii="Times New Roman" w:cs="Times New Roman"/>
                <w:b/>
                <w:kern w:val="2"/>
                <w:sz w:val="21"/>
                <w:szCs w:val="21"/>
              </w:rPr>
              <w:t>监测结果</w:t>
            </w:r>
          </w:p>
        </w:tc>
        <w:tc>
          <w:tcPr>
            <w:tcW w:w="1270" w:type="dxa"/>
            <w:vAlign w:val="center"/>
          </w:tcPr>
          <w:p w:rsidR="00BD5820" w:rsidRDefault="00F64314">
            <w:pPr>
              <w:widowControl/>
              <w:topLinePunct w:val="0"/>
              <w:snapToGrid w:val="0"/>
              <w:spacing w:line="240" w:lineRule="auto"/>
              <w:ind w:firstLineChars="0" w:firstLine="0"/>
              <w:jc w:val="center"/>
              <w:rPr>
                <w:rFonts w:ascii="Times New Roman" w:cs="Times New Roman"/>
                <w:b/>
                <w:kern w:val="2"/>
                <w:sz w:val="21"/>
                <w:szCs w:val="21"/>
              </w:rPr>
            </w:pPr>
            <w:r>
              <w:rPr>
                <w:rFonts w:ascii="Times New Roman" w:cs="Times New Roman"/>
                <w:b/>
                <w:bCs/>
                <w:kern w:val="2"/>
                <w:sz w:val="21"/>
                <w:szCs w:val="21"/>
              </w:rPr>
              <w:t>S</w:t>
            </w:r>
            <w:r>
              <w:rPr>
                <w:rFonts w:ascii="Times New Roman" w:cs="Times New Roman"/>
                <w:b/>
                <w:bCs/>
                <w:kern w:val="2"/>
                <w:sz w:val="21"/>
                <w:szCs w:val="21"/>
                <w:vertAlign w:val="subscript"/>
              </w:rPr>
              <w:t>i</w:t>
            </w:r>
            <w:r>
              <w:rPr>
                <w:rFonts w:ascii="Times New Roman" w:cs="Times New Roman"/>
                <w:b/>
                <w:bCs/>
                <w:kern w:val="2"/>
                <w:sz w:val="21"/>
                <w:szCs w:val="21"/>
                <w:vertAlign w:val="subscript"/>
              </w:rPr>
              <w:t>，</w:t>
            </w:r>
            <w:r>
              <w:rPr>
                <w:rFonts w:ascii="Times New Roman" w:cs="Times New Roman"/>
                <w:b/>
                <w:bCs/>
                <w:kern w:val="2"/>
                <w:sz w:val="21"/>
                <w:szCs w:val="21"/>
                <w:vertAlign w:val="subscript"/>
              </w:rPr>
              <w:t>j</w:t>
            </w:r>
          </w:p>
        </w:tc>
      </w:tr>
      <w:tr w:rsidR="00BD5820">
        <w:trPr>
          <w:trHeight w:val="318"/>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镉</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mg/kg</w:t>
            </w:r>
          </w:p>
        </w:tc>
        <w:tc>
          <w:tcPr>
            <w:tcW w:w="1047"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65</w:t>
            </w:r>
          </w:p>
        </w:tc>
        <w:tc>
          <w:tcPr>
            <w:tcW w:w="1303" w:type="dxa"/>
            <w:vAlign w:val="center"/>
          </w:tcPr>
          <w:p w:rsidR="00BD5820" w:rsidRDefault="00F64314">
            <w:pPr>
              <w:pStyle w:val="SSEC201503230"/>
              <w:rPr>
                <w:rFonts w:ascii="Times New Roman" w:hAnsi="Times New Roman"/>
              </w:rPr>
            </w:pPr>
            <w:r>
              <w:rPr>
                <w:rFonts w:ascii="Times New Roman" w:hAnsi="Times New Roman"/>
              </w:rPr>
              <w:t>0.1</w:t>
            </w:r>
            <w:r>
              <w:rPr>
                <w:rFonts w:ascii="Times New Roman" w:hAnsi="Times New Roman" w:hint="eastAsia"/>
              </w:rPr>
              <w:t>1</w:t>
            </w:r>
            <w:r>
              <w:rPr>
                <w:rFonts w:ascii="Times New Roman"/>
              </w:rPr>
              <w:t>～</w:t>
            </w:r>
            <w:r>
              <w:rPr>
                <w:rFonts w:ascii="Times New Roman" w:hAnsi="Times New Roman"/>
              </w:rPr>
              <w:t>0.</w:t>
            </w:r>
            <w:r>
              <w:rPr>
                <w:rFonts w:ascii="Times New Roman" w:hAnsi="Times New Roman" w:hint="eastAsia"/>
              </w:rPr>
              <w:t>24</w:t>
            </w:r>
          </w:p>
        </w:tc>
        <w:tc>
          <w:tcPr>
            <w:tcW w:w="1270" w:type="dxa"/>
            <w:vAlign w:val="center"/>
          </w:tcPr>
          <w:p w:rsidR="00BD5820" w:rsidRDefault="00F64314">
            <w:pPr>
              <w:pStyle w:val="SSEC201503230"/>
              <w:rPr>
                <w:rFonts w:ascii="Times New Roman" w:hAnsi="Times New Roman"/>
              </w:rPr>
            </w:pPr>
            <w:r>
              <w:rPr>
                <w:rFonts w:ascii="Times New Roman" w:hAnsi="Times New Roman"/>
              </w:rPr>
              <w:t>0.00</w:t>
            </w:r>
            <w:r>
              <w:rPr>
                <w:rFonts w:ascii="Times New Roman" w:hAnsi="Times New Roman" w:hint="eastAsia"/>
              </w:rPr>
              <w:t>2</w:t>
            </w:r>
            <w:r>
              <w:rPr>
                <w:rFonts w:ascii="Times New Roman"/>
              </w:rPr>
              <w:t>～</w:t>
            </w:r>
            <w:r>
              <w:rPr>
                <w:rFonts w:ascii="Times New Roman" w:hAnsi="Times New Roman"/>
              </w:rPr>
              <w:t>0.00</w:t>
            </w:r>
            <w:r>
              <w:rPr>
                <w:rFonts w:ascii="Times New Roman" w:hAnsi="Times New Roman" w:hint="eastAsia"/>
              </w:rPr>
              <w:t>4</w:t>
            </w:r>
          </w:p>
        </w:tc>
      </w:tr>
      <w:tr w:rsidR="00BD5820">
        <w:trPr>
          <w:trHeight w:val="221"/>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2</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汞</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mg/kg</w:t>
            </w:r>
          </w:p>
        </w:tc>
        <w:tc>
          <w:tcPr>
            <w:tcW w:w="1047"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38</w:t>
            </w:r>
          </w:p>
        </w:tc>
        <w:tc>
          <w:tcPr>
            <w:tcW w:w="1303" w:type="dxa"/>
            <w:vAlign w:val="center"/>
          </w:tcPr>
          <w:p w:rsidR="00BD5820" w:rsidRDefault="00F64314">
            <w:pPr>
              <w:pStyle w:val="SSEC201503230"/>
              <w:rPr>
                <w:rFonts w:ascii="Times New Roman" w:hAnsi="Times New Roman"/>
              </w:rPr>
            </w:pPr>
            <w:r>
              <w:rPr>
                <w:rFonts w:ascii="Times New Roman" w:hAnsi="Times New Roman"/>
              </w:rPr>
              <w:t>0.</w:t>
            </w:r>
            <w:r>
              <w:rPr>
                <w:rFonts w:ascii="Times New Roman" w:hAnsi="Times New Roman" w:hint="eastAsia"/>
              </w:rPr>
              <w:t>014</w:t>
            </w:r>
            <w:r>
              <w:rPr>
                <w:rFonts w:ascii="Times New Roman"/>
              </w:rPr>
              <w:t>～</w:t>
            </w:r>
            <w:r>
              <w:rPr>
                <w:rFonts w:ascii="Times New Roman" w:hAnsi="Times New Roman"/>
              </w:rPr>
              <w:t>0.</w:t>
            </w:r>
            <w:r>
              <w:rPr>
                <w:rFonts w:ascii="Times New Roman" w:hAnsi="Times New Roman" w:hint="eastAsia"/>
              </w:rPr>
              <w:t>049</w:t>
            </w:r>
          </w:p>
        </w:tc>
        <w:tc>
          <w:tcPr>
            <w:tcW w:w="1270" w:type="dxa"/>
            <w:vAlign w:val="center"/>
          </w:tcPr>
          <w:p w:rsidR="00BD5820" w:rsidRDefault="00F64314">
            <w:pPr>
              <w:pStyle w:val="SSEC201503230"/>
              <w:rPr>
                <w:rFonts w:ascii="Times New Roman" w:hAnsi="Times New Roman"/>
              </w:rPr>
            </w:pPr>
            <w:r>
              <w:rPr>
                <w:rFonts w:ascii="Times New Roman" w:hAnsi="Times New Roman"/>
              </w:rPr>
              <w:t>0.00</w:t>
            </w:r>
            <w:r>
              <w:rPr>
                <w:rFonts w:ascii="Times New Roman" w:hAnsi="Times New Roman" w:hint="eastAsia"/>
              </w:rPr>
              <w:t>04</w:t>
            </w:r>
            <w:r>
              <w:rPr>
                <w:rFonts w:ascii="Times New Roman"/>
              </w:rPr>
              <w:t>～</w:t>
            </w:r>
            <w:r>
              <w:rPr>
                <w:rFonts w:ascii="Times New Roman" w:hAnsi="Times New Roman"/>
              </w:rPr>
              <w:t>0.0</w:t>
            </w:r>
            <w:r>
              <w:rPr>
                <w:rFonts w:ascii="Times New Roman" w:hAnsi="Times New Roman" w:hint="eastAsia"/>
              </w:rPr>
              <w:t>013</w:t>
            </w:r>
          </w:p>
        </w:tc>
      </w:tr>
      <w:tr w:rsidR="00BD5820">
        <w:trPr>
          <w:trHeight w:val="240"/>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3</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砷</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mg/kg</w:t>
            </w:r>
          </w:p>
        </w:tc>
        <w:tc>
          <w:tcPr>
            <w:tcW w:w="1047"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60</w:t>
            </w:r>
          </w:p>
        </w:tc>
        <w:tc>
          <w:tcPr>
            <w:tcW w:w="1303" w:type="dxa"/>
            <w:vAlign w:val="center"/>
          </w:tcPr>
          <w:p w:rsidR="00BD5820" w:rsidRDefault="00F64314">
            <w:pPr>
              <w:pStyle w:val="SSEC201503230"/>
              <w:rPr>
                <w:rFonts w:ascii="Times New Roman" w:hAnsi="Times New Roman"/>
              </w:rPr>
            </w:pPr>
            <w:r>
              <w:rPr>
                <w:rFonts w:ascii="Times New Roman" w:hAnsi="Times New Roman" w:hint="eastAsia"/>
              </w:rPr>
              <w:t>1.67</w:t>
            </w:r>
            <w:r>
              <w:rPr>
                <w:rFonts w:ascii="Times New Roman"/>
              </w:rPr>
              <w:t>～</w:t>
            </w:r>
            <w:r>
              <w:rPr>
                <w:rFonts w:ascii="Times New Roman" w:hAnsi="Times New Roman" w:hint="eastAsia"/>
              </w:rPr>
              <w:t>19.2</w:t>
            </w:r>
          </w:p>
        </w:tc>
        <w:tc>
          <w:tcPr>
            <w:tcW w:w="1270" w:type="dxa"/>
            <w:vAlign w:val="center"/>
          </w:tcPr>
          <w:p w:rsidR="00BD5820" w:rsidRDefault="00F64314">
            <w:pPr>
              <w:pStyle w:val="SSEC201503230"/>
              <w:rPr>
                <w:rFonts w:ascii="Times New Roman" w:hAnsi="Times New Roman"/>
              </w:rPr>
            </w:pPr>
            <w:r>
              <w:rPr>
                <w:rFonts w:ascii="Times New Roman" w:hAnsi="Times New Roman"/>
              </w:rPr>
              <w:t>0.</w:t>
            </w:r>
            <w:r>
              <w:rPr>
                <w:rFonts w:ascii="Times New Roman" w:hAnsi="Times New Roman" w:hint="eastAsia"/>
              </w:rPr>
              <w:t>056</w:t>
            </w:r>
            <w:r>
              <w:rPr>
                <w:rFonts w:ascii="Times New Roman"/>
              </w:rPr>
              <w:t>～</w:t>
            </w:r>
            <w:r>
              <w:rPr>
                <w:rFonts w:ascii="Times New Roman" w:hAnsi="Times New Roman"/>
              </w:rPr>
              <w:t>0.</w:t>
            </w:r>
            <w:r>
              <w:rPr>
                <w:rFonts w:ascii="Times New Roman" w:hAnsi="Times New Roman" w:hint="eastAsia"/>
              </w:rPr>
              <w:t>32</w:t>
            </w:r>
          </w:p>
        </w:tc>
      </w:tr>
      <w:tr w:rsidR="00BD5820">
        <w:trPr>
          <w:trHeight w:val="243"/>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4</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铜</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mg/kg</w:t>
            </w:r>
          </w:p>
        </w:tc>
        <w:tc>
          <w:tcPr>
            <w:tcW w:w="1047"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18000</w:t>
            </w:r>
          </w:p>
        </w:tc>
        <w:tc>
          <w:tcPr>
            <w:tcW w:w="1303" w:type="dxa"/>
            <w:vAlign w:val="center"/>
          </w:tcPr>
          <w:p w:rsidR="00BD5820" w:rsidRDefault="00F64314">
            <w:pPr>
              <w:pStyle w:val="SSEC201503230"/>
              <w:rPr>
                <w:rFonts w:ascii="Times New Roman" w:hAnsi="Times New Roman"/>
              </w:rPr>
            </w:pPr>
            <w:r>
              <w:rPr>
                <w:rFonts w:ascii="Times New Roman" w:hAnsi="Times New Roman" w:hint="eastAsia"/>
              </w:rPr>
              <w:t>12</w:t>
            </w:r>
            <w:r>
              <w:rPr>
                <w:rFonts w:ascii="Times New Roman"/>
              </w:rPr>
              <w:t>～</w:t>
            </w:r>
            <w:r>
              <w:rPr>
                <w:rFonts w:ascii="Times New Roman" w:hAnsi="Times New Roman" w:hint="eastAsia"/>
              </w:rPr>
              <w:t>25</w:t>
            </w:r>
          </w:p>
        </w:tc>
        <w:tc>
          <w:tcPr>
            <w:tcW w:w="1270" w:type="dxa"/>
            <w:vAlign w:val="center"/>
          </w:tcPr>
          <w:p w:rsidR="00BD5820" w:rsidRDefault="00F64314">
            <w:pPr>
              <w:pStyle w:val="SSEC201503230"/>
              <w:rPr>
                <w:rFonts w:ascii="Times New Roman" w:hAnsi="Times New Roman"/>
              </w:rPr>
            </w:pPr>
            <w:r>
              <w:rPr>
                <w:rFonts w:ascii="Times New Roman" w:hAnsi="Times New Roman"/>
              </w:rPr>
              <w:t>0.000</w:t>
            </w:r>
            <w:r>
              <w:rPr>
                <w:rFonts w:ascii="Times New Roman" w:hAnsi="Times New Roman" w:hint="eastAsia"/>
              </w:rPr>
              <w:t>7</w:t>
            </w:r>
            <w:r>
              <w:rPr>
                <w:rFonts w:ascii="Times New Roman"/>
              </w:rPr>
              <w:t>～</w:t>
            </w:r>
            <w:r>
              <w:rPr>
                <w:rFonts w:ascii="Times New Roman" w:hAnsi="Times New Roman"/>
              </w:rPr>
              <w:t>0.00</w:t>
            </w:r>
            <w:r>
              <w:rPr>
                <w:rFonts w:ascii="Times New Roman" w:hAnsi="Times New Roman" w:hint="eastAsia"/>
              </w:rPr>
              <w:t>31</w:t>
            </w:r>
          </w:p>
        </w:tc>
      </w:tr>
      <w:tr w:rsidR="00BD5820">
        <w:trPr>
          <w:trHeight w:val="23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5</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铅</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mg/kg</w:t>
            </w:r>
          </w:p>
        </w:tc>
        <w:tc>
          <w:tcPr>
            <w:tcW w:w="1047"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800</w:t>
            </w:r>
          </w:p>
        </w:tc>
        <w:tc>
          <w:tcPr>
            <w:tcW w:w="1303" w:type="dxa"/>
            <w:vAlign w:val="center"/>
          </w:tcPr>
          <w:p w:rsidR="00BD5820" w:rsidRDefault="00F64314">
            <w:pPr>
              <w:pStyle w:val="SSEC201503230"/>
              <w:rPr>
                <w:rFonts w:ascii="Times New Roman" w:hAnsi="Times New Roman"/>
              </w:rPr>
            </w:pPr>
            <w:r>
              <w:rPr>
                <w:rFonts w:ascii="Times New Roman" w:hAnsi="Times New Roman" w:hint="eastAsia"/>
              </w:rPr>
              <w:t>18.4</w:t>
            </w:r>
            <w:r>
              <w:rPr>
                <w:rFonts w:ascii="Times New Roman"/>
              </w:rPr>
              <w:t>～</w:t>
            </w:r>
            <w:r>
              <w:rPr>
                <w:rFonts w:ascii="Times New Roman" w:hAnsi="Times New Roman" w:hint="eastAsia"/>
              </w:rPr>
              <w:t>37.6</w:t>
            </w:r>
          </w:p>
        </w:tc>
        <w:tc>
          <w:tcPr>
            <w:tcW w:w="1270" w:type="dxa"/>
            <w:vAlign w:val="center"/>
          </w:tcPr>
          <w:p w:rsidR="00BD5820" w:rsidRDefault="00F64314">
            <w:pPr>
              <w:pStyle w:val="SSEC201503230"/>
              <w:rPr>
                <w:rFonts w:ascii="Times New Roman" w:hAnsi="Times New Roman"/>
              </w:rPr>
            </w:pPr>
            <w:r>
              <w:rPr>
                <w:rFonts w:ascii="Times New Roman" w:hAnsi="Times New Roman"/>
              </w:rPr>
              <w:t>0.0</w:t>
            </w:r>
            <w:r>
              <w:rPr>
                <w:rFonts w:ascii="Times New Roman" w:hAnsi="Times New Roman" w:hint="eastAsia"/>
              </w:rPr>
              <w:t>23</w:t>
            </w:r>
            <w:r>
              <w:rPr>
                <w:rFonts w:ascii="Times New Roman"/>
              </w:rPr>
              <w:t>～</w:t>
            </w:r>
            <w:r>
              <w:rPr>
                <w:rFonts w:ascii="Times New Roman" w:hAnsi="Times New Roman"/>
              </w:rPr>
              <w:t>0.0</w:t>
            </w:r>
            <w:r>
              <w:rPr>
                <w:rFonts w:ascii="Times New Roman" w:hAnsi="Times New Roman" w:hint="eastAsia"/>
              </w:rPr>
              <w:t>47</w:t>
            </w:r>
          </w:p>
        </w:tc>
      </w:tr>
      <w:tr w:rsidR="00BD5820">
        <w:trPr>
          <w:trHeight w:val="237"/>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6</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铬（六价）</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mg/kg</w:t>
            </w:r>
          </w:p>
        </w:tc>
        <w:tc>
          <w:tcPr>
            <w:tcW w:w="1047"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5.7</w:t>
            </w:r>
          </w:p>
        </w:tc>
        <w:tc>
          <w:tcPr>
            <w:tcW w:w="1303" w:type="dxa"/>
            <w:vAlign w:val="center"/>
          </w:tcPr>
          <w:p w:rsidR="00BD5820" w:rsidRDefault="00F64314">
            <w:pPr>
              <w:pStyle w:val="SSEC201503230"/>
              <w:rPr>
                <w:rFonts w:ascii="Times New Roman" w:hAnsi="Times New Roman"/>
              </w:rPr>
            </w:pPr>
            <w:r>
              <w:rPr>
                <w:rFonts w:ascii="Times New Roman" w:hint="eastAsia"/>
              </w:rPr>
              <w:t>1.4</w:t>
            </w:r>
            <w:r>
              <w:rPr>
                <w:rFonts w:ascii="Times New Roman"/>
              </w:rPr>
              <w:t>～</w:t>
            </w:r>
            <w:r>
              <w:rPr>
                <w:rFonts w:ascii="Times New Roman" w:hint="eastAsia"/>
              </w:rPr>
              <w:t>2.4</w:t>
            </w:r>
          </w:p>
        </w:tc>
        <w:tc>
          <w:tcPr>
            <w:tcW w:w="1270" w:type="dxa"/>
            <w:vAlign w:val="center"/>
          </w:tcPr>
          <w:p w:rsidR="00BD5820" w:rsidRDefault="00F64314">
            <w:pPr>
              <w:pStyle w:val="SSEC201503230"/>
              <w:rPr>
                <w:rFonts w:ascii="Times New Roman" w:hAnsi="Times New Roman"/>
              </w:rPr>
            </w:pPr>
            <w:r>
              <w:rPr>
                <w:rFonts w:ascii="Times New Roman" w:hint="eastAsia"/>
              </w:rPr>
              <w:t>0.246</w:t>
            </w:r>
            <w:r>
              <w:rPr>
                <w:rFonts w:ascii="Times New Roman"/>
              </w:rPr>
              <w:t>～</w:t>
            </w:r>
            <w:r>
              <w:rPr>
                <w:rFonts w:ascii="Times New Roman" w:hint="eastAsia"/>
              </w:rPr>
              <w:t>0.421</w:t>
            </w:r>
          </w:p>
        </w:tc>
      </w:tr>
      <w:tr w:rsidR="00BD5820">
        <w:trPr>
          <w:trHeight w:val="228"/>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7</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镍</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mg/kg</w:t>
            </w:r>
          </w:p>
        </w:tc>
        <w:tc>
          <w:tcPr>
            <w:tcW w:w="1047"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900</w:t>
            </w:r>
          </w:p>
        </w:tc>
        <w:tc>
          <w:tcPr>
            <w:tcW w:w="1303" w:type="dxa"/>
            <w:vAlign w:val="center"/>
          </w:tcPr>
          <w:p w:rsidR="00BD5820" w:rsidRDefault="00F64314">
            <w:pPr>
              <w:pStyle w:val="SSEC201503230"/>
              <w:rPr>
                <w:rFonts w:ascii="Times New Roman" w:hAnsi="Times New Roman"/>
              </w:rPr>
            </w:pPr>
            <w:r>
              <w:rPr>
                <w:rFonts w:ascii="Times New Roman" w:hAnsi="Times New Roman" w:hint="eastAsia"/>
              </w:rPr>
              <w:t>66</w:t>
            </w:r>
            <w:r>
              <w:rPr>
                <w:rFonts w:ascii="Times New Roman"/>
              </w:rPr>
              <w:t>～</w:t>
            </w:r>
            <w:r>
              <w:rPr>
                <w:rFonts w:ascii="Times New Roman" w:hAnsi="Times New Roman" w:hint="eastAsia"/>
              </w:rPr>
              <w:t>95</w:t>
            </w:r>
          </w:p>
        </w:tc>
        <w:tc>
          <w:tcPr>
            <w:tcW w:w="1270" w:type="dxa"/>
            <w:vAlign w:val="center"/>
          </w:tcPr>
          <w:p w:rsidR="00BD5820" w:rsidRDefault="00F64314">
            <w:pPr>
              <w:pStyle w:val="SSEC201503230"/>
              <w:rPr>
                <w:rFonts w:ascii="Times New Roman" w:hAnsi="Times New Roman"/>
              </w:rPr>
            </w:pPr>
            <w:r>
              <w:rPr>
                <w:rFonts w:ascii="Times New Roman" w:hAnsi="Times New Roman" w:hint="eastAsia"/>
              </w:rPr>
              <w:t>0.073</w:t>
            </w:r>
            <w:r>
              <w:rPr>
                <w:rFonts w:ascii="Times New Roman"/>
              </w:rPr>
              <w:t>～</w:t>
            </w:r>
            <w:r>
              <w:rPr>
                <w:rFonts w:ascii="Times New Roman" w:hint="eastAsia"/>
              </w:rPr>
              <w:t>0.106</w:t>
            </w:r>
          </w:p>
        </w:tc>
      </w:tr>
      <w:tr w:rsidR="00BD5820">
        <w:trPr>
          <w:trHeight w:val="245"/>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8</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总石油烃</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mg/kg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4500</w:t>
            </w:r>
          </w:p>
        </w:tc>
        <w:tc>
          <w:tcPr>
            <w:tcW w:w="1303" w:type="dxa"/>
            <w:vAlign w:val="center"/>
          </w:tcPr>
          <w:p w:rsidR="00BD5820" w:rsidRDefault="00F64314">
            <w:pPr>
              <w:pStyle w:val="SSEC201503230"/>
              <w:rPr>
                <w:rFonts w:ascii="Times New Roman" w:hAnsi="Times New Roman"/>
              </w:rPr>
            </w:pPr>
            <w:r>
              <w:rPr>
                <w:rFonts w:ascii="Times New Roman" w:hint="eastAsia"/>
              </w:rPr>
              <w:t>18</w:t>
            </w:r>
            <w:r>
              <w:rPr>
                <w:rFonts w:ascii="Times New Roman"/>
              </w:rPr>
              <w:t>～</w:t>
            </w:r>
            <w:r>
              <w:rPr>
                <w:rFonts w:ascii="Times New Roman" w:hint="eastAsia"/>
              </w:rPr>
              <w:t>53</w:t>
            </w:r>
          </w:p>
        </w:tc>
        <w:tc>
          <w:tcPr>
            <w:tcW w:w="1270" w:type="dxa"/>
            <w:vAlign w:val="center"/>
          </w:tcPr>
          <w:p w:rsidR="00BD5820" w:rsidRDefault="00F64314">
            <w:pPr>
              <w:pStyle w:val="SSEC201503230"/>
              <w:rPr>
                <w:rFonts w:ascii="Times New Roman" w:hAnsi="Times New Roman"/>
              </w:rPr>
            </w:pPr>
            <w:r>
              <w:rPr>
                <w:rFonts w:ascii="Times New Roman" w:hint="eastAsia"/>
              </w:rPr>
              <w:t>0.004</w:t>
            </w:r>
            <w:r>
              <w:rPr>
                <w:rFonts w:ascii="Times New Roman"/>
              </w:rPr>
              <w:t>～</w:t>
            </w:r>
            <w:r>
              <w:rPr>
                <w:rFonts w:ascii="Times New Roman" w:hint="eastAsia"/>
              </w:rPr>
              <w:t>0.0106</w:t>
            </w:r>
          </w:p>
        </w:tc>
      </w:tr>
      <w:tr w:rsidR="00BD5820">
        <w:trPr>
          <w:trHeight w:val="250"/>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9</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苯</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4</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39"/>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10</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甲苯</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1200</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11</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乙苯</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28</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12</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间，对</w:t>
            </w:r>
            <w:r>
              <w:rPr>
                <w:rFonts w:ascii="Times New Roman" w:cs="Times New Roman"/>
                <w:kern w:val="2"/>
                <w:sz w:val="21"/>
                <w:szCs w:val="21"/>
              </w:rPr>
              <w:t>-</w:t>
            </w:r>
            <w:r>
              <w:rPr>
                <w:rFonts w:ascii="Times New Roman" w:cs="Times New Roman"/>
                <w:kern w:val="2"/>
                <w:sz w:val="21"/>
                <w:szCs w:val="21"/>
              </w:rPr>
              <w:t>二甲苯</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570</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13</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苯乙烯</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1290</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14</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邻</w:t>
            </w:r>
            <w:r>
              <w:rPr>
                <w:rFonts w:ascii="Times New Roman" w:cs="Times New Roman"/>
                <w:kern w:val="2"/>
                <w:sz w:val="21"/>
                <w:szCs w:val="21"/>
              </w:rPr>
              <w:t>-</w:t>
            </w:r>
            <w:r>
              <w:rPr>
                <w:rFonts w:ascii="Times New Roman" w:cs="Times New Roman"/>
                <w:kern w:val="2"/>
                <w:sz w:val="21"/>
                <w:szCs w:val="21"/>
              </w:rPr>
              <w:t>二甲苯</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640</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15</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w:t>
            </w:r>
            <w:r>
              <w:rPr>
                <w:rFonts w:ascii="Times New Roman" w:cs="Times New Roman"/>
                <w:kern w:val="2"/>
                <w:sz w:val="21"/>
                <w:szCs w:val="21"/>
              </w:rPr>
              <w:t>，</w:t>
            </w:r>
            <w:r>
              <w:rPr>
                <w:rFonts w:ascii="Times New Roman" w:cs="Times New Roman"/>
                <w:kern w:val="2"/>
                <w:sz w:val="21"/>
                <w:szCs w:val="21"/>
              </w:rPr>
              <w:t>2-</w:t>
            </w:r>
            <w:r>
              <w:rPr>
                <w:rFonts w:ascii="Times New Roman" w:cs="Times New Roman"/>
                <w:kern w:val="2"/>
                <w:sz w:val="21"/>
                <w:szCs w:val="21"/>
              </w:rPr>
              <w:t>二氯丙烷</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5</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16</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氯乙烯</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0.43</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17</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w:t>
            </w:r>
            <w:r>
              <w:rPr>
                <w:rFonts w:ascii="Times New Roman" w:cs="Times New Roman"/>
                <w:kern w:val="2"/>
                <w:sz w:val="21"/>
                <w:szCs w:val="21"/>
              </w:rPr>
              <w:t>，</w:t>
            </w:r>
            <w:r>
              <w:rPr>
                <w:rFonts w:ascii="Times New Roman" w:cs="Times New Roman"/>
                <w:kern w:val="2"/>
                <w:sz w:val="21"/>
                <w:szCs w:val="21"/>
              </w:rPr>
              <w:t>1-</w:t>
            </w:r>
            <w:r>
              <w:rPr>
                <w:rFonts w:ascii="Times New Roman" w:cs="Times New Roman"/>
                <w:kern w:val="2"/>
                <w:sz w:val="21"/>
                <w:szCs w:val="21"/>
              </w:rPr>
              <w:t>二氯乙烯</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66</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18</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二氯甲烷</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616</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19</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反式</w:t>
            </w:r>
            <w:r>
              <w:rPr>
                <w:rFonts w:ascii="Times New Roman" w:cs="Times New Roman"/>
                <w:kern w:val="2"/>
                <w:sz w:val="21"/>
                <w:szCs w:val="21"/>
              </w:rPr>
              <w:t>1</w:t>
            </w:r>
            <w:r>
              <w:rPr>
                <w:rFonts w:ascii="Times New Roman" w:cs="Times New Roman"/>
                <w:kern w:val="2"/>
                <w:sz w:val="21"/>
                <w:szCs w:val="21"/>
              </w:rPr>
              <w:t>，</w:t>
            </w:r>
            <w:r>
              <w:rPr>
                <w:rFonts w:ascii="Times New Roman" w:cs="Times New Roman"/>
                <w:kern w:val="2"/>
                <w:sz w:val="21"/>
                <w:szCs w:val="21"/>
              </w:rPr>
              <w:t>2-</w:t>
            </w:r>
            <w:r>
              <w:rPr>
                <w:rFonts w:ascii="Times New Roman" w:cs="Times New Roman"/>
                <w:kern w:val="2"/>
                <w:sz w:val="21"/>
                <w:szCs w:val="21"/>
              </w:rPr>
              <w:t>二氯乙烯</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54</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20</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w:t>
            </w:r>
            <w:r>
              <w:rPr>
                <w:rFonts w:ascii="Times New Roman" w:cs="Times New Roman"/>
                <w:kern w:val="2"/>
                <w:sz w:val="21"/>
                <w:szCs w:val="21"/>
              </w:rPr>
              <w:t>，</w:t>
            </w:r>
            <w:r>
              <w:rPr>
                <w:rFonts w:ascii="Times New Roman" w:cs="Times New Roman"/>
                <w:kern w:val="2"/>
                <w:sz w:val="21"/>
                <w:szCs w:val="21"/>
              </w:rPr>
              <w:t>1-</w:t>
            </w:r>
            <w:r>
              <w:rPr>
                <w:rFonts w:ascii="Times New Roman" w:cs="Times New Roman"/>
                <w:kern w:val="2"/>
                <w:sz w:val="21"/>
                <w:szCs w:val="21"/>
              </w:rPr>
              <w:t>二氯乙烷</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9</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21</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顺式</w:t>
            </w:r>
            <w:r>
              <w:rPr>
                <w:rFonts w:ascii="Times New Roman" w:cs="Times New Roman"/>
                <w:kern w:val="2"/>
                <w:sz w:val="21"/>
                <w:szCs w:val="21"/>
              </w:rPr>
              <w:t>1</w:t>
            </w:r>
            <w:r>
              <w:rPr>
                <w:rFonts w:ascii="Times New Roman" w:cs="Times New Roman"/>
                <w:kern w:val="2"/>
                <w:sz w:val="21"/>
                <w:szCs w:val="21"/>
              </w:rPr>
              <w:t>，</w:t>
            </w:r>
            <w:r>
              <w:rPr>
                <w:rFonts w:ascii="Times New Roman" w:cs="Times New Roman"/>
                <w:kern w:val="2"/>
                <w:sz w:val="21"/>
                <w:szCs w:val="21"/>
              </w:rPr>
              <w:t>2-</w:t>
            </w:r>
            <w:r>
              <w:rPr>
                <w:rFonts w:ascii="Times New Roman" w:cs="Times New Roman"/>
                <w:kern w:val="2"/>
                <w:sz w:val="21"/>
                <w:szCs w:val="21"/>
              </w:rPr>
              <w:t>二氯乙烯</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596</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22</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w:t>
            </w:r>
            <w:r>
              <w:rPr>
                <w:rFonts w:ascii="Times New Roman" w:cs="Times New Roman"/>
                <w:kern w:val="2"/>
                <w:sz w:val="21"/>
                <w:szCs w:val="21"/>
              </w:rPr>
              <w:t>，</w:t>
            </w:r>
            <w:r>
              <w:rPr>
                <w:rFonts w:ascii="Times New Roman" w:cs="Times New Roman"/>
                <w:kern w:val="2"/>
                <w:sz w:val="21"/>
                <w:szCs w:val="21"/>
              </w:rPr>
              <w:t>1</w:t>
            </w:r>
            <w:r>
              <w:rPr>
                <w:rFonts w:ascii="Times New Roman" w:cs="Times New Roman"/>
                <w:kern w:val="2"/>
                <w:sz w:val="21"/>
                <w:szCs w:val="21"/>
              </w:rPr>
              <w:t>，</w:t>
            </w:r>
            <w:r>
              <w:rPr>
                <w:rFonts w:ascii="Times New Roman" w:cs="Times New Roman"/>
                <w:kern w:val="2"/>
                <w:sz w:val="21"/>
                <w:szCs w:val="21"/>
              </w:rPr>
              <w:t>1-</w:t>
            </w:r>
            <w:r>
              <w:rPr>
                <w:rFonts w:ascii="Times New Roman" w:cs="Times New Roman"/>
                <w:kern w:val="2"/>
                <w:sz w:val="21"/>
                <w:szCs w:val="21"/>
              </w:rPr>
              <w:t>三氯乙烷</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840</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23</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四氯化碳</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2.8</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24</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w:t>
            </w:r>
            <w:r>
              <w:rPr>
                <w:rFonts w:ascii="Times New Roman" w:cs="Times New Roman"/>
                <w:kern w:val="2"/>
                <w:sz w:val="21"/>
                <w:szCs w:val="21"/>
              </w:rPr>
              <w:t>，</w:t>
            </w:r>
            <w:r>
              <w:rPr>
                <w:rFonts w:ascii="Times New Roman" w:cs="Times New Roman"/>
                <w:kern w:val="2"/>
                <w:sz w:val="21"/>
                <w:szCs w:val="21"/>
              </w:rPr>
              <w:t>2-</w:t>
            </w:r>
            <w:r>
              <w:rPr>
                <w:rFonts w:ascii="Times New Roman" w:cs="Times New Roman"/>
                <w:kern w:val="2"/>
                <w:sz w:val="21"/>
                <w:szCs w:val="21"/>
              </w:rPr>
              <w:t>二氯乙烷</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5</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25</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三氯乙烯</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2.8</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lastRenderedPageBreak/>
              <w:t>26</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w:t>
            </w:r>
            <w:r>
              <w:rPr>
                <w:rFonts w:ascii="Times New Roman" w:cs="Times New Roman"/>
                <w:kern w:val="2"/>
                <w:sz w:val="21"/>
                <w:szCs w:val="21"/>
              </w:rPr>
              <w:t>，</w:t>
            </w:r>
            <w:r>
              <w:rPr>
                <w:rFonts w:ascii="Times New Roman" w:cs="Times New Roman"/>
                <w:kern w:val="2"/>
                <w:sz w:val="21"/>
                <w:szCs w:val="21"/>
              </w:rPr>
              <w:t>1</w:t>
            </w:r>
            <w:r>
              <w:rPr>
                <w:rFonts w:ascii="Times New Roman" w:cs="Times New Roman"/>
                <w:kern w:val="2"/>
                <w:sz w:val="21"/>
                <w:szCs w:val="21"/>
              </w:rPr>
              <w:t>，</w:t>
            </w:r>
            <w:r>
              <w:rPr>
                <w:rFonts w:ascii="Times New Roman" w:cs="Times New Roman"/>
                <w:kern w:val="2"/>
                <w:sz w:val="21"/>
                <w:szCs w:val="21"/>
              </w:rPr>
              <w:t>2-</w:t>
            </w:r>
            <w:r>
              <w:rPr>
                <w:rFonts w:ascii="Times New Roman" w:cs="Times New Roman"/>
                <w:kern w:val="2"/>
                <w:sz w:val="21"/>
                <w:szCs w:val="21"/>
              </w:rPr>
              <w:t>三氯乙烷</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2.8</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27</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四氯乙烯</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53</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28</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w:t>
            </w:r>
            <w:r>
              <w:rPr>
                <w:rFonts w:ascii="Times New Roman" w:cs="Times New Roman"/>
                <w:kern w:val="2"/>
                <w:sz w:val="21"/>
                <w:szCs w:val="21"/>
              </w:rPr>
              <w:t>，</w:t>
            </w:r>
            <w:r>
              <w:rPr>
                <w:rFonts w:ascii="Times New Roman" w:cs="Times New Roman"/>
                <w:kern w:val="2"/>
                <w:sz w:val="21"/>
                <w:szCs w:val="21"/>
              </w:rPr>
              <w:t>1</w:t>
            </w:r>
            <w:r>
              <w:rPr>
                <w:rFonts w:ascii="Times New Roman" w:cs="Times New Roman"/>
                <w:kern w:val="2"/>
                <w:sz w:val="21"/>
                <w:szCs w:val="21"/>
              </w:rPr>
              <w:t>，</w:t>
            </w:r>
            <w:r>
              <w:rPr>
                <w:rFonts w:ascii="Times New Roman" w:cs="Times New Roman"/>
                <w:kern w:val="2"/>
                <w:sz w:val="21"/>
                <w:szCs w:val="21"/>
              </w:rPr>
              <w:t>1</w:t>
            </w:r>
            <w:r>
              <w:rPr>
                <w:rFonts w:ascii="Times New Roman" w:cs="Times New Roman"/>
                <w:kern w:val="2"/>
                <w:sz w:val="21"/>
                <w:szCs w:val="21"/>
              </w:rPr>
              <w:t>，</w:t>
            </w:r>
            <w:r>
              <w:rPr>
                <w:rFonts w:ascii="Times New Roman" w:cs="Times New Roman"/>
                <w:kern w:val="2"/>
                <w:sz w:val="21"/>
                <w:szCs w:val="21"/>
              </w:rPr>
              <w:t>2-</w:t>
            </w:r>
            <w:r>
              <w:rPr>
                <w:rFonts w:ascii="Times New Roman" w:cs="Times New Roman"/>
                <w:kern w:val="2"/>
                <w:sz w:val="21"/>
                <w:szCs w:val="21"/>
              </w:rPr>
              <w:t>四氯乙烷</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10</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29</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w:t>
            </w:r>
            <w:r>
              <w:rPr>
                <w:rFonts w:ascii="Times New Roman" w:cs="Times New Roman"/>
                <w:kern w:val="2"/>
                <w:sz w:val="21"/>
                <w:szCs w:val="21"/>
              </w:rPr>
              <w:t>，</w:t>
            </w:r>
            <w:r>
              <w:rPr>
                <w:rFonts w:ascii="Times New Roman" w:cs="Times New Roman"/>
                <w:kern w:val="2"/>
                <w:sz w:val="21"/>
                <w:szCs w:val="21"/>
              </w:rPr>
              <w:t>1</w:t>
            </w:r>
            <w:r>
              <w:rPr>
                <w:rFonts w:ascii="Times New Roman" w:cs="Times New Roman"/>
                <w:kern w:val="2"/>
                <w:sz w:val="21"/>
                <w:szCs w:val="21"/>
              </w:rPr>
              <w:t>，</w:t>
            </w:r>
            <w:r>
              <w:rPr>
                <w:rFonts w:ascii="Times New Roman" w:cs="Times New Roman"/>
                <w:kern w:val="2"/>
                <w:sz w:val="21"/>
                <w:szCs w:val="21"/>
              </w:rPr>
              <w:t>2</w:t>
            </w:r>
            <w:r>
              <w:rPr>
                <w:rFonts w:ascii="Times New Roman" w:cs="Times New Roman"/>
                <w:kern w:val="2"/>
                <w:sz w:val="21"/>
                <w:szCs w:val="21"/>
              </w:rPr>
              <w:t>，</w:t>
            </w:r>
            <w:r>
              <w:rPr>
                <w:rFonts w:ascii="Times New Roman" w:cs="Times New Roman"/>
                <w:kern w:val="2"/>
                <w:sz w:val="21"/>
                <w:szCs w:val="21"/>
              </w:rPr>
              <w:t>2-</w:t>
            </w:r>
            <w:r>
              <w:rPr>
                <w:rFonts w:ascii="Times New Roman" w:cs="Times New Roman"/>
                <w:kern w:val="2"/>
                <w:sz w:val="21"/>
                <w:szCs w:val="21"/>
              </w:rPr>
              <w:t>四氯乙烷</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6.8</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30</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w:t>
            </w:r>
            <w:r>
              <w:rPr>
                <w:rFonts w:ascii="Times New Roman" w:cs="Times New Roman"/>
                <w:kern w:val="2"/>
                <w:sz w:val="21"/>
                <w:szCs w:val="21"/>
              </w:rPr>
              <w:t>，</w:t>
            </w:r>
            <w:r>
              <w:rPr>
                <w:rFonts w:ascii="Times New Roman" w:cs="Times New Roman"/>
                <w:kern w:val="2"/>
                <w:sz w:val="21"/>
                <w:szCs w:val="21"/>
              </w:rPr>
              <w:t>2</w:t>
            </w:r>
            <w:r>
              <w:rPr>
                <w:rFonts w:ascii="Times New Roman" w:cs="Times New Roman"/>
                <w:kern w:val="2"/>
                <w:sz w:val="21"/>
                <w:szCs w:val="21"/>
              </w:rPr>
              <w:t>，</w:t>
            </w:r>
            <w:r>
              <w:rPr>
                <w:rFonts w:ascii="Times New Roman" w:cs="Times New Roman"/>
                <w:kern w:val="2"/>
                <w:sz w:val="21"/>
                <w:szCs w:val="21"/>
              </w:rPr>
              <w:t>3-</w:t>
            </w:r>
            <w:r>
              <w:rPr>
                <w:rFonts w:ascii="Times New Roman" w:cs="Times New Roman"/>
                <w:kern w:val="2"/>
                <w:sz w:val="21"/>
                <w:szCs w:val="21"/>
              </w:rPr>
              <w:t>三氯丙烷</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0.5</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31</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氯苯</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270</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32</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w:t>
            </w:r>
            <w:r>
              <w:rPr>
                <w:rFonts w:ascii="Times New Roman" w:cs="Times New Roman"/>
                <w:kern w:val="2"/>
                <w:sz w:val="21"/>
                <w:szCs w:val="21"/>
              </w:rPr>
              <w:t>，</w:t>
            </w:r>
            <w:r>
              <w:rPr>
                <w:rFonts w:ascii="Times New Roman" w:cs="Times New Roman"/>
                <w:kern w:val="2"/>
                <w:sz w:val="21"/>
                <w:szCs w:val="21"/>
              </w:rPr>
              <w:t>4-</w:t>
            </w:r>
            <w:r>
              <w:rPr>
                <w:rFonts w:ascii="Times New Roman" w:cs="Times New Roman"/>
                <w:kern w:val="2"/>
                <w:sz w:val="21"/>
                <w:szCs w:val="21"/>
              </w:rPr>
              <w:t>二氯苯</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20</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33</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w:t>
            </w:r>
            <w:r>
              <w:rPr>
                <w:rFonts w:ascii="Times New Roman" w:cs="Times New Roman"/>
                <w:kern w:val="2"/>
                <w:sz w:val="21"/>
                <w:szCs w:val="21"/>
              </w:rPr>
              <w:t>，</w:t>
            </w:r>
            <w:r>
              <w:rPr>
                <w:rFonts w:ascii="Times New Roman" w:cs="Times New Roman"/>
                <w:kern w:val="2"/>
                <w:sz w:val="21"/>
                <w:szCs w:val="21"/>
              </w:rPr>
              <w:t>2-</w:t>
            </w:r>
            <w:r>
              <w:rPr>
                <w:rFonts w:ascii="Times New Roman" w:cs="Times New Roman"/>
                <w:kern w:val="2"/>
                <w:sz w:val="21"/>
                <w:szCs w:val="21"/>
              </w:rPr>
              <w:t>二氯苯</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560</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34</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氯仿</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0.9</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35</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氯甲烷</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37</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36</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2-</w:t>
            </w:r>
            <w:r>
              <w:rPr>
                <w:rFonts w:ascii="Times New Roman" w:cs="Times New Roman"/>
                <w:kern w:val="2"/>
                <w:sz w:val="21"/>
                <w:szCs w:val="21"/>
              </w:rPr>
              <w:t>氯酚</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ug/kg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2256</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37</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苯并</w:t>
            </w:r>
            <w:r>
              <w:rPr>
                <w:rFonts w:ascii="Times New Roman" w:cs="Times New Roman"/>
                <w:kern w:val="2"/>
                <w:sz w:val="21"/>
                <w:szCs w:val="21"/>
              </w:rPr>
              <w:t>[a]</w:t>
            </w:r>
            <w:r>
              <w:rPr>
                <w:rFonts w:ascii="Times New Roman" w:cs="Times New Roman"/>
                <w:kern w:val="2"/>
                <w:sz w:val="21"/>
                <w:szCs w:val="21"/>
              </w:rPr>
              <w:t>蒽</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mg/kg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15</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38</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bCs/>
                <w:kern w:val="2"/>
                <w:sz w:val="21"/>
                <w:szCs w:val="21"/>
              </w:rPr>
              <w:t>䓛</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mg/kg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1.5</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39</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苯并</w:t>
            </w:r>
            <w:r>
              <w:rPr>
                <w:rFonts w:ascii="Times New Roman" w:cs="Times New Roman"/>
                <w:kern w:val="2"/>
                <w:sz w:val="21"/>
                <w:szCs w:val="21"/>
              </w:rPr>
              <w:t>[b]</w:t>
            </w:r>
            <w:r>
              <w:rPr>
                <w:rFonts w:ascii="Times New Roman" w:cs="Times New Roman"/>
                <w:kern w:val="2"/>
                <w:sz w:val="21"/>
                <w:szCs w:val="21"/>
              </w:rPr>
              <w:t>荧蒽</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mg/kg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15</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40</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苯并</w:t>
            </w:r>
            <w:r>
              <w:rPr>
                <w:rFonts w:ascii="Times New Roman" w:cs="Times New Roman"/>
                <w:kern w:val="2"/>
                <w:sz w:val="21"/>
                <w:szCs w:val="21"/>
              </w:rPr>
              <w:t>[k]</w:t>
            </w:r>
            <w:r>
              <w:rPr>
                <w:rFonts w:ascii="Times New Roman" w:cs="Times New Roman"/>
                <w:kern w:val="2"/>
                <w:sz w:val="21"/>
                <w:szCs w:val="21"/>
              </w:rPr>
              <w:t>荧蒽</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mg/kg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151</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41</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苯并</w:t>
            </w:r>
            <w:r>
              <w:rPr>
                <w:rFonts w:ascii="Times New Roman" w:cs="Times New Roman"/>
                <w:kern w:val="2"/>
                <w:sz w:val="21"/>
                <w:szCs w:val="21"/>
              </w:rPr>
              <w:t xml:space="preserve">[a] </w:t>
            </w:r>
            <w:r>
              <w:rPr>
                <w:rFonts w:ascii="Times New Roman" w:cs="Times New Roman"/>
                <w:kern w:val="2"/>
                <w:sz w:val="21"/>
                <w:szCs w:val="21"/>
              </w:rPr>
              <w:t>芘</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mg/kg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1.5</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42</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茚并</w:t>
            </w:r>
            <w:r>
              <w:rPr>
                <w:rFonts w:ascii="Times New Roman" w:cs="Times New Roman"/>
                <w:kern w:val="2"/>
                <w:sz w:val="21"/>
                <w:szCs w:val="21"/>
              </w:rPr>
              <w:t>[1</w:t>
            </w:r>
            <w:r>
              <w:rPr>
                <w:rFonts w:ascii="Times New Roman" w:cs="Times New Roman"/>
                <w:kern w:val="2"/>
                <w:sz w:val="21"/>
                <w:szCs w:val="21"/>
              </w:rPr>
              <w:t>，</w:t>
            </w:r>
            <w:r>
              <w:rPr>
                <w:rFonts w:ascii="Times New Roman" w:cs="Times New Roman"/>
                <w:kern w:val="2"/>
                <w:sz w:val="21"/>
                <w:szCs w:val="21"/>
              </w:rPr>
              <w:t>2</w:t>
            </w:r>
            <w:r>
              <w:rPr>
                <w:rFonts w:ascii="Times New Roman" w:cs="Times New Roman"/>
                <w:kern w:val="2"/>
                <w:sz w:val="21"/>
                <w:szCs w:val="21"/>
              </w:rPr>
              <w:t>，</w:t>
            </w:r>
            <w:r>
              <w:rPr>
                <w:rFonts w:ascii="Times New Roman" w:cs="Times New Roman"/>
                <w:kern w:val="2"/>
                <w:sz w:val="21"/>
                <w:szCs w:val="21"/>
              </w:rPr>
              <w:t xml:space="preserve">3-cd] </w:t>
            </w:r>
            <w:r>
              <w:rPr>
                <w:rFonts w:ascii="Times New Roman" w:cs="Times New Roman"/>
                <w:kern w:val="2"/>
                <w:sz w:val="21"/>
                <w:szCs w:val="21"/>
              </w:rPr>
              <w:t>芘</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mg/kg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15</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43</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二苯并</w:t>
            </w:r>
            <w:r>
              <w:rPr>
                <w:rFonts w:ascii="Times New Roman" w:cs="Times New Roman"/>
                <w:kern w:val="2"/>
                <w:sz w:val="21"/>
                <w:szCs w:val="21"/>
              </w:rPr>
              <w:t>[a</w:t>
            </w:r>
            <w:r>
              <w:rPr>
                <w:rFonts w:ascii="Times New Roman" w:cs="Times New Roman"/>
                <w:kern w:val="2"/>
                <w:sz w:val="21"/>
                <w:szCs w:val="21"/>
              </w:rPr>
              <w:t>，</w:t>
            </w:r>
            <w:r>
              <w:rPr>
                <w:rFonts w:ascii="Times New Roman" w:cs="Times New Roman"/>
                <w:kern w:val="2"/>
                <w:sz w:val="21"/>
                <w:szCs w:val="21"/>
              </w:rPr>
              <w:t>h]</w:t>
            </w:r>
            <w:r>
              <w:rPr>
                <w:rFonts w:ascii="Times New Roman" w:cs="Times New Roman"/>
                <w:kern w:val="2"/>
                <w:sz w:val="21"/>
                <w:szCs w:val="21"/>
              </w:rPr>
              <w:t>蒽</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mg/kg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1.5</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44</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硝基苯</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mg/kg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76</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45</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苯胺</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mg/kg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260</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r w:rsidR="00BD5820">
        <w:trPr>
          <w:trHeight w:val="244"/>
          <w:jc w:val="center"/>
        </w:trPr>
        <w:tc>
          <w:tcPr>
            <w:tcW w:w="161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46</w:t>
            </w:r>
          </w:p>
        </w:tc>
        <w:tc>
          <w:tcPr>
            <w:tcW w:w="1988"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萘</w:t>
            </w:r>
          </w:p>
        </w:tc>
        <w:tc>
          <w:tcPr>
            <w:tcW w:w="1302"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mg/kg</w:t>
            </w:r>
          </w:p>
        </w:tc>
        <w:tc>
          <w:tcPr>
            <w:tcW w:w="1047" w:type="dxa"/>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70</w:t>
            </w:r>
          </w:p>
        </w:tc>
        <w:tc>
          <w:tcPr>
            <w:tcW w:w="1303" w:type="dxa"/>
            <w:vAlign w:val="center"/>
          </w:tcPr>
          <w:p w:rsidR="00BD5820" w:rsidRDefault="00F64314">
            <w:pPr>
              <w:pStyle w:val="SSEC201503230"/>
              <w:rPr>
                <w:rFonts w:ascii="Times New Roman" w:hAnsi="Times New Roman"/>
                <w:kern w:val="0"/>
              </w:rPr>
            </w:pPr>
            <w:r>
              <w:rPr>
                <w:rFonts w:ascii="Times New Roman" w:hAnsi="Times New Roman"/>
                <w:kern w:val="0"/>
              </w:rPr>
              <w:t>ND</w:t>
            </w:r>
          </w:p>
        </w:tc>
        <w:tc>
          <w:tcPr>
            <w:tcW w:w="1270" w:type="dxa"/>
            <w:vAlign w:val="center"/>
          </w:tcPr>
          <w:p w:rsidR="00BD5820" w:rsidRDefault="00F64314">
            <w:pPr>
              <w:pStyle w:val="SSEC201503230"/>
              <w:rPr>
                <w:rFonts w:ascii="Times New Roman" w:hAnsi="Times New Roman"/>
              </w:rPr>
            </w:pPr>
            <w:r>
              <w:rPr>
                <w:rFonts w:ascii="Times New Roman" w:hAnsi="Times New Roman"/>
              </w:rPr>
              <w:t>/</w:t>
            </w:r>
          </w:p>
        </w:tc>
      </w:tr>
    </w:tbl>
    <w:p w:rsidR="00BD5820" w:rsidRDefault="00F64314">
      <w:pPr>
        <w:pStyle w:val="10"/>
        <w:ind w:firstLine="480"/>
        <w:rPr>
          <w:rFonts w:cs="Times New Roman"/>
        </w:rPr>
      </w:pPr>
      <w:r>
        <w:rPr>
          <w:rFonts w:cs="Times New Roman"/>
        </w:rPr>
        <w:t>表</w:t>
      </w:r>
      <w:r>
        <w:rPr>
          <w:rFonts w:cs="Times New Roman"/>
        </w:rPr>
        <w:t>5.7-</w:t>
      </w:r>
      <w:r>
        <w:rPr>
          <w:rFonts w:cs="Times New Roman" w:hint="eastAsia"/>
        </w:rPr>
        <w:t>5</w:t>
      </w:r>
      <w:r>
        <w:rPr>
          <w:rFonts w:cs="Times New Roman"/>
        </w:rPr>
        <w:t xml:space="preserve"> </w:t>
      </w:r>
      <w:r>
        <w:rPr>
          <w:rFonts w:cs="Times New Roman" w:hint="eastAsia"/>
        </w:rPr>
        <w:t>普光气田</w:t>
      </w:r>
      <w:r>
        <w:rPr>
          <w:rFonts w:cs="Times New Roman" w:hint="eastAsia"/>
        </w:rPr>
        <w:t>2#</w:t>
      </w:r>
      <w:r>
        <w:rPr>
          <w:rFonts w:cs="Times New Roman" w:hint="eastAsia"/>
        </w:rPr>
        <w:t>增压站外土壤环境质量</w:t>
      </w:r>
      <w:r>
        <w:rPr>
          <w:rFonts w:cs="Times New Roman"/>
        </w:rPr>
        <w:t>现状监测统计表</w:t>
      </w:r>
      <w:r>
        <w:rPr>
          <w:rFonts w:cs="Times New Roman" w:hint="eastAsia"/>
        </w:rPr>
        <w:t>（</w:t>
      </w:r>
      <w:r>
        <w:rPr>
          <w:rFonts w:cs="Times New Roman" w:hint="eastAsia"/>
        </w:rPr>
        <w:t>T11~T12</w:t>
      </w:r>
      <w:r>
        <w:rPr>
          <w:rFonts w:cs="Times New Roman" w:hint="eastAsia"/>
        </w:rPr>
        <w:t>）</w:t>
      </w:r>
      <w:r>
        <w:rPr>
          <w:rFonts w:cs="Times New Roman"/>
        </w:rPr>
        <w:t xml:space="preserve">  </w:t>
      </w:r>
      <w:r>
        <w:rPr>
          <w:rFonts w:cs="Times New Roman"/>
        </w:rPr>
        <w:t>单位：</w:t>
      </w:r>
      <w:r>
        <w:rPr>
          <w:rFonts w:cs="Times New Roman"/>
        </w:rPr>
        <w:t>mg/kg</w:t>
      </w:r>
    </w:p>
    <w:tbl>
      <w:tblPr>
        <w:tblW w:w="5208" w:type="pct"/>
        <w:jc w:val="center"/>
        <w:tblBorders>
          <w:top w:val="single" w:sz="12" w:space="0" w:color="000000"/>
          <w:bottom w:val="single" w:sz="12" w:space="0" w:color="000000"/>
          <w:insideH w:val="single" w:sz="2" w:space="0" w:color="000000"/>
          <w:insideV w:val="single" w:sz="4" w:space="0" w:color="000000"/>
        </w:tblBorders>
        <w:tblCellMar>
          <w:left w:w="0" w:type="dxa"/>
          <w:right w:w="0" w:type="dxa"/>
        </w:tblCellMar>
        <w:tblLook w:val="04A0"/>
      </w:tblPr>
      <w:tblGrid>
        <w:gridCol w:w="1384"/>
        <w:gridCol w:w="1668"/>
        <w:gridCol w:w="1753"/>
        <w:gridCol w:w="1452"/>
        <w:gridCol w:w="1121"/>
        <w:gridCol w:w="1274"/>
      </w:tblGrid>
      <w:tr w:rsidR="00BD5820">
        <w:trPr>
          <w:trHeight w:val="58"/>
          <w:tblHeader/>
          <w:jc w:val="center"/>
        </w:trPr>
        <w:tc>
          <w:tcPr>
            <w:tcW w:w="1794" w:type="pct"/>
            <w:gridSpan w:val="2"/>
            <w:tcBorders>
              <w:top w:val="single" w:sz="12" w:space="0" w:color="000000"/>
              <w:bottom w:val="single" w:sz="2" w:space="0" w:color="000000"/>
              <w:tl2br w:val="single" w:sz="2" w:space="0" w:color="000000"/>
            </w:tcBorders>
            <w:vAlign w:val="center"/>
          </w:tcPr>
          <w:p w:rsidR="00BD5820" w:rsidRDefault="00F64314">
            <w:pPr>
              <w:pStyle w:val="afff1"/>
              <w:jc w:val="right"/>
              <w:rPr>
                <w:b/>
                <w:bCs/>
                <w:szCs w:val="21"/>
              </w:rPr>
            </w:pPr>
            <w:r>
              <w:rPr>
                <w:b/>
                <w:bCs/>
                <w:szCs w:val="21"/>
              </w:rPr>
              <w:t>监测</w:t>
            </w:r>
            <w:r>
              <w:rPr>
                <w:rFonts w:hint="eastAsia"/>
                <w:b/>
                <w:bCs/>
                <w:szCs w:val="21"/>
              </w:rPr>
              <w:t>结果</w:t>
            </w:r>
          </w:p>
          <w:p w:rsidR="00BD5820" w:rsidRDefault="00F64314">
            <w:pPr>
              <w:pStyle w:val="afff1"/>
              <w:jc w:val="left"/>
              <w:rPr>
                <w:b/>
                <w:bCs/>
                <w:szCs w:val="21"/>
              </w:rPr>
            </w:pPr>
            <w:r>
              <w:rPr>
                <w:b/>
                <w:bCs/>
                <w:szCs w:val="21"/>
              </w:rPr>
              <w:t>监测项目</w:t>
            </w:r>
          </w:p>
        </w:tc>
        <w:tc>
          <w:tcPr>
            <w:tcW w:w="1028" w:type="pct"/>
            <w:tcBorders>
              <w:top w:val="single" w:sz="12" w:space="0" w:color="000000"/>
              <w:bottom w:val="single" w:sz="2" w:space="0" w:color="000000"/>
            </w:tcBorders>
            <w:vAlign w:val="center"/>
          </w:tcPr>
          <w:p w:rsidR="00BD5820" w:rsidRDefault="00F64314">
            <w:pPr>
              <w:pStyle w:val="afff1"/>
              <w:rPr>
                <w:b/>
                <w:bCs/>
                <w:szCs w:val="21"/>
              </w:rPr>
            </w:pPr>
            <w:r>
              <w:rPr>
                <w:b/>
                <w:bCs/>
                <w:szCs w:val="21"/>
              </w:rPr>
              <w:t>单位</w:t>
            </w:r>
          </w:p>
        </w:tc>
        <w:tc>
          <w:tcPr>
            <w:tcW w:w="854" w:type="pct"/>
            <w:tcBorders>
              <w:top w:val="single" w:sz="12" w:space="0" w:color="000000"/>
              <w:bottom w:val="single" w:sz="2" w:space="0" w:color="000000"/>
            </w:tcBorders>
            <w:vAlign w:val="center"/>
          </w:tcPr>
          <w:p w:rsidR="00BD5820" w:rsidRDefault="00F64314">
            <w:pPr>
              <w:pStyle w:val="afff1"/>
              <w:rPr>
                <w:b/>
                <w:bCs/>
                <w:szCs w:val="21"/>
              </w:rPr>
            </w:pPr>
            <w:r>
              <w:rPr>
                <w:b/>
                <w:bCs/>
                <w:szCs w:val="21"/>
              </w:rPr>
              <w:t>监测结果</w:t>
            </w:r>
            <w:r>
              <w:rPr>
                <w:rFonts w:hint="eastAsia"/>
                <w:b/>
                <w:bCs/>
                <w:szCs w:val="21"/>
              </w:rPr>
              <w:t>（</w:t>
            </w:r>
            <w:r>
              <w:rPr>
                <w:rFonts w:hint="eastAsia"/>
                <w:b/>
                <w:bCs/>
                <w:szCs w:val="21"/>
              </w:rPr>
              <w:t>6.5</w:t>
            </w:r>
            <w:r>
              <w:rPr>
                <w:b/>
                <w:bCs/>
                <w:szCs w:val="21"/>
              </w:rPr>
              <w:t>&lt;pH</w:t>
            </w:r>
            <w:r>
              <w:rPr>
                <w:rFonts w:hint="eastAsia"/>
                <w:b/>
                <w:bCs/>
                <w:szCs w:val="21"/>
              </w:rPr>
              <w:t>≤</w:t>
            </w:r>
            <w:r>
              <w:rPr>
                <w:b/>
                <w:bCs/>
                <w:szCs w:val="21"/>
              </w:rPr>
              <w:t>7.5</w:t>
            </w:r>
            <w:r>
              <w:rPr>
                <w:rFonts w:hint="eastAsia"/>
                <w:b/>
                <w:bCs/>
                <w:szCs w:val="21"/>
              </w:rPr>
              <w:t>）</w:t>
            </w:r>
          </w:p>
        </w:tc>
        <w:tc>
          <w:tcPr>
            <w:tcW w:w="663" w:type="pct"/>
            <w:tcBorders>
              <w:top w:val="single" w:sz="12" w:space="0" w:color="000000"/>
              <w:bottom w:val="single" w:sz="2" w:space="0" w:color="000000"/>
            </w:tcBorders>
            <w:vAlign w:val="center"/>
          </w:tcPr>
          <w:p w:rsidR="00BD5820" w:rsidRDefault="00F64314">
            <w:pPr>
              <w:pStyle w:val="afff1"/>
              <w:rPr>
                <w:b/>
                <w:bCs/>
                <w:szCs w:val="21"/>
              </w:rPr>
            </w:pPr>
            <w:r>
              <w:rPr>
                <w:b/>
                <w:bCs/>
                <w:szCs w:val="21"/>
              </w:rPr>
              <w:t>标准值</w:t>
            </w:r>
          </w:p>
        </w:tc>
        <w:tc>
          <w:tcPr>
            <w:tcW w:w="661" w:type="pct"/>
            <w:tcBorders>
              <w:top w:val="single" w:sz="12" w:space="0" w:color="000000"/>
              <w:bottom w:val="single" w:sz="2" w:space="0" w:color="000000"/>
            </w:tcBorders>
            <w:vAlign w:val="center"/>
          </w:tcPr>
          <w:p w:rsidR="00BD5820" w:rsidRDefault="00F64314">
            <w:pPr>
              <w:pStyle w:val="afff1"/>
              <w:rPr>
                <w:b/>
                <w:bCs/>
                <w:szCs w:val="21"/>
              </w:rPr>
            </w:pPr>
            <w:r>
              <w:rPr>
                <w:b/>
                <w:bCs/>
                <w:szCs w:val="21"/>
              </w:rPr>
              <w:t>S</w:t>
            </w:r>
            <w:r>
              <w:rPr>
                <w:b/>
                <w:bCs/>
                <w:szCs w:val="21"/>
                <w:vertAlign w:val="subscript"/>
              </w:rPr>
              <w:t>i</w:t>
            </w:r>
            <w:r>
              <w:rPr>
                <w:rFonts w:hint="eastAsia"/>
                <w:b/>
                <w:bCs/>
                <w:szCs w:val="21"/>
                <w:vertAlign w:val="subscript"/>
              </w:rPr>
              <w:t>，</w:t>
            </w:r>
            <w:r>
              <w:rPr>
                <w:b/>
                <w:bCs/>
                <w:szCs w:val="21"/>
                <w:vertAlign w:val="subscript"/>
              </w:rPr>
              <w:t>j</w:t>
            </w:r>
          </w:p>
        </w:tc>
      </w:tr>
      <w:tr w:rsidR="00BD5820">
        <w:trPr>
          <w:trHeight w:val="19"/>
          <w:jc w:val="center"/>
        </w:trPr>
        <w:tc>
          <w:tcPr>
            <w:tcW w:w="815" w:type="pct"/>
            <w:tcBorders>
              <w:top w:val="single" w:sz="2" w:space="0" w:color="000000"/>
              <w:bottom w:val="single" w:sz="2" w:space="0" w:color="000000"/>
            </w:tcBorders>
            <w:vAlign w:val="center"/>
          </w:tcPr>
          <w:p w:rsidR="00BD5820" w:rsidRDefault="00F64314">
            <w:pPr>
              <w:pStyle w:val="afff1"/>
              <w:rPr>
                <w:szCs w:val="21"/>
              </w:rPr>
            </w:pPr>
            <w:r>
              <w:rPr>
                <w:szCs w:val="21"/>
              </w:rPr>
              <w:t>1</w:t>
            </w:r>
          </w:p>
        </w:tc>
        <w:tc>
          <w:tcPr>
            <w:tcW w:w="979" w:type="pct"/>
            <w:tcBorders>
              <w:top w:val="single" w:sz="2" w:space="0" w:color="000000"/>
              <w:bottom w:val="single" w:sz="2" w:space="0" w:color="000000"/>
            </w:tcBorders>
            <w:vAlign w:val="center"/>
          </w:tcPr>
          <w:p w:rsidR="00BD5820" w:rsidRDefault="00F64314">
            <w:pPr>
              <w:pStyle w:val="afff1"/>
              <w:rPr>
                <w:szCs w:val="21"/>
              </w:rPr>
            </w:pPr>
            <w:r>
              <w:rPr>
                <w:szCs w:val="21"/>
              </w:rPr>
              <w:t>pH</w:t>
            </w:r>
          </w:p>
        </w:tc>
        <w:tc>
          <w:tcPr>
            <w:tcW w:w="1028" w:type="pct"/>
            <w:tcBorders>
              <w:top w:val="single" w:sz="2" w:space="0" w:color="000000"/>
              <w:bottom w:val="single" w:sz="2" w:space="0" w:color="000000"/>
            </w:tcBorders>
            <w:vAlign w:val="center"/>
          </w:tcPr>
          <w:p w:rsidR="00BD5820" w:rsidRDefault="00F64314">
            <w:pPr>
              <w:pStyle w:val="Default"/>
              <w:jc w:val="center"/>
              <w:rPr>
                <w:rFonts w:ascii="Times New Roman" w:hAnsi="Times New Roman" w:cs="Times New Roman"/>
                <w:color w:val="auto"/>
                <w:kern w:val="2"/>
                <w:sz w:val="21"/>
                <w:szCs w:val="21"/>
                <w:shd w:val="clear" w:color="auto" w:fill="FFFFFF"/>
              </w:rPr>
            </w:pPr>
            <w:r>
              <w:rPr>
                <w:rFonts w:ascii="Times New Roman" w:hAnsi="Times New Roman" w:cs="Times New Roman"/>
                <w:color w:val="auto"/>
                <w:kern w:val="2"/>
                <w:sz w:val="21"/>
                <w:szCs w:val="21"/>
                <w:shd w:val="clear" w:color="auto" w:fill="FFFFFF"/>
              </w:rPr>
              <w:t>无量纲</w:t>
            </w:r>
          </w:p>
        </w:tc>
        <w:tc>
          <w:tcPr>
            <w:tcW w:w="854" w:type="pct"/>
            <w:tcBorders>
              <w:top w:val="single" w:sz="2" w:space="0" w:color="000000"/>
              <w:bottom w:val="single" w:sz="2" w:space="0" w:color="000000"/>
            </w:tcBorders>
            <w:vAlign w:val="center"/>
          </w:tcPr>
          <w:p w:rsidR="00BD5820" w:rsidRDefault="00F64314">
            <w:pPr>
              <w:pStyle w:val="afff1"/>
              <w:rPr>
                <w:szCs w:val="21"/>
              </w:rPr>
            </w:pPr>
            <w:r>
              <w:rPr>
                <w:rFonts w:hint="eastAsia"/>
                <w:szCs w:val="21"/>
              </w:rPr>
              <w:t>6.87~7.20</w:t>
            </w:r>
          </w:p>
        </w:tc>
        <w:tc>
          <w:tcPr>
            <w:tcW w:w="663" w:type="pct"/>
            <w:tcBorders>
              <w:top w:val="single" w:sz="2" w:space="0" w:color="000000"/>
              <w:bottom w:val="single" w:sz="2" w:space="0" w:color="000000"/>
            </w:tcBorders>
            <w:vAlign w:val="center"/>
          </w:tcPr>
          <w:p w:rsidR="00BD5820" w:rsidRDefault="00F64314">
            <w:pPr>
              <w:pStyle w:val="afff1"/>
              <w:rPr>
                <w:szCs w:val="21"/>
              </w:rPr>
            </w:pPr>
            <w:r>
              <w:rPr>
                <w:rFonts w:hint="eastAsia"/>
                <w:bCs/>
                <w:szCs w:val="21"/>
              </w:rPr>
              <w:t>6.5&lt;pH</w:t>
            </w:r>
            <w:r>
              <w:rPr>
                <w:rFonts w:hint="eastAsia"/>
                <w:bCs/>
                <w:szCs w:val="21"/>
              </w:rPr>
              <w:t>≤</w:t>
            </w:r>
            <w:r>
              <w:rPr>
                <w:rFonts w:hint="eastAsia"/>
                <w:bCs/>
                <w:szCs w:val="21"/>
              </w:rPr>
              <w:t>7.5</w:t>
            </w:r>
          </w:p>
        </w:tc>
        <w:tc>
          <w:tcPr>
            <w:tcW w:w="661" w:type="pct"/>
            <w:tcBorders>
              <w:top w:val="single" w:sz="2" w:space="0" w:color="000000"/>
              <w:bottom w:val="single" w:sz="2" w:space="0" w:color="000000"/>
            </w:tcBorders>
            <w:vAlign w:val="center"/>
          </w:tcPr>
          <w:p w:rsidR="00BD5820" w:rsidRDefault="00F64314">
            <w:pPr>
              <w:pStyle w:val="afff1"/>
              <w:rPr>
                <w:szCs w:val="21"/>
              </w:rPr>
            </w:pPr>
            <w:r>
              <w:rPr>
                <w:szCs w:val="21"/>
              </w:rPr>
              <w:t>/</w:t>
            </w:r>
          </w:p>
        </w:tc>
      </w:tr>
      <w:tr w:rsidR="00BD5820">
        <w:trPr>
          <w:trHeight w:val="19"/>
          <w:jc w:val="center"/>
        </w:trPr>
        <w:tc>
          <w:tcPr>
            <w:tcW w:w="815" w:type="pct"/>
            <w:tcBorders>
              <w:top w:val="single" w:sz="2" w:space="0" w:color="000000"/>
              <w:bottom w:val="single" w:sz="2" w:space="0" w:color="000000"/>
            </w:tcBorders>
            <w:vAlign w:val="center"/>
          </w:tcPr>
          <w:p w:rsidR="00BD5820" w:rsidRDefault="00F64314">
            <w:pPr>
              <w:pStyle w:val="afff1"/>
              <w:rPr>
                <w:szCs w:val="21"/>
              </w:rPr>
            </w:pPr>
            <w:r>
              <w:rPr>
                <w:szCs w:val="21"/>
              </w:rPr>
              <w:t>2</w:t>
            </w:r>
          </w:p>
        </w:tc>
        <w:tc>
          <w:tcPr>
            <w:tcW w:w="979" w:type="pct"/>
            <w:tcBorders>
              <w:top w:val="single" w:sz="2" w:space="0" w:color="000000"/>
              <w:bottom w:val="single" w:sz="2" w:space="0" w:color="000000"/>
            </w:tcBorders>
            <w:vAlign w:val="center"/>
          </w:tcPr>
          <w:p w:rsidR="00BD5820" w:rsidRDefault="00F64314">
            <w:pPr>
              <w:pStyle w:val="afff1"/>
              <w:rPr>
                <w:szCs w:val="21"/>
              </w:rPr>
            </w:pPr>
            <w:r>
              <w:rPr>
                <w:szCs w:val="21"/>
              </w:rPr>
              <w:t>镉</w:t>
            </w:r>
          </w:p>
        </w:tc>
        <w:tc>
          <w:tcPr>
            <w:tcW w:w="1028" w:type="pct"/>
            <w:tcBorders>
              <w:top w:val="single" w:sz="2" w:space="0" w:color="000000"/>
              <w:bottom w:val="single" w:sz="2" w:space="0" w:color="000000"/>
            </w:tcBorders>
          </w:tcPr>
          <w:p w:rsidR="00BD5820" w:rsidRDefault="00F64314">
            <w:pPr>
              <w:pStyle w:val="Default"/>
              <w:jc w:val="center"/>
              <w:rPr>
                <w:rFonts w:ascii="Times New Roman" w:hAnsi="Times New Roman" w:cs="Times New Roman"/>
                <w:color w:val="auto"/>
                <w:kern w:val="2"/>
                <w:sz w:val="21"/>
                <w:szCs w:val="21"/>
                <w:shd w:val="clear" w:color="auto" w:fill="FFFFFF"/>
              </w:rPr>
            </w:pPr>
            <w:r>
              <w:rPr>
                <w:rFonts w:ascii="Times New Roman" w:hAnsi="Times New Roman" w:cs="Times New Roman"/>
                <w:color w:val="auto"/>
                <w:sz w:val="21"/>
                <w:szCs w:val="21"/>
              </w:rPr>
              <w:t>mg/kg</w:t>
            </w:r>
          </w:p>
        </w:tc>
        <w:tc>
          <w:tcPr>
            <w:tcW w:w="854" w:type="pct"/>
            <w:tcBorders>
              <w:top w:val="single" w:sz="2" w:space="0" w:color="000000"/>
              <w:bottom w:val="single" w:sz="2" w:space="0" w:color="000000"/>
            </w:tcBorders>
            <w:vAlign w:val="center"/>
          </w:tcPr>
          <w:p w:rsidR="00BD5820" w:rsidRDefault="00F64314">
            <w:pPr>
              <w:pStyle w:val="afff1"/>
              <w:rPr>
                <w:szCs w:val="21"/>
              </w:rPr>
            </w:pPr>
            <w:r>
              <w:rPr>
                <w:rFonts w:eastAsia="仿宋" w:hint="eastAsia"/>
                <w:bCs/>
                <w:szCs w:val="21"/>
              </w:rPr>
              <w:t>0.18</w:t>
            </w:r>
            <w:r>
              <w:rPr>
                <w:rFonts w:hint="eastAsia"/>
                <w:szCs w:val="21"/>
              </w:rPr>
              <w:t>~</w:t>
            </w:r>
            <w:r>
              <w:rPr>
                <w:rFonts w:eastAsia="仿宋" w:hint="eastAsia"/>
                <w:bCs/>
                <w:szCs w:val="21"/>
              </w:rPr>
              <w:t>0.28</w:t>
            </w:r>
          </w:p>
        </w:tc>
        <w:tc>
          <w:tcPr>
            <w:tcW w:w="663" w:type="pct"/>
            <w:tcBorders>
              <w:top w:val="single" w:sz="2" w:space="0" w:color="000000"/>
              <w:bottom w:val="single" w:sz="2" w:space="0" w:color="000000"/>
            </w:tcBorders>
            <w:vAlign w:val="center"/>
          </w:tcPr>
          <w:p w:rsidR="00BD5820" w:rsidRDefault="00F64314">
            <w:pPr>
              <w:pStyle w:val="afff1"/>
              <w:rPr>
                <w:szCs w:val="21"/>
              </w:rPr>
            </w:pPr>
            <w:r>
              <w:rPr>
                <w:szCs w:val="21"/>
              </w:rPr>
              <w:t>0.</w:t>
            </w:r>
            <w:r>
              <w:rPr>
                <w:rFonts w:hint="eastAsia"/>
                <w:szCs w:val="21"/>
              </w:rPr>
              <w:t>3</w:t>
            </w:r>
          </w:p>
        </w:tc>
        <w:tc>
          <w:tcPr>
            <w:tcW w:w="661" w:type="pct"/>
            <w:tcBorders>
              <w:top w:val="single" w:sz="2" w:space="0" w:color="000000"/>
              <w:bottom w:val="single" w:sz="2" w:space="0" w:color="000000"/>
            </w:tcBorders>
            <w:vAlign w:val="center"/>
          </w:tcPr>
          <w:p w:rsidR="00BD5820" w:rsidRDefault="00F64314">
            <w:pPr>
              <w:pStyle w:val="afff1"/>
              <w:rPr>
                <w:szCs w:val="21"/>
              </w:rPr>
            </w:pPr>
            <w:r>
              <w:rPr>
                <w:rFonts w:hint="eastAsia"/>
                <w:szCs w:val="21"/>
              </w:rPr>
              <w:t>0.6~0.93</w:t>
            </w:r>
          </w:p>
        </w:tc>
      </w:tr>
      <w:tr w:rsidR="00BD5820">
        <w:trPr>
          <w:trHeight w:val="19"/>
          <w:jc w:val="center"/>
        </w:trPr>
        <w:tc>
          <w:tcPr>
            <w:tcW w:w="815" w:type="pct"/>
            <w:tcBorders>
              <w:top w:val="single" w:sz="2" w:space="0" w:color="000000"/>
              <w:bottom w:val="single" w:sz="2" w:space="0" w:color="000000"/>
            </w:tcBorders>
            <w:vAlign w:val="center"/>
          </w:tcPr>
          <w:p w:rsidR="00BD5820" w:rsidRDefault="00F64314">
            <w:pPr>
              <w:pStyle w:val="afff1"/>
              <w:rPr>
                <w:szCs w:val="21"/>
              </w:rPr>
            </w:pPr>
            <w:r>
              <w:rPr>
                <w:szCs w:val="21"/>
              </w:rPr>
              <w:t>3</w:t>
            </w:r>
          </w:p>
        </w:tc>
        <w:tc>
          <w:tcPr>
            <w:tcW w:w="979" w:type="pct"/>
            <w:tcBorders>
              <w:top w:val="single" w:sz="2" w:space="0" w:color="000000"/>
              <w:bottom w:val="single" w:sz="2" w:space="0" w:color="000000"/>
            </w:tcBorders>
            <w:vAlign w:val="center"/>
          </w:tcPr>
          <w:p w:rsidR="00BD5820" w:rsidRDefault="00F64314">
            <w:pPr>
              <w:pStyle w:val="afff1"/>
              <w:rPr>
                <w:szCs w:val="21"/>
              </w:rPr>
            </w:pPr>
            <w:r>
              <w:rPr>
                <w:szCs w:val="21"/>
              </w:rPr>
              <w:t>汞</w:t>
            </w:r>
          </w:p>
        </w:tc>
        <w:tc>
          <w:tcPr>
            <w:tcW w:w="1028" w:type="pct"/>
            <w:tcBorders>
              <w:top w:val="single" w:sz="2" w:space="0" w:color="000000"/>
              <w:bottom w:val="single" w:sz="2" w:space="0" w:color="000000"/>
            </w:tcBorders>
          </w:tcPr>
          <w:p w:rsidR="00BD5820" w:rsidRDefault="00F64314">
            <w:pPr>
              <w:pStyle w:val="Default"/>
              <w:jc w:val="center"/>
              <w:rPr>
                <w:rFonts w:ascii="Times New Roman" w:hAnsi="Times New Roman" w:cs="Times New Roman"/>
                <w:color w:val="auto"/>
                <w:kern w:val="2"/>
                <w:sz w:val="21"/>
                <w:szCs w:val="21"/>
                <w:shd w:val="clear" w:color="auto" w:fill="FFFFFF"/>
              </w:rPr>
            </w:pPr>
            <w:r>
              <w:rPr>
                <w:rFonts w:ascii="Times New Roman" w:hAnsi="Times New Roman" w:cs="Times New Roman"/>
                <w:color w:val="auto"/>
                <w:sz w:val="21"/>
                <w:szCs w:val="21"/>
              </w:rPr>
              <w:t>mg/kg</w:t>
            </w:r>
          </w:p>
        </w:tc>
        <w:tc>
          <w:tcPr>
            <w:tcW w:w="854" w:type="pct"/>
            <w:tcBorders>
              <w:top w:val="single" w:sz="2" w:space="0" w:color="000000"/>
              <w:bottom w:val="single" w:sz="2" w:space="0" w:color="000000"/>
            </w:tcBorders>
            <w:vAlign w:val="center"/>
          </w:tcPr>
          <w:p w:rsidR="00BD5820" w:rsidRDefault="00F64314">
            <w:pPr>
              <w:pStyle w:val="afff1"/>
              <w:rPr>
                <w:rFonts w:eastAsia="仿宋"/>
                <w:szCs w:val="21"/>
              </w:rPr>
            </w:pPr>
            <w:r>
              <w:rPr>
                <w:rFonts w:eastAsia="仿宋" w:hint="eastAsia"/>
                <w:bCs/>
                <w:szCs w:val="21"/>
              </w:rPr>
              <w:t>0.023</w:t>
            </w:r>
            <w:r>
              <w:rPr>
                <w:rFonts w:hint="eastAsia"/>
                <w:szCs w:val="21"/>
              </w:rPr>
              <w:t>~</w:t>
            </w:r>
            <w:r>
              <w:rPr>
                <w:rFonts w:eastAsia="仿宋" w:hint="eastAsia"/>
                <w:bCs/>
                <w:szCs w:val="21"/>
              </w:rPr>
              <w:t>0.025</w:t>
            </w:r>
          </w:p>
        </w:tc>
        <w:tc>
          <w:tcPr>
            <w:tcW w:w="663" w:type="pct"/>
            <w:tcBorders>
              <w:top w:val="single" w:sz="2" w:space="0" w:color="000000"/>
              <w:bottom w:val="single" w:sz="2" w:space="0" w:color="000000"/>
            </w:tcBorders>
            <w:vAlign w:val="center"/>
          </w:tcPr>
          <w:p w:rsidR="00BD5820" w:rsidRDefault="00F64314">
            <w:pPr>
              <w:pStyle w:val="afff1"/>
              <w:rPr>
                <w:szCs w:val="21"/>
              </w:rPr>
            </w:pPr>
            <w:r>
              <w:rPr>
                <w:rFonts w:hint="eastAsia"/>
                <w:szCs w:val="21"/>
              </w:rPr>
              <w:t>2.4</w:t>
            </w:r>
          </w:p>
        </w:tc>
        <w:tc>
          <w:tcPr>
            <w:tcW w:w="661" w:type="pct"/>
            <w:tcBorders>
              <w:top w:val="single" w:sz="2" w:space="0" w:color="000000"/>
              <w:bottom w:val="single" w:sz="2" w:space="0" w:color="000000"/>
            </w:tcBorders>
            <w:vAlign w:val="center"/>
          </w:tcPr>
          <w:p w:rsidR="00BD5820" w:rsidRDefault="00F64314">
            <w:pPr>
              <w:pStyle w:val="afff1"/>
              <w:rPr>
                <w:szCs w:val="21"/>
              </w:rPr>
            </w:pPr>
            <w:r>
              <w:rPr>
                <w:rFonts w:hint="eastAsia"/>
                <w:szCs w:val="21"/>
              </w:rPr>
              <w:t>0.0096~0.0104</w:t>
            </w:r>
          </w:p>
        </w:tc>
      </w:tr>
      <w:tr w:rsidR="00BD5820">
        <w:trPr>
          <w:trHeight w:val="19"/>
          <w:jc w:val="center"/>
        </w:trPr>
        <w:tc>
          <w:tcPr>
            <w:tcW w:w="815" w:type="pct"/>
            <w:tcBorders>
              <w:top w:val="single" w:sz="2" w:space="0" w:color="000000"/>
              <w:bottom w:val="single" w:sz="2" w:space="0" w:color="000000"/>
            </w:tcBorders>
            <w:vAlign w:val="center"/>
          </w:tcPr>
          <w:p w:rsidR="00BD5820" w:rsidRDefault="00F64314">
            <w:pPr>
              <w:pStyle w:val="afff1"/>
              <w:rPr>
                <w:szCs w:val="21"/>
              </w:rPr>
            </w:pPr>
            <w:r>
              <w:rPr>
                <w:szCs w:val="21"/>
              </w:rPr>
              <w:t>4</w:t>
            </w:r>
          </w:p>
        </w:tc>
        <w:tc>
          <w:tcPr>
            <w:tcW w:w="979" w:type="pct"/>
            <w:tcBorders>
              <w:top w:val="single" w:sz="2" w:space="0" w:color="000000"/>
              <w:bottom w:val="single" w:sz="2" w:space="0" w:color="000000"/>
            </w:tcBorders>
            <w:vAlign w:val="center"/>
          </w:tcPr>
          <w:p w:rsidR="00BD5820" w:rsidRDefault="00F64314">
            <w:pPr>
              <w:pStyle w:val="afff1"/>
              <w:rPr>
                <w:szCs w:val="21"/>
              </w:rPr>
            </w:pPr>
            <w:r>
              <w:rPr>
                <w:szCs w:val="21"/>
              </w:rPr>
              <w:t>砷</w:t>
            </w:r>
          </w:p>
        </w:tc>
        <w:tc>
          <w:tcPr>
            <w:tcW w:w="1028" w:type="pct"/>
            <w:tcBorders>
              <w:top w:val="single" w:sz="2" w:space="0" w:color="000000"/>
              <w:bottom w:val="single" w:sz="2" w:space="0" w:color="000000"/>
            </w:tcBorders>
          </w:tcPr>
          <w:p w:rsidR="00BD5820" w:rsidRDefault="00F64314">
            <w:pPr>
              <w:pStyle w:val="Default"/>
              <w:jc w:val="center"/>
              <w:rPr>
                <w:rFonts w:ascii="Times New Roman" w:hAnsi="Times New Roman" w:cs="Times New Roman"/>
                <w:color w:val="auto"/>
                <w:kern w:val="2"/>
                <w:sz w:val="21"/>
                <w:szCs w:val="21"/>
                <w:shd w:val="clear" w:color="auto" w:fill="FFFFFF"/>
              </w:rPr>
            </w:pPr>
            <w:r>
              <w:rPr>
                <w:rFonts w:ascii="Times New Roman" w:hAnsi="Times New Roman" w:cs="Times New Roman"/>
                <w:color w:val="auto"/>
                <w:sz w:val="21"/>
                <w:szCs w:val="21"/>
              </w:rPr>
              <w:t>mg/kg</w:t>
            </w:r>
          </w:p>
        </w:tc>
        <w:tc>
          <w:tcPr>
            <w:tcW w:w="854" w:type="pct"/>
            <w:tcBorders>
              <w:top w:val="single" w:sz="2" w:space="0" w:color="000000"/>
              <w:bottom w:val="single" w:sz="2" w:space="0" w:color="000000"/>
            </w:tcBorders>
            <w:vAlign w:val="center"/>
          </w:tcPr>
          <w:p w:rsidR="00BD5820" w:rsidRDefault="00F64314">
            <w:pPr>
              <w:pStyle w:val="afff1"/>
              <w:rPr>
                <w:szCs w:val="21"/>
              </w:rPr>
            </w:pPr>
            <w:r>
              <w:rPr>
                <w:rFonts w:eastAsia="仿宋" w:hint="eastAsia"/>
                <w:bCs/>
                <w:szCs w:val="21"/>
              </w:rPr>
              <w:t>2.41</w:t>
            </w:r>
            <w:r>
              <w:rPr>
                <w:rFonts w:hint="eastAsia"/>
                <w:szCs w:val="21"/>
              </w:rPr>
              <w:t>~</w:t>
            </w:r>
            <w:r>
              <w:rPr>
                <w:rFonts w:eastAsia="仿宋" w:hint="eastAsia"/>
                <w:bCs/>
                <w:szCs w:val="21"/>
              </w:rPr>
              <w:t>2.74</w:t>
            </w:r>
          </w:p>
        </w:tc>
        <w:tc>
          <w:tcPr>
            <w:tcW w:w="663" w:type="pct"/>
            <w:tcBorders>
              <w:top w:val="single" w:sz="2" w:space="0" w:color="000000"/>
              <w:bottom w:val="single" w:sz="2" w:space="0" w:color="000000"/>
            </w:tcBorders>
            <w:vAlign w:val="center"/>
          </w:tcPr>
          <w:p w:rsidR="00BD5820" w:rsidRDefault="00F64314">
            <w:pPr>
              <w:pStyle w:val="afff1"/>
              <w:rPr>
                <w:szCs w:val="21"/>
              </w:rPr>
            </w:pPr>
            <w:r>
              <w:rPr>
                <w:rFonts w:hint="eastAsia"/>
                <w:szCs w:val="21"/>
              </w:rPr>
              <w:t>30</w:t>
            </w:r>
          </w:p>
        </w:tc>
        <w:tc>
          <w:tcPr>
            <w:tcW w:w="661" w:type="pct"/>
            <w:tcBorders>
              <w:top w:val="single" w:sz="2" w:space="0" w:color="000000"/>
              <w:bottom w:val="single" w:sz="2" w:space="0" w:color="000000"/>
            </w:tcBorders>
            <w:vAlign w:val="center"/>
          </w:tcPr>
          <w:p w:rsidR="00BD5820" w:rsidRDefault="00F64314">
            <w:pPr>
              <w:pStyle w:val="afff1"/>
              <w:rPr>
                <w:szCs w:val="21"/>
              </w:rPr>
            </w:pPr>
            <w:r>
              <w:rPr>
                <w:rFonts w:hint="eastAsia"/>
                <w:szCs w:val="21"/>
              </w:rPr>
              <w:t>0.08~0.091</w:t>
            </w:r>
          </w:p>
        </w:tc>
      </w:tr>
      <w:tr w:rsidR="00BD5820">
        <w:trPr>
          <w:trHeight w:val="19"/>
          <w:jc w:val="center"/>
        </w:trPr>
        <w:tc>
          <w:tcPr>
            <w:tcW w:w="815" w:type="pct"/>
            <w:tcBorders>
              <w:top w:val="single" w:sz="2" w:space="0" w:color="000000"/>
              <w:bottom w:val="single" w:sz="2" w:space="0" w:color="000000"/>
            </w:tcBorders>
            <w:vAlign w:val="center"/>
          </w:tcPr>
          <w:p w:rsidR="00BD5820" w:rsidRDefault="00F64314">
            <w:pPr>
              <w:pStyle w:val="afff1"/>
              <w:rPr>
                <w:szCs w:val="21"/>
              </w:rPr>
            </w:pPr>
            <w:r>
              <w:rPr>
                <w:szCs w:val="21"/>
              </w:rPr>
              <w:t>5</w:t>
            </w:r>
          </w:p>
        </w:tc>
        <w:tc>
          <w:tcPr>
            <w:tcW w:w="979" w:type="pct"/>
            <w:tcBorders>
              <w:top w:val="single" w:sz="2" w:space="0" w:color="000000"/>
              <w:bottom w:val="single" w:sz="2" w:space="0" w:color="000000"/>
            </w:tcBorders>
            <w:vAlign w:val="center"/>
          </w:tcPr>
          <w:p w:rsidR="00BD5820" w:rsidRDefault="00F64314">
            <w:pPr>
              <w:pStyle w:val="afff1"/>
              <w:rPr>
                <w:szCs w:val="21"/>
              </w:rPr>
            </w:pPr>
            <w:r>
              <w:rPr>
                <w:szCs w:val="21"/>
              </w:rPr>
              <w:t>铅</w:t>
            </w:r>
          </w:p>
        </w:tc>
        <w:tc>
          <w:tcPr>
            <w:tcW w:w="1028" w:type="pct"/>
            <w:tcBorders>
              <w:top w:val="single" w:sz="2" w:space="0" w:color="000000"/>
              <w:bottom w:val="single" w:sz="2" w:space="0" w:color="000000"/>
            </w:tcBorders>
          </w:tcPr>
          <w:p w:rsidR="00BD5820" w:rsidRDefault="00F64314">
            <w:pPr>
              <w:pStyle w:val="Default"/>
              <w:jc w:val="center"/>
              <w:rPr>
                <w:rFonts w:ascii="Times New Roman" w:hAnsi="Times New Roman" w:cs="Times New Roman"/>
                <w:color w:val="auto"/>
                <w:kern w:val="2"/>
                <w:sz w:val="21"/>
                <w:szCs w:val="21"/>
                <w:shd w:val="clear" w:color="auto" w:fill="FFFFFF"/>
              </w:rPr>
            </w:pPr>
            <w:r>
              <w:rPr>
                <w:rFonts w:ascii="Times New Roman" w:hAnsi="Times New Roman" w:cs="Times New Roman"/>
                <w:color w:val="auto"/>
                <w:sz w:val="21"/>
                <w:szCs w:val="21"/>
              </w:rPr>
              <w:t>mg/kg</w:t>
            </w:r>
          </w:p>
        </w:tc>
        <w:tc>
          <w:tcPr>
            <w:tcW w:w="854" w:type="pct"/>
            <w:tcBorders>
              <w:top w:val="single" w:sz="2" w:space="0" w:color="000000"/>
              <w:bottom w:val="single" w:sz="2" w:space="0" w:color="000000"/>
            </w:tcBorders>
            <w:vAlign w:val="center"/>
          </w:tcPr>
          <w:p w:rsidR="00BD5820" w:rsidRDefault="00F64314">
            <w:pPr>
              <w:pStyle w:val="afff1"/>
              <w:rPr>
                <w:szCs w:val="21"/>
              </w:rPr>
            </w:pPr>
            <w:r>
              <w:rPr>
                <w:rFonts w:eastAsia="仿宋" w:hint="eastAsia"/>
                <w:bCs/>
                <w:szCs w:val="21"/>
              </w:rPr>
              <w:t>20.7</w:t>
            </w:r>
            <w:r>
              <w:rPr>
                <w:rFonts w:hint="eastAsia"/>
                <w:szCs w:val="21"/>
              </w:rPr>
              <w:t>~</w:t>
            </w:r>
            <w:r>
              <w:rPr>
                <w:rFonts w:eastAsia="仿宋" w:hint="eastAsia"/>
                <w:bCs/>
                <w:szCs w:val="21"/>
              </w:rPr>
              <w:t>22.1</w:t>
            </w:r>
          </w:p>
        </w:tc>
        <w:tc>
          <w:tcPr>
            <w:tcW w:w="663" w:type="pct"/>
            <w:tcBorders>
              <w:top w:val="single" w:sz="2" w:space="0" w:color="000000"/>
              <w:bottom w:val="single" w:sz="2" w:space="0" w:color="000000"/>
            </w:tcBorders>
            <w:vAlign w:val="center"/>
          </w:tcPr>
          <w:p w:rsidR="00BD5820" w:rsidRDefault="00F64314">
            <w:pPr>
              <w:pStyle w:val="afff1"/>
              <w:rPr>
                <w:szCs w:val="21"/>
              </w:rPr>
            </w:pPr>
            <w:r>
              <w:rPr>
                <w:rFonts w:hint="eastAsia"/>
                <w:szCs w:val="21"/>
              </w:rPr>
              <w:t>12</w:t>
            </w:r>
            <w:r>
              <w:rPr>
                <w:szCs w:val="21"/>
              </w:rPr>
              <w:t>0</w:t>
            </w:r>
          </w:p>
        </w:tc>
        <w:tc>
          <w:tcPr>
            <w:tcW w:w="661" w:type="pct"/>
            <w:tcBorders>
              <w:top w:val="single" w:sz="2" w:space="0" w:color="000000"/>
              <w:bottom w:val="single" w:sz="2" w:space="0" w:color="000000"/>
            </w:tcBorders>
            <w:vAlign w:val="center"/>
          </w:tcPr>
          <w:p w:rsidR="00BD5820" w:rsidRDefault="00F64314">
            <w:pPr>
              <w:pStyle w:val="afff1"/>
              <w:rPr>
                <w:szCs w:val="21"/>
              </w:rPr>
            </w:pPr>
            <w:r>
              <w:rPr>
                <w:rFonts w:hint="eastAsia"/>
                <w:szCs w:val="21"/>
              </w:rPr>
              <w:t>0.173~0.184</w:t>
            </w:r>
          </w:p>
        </w:tc>
      </w:tr>
      <w:tr w:rsidR="00BD5820">
        <w:trPr>
          <w:trHeight w:val="19"/>
          <w:jc w:val="center"/>
        </w:trPr>
        <w:tc>
          <w:tcPr>
            <w:tcW w:w="815" w:type="pct"/>
            <w:tcBorders>
              <w:top w:val="single" w:sz="2" w:space="0" w:color="000000"/>
              <w:bottom w:val="single" w:sz="2" w:space="0" w:color="000000"/>
            </w:tcBorders>
            <w:vAlign w:val="center"/>
          </w:tcPr>
          <w:p w:rsidR="00BD5820" w:rsidRDefault="00F64314">
            <w:pPr>
              <w:pStyle w:val="afff1"/>
              <w:rPr>
                <w:szCs w:val="21"/>
              </w:rPr>
            </w:pPr>
            <w:r>
              <w:rPr>
                <w:szCs w:val="21"/>
              </w:rPr>
              <w:t>6</w:t>
            </w:r>
          </w:p>
        </w:tc>
        <w:tc>
          <w:tcPr>
            <w:tcW w:w="979" w:type="pct"/>
            <w:tcBorders>
              <w:top w:val="single" w:sz="2" w:space="0" w:color="000000"/>
              <w:bottom w:val="single" w:sz="2" w:space="0" w:color="000000"/>
            </w:tcBorders>
            <w:vAlign w:val="center"/>
          </w:tcPr>
          <w:p w:rsidR="00BD5820" w:rsidRDefault="00F64314">
            <w:pPr>
              <w:pStyle w:val="afff1"/>
              <w:rPr>
                <w:szCs w:val="21"/>
              </w:rPr>
            </w:pPr>
            <w:r>
              <w:rPr>
                <w:szCs w:val="21"/>
              </w:rPr>
              <w:t>铜</w:t>
            </w:r>
          </w:p>
        </w:tc>
        <w:tc>
          <w:tcPr>
            <w:tcW w:w="1028" w:type="pct"/>
            <w:tcBorders>
              <w:top w:val="single" w:sz="2" w:space="0" w:color="000000"/>
              <w:bottom w:val="single" w:sz="2" w:space="0" w:color="000000"/>
            </w:tcBorders>
          </w:tcPr>
          <w:p w:rsidR="00BD5820" w:rsidRDefault="00F64314">
            <w:pPr>
              <w:pStyle w:val="Default"/>
              <w:jc w:val="center"/>
              <w:rPr>
                <w:rFonts w:ascii="Times New Roman" w:hAnsi="Times New Roman" w:cs="Times New Roman"/>
                <w:color w:val="auto"/>
                <w:kern w:val="2"/>
                <w:sz w:val="21"/>
                <w:szCs w:val="21"/>
                <w:shd w:val="clear" w:color="auto" w:fill="FFFFFF"/>
              </w:rPr>
            </w:pPr>
            <w:r>
              <w:rPr>
                <w:rFonts w:ascii="Times New Roman" w:hAnsi="Times New Roman" w:cs="Times New Roman"/>
                <w:color w:val="auto"/>
                <w:sz w:val="21"/>
                <w:szCs w:val="21"/>
              </w:rPr>
              <w:t>mg/kg</w:t>
            </w:r>
          </w:p>
        </w:tc>
        <w:tc>
          <w:tcPr>
            <w:tcW w:w="854" w:type="pct"/>
            <w:tcBorders>
              <w:top w:val="single" w:sz="2" w:space="0" w:color="000000"/>
              <w:bottom w:val="single" w:sz="2" w:space="0" w:color="000000"/>
            </w:tcBorders>
            <w:vAlign w:val="center"/>
          </w:tcPr>
          <w:p w:rsidR="00BD5820" w:rsidRDefault="00F64314">
            <w:pPr>
              <w:pStyle w:val="afff1"/>
              <w:rPr>
                <w:szCs w:val="21"/>
              </w:rPr>
            </w:pPr>
            <w:r>
              <w:rPr>
                <w:rFonts w:eastAsia="仿宋" w:hint="eastAsia"/>
                <w:bCs/>
                <w:szCs w:val="21"/>
              </w:rPr>
              <w:t>22</w:t>
            </w:r>
            <w:r>
              <w:rPr>
                <w:rFonts w:hint="eastAsia"/>
                <w:szCs w:val="21"/>
              </w:rPr>
              <w:t>~23</w:t>
            </w:r>
          </w:p>
        </w:tc>
        <w:tc>
          <w:tcPr>
            <w:tcW w:w="663" w:type="pct"/>
            <w:tcBorders>
              <w:top w:val="single" w:sz="2" w:space="0" w:color="000000"/>
              <w:bottom w:val="single" w:sz="2" w:space="0" w:color="000000"/>
            </w:tcBorders>
            <w:vAlign w:val="center"/>
          </w:tcPr>
          <w:p w:rsidR="00BD5820" w:rsidRDefault="00F64314">
            <w:pPr>
              <w:pStyle w:val="afff1"/>
              <w:rPr>
                <w:szCs w:val="21"/>
              </w:rPr>
            </w:pPr>
            <w:r>
              <w:rPr>
                <w:rFonts w:hint="eastAsia"/>
                <w:szCs w:val="21"/>
              </w:rPr>
              <w:t>100</w:t>
            </w:r>
          </w:p>
        </w:tc>
        <w:tc>
          <w:tcPr>
            <w:tcW w:w="661" w:type="pct"/>
            <w:tcBorders>
              <w:top w:val="single" w:sz="2" w:space="0" w:color="000000"/>
              <w:bottom w:val="single" w:sz="2" w:space="0" w:color="000000"/>
            </w:tcBorders>
            <w:vAlign w:val="center"/>
          </w:tcPr>
          <w:p w:rsidR="00BD5820" w:rsidRDefault="00F64314">
            <w:pPr>
              <w:pStyle w:val="afff1"/>
              <w:rPr>
                <w:szCs w:val="21"/>
              </w:rPr>
            </w:pPr>
            <w:r>
              <w:rPr>
                <w:rFonts w:hint="eastAsia"/>
                <w:szCs w:val="21"/>
              </w:rPr>
              <w:t>0.22~0.23</w:t>
            </w:r>
          </w:p>
        </w:tc>
      </w:tr>
      <w:tr w:rsidR="00BD5820">
        <w:trPr>
          <w:trHeight w:val="19"/>
          <w:jc w:val="center"/>
        </w:trPr>
        <w:tc>
          <w:tcPr>
            <w:tcW w:w="815" w:type="pct"/>
            <w:tcBorders>
              <w:top w:val="single" w:sz="2" w:space="0" w:color="000000"/>
              <w:bottom w:val="single" w:sz="2" w:space="0" w:color="000000"/>
            </w:tcBorders>
            <w:vAlign w:val="center"/>
          </w:tcPr>
          <w:p w:rsidR="00BD5820" w:rsidRDefault="00F64314">
            <w:pPr>
              <w:pStyle w:val="afff1"/>
              <w:rPr>
                <w:szCs w:val="21"/>
              </w:rPr>
            </w:pPr>
            <w:r>
              <w:rPr>
                <w:szCs w:val="21"/>
              </w:rPr>
              <w:t>7</w:t>
            </w:r>
          </w:p>
        </w:tc>
        <w:tc>
          <w:tcPr>
            <w:tcW w:w="979" w:type="pct"/>
            <w:tcBorders>
              <w:top w:val="single" w:sz="2" w:space="0" w:color="000000"/>
              <w:bottom w:val="single" w:sz="2" w:space="0" w:color="000000"/>
            </w:tcBorders>
            <w:vAlign w:val="center"/>
          </w:tcPr>
          <w:p w:rsidR="00BD5820" w:rsidRDefault="00F64314">
            <w:pPr>
              <w:pStyle w:val="afff1"/>
              <w:rPr>
                <w:szCs w:val="21"/>
              </w:rPr>
            </w:pPr>
            <w:r>
              <w:rPr>
                <w:szCs w:val="21"/>
              </w:rPr>
              <w:t>镍</w:t>
            </w:r>
          </w:p>
        </w:tc>
        <w:tc>
          <w:tcPr>
            <w:tcW w:w="1028" w:type="pct"/>
            <w:tcBorders>
              <w:top w:val="single" w:sz="2" w:space="0" w:color="000000"/>
              <w:bottom w:val="single" w:sz="2" w:space="0" w:color="000000"/>
            </w:tcBorders>
          </w:tcPr>
          <w:p w:rsidR="00BD5820" w:rsidRDefault="00F64314">
            <w:pPr>
              <w:pStyle w:val="Default"/>
              <w:jc w:val="center"/>
              <w:rPr>
                <w:rFonts w:ascii="Times New Roman" w:hAnsi="Times New Roman" w:cs="Times New Roman"/>
                <w:color w:val="auto"/>
                <w:kern w:val="2"/>
                <w:sz w:val="21"/>
                <w:szCs w:val="21"/>
                <w:shd w:val="clear" w:color="auto" w:fill="FFFFFF"/>
              </w:rPr>
            </w:pPr>
            <w:r>
              <w:rPr>
                <w:rFonts w:ascii="Times New Roman" w:hAnsi="Times New Roman" w:cs="Times New Roman"/>
                <w:color w:val="auto"/>
                <w:sz w:val="21"/>
                <w:szCs w:val="21"/>
              </w:rPr>
              <w:t>mg/kg</w:t>
            </w:r>
          </w:p>
        </w:tc>
        <w:tc>
          <w:tcPr>
            <w:tcW w:w="854" w:type="pct"/>
            <w:tcBorders>
              <w:top w:val="single" w:sz="2" w:space="0" w:color="000000"/>
              <w:bottom w:val="single" w:sz="2" w:space="0" w:color="000000"/>
            </w:tcBorders>
            <w:vAlign w:val="center"/>
          </w:tcPr>
          <w:p w:rsidR="00BD5820" w:rsidRDefault="00F64314">
            <w:pPr>
              <w:pStyle w:val="afff1"/>
              <w:rPr>
                <w:szCs w:val="21"/>
              </w:rPr>
            </w:pPr>
            <w:r>
              <w:rPr>
                <w:rFonts w:eastAsia="仿宋" w:hint="eastAsia"/>
                <w:bCs/>
                <w:szCs w:val="21"/>
              </w:rPr>
              <w:t>71</w:t>
            </w:r>
            <w:r>
              <w:rPr>
                <w:rFonts w:hint="eastAsia"/>
                <w:szCs w:val="21"/>
              </w:rPr>
              <w:t>~72</w:t>
            </w:r>
          </w:p>
        </w:tc>
        <w:tc>
          <w:tcPr>
            <w:tcW w:w="663" w:type="pct"/>
            <w:tcBorders>
              <w:top w:val="single" w:sz="2" w:space="0" w:color="000000"/>
              <w:bottom w:val="single" w:sz="2" w:space="0" w:color="000000"/>
            </w:tcBorders>
            <w:vAlign w:val="center"/>
          </w:tcPr>
          <w:p w:rsidR="00BD5820" w:rsidRDefault="00F64314">
            <w:pPr>
              <w:pStyle w:val="afff1"/>
              <w:rPr>
                <w:szCs w:val="21"/>
              </w:rPr>
            </w:pPr>
            <w:r>
              <w:rPr>
                <w:rFonts w:hint="eastAsia"/>
                <w:szCs w:val="21"/>
              </w:rPr>
              <w:t>100</w:t>
            </w:r>
          </w:p>
        </w:tc>
        <w:tc>
          <w:tcPr>
            <w:tcW w:w="661" w:type="pct"/>
            <w:tcBorders>
              <w:top w:val="single" w:sz="2" w:space="0" w:color="000000"/>
              <w:bottom w:val="single" w:sz="2" w:space="0" w:color="000000"/>
            </w:tcBorders>
            <w:vAlign w:val="center"/>
          </w:tcPr>
          <w:p w:rsidR="00BD5820" w:rsidRDefault="00F64314">
            <w:pPr>
              <w:pStyle w:val="afff1"/>
              <w:rPr>
                <w:szCs w:val="21"/>
              </w:rPr>
            </w:pPr>
            <w:r>
              <w:rPr>
                <w:rFonts w:hint="eastAsia"/>
                <w:szCs w:val="21"/>
              </w:rPr>
              <w:t>0.71~0.72</w:t>
            </w:r>
          </w:p>
        </w:tc>
      </w:tr>
      <w:tr w:rsidR="00BD5820">
        <w:trPr>
          <w:trHeight w:val="19"/>
          <w:jc w:val="center"/>
        </w:trPr>
        <w:tc>
          <w:tcPr>
            <w:tcW w:w="815" w:type="pct"/>
            <w:tcBorders>
              <w:top w:val="single" w:sz="2" w:space="0" w:color="000000"/>
              <w:bottom w:val="single" w:sz="2" w:space="0" w:color="000000"/>
            </w:tcBorders>
            <w:vAlign w:val="center"/>
          </w:tcPr>
          <w:p w:rsidR="00BD5820" w:rsidRDefault="00F64314">
            <w:pPr>
              <w:pStyle w:val="afff1"/>
              <w:rPr>
                <w:szCs w:val="21"/>
              </w:rPr>
            </w:pPr>
            <w:r>
              <w:rPr>
                <w:szCs w:val="21"/>
              </w:rPr>
              <w:t>8</w:t>
            </w:r>
          </w:p>
        </w:tc>
        <w:tc>
          <w:tcPr>
            <w:tcW w:w="979" w:type="pct"/>
            <w:tcBorders>
              <w:top w:val="single" w:sz="2" w:space="0" w:color="000000"/>
              <w:bottom w:val="single" w:sz="2" w:space="0" w:color="000000"/>
            </w:tcBorders>
            <w:vAlign w:val="center"/>
          </w:tcPr>
          <w:p w:rsidR="00BD5820" w:rsidRDefault="00F64314">
            <w:pPr>
              <w:pStyle w:val="afff1"/>
              <w:rPr>
                <w:szCs w:val="21"/>
              </w:rPr>
            </w:pPr>
            <w:r>
              <w:rPr>
                <w:szCs w:val="21"/>
              </w:rPr>
              <w:t>铬</w:t>
            </w:r>
          </w:p>
        </w:tc>
        <w:tc>
          <w:tcPr>
            <w:tcW w:w="1028" w:type="pct"/>
            <w:tcBorders>
              <w:top w:val="single" w:sz="2" w:space="0" w:color="000000"/>
              <w:bottom w:val="single" w:sz="2" w:space="0" w:color="000000"/>
            </w:tcBorders>
          </w:tcPr>
          <w:p w:rsidR="00BD5820" w:rsidRDefault="00F64314">
            <w:pPr>
              <w:pStyle w:val="Default"/>
              <w:jc w:val="center"/>
              <w:rPr>
                <w:rFonts w:ascii="Times New Roman" w:hAnsi="Times New Roman" w:cs="Times New Roman"/>
                <w:color w:val="auto"/>
                <w:kern w:val="2"/>
                <w:sz w:val="21"/>
                <w:szCs w:val="21"/>
                <w:shd w:val="clear" w:color="auto" w:fill="FFFFFF"/>
              </w:rPr>
            </w:pPr>
            <w:r>
              <w:rPr>
                <w:rFonts w:ascii="Times New Roman" w:hAnsi="Times New Roman" w:cs="Times New Roman"/>
                <w:color w:val="auto"/>
                <w:sz w:val="21"/>
                <w:szCs w:val="21"/>
              </w:rPr>
              <w:t>mg/kg</w:t>
            </w:r>
          </w:p>
        </w:tc>
        <w:tc>
          <w:tcPr>
            <w:tcW w:w="854" w:type="pct"/>
            <w:tcBorders>
              <w:top w:val="single" w:sz="2" w:space="0" w:color="000000"/>
              <w:bottom w:val="single" w:sz="2" w:space="0" w:color="000000"/>
            </w:tcBorders>
            <w:vAlign w:val="center"/>
          </w:tcPr>
          <w:p w:rsidR="00BD5820" w:rsidRDefault="00F64314">
            <w:pPr>
              <w:pStyle w:val="afff1"/>
              <w:rPr>
                <w:rFonts w:eastAsia="仿宋"/>
                <w:szCs w:val="21"/>
              </w:rPr>
            </w:pPr>
            <w:r>
              <w:rPr>
                <w:rFonts w:eastAsia="仿宋" w:hint="eastAsia"/>
                <w:bCs/>
                <w:szCs w:val="21"/>
              </w:rPr>
              <w:t>117</w:t>
            </w:r>
            <w:r>
              <w:rPr>
                <w:rFonts w:hint="eastAsia"/>
                <w:szCs w:val="21"/>
              </w:rPr>
              <w:t>~</w:t>
            </w:r>
            <w:r>
              <w:rPr>
                <w:rFonts w:eastAsia="仿宋" w:hint="eastAsia"/>
                <w:bCs/>
                <w:szCs w:val="21"/>
              </w:rPr>
              <w:t>125</w:t>
            </w:r>
          </w:p>
        </w:tc>
        <w:tc>
          <w:tcPr>
            <w:tcW w:w="663" w:type="pct"/>
            <w:tcBorders>
              <w:top w:val="single" w:sz="2" w:space="0" w:color="000000"/>
              <w:bottom w:val="single" w:sz="2" w:space="0" w:color="000000"/>
            </w:tcBorders>
            <w:vAlign w:val="center"/>
          </w:tcPr>
          <w:p w:rsidR="00BD5820" w:rsidRDefault="00F64314">
            <w:pPr>
              <w:pStyle w:val="afff1"/>
              <w:rPr>
                <w:szCs w:val="21"/>
              </w:rPr>
            </w:pPr>
            <w:r>
              <w:rPr>
                <w:rFonts w:hint="eastAsia"/>
                <w:szCs w:val="21"/>
              </w:rPr>
              <w:t>20</w:t>
            </w:r>
            <w:r>
              <w:rPr>
                <w:szCs w:val="21"/>
              </w:rPr>
              <w:t>0</w:t>
            </w:r>
          </w:p>
        </w:tc>
        <w:tc>
          <w:tcPr>
            <w:tcW w:w="661" w:type="pct"/>
            <w:tcBorders>
              <w:top w:val="single" w:sz="2" w:space="0" w:color="000000"/>
              <w:bottom w:val="single" w:sz="2" w:space="0" w:color="000000"/>
            </w:tcBorders>
            <w:vAlign w:val="center"/>
          </w:tcPr>
          <w:p w:rsidR="00BD5820" w:rsidRDefault="00F64314">
            <w:pPr>
              <w:pStyle w:val="afff1"/>
              <w:rPr>
                <w:szCs w:val="21"/>
              </w:rPr>
            </w:pPr>
            <w:r>
              <w:rPr>
                <w:rFonts w:hint="eastAsia"/>
                <w:szCs w:val="21"/>
              </w:rPr>
              <w:t>0.585~0.625</w:t>
            </w:r>
          </w:p>
        </w:tc>
      </w:tr>
      <w:tr w:rsidR="00BD5820">
        <w:trPr>
          <w:trHeight w:val="19"/>
          <w:jc w:val="center"/>
        </w:trPr>
        <w:tc>
          <w:tcPr>
            <w:tcW w:w="815" w:type="pct"/>
            <w:tcBorders>
              <w:top w:val="single" w:sz="2" w:space="0" w:color="000000"/>
              <w:bottom w:val="single" w:sz="2" w:space="0" w:color="000000"/>
            </w:tcBorders>
            <w:vAlign w:val="center"/>
          </w:tcPr>
          <w:p w:rsidR="00BD5820" w:rsidRDefault="00F64314">
            <w:pPr>
              <w:pStyle w:val="afff1"/>
              <w:rPr>
                <w:szCs w:val="21"/>
              </w:rPr>
            </w:pPr>
            <w:r>
              <w:rPr>
                <w:szCs w:val="21"/>
              </w:rPr>
              <w:t>9</w:t>
            </w:r>
          </w:p>
        </w:tc>
        <w:tc>
          <w:tcPr>
            <w:tcW w:w="979" w:type="pct"/>
            <w:tcBorders>
              <w:top w:val="single" w:sz="2" w:space="0" w:color="000000"/>
              <w:bottom w:val="single" w:sz="2" w:space="0" w:color="000000"/>
            </w:tcBorders>
            <w:vAlign w:val="center"/>
          </w:tcPr>
          <w:p w:rsidR="00BD5820" w:rsidRDefault="00F64314">
            <w:pPr>
              <w:pStyle w:val="afff1"/>
              <w:rPr>
                <w:szCs w:val="21"/>
              </w:rPr>
            </w:pPr>
            <w:r>
              <w:rPr>
                <w:szCs w:val="21"/>
              </w:rPr>
              <w:t>锌</w:t>
            </w:r>
          </w:p>
        </w:tc>
        <w:tc>
          <w:tcPr>
            <w:tcW w:w="1028" w:type="pct"/>
            <w:tcBorders>
              <w:top w:val="single" w:sz="2" w:space="0" w:color="000000"/>
              <w:bottom w:val="single" w:sz="2" w:space="0" w:color="000000"/>
            </w:tcBorders>
          </w:tcPr>
          <w:p w:rsidR="00BD5820" w:rsidRDefault="00F64314">
            <w:pPr>
              <w:pStyle w:val="Default"/>
              <w:jc w:val="center"/>
              <w:rPr>
                <w:rFonts w:ascii="Times New Roman" w:hAnsi="Times New Roman" w:cs="Times New Roman"/>
                <w:color w:val="auto"/>
                <w:kern w:val="2"/>
                <w:sz w:val="21"/>
                <w:szCs w:val="21"/>
                <w:shd w:val="clear" w:color="auto" w:fill="FFFFFF"/>
              </w:rPr>
            </w:pPr>
            <w:r>
              <w:rPr>
                <w:rFonts w:ascii="Times New Roman" w:hAnsi="Times New Roman" w:cs="Times New Roman"/>
                <w:color w:val="auto"/>
                <w:sz w:val="21"/>
                <w:szCs w:val="21"/>
              </w:rPr>
              <w:t>mg/kg</w:t>
            </w:r>
          </w:p>
        </w:tc>
        <w:tc>
          <w:tcPr>
            <w:tcW w:w="854" w:type="pct"/>
            <w:tcBorders>
              <w:top w:val="single" w:sz="2" w:space="0" w:color="000000"/>
              <w:bottom w:val="single" w:sz="2" w:space="0" w:color="000000"/>
            </w:tcBorders>
            <w:vAlign w:val="center"/>
          </w:tcPr>
          <w:p w:rsidR="00BD5820" w:rsidRDefault="00F64314">
            <w:pPr>
              <w:pStyle w:val="afff1"/>
              <w:rPr>
                <w:szCs w:val="21"/>
              </w:rPr>
            </w:pPr>
            <w:r>
              <w:rPr>
                <w:rFonts w:eastAsia="仿宋" w:hint="eastAsia"/>
                <w:bCs/>
                <w:szCs w:val="21"/>
              </w:rPr>
              <w:t>83</w:t>
            </w:r>
          </w:p>
        </w:tc>
        <w:tc>
          <w:tcPr>
            <w:tcW w:w="663" w:type="pct"/>
            <w:tcBorders>
              <w:top w:val="single" w:sz="2" w:space="0" w:color="000000"/>
              <w:bottom w:val="single" w:sz="2" w:space="0" w:color="000000"/>
            </w:tcBorders>
            <w:vAlign w:val="center"/>
          </w:tcPr>
          <w:p w:rsidR="00BD5820" w:rsidRDefault="00F64314">
            <w:pPr>
              <w:pStyle w:val="afff1"/>
              <w:rPr>
                <w:szCs w:val="21"/>
              </w:rPr>
            </w:pPr>
            <w:r>
              <w:rPr>
                <w:rFonts w:hint="eastAsia"/>
                <w:szCs w:val="21"/>
              </w:rPr>
              <w:t>25</w:t>
            </w:r>
            <w:r>
              <w:rPr>
                <w:szCs w:val="21"/>
              </w:rPr>
              <w:t>0</w:t>
            </w:r>
          </w:p>
        </w:tc>
        <w:tc>
          <w:tcPr>
            <w:tcW w:w="661" w:type="pct"/>
            <w:tcBorders>
              <w:top w:val="single" w:sz="2" w:space="0" w:color="000000"/>
              <w:bottom w:val="single" w:sz="2" w:space="0" w:color="000000"/>
            </w:tcBorders>
            <w:vAlign w:val="center"/>
          </w:tcPr>
          <w:p w:rsidR="00BD5820" w:rsidRDefault="00F64314">
            <w:pPr>
              <w:pStyle w:val="afff1"/>
              <w:rPr>
                <w:szCs w:val="21"/>
              </w:rPr>
            </w:pPr>
            <w:r>
              <w:rPr>
                <w:rFonts w:hint="eastAsia"/>
                <w:szCs w:val="21"/>
              </w:rPr>
              <w:t>0.332</w:t>
            </w:r>
          </w:p>
        </w:tc>
      </w:tr>
    </w:tbl>
    <w:p w:rsidR="00BD5820" w:rsidRDefault="00F64314">
      <w:pPr>
        <w:pStyle w:val="affa"/>
        <w:ind w:firstLine="480"/>
      </w:pPr>
      <w:r>
        <w:t>监测结果表明：</w:t>
      </w:r>
      <w:r>
        <w:rPr>
          <w:rFonts w:hint="eastAsia"/>
        </w:rPr>
        <w:t>项目涉及的普光气田</w:t>
      </w:r>
      <w:r>
        <w:rPr>
          <w:rFonts w:hint="eastAsia"/>
        </w:rPr>
        <w:t>1#</w:t>
      </w:r>
      <w:r>
        <w:rPr>
          <w:rFonts w:hint="eastAsia"/>
        </w:rPr>
        <w:t>增压站、普光气田</w:t>
      </w:r>
      <w:r>
        <w:rPr>
          <w:rFonts w:hint="eastAsia"/>
        </w:rPr>
        <w:t>2#</w:t>
      </w:r>
      <w:r>
        <w:rPr>
          <w:rFonts w:hint="eastAsia"/>
        </w:rPr>
        <w:t>增压站</w:t>
      </w:r>
      <w:r>
        <w:t>站场</w:t>
      </w:r>
      <w:r>
        <w:rPr>
          <w:rFonts w:hint="eastAsia"/>
        </w:rPr>
        <w:t>内土壤中各项监测指标均符合</w:t>
      </w:r>
      <w:r w:rsidRPr="00FE183C">
        <w:rPr>
          <w:rFonts w:hint="eastAsia"/>
          <w:color w:val="FF0000"/>
        </w:rPr>
        <w:t>《土壤环境质量</w:t>
      </w:r>
      <w:r w:rsidRPr="00FE183C">
        <w:rPr>
          <w:rFonts w:hint="eastAsia"/>
          <w:color w:val="FF0000"/>
        </w:rPr>
        <w:t xml:space="preserve"> </w:t>
      </w:r>
      <w:r w:rsidRPr="00FE183C">
        <w:rPr>
          <w:rFonts w:hint="eastAsia"/>
          <w:color w:val="FF0000"/>
        </w:rPr>
        <w:t>建设用地土壤污染风险管控标准（试行）》（</w:t>
      </w:r>
      <w:r w:rsidRPr="00FE183C">
        <w:rPr>
          <w:rFonts w:hint="eastAsia"/>
          <w:color w:val="FF0000"/>
        </w:rPr>
        <w:t>GB 36600-2018</w:t>
      </w:r>
      <w:r w:rsidRPr="00FE183C">
        <w:rPr>
          <w:rFonts w:hint="eastAsia"/>
          <w:color w:val="FF0000"/>
        </w:rPr>
        <w:t>）中</w:t>
      </w:r>
      <w:r w:rsidR="003F23CB" w:rsidRPr="00FE183C">
        <w:rPr>
          <w:rFonts w:hint="eastAsia"/>
          <w:color w:val="FF0000"/>
        </w:rPr>
        <w:t>第二类用地</w:t>
      </w:r>
      <w:r w:rsidRPr="00FE183C">
        <w:rPr>
          <w:rFonts w:hint="eastAsia"/>
          <w:color w:val="FF0000"/>
        </w:rPr>
        <w:t>风险筛选值</w:t>
      </w:r>
      <w:r>
        <w:rPr>
          <w:rFonts w:hint="eastAsia"/>
        </w:rPr>
        <w:t>；普光气田</w:t>
      </w:r>
      <w:r>
        <w:rPr>
          <w:rFonts w:hint="eastAsia"/>
        </w:rPr>
        <w:t>1#</w:t>
      </w:r>
      <w:r>
        <w:rPr>
          <w:rFonts w:hint="eastAsia"/>
        </w:rPr>
        <w:t>增压站、普光气田</w:t>
      </w:r>
      <w:r>
        <w:rPr>
          <w:rFonts w:hint="eastAsia"/>
        </w:rPr>
        <w:t>2#</w:t>
      </w:r>
      <w:r>
        <w:rPr>
          <w:rFonts w:hint="eastAsia"/>
        </w:rPr>
        <w:t>增压站</w:t>
      </w:r>
      <w:r>
        <w:t>站场周边</w:t>
      </w:r>
      <w:r>
        <w:rPr>
          <w:rFonts w:hint="eastAsia"/>
        </w:rPr>
        <w:t>耕地</w:t>
      </w:r>
      <w:r>
        <w:t>土壤环境质量良好，各因子均满足《土壤环境质量</w:t>
      </w:r>
      <w:r>
        <w:t xml:space="preserve"> </w:t>
      </w:r>
      <w:r>
        <w:t>农用地土壤污染风险管控标准（试行）》（</w:t>
      </w:r>
      <w:r>
        <w:t>GB-15618-2018</w:t>
      </w:r>
      <w:r>
        <w:t>）中农用地土壤污染</w:t>
      </w:r>
      <w:r>
        <w:lastRenderedPageBreak/>
        <w:t>风险筛选值。土壤环境质量良好。</w:t>
      </w:r>
    </w:p>
    <w:p w:rsidR="00BD5820" w:rsidRDefault="00BD5820">
      <w:pPr>
        <w:pStyle w:val="affa"/>
        <w:ind w:firstLine="480"/>
        <w:sectPr w:rsidR="00BD5820">
          <w:headerReference w:type="even" r:id="rId72"/>
          <w:headerReference w:type="default" r:id="rId73"/>
          <w:footerReference w:type="even" r:id="rId74"/>
          <w:footerReference w:type="default" r:id="rId75"/>
          <w:headerReference w:type="first" r:id="rId76"/>
          <w:footerReference w:type="first" r:id="rId77"/>
          <w:pgSz w:w="11906" w:h="16838"/>
          <w:pgMar w:top="1440" w:right="1800" w:bottom="1440" w:left="1800" w:header="851" w:footer="992" w:gutter="0"/>
          <w:cols w:space="425"/>
          <w:docGrid w:type="lines" w:linePitch="312"/>
        </w:sectPr>
      </w:pPr>
    </w:p>
    <w:p w:rsidR="00BD5820" w:rsidRDefault="00F64314">
      <w:pPr>
        <w:pStyle w:val="1"/>
        <w:spacing w:before="0" w:beforeAutospacing="0" w:after="0" w:afterAutospacing="0"/>
        <w:rPr>
          <w:rFonts w:eastAsia="宋体"/>
        </w:rPr>
      </w:pPr>
      <w:bookmarkStart w:id="372" w:name="_Toc19816043"/>
      <w:bookmarkStart w:id="373" w:name="_Toc12288617"/>
      <w:bookmarkStart w:id="374" w:name="_Toc12113"/>
      <w:r>
        <w:rPr>
          <w:rFonts w:eastAsia="宋体"/>
        </w:rPr>
        <w:lastRenderedPageBreak/>
        <w:t xml:space="preserve">6 </w:t>
      </w:r>
      <w:r>
        <w:rPr>
          <w:rFonts w:eastAsia="宋体"/>
        </w:rPr>
        <w:t>环境影响预测与评价</w:t>
      </w:r>
      <w:bookmarkEnd w:id="372"/>
      <w:bookmarkEnd w:id="373"/>
      <w:bookmarkEnd w:id="374"/>
    </w:p>
    <w:p w:rsidR="00BD5820" w:rsidRDefault="00F64314">
      <w:pPr>
        <w:pStyle w:val="affa"/>
        <w:ind w:firstLine="480"/>
      </w:pPr>
      <w:bookmarkStart w:id="375" w:name="bookmark40"/>
      <w:bookmarkStart w:id="376" w:name="_Toc19816044"/>
      <w:bookmarkStart w:id="377" w:name="_Toc12288618"/>
      <w:bookmarkEnd w:id="375"/>
      <w:r>
        <w:t>生态环境调查采用资料复用及现场调查相结合的方法，主要通过收集项目所在行政区域已有的林、水、渔、国土等有关的陆地野生动植物资源、重要水生物资源、生态功能区划、敏感生态保护目标、土地资源利用等可以反映生态现状或背景的资料并对项目通过区域实际踏勘、核实收集资料的准确性。</w:t>
      </w:r>
    </w:p>
    <w:p w:rsidR="00BD5820" w:rsidRDefault="00F64314">
      <w:pPr>
        <w:pStyle w:val="2"/>
        <w:spacing w:before="120"/>
        <w:rPr>
          <w:rFonts w:cs="Times New Roman"/>
        </w:rPr>
      </w:pPr>
      <w:bookmarkStart w:id="378" w:name="_Toc18920"/>
      <w:r>
        <w:rPr>
          <w:rFonts w:cs="Times New Roman"/>
        </w:rPr>
        <w:t xml:space="preserve">6.1 </w:t>
      </w:r>
      <w:r>
        <w:rPr>
          <w:rFonts w:cs="Times New Roman" w:hint="eastAsia"/>
        </w:rPr>
        <w:t>施工期环境影响预测及评价</w:t>
      </w:r>
      <w:bookmarkEnd w:id="378"/>
    </w:p>
    <w:p w:rsidR="00BD5820" w:rsidRDefault="00F64314">
      <w:pPr>
        <w:pStyle w:val="3"/>
        <w:rPr>
          <w:rFonts w:eastAsia="宋体"/>
        </w:rPr>
      </w:pPr>
      <w:r>
        <w:rPr>
          <w:rFonts w:eastAsia="宋体"/>
        </w:rPr>
        <w:t xml:space="preserve">6.1.1 </w:t>
      </w:r>
      <w:r>
        <w:rPr>
          <w:rFonts w:eastAsia="宋体"/>
        </w:rPr>
        <w:t>施工期生态影响分析</w:t>
      </w:r>
    </w:p>
    <w:p w:rsidR="00BD5820" w:rsidRDefault="00F64314">
      <w:pPr>
        <w:pStyle w:val="affa"/>
        <w:ind w:firstLine="480"/>
        <w:rPr>
          <w:rStyle w:val="afc"/>
          <w:b w:val="0"/>
          <w:bCs w:val="0"/>
          <w:spacing w:val="0"/>
          <w:position w:val="0"/>
          <w:sz w:val="24"/>
        </w:rPr>
      </w:pPr>
      <w:r>
        <w:rPr>
          <w:rFonts w:hint="eastAsia"/>
        </w:rPr>
        <w:t>本项目对生态环境的影响主要表现为开挖管沟、敷设管道、修筑施工道路、临时材料堆场堆放钢管、停放车辆等工程活动占用土地导致临时改变土地利用性质、对地表植被的破坏、对土壤环境的破坏等，即打破了地表的原有平衡状态。若恢复治理措施不当，土壤的每一个新剖面，每条新车印都可能形成新的侵蚀起点，从而加重当地的水土流失，并影响农业生产，使当地农民的收入受到一定的损失。</w:t>
      </w:r>
    </w:p>
    <w:p w:rsidR="00BD5820" w:rsidRDefault="00F64314">
      <w:pPr>
        <w:pStyle w:val="affa"/>
        <w:ind w:firstLine="482"/>
        <w:rPr>
          <w:rStyle w:val="afc"/>
          <w:spacing w:val="0"/>
          <w:position w:val="0"/>
          <w:sz w:val="24"/>
        </w:rPr>
      </w:pPr>
      <w:r>
        <w:rPr>
          <w:rStyle w:val="afc"/>
          <w:spacing w:val="0"/>
          <w:position w:val="0"/>
          <w:sz w:val="24"/>
        </w:rPr>
        <w:t>1</w:t>
      </w:r>
      <w:r>
        <w:rPr>
          <w:rStyle w:val="afc"/>
          <w:spacing w:val="0"/>
          <w:position w:val="0"/>
          <w:sz w:val="24"/>
        </w:rPr>
        <w:t>、</w:t>
      </w:r>
      <w:bookmarkStart w:id="379" w:name="_Toc19816048"/>
      <w:bookmarkStart w:id="380" w:name="_Toc12288641"/>
      <w:bookmarkEnd w:id="376"/>
      <w:bookmarkEnd w:id="377"/>
      <w:r>
        <w:rPr>
          <w:rStyle w:val="afc"/>
          <w:spacing w:val="0"/>
          <w:position w:val="0"/>
          <w:sz w:val="24"/>
        </w:rPr>
        <w:t>工程占地</w:t>
      </w:r>
      <w:r>
        <w:rPr>
          <w:rStyle w:val="afc"/>
          <w:rFonts w:hint="eastAsia"/>
          <w:spacing w:val="0"/>
          <w:position w:val="0"/>
          <w:sz w:val="24"/>
        </w:rPr>
        <w:t>影响分析</w:t>
      </w:r>
    </w:p>
    <w:p w:rsidR="00BD5820" w:rsidRDefault="00F64314">
      <w:pPr>
        <w:pStyle w:val="a1"/>
        <w:ind w:firstLine="482"/>
        <w:rPr>
          <w:rFonts w:ascii="Times New Roman" w:cs="Times New Roman"/>
          <w:b/>
          <w:bCs/>
        </w:rPr>
      </w:pPr>
      <w:r>
        <w:rPr>
          <w:rFonts w:ascii="Times New Roman" w:cs="Times New Roman"/>
          <w:b/>
          <w:bCs/>
        </w:rPr>
        <w:t>（</w:t>
      </w:r>
      <w:r>
        <w:rPr>
          <w:rFonts w:ascii="Times New Roman" w:cs="Times New Roman"/>
          <w:b/>
          <w:bCs/>
        </w:rPr>
        <w:t>1</w:t>
      </w:r>
      <w:r>
        <w:rPr>
          <w:rFonts w:ascii="Times New Roman" w:cs="Times New Roman"/>
          <w:b/>
          <w:bCs/>
        </w:rPr>
        <w:t>）</w:t>
      </w:r>
      <w:r>
        <w:rPr>
          <w:rFonts w:ascii="Times New Roman" w:cs="Times New Roman" w:hint="eastAsia"/>
          <w:b/>
          <w:bCs/>
        </w:rPr>
        <w:t>站场</w:t>
      </w:r>
      <w:r>
        <w:rPr>
          <w:rFonts w:ascii="Times New Roman" w:cs="Times New Roman"/>
          <w:b/>
          <w:bCs/>
        </w:rPr>
        <w:t>占地</w:t>
      </w:r>
    </w:p>
    <w:p w:rsidR="00BD5820" w:rsidRDefault="00F64314">
      <w:pPr>
        <w:pStyle w:val="affa"/>
        <w:ind w:firstLine="480"/>
      </w:pPr>
      <w:r>
        <w:rPr>
          <w:rFonts w:hint="eastAsia"/>
        </w:rPr>
        <w:t>①站场占地情况</w:t>
      </w:r>
    </w:p>
    <w:p w:rsidR="00BD5820" w:rsidRDefault="00F64314">
      <w:pPr>
        <w:pStyle w:val="affa"/>
        <w:ind w:firstLine="480"/>
      </w:pPr>
      <w:r>
        <w:rPr>
          <w:rFonts w:hint="eastAsia"/>
        </w:rPr>
        <w:t>本项目</w:t>
      </w:r>
      <w:r>
        <w:rPr>
          <w:rFonts w:hint="eastAsia"/>
        </w:rPr>
        <w:t>1#</w:t>
      </w:r>
      <w:r>
        <w:rPr>
          <w:rFonts w:hint="eastAsia"/>
        </w:rPr>
        <w:t>增压站新增永久占地</w:t>
      </w:r>
      <w:r>
        <w:rPr>
          <w:rFonts w:hint="eastAsia"/>
        </w:rPr>
        <w:t>18900m</w:t>
      </w:r>
      <w:r>
        <w:rPr>
          <w:rFonts w:hint="eastAsia"/>
          <w:vertAlign w:val="superscript"/>
        </w:rPr>
        <w:t>2</w:t>
      </w:r>
      <w:r>
        <w:t>，</w:t>
      </w:r>
      <w:r>
        <w:rPr>
          <w:rFonts w:hint="eastAsia"/>
        </w:rPr>
        <w:t>其中变电站新增永久占地面积约</w:t>
      </w:r>
      <w:r>
        <w:rPr>
          <w:rFonts w:hint="eastAsia"/>
        </w:rPr>
        <w:t>1800m</w:t>
      </w:r>
      <w:r>
        <w:rPr>
          <w:rFonts w:hint="eastAsia"/>
          <w:vertAlign w:val="superscript"/>
        </w:rPr>
        <w:t>2</w:t>
      </w:r>
      <w:r>
        <w:rPr>
          <w:rFonts w:hint="eastAsia"/>
        </w:rPr>
        <w:t>、增压站新增永久占地</w:t>
      </w:r>
      <w:r>
        <w:rPr>
          <w:rFonts w:hint="eastAsia"/>
        </w:rPr>
        <w:t>171</w:t>
      </w:r>
      <w:r>
        <w:t>00m</w:t>
      </w:r>
      <w:r>
        <w:rPr>
          <w:vertAlign w:val="superscript"/>
        </w:rPr>
        <w:t>2</w:t>
      </w:r>
      <w:r>
        <w:t>。不占用永久基本农田，不涉及基本农田保护区，符合基本农田保护相关规范及要求。</w:t>
      </w:r>
    </w:p>
    <w:p w:rsidR="00BD5820" w:rsidRDefault="00F64314">
      <w:pPr>
        <w:pStyle w:val="a1"/>
        <w:ind w:firstLine="480"/>
        <w:rPr>
          <w:rFonts w:ascii="Times New Roman" w:cs="Times New Roman"/>
          <w:bCs/>
        </w:rPr>
      </w:pPr>
      <w:r>
        <w:rPr>
          <w:rFonts w:hAnsi="宋体" w:hint="eastAsia"/>
          <w:bCs/>
        </w:rPr>
        <w:t>②</w:t>
      </w:r>
      <w:r>
        <w:rPr>
          <w:rFonts w:ascii="Times New Roman" w:cs="Times New Roman"/>
          <w:bCs/>
        </w:rPr>
        <w:t>占地影响分析</w:t>
      </w:r>
    </w:p>
    <w:p w:rsidR="00BD5820" w:rsidRDefault="00F64314">
      <w:pPr>
        <w:pStyle w:val="a1"/>
        <w:ind w:firstLine="480"/>
        <w:rPr>
          <w:rFonts w:ascii="Times New Roman" w:cs="Times New Roman"/>
          <w:bCs/>
        </w:rPr>
      </w:pPr>
      <w:r>
        <w:rPr>
          <w:rFonts w:ascii="Times New Roman" w:cs="Times New Roman"/>
          <w:bCs/>
        </w:rPr>
        <w:t>由于本项目</w:t>
      </w:r>
      <w:r>
        <w:rPr>
          <w:rFonts w:ascii="Times New Roman" w:cs="Times New Roman" w:hint="eastAsia"/>
          <w:bCs/>
        </w:rPr>
        <w:t>站场永久</w:t>
      </w:r>
      <w:r>
        <w:rPr>
          <w:rFonts w:ascii="Times New Roman" w:cs="Times New Roman"/>
          <w:bCs/>
        </w:rPr>
        <w:t>占用土地不会对当地土地利用产生较大影响。项目</w:t>
      </w:r>
      <w:r>
        <w:rPr>
          <w:rFonts w:ascii="Times New Roman" w:cs="Times New Roman" w:hint="eastAsia"/>
          <w:bCs/>
        </w:rPr>
        <w:t>站场永久</w:t>
      </w:r>
      <w:r>
        <w:rPr>
          <w:rFonts w:ascii="Times New Roman" w:cs="Times New Roman"/>
          <w:bCs/>
        </w:rPr>
        <w:t>占地</w:t>
      </w:r>
      <w:r>
        <w:rPr>
          <w:rFonts w:ascii="Times New Roman" w:cs="Times New Roman"/>
        </w:rPr>
        <w:t>不占用永久基本农田，不涉及基本农田保护区</w:t>
      </w:r>
      <w:r>
        <w:rPr>
          <w:rFonts w:ascii="Times New Roman" w:cs="Times New Roman"/>
          <w:bCs/>
        </w:rPr>
        <w:t>。</w:t>
      </w:r>
    </w:p>
    <w:p w:rsidR="00BD5820" w:rsidRDefault="00F64314">
      <w:pPr>
        <w:pStyle w:val="a1"/>
        <w:ind w:firstLine="480"/>
        <w:rPr>
          <w:rFonts w:ascii="Times New Roman" w:cs="Times New Roman"/>
          <w:bCs/>
        </w:rPr>
      </w:pPr>
      <w:r>
        <w:rPr>
          <w:rFonts w:ascii="Times New Roman" w:cs="Times New Roman"/>
          <w:bCs/>
        </w:rPr>
        <w:t>项目建设前，建设单位应向沿线地区的国土部门提出工程用地申请，得到主管部门的批复后方可动工；建设单位要与地方政府及有关职能部门积极协调，在施工前认真落实地方有关征地补偿手续及其费用，配合地方政府解决工程沿线扰动区域内的土地占补平衡问题；同时在施工和运行期间要落实本报告书中的有关环境保护措施，将永久性工程占地对沿线地区土地利用的影响到最小。</w:t>
      </w:r>
    </w:p>
    <w:p w:rsidR="00BD5820" w:rsidRDefault="00F64314">
      <w:pPr>
        <w:pStyle w:val="a1"/>
        <w:ind w:firstLine="482"/>
        <w:rPr>
          <w:rFonts w:ascii="Times New Roman" w:cs="Times New Roman"/>
          <w:b/>
          <w:bCs/>
        </w:rPr>
      </w:pPr>
      <w:r>
        <w:rPr>
          <w:rFonts w:ascii="Times New Roman" w:cs="Times New Roman"/>
          <w:b/>
          <w:bCs/>
        </w:rPr>
        <w:t>（</w:t>
      </w:r>
      <w:r>
        <w:rPr>
          <w:rFonts w:ascii="Times New Roman" w:cs="Times New Roman"/>
          <w:b/>
          <w:bCs/>
        </w:rPr>
        <w:t>2</w:t>
      </w:r>
      <w:r>
        <w:rPr>
          <w:rFonts w:ascii="Times New Roman" w:cs="Times New Roman"/>
          <w:b/>
          <w:bCs/>
        </w:rPr>
        <w:t>）</w:t>
      </w:r>
      <w:r>
        <w:rPr>
          <w:rFonts w:ascii="Times New Roman" w:cs="Times New Roman" w:hint="eastAsia"/>
          <w:b/>
          <w:bCs/>
        </w:rPr>
        <w:t>施工作业带等</w:t>
      </w:r>
      <w:r>
        <w:rPr>
          <w:rFonts w:ascii="Times New Roman" w:cs="Times New Roman"/>
          <w:b/>
          <w:bCs/>
        </w:rPr>
        <w:t>临时占地</w:t>
      </w:r>
    </w:p>
    <w:p w:rsidR="00BD5820" w:rsidRDefault="00F64314">
      <w:pPr>
        <w:pStyle w:val="affa"/>
        <w:ind w:firstLine="480"/>
      </w:pPr>
      <w:r>
        <w:rPr>
          <w:rFonts w:hAnsi="宋体" w:hint="eastAsia"/>
        </w:rPr>
        <w:t>①施工作业带等临时</w:t>
      </w:r>
      <w:r>
        <w:t>占地情况</w:t>
      </w:r>
    </w:p>
    <w:p w:rsidR="00BD5820" w:rsidRDefault="00F64314">
      <w:pPr>
        <w:pStyle w:val="affa"/>
        <w:ind w:firstLine="480"/>
      </w:pPr>
      <w:r>
        <w:lastRenderedPageBreak/>
        <w:t>本项目</w:t>
      </w:r>
      <w:r>
        <w:rPr>
          <w:rFonts w:hint="eastAsia"/>
        </w:rPr>
        <w:t>施工作业带等</w:t>
      </w:r>
      <w:r>
        <w:rPr>
          <w:bCs/>
        </w:rPr>
        <w:t>临时占地</w:t>
      </w:r>
      <w:r>
        <w:rPr>
          <w:rFonts w:hint="eastAsia"/>
          <w:bCs/>
        </w:rPr>
        <w:t>36060</w:t>
      </w:r>
      <w:r>
        <w:rPr>
          <w:bCs/>
        </w:rPr>
        <w:t>m</w:t>
      </w:r>
      <w:r>
        <w:rPr>
          <w:bCs/>
          <w:vertAlign w:val="superscript"/>
        </w:rPr>
        <w:t>2</w:t>
      </w:r>
      <w:r>
        <w:t>，其中管道作业带（</w:t>
      </w:r>
      <w:r>
        <w:rPr>
          <w:rFonts w:hint="eastAsia"/>
        </w:rPr>
        <w:t>12</w:t>
      </w:r>
      <w:r>
        <w:t>m</w:t>
      </w:r>
      <w:r>
        <w:t>）临时占地</w:t>
      </w:r>
      <w:r>
        <w:rPr>
          <w:rFonts w:hint="eastAsia"/>
        </w:rPr>
        <w:t>324</w:t>
      </w:r>
      <w:r>
        <w:t>00</w:t>
      </w:r>
      <w:r>
        <w:rPr>
          <w:bCs/>
        </w:rPr>
        <w:t>m</w:t>
      </w:r>
      <w:r>
        <w:rPr>
          <w:bCs/>
          <w:vertAlign w:val="superscript"/>
        </w:rPr>
        <w:t>2</w:t>
      </w:r>
      <w:r>
        <w:t>，管道工程区堆管点临时占地</w:t>
      </w:r>
      <w:r>
        <w:rPr>
          <w:rFonts w:hint="eastAsia"/>
        </w:rPr>
        <w:t>122</w:t>
      </w:r>
      <w:r>
        <w:t>0</w:t>
      </w:r>
      <w:r>
        <w:rPr>
          <w:bCs/>
        </w:rPr>
        <w:t>m</w:t>
      </w:r>
      <w:r>
        <w:rPr>
          <w:bCs/>
          <w:vertAlign w:val="superscript"/>
        </w:rPr>
        <w:t>2</w:t>
      </w:r>
      <w:r>
        <w:t>，施工便道区临时占地</w:t>
      </w:r>
      <w:r>
        <w:t>2</w:t>
      </w:r>
      <w:r>
        <w:rPr>
          <w:rFonts w:hint="eastAsia"/>
        </w:rPr>
        <w:t>44</w:t>
      </w:r>
      <w:r>
        <w:t>0</w:t>
      </w:r>
      <w:r>
        <w:rPr>
          <w:bCs/>
        </w:rPr>
        <w:t>m</w:t>
      </w:r>
      <w:r>
        <w:rPr>
          <w:bCs/>
          <w:vertAlign w:val="superscript"/>
        </w:rPr>
        <w:t>2</w:t>
      </w:r>
      <w:r>
        <w:rPr>
          <w:bCs/>
        </w:rPr>
        <w:t>。</w:t>
      </w:r>
      <w:r>
        <w:t>不占用永久基本农田，不涉及基本农田保护区，符合基本农田保护相关规范及要求。</w:t>
      </w:r>
      <w:r>
        <w:rPr>
          <w:rFonts w:hint="eastAsia"/>
        </w:rPr>
        <w:t>但临时占地中所占</w:t>
      </w:r>
      <w:r>
        <w:rPr>
          <w:rFonts w:hint="eastAsia"/>
          <w:bCs/>
        </w:rPr>
        <w:t>林地为二级公益林，占地面积约</w:t>
      </w:r>
      <w:r>
        <w:rPr>
          <w:rFonts w:hint="eastAsia"/>
          <w:bCs/>
        </w:rPr>
        <w:t>12500m</w:t>
      </w:r>
      <w:r>
        <w:rPr>
          <w:rFonts w:hint="eastAsia"/>
          <w:bCs/>
          <w:vertAlign w:val="superscript"/>
        </w:rPr>
        <w:t>2</w:t>
      </w:r>
      <w:r>
        <w:rPr>
          <w:rFonts w:hint="eastAsia"/>
          <w:bCs/>
        </w:rPr>
        <w:t>，</w:t>
      </w:r>
      <w:r>
        <w:rPr>
          <w:rFonts w:hint="eastAsia"/>
        </w:rPr>
        <w:t>因此，</w:t>
      </w:r>
      <w:r>
        <w:t>在</w:t>
      </w:r>
      <w:r>
        <w:rPr>
          <w:rFonts w:hint="eastAsia"/>
        </w:rPr>
        <w:t>施工前需取得林业部门相关手续，并在</w:t>
      </w:r>
      <w:r>
        <w:t>具体施工中，</w:t>
      </w:r>
      <w:r>
        <w:rPr>
          <w:rFonts w:hint="eastAsia"/>
        </w:rPr>
        <w:t>将</w:t>
      </w:r>
      <w:r>
        <w:rPr>
          <w:rFonts w:hint="eastAsia"/>
          <w:bCs/>
        </w:rPr>
        <w:t>二级公益林</w:t>
      </w:r>
      <w:r>
        <w:t>进行移栽</w:t>
      </w:r>
      <w:r>
        <w:rPr>
          <w:rFonts w:hint="eastAsia"/>
        </w:rPr>
        <w:t>和保护，待施工完成后进行回栽</w:t>
      </w:r>
      <w:r>
        <w:t>。</w:t>
      </w:r>
    </w:p>
    <w:p w:rsidR="00BD5820" w:rsidRDefault="00F64314">
      <w:pPr>
        <w:pStyle w:val="affa"/>
        <w:ind w:firstLine="480"/>
      </w:pPr>
      <w:r>
        <w:rPr>
          <w:rFonts w:hAnsi="宋体" w:hint="eastAsia"/>
        </w:rPr>
        <w:t>②</w:t>
      </w:r>
      <w:r>
        <w:t>占地影响</w:t>
      </w:r>
    </w:p>
    <w:p w:rsidR="00BD5820" w:rsidRDefault="00F64314">
      <w:pPr>
        <w:pStyle w:val="affa"/>
        <w:ind w:firstLine="480"/>
      </w:pPr>
      <w:r>
        <w:t>项目的临时占地主要在施工期。在管线及站场施工过程中，施工作业带、施工便道等均为临时占用土地，一般仅在施工阶段造成沿线土地利用的暂时改变，大部分用地在施工结束后短期内（</w:t>
      </w:r>
      <w:r>
        <w:t>1</w:t>
      </w:r>
      <w:r>
        <w:t>年～</w:t>
      </w:r>
      <w:r>
        <w:t>2</w:t>
      </w:r>
      <w:r>
        <w:t>年）能恢复原有的利用功能。</w:t>
      </w:r>
    </w:p>
    <w:p w:rsidR="00BD5820" w:rsidRDefault="00F64314">
      <w:pPr>
        <w:pStyle w:val="affa"/>
        <w:ind w:firstLine="480"/>
      </w:pPr>
      <w:r>
        <w:t>A.</w:t>
      </w:r>
      <w:r>
        <w:t>管道施工作业带占地</w:t>
      </w:r>
    </w:p>
    <w:p w:rsidR="00BD5820" w:rsidRDefault="00F64314">
      <w:pPr>
        <w:pStyle w:val="affa"/>
        <w:ind w:firstLine="480"/>
      </w:pPr>
      <w:r>
        <w:t>管道工程大部分临时占地是在管道开挖埋设施工过程中，由于管道施工分段进行，施工时间较短，每段管线从施工到重新覆土约为三个月的时间，施工完毕后，管道敷设完成，该地段土地利用大部分可恢复为原利用状态。</w:t>
      </w:r>
    </w:p>
    <w:p w:rsidR="00BD5820" w:rsidRDefault="00F64314">
      <w:pPr>
        <w:pStyle w:val="affa"/>
        <w:ind w:firstLine="480"/>
      </w:pPr>
      <w:r>
        <w:t>施工完成后，管道两侧</w:t>
      </w:r>
      <w:r>
        <w:t>5m</w:t>
      </w:r>
      <w:r>
        <w:t>范围内不能再种植深根植物，一般情况下，该地段可以种植根系不发达的草本植物，以改善景观、防止水土流失。因此从用地类型看对林地、灌丛等用地有一定的影响。</w:t>
      </w:r>
    </w:p>
    <w:p w:rsidR="00BD5820" w:rsidRDefault="00F64314">
      <w:pPr>
        <w:pStyle w:val="affa"/>
        <w:ind w:firstLine="480"/>
      </w:pPr>
      <w:r>
        <w:t>从宏观整体区域看，施工作业带为线性施工，相较于所占地类型面积比例极小，施工临时区域不会影响该区域的土地利用结构。管道施工完毕，管线两侧</w:t>
      </w:r>
      <w:r>
        <w:t>5m</w:t>
      </w:r>
      <w:r>
        <w:t>范围外可以重新种植深根作物，对土地利用的影响也将逐渐消失。</w:t>
      </w:r>
    </w:p>
    <w:p w:rsidR="00BD5820" w:rsidRDefault="00F64314">
      <w:pPr>
        <w:pStyle w:val="affa"/>
        <w:ind w:firstLine="480"/>
      </w:pPr>
      <w:r>
        <w:t>B.</w:t>
      </w:r>
      <w:r>
        <w:t>施工便道占地</w:t>
      </w:r>
    </w:p>
    <w:p w:rsidR="00BD5820" w:rsidRDefault="00F64314">
      <w:pPr>
        <w:pStyle w:val="affa"/>
        <w:ind w:firstLine="480"/>
      </w:pPr>
      <w:r>
        <w:t>管线施工便道属于临时性工程占地，施工结束后大部分即可恢复原有用地使用性质，一部分的施工便道将作为农村道路或者为了管道维护的方便而保持下来，虽然改变了其原有的用地性质，但由于保留的施工便道比较少，不会对区域土地利用产生较大影响。施工期施工便道对沿线生态环境的影响主要有：</w:t>
      </w:r>
    </w:p>
    <w:p w:rsidR="00BD5820" w:rsidRDefault="00F64314">
      <w:pPr>
        <w:pStyle w:val="affa"/>
        <w:ind w:firstLine="480"/>
      </w:pPr>
      <w:r>
        <w:t>a.</w:t>
      </w:r>
      <w:r>
        <w:t>临时占地将破坏地表原有植被作物，其中对农作物而言将减少一季收成；</w:t>
      </w:r>
    </w:p>
    <w:p w:rsidR="00BD5820" w:rsidRDefault="00F64314">
      <w:pPr>
        <w:pStyle w:val="affa"/>
        <w:ind w:firstLine="480"/>
      </w:pPr>
      <w:r>
        <w:t>b.</w:t>
      </w:r>
      <w:r>
        <w:t>施工过程中车辆碾压使占地范围内的土壤紧实度增加，对土地复耕后作物根系发育和生长不利；</w:t>
      </w:r>
    </w:p>
    <w:p w:rsidR="00BD5820" w:rsidRDefault="00F64314">
      <w:pPr>
        <w:pStyle w:val="affa"/>
        <w:ind w:firstLine="480"/>
      </w:pPr>
      <w:r>
        <w:t>c.</w:t>
      </w:r>
      <w:r>
        <w:t>在干燥天气下，车辆行驶扬尘，使便道两侧作物叶面覆盖降尘，光合作用</w:t>
      </w:r>
      <w:r>
        <w:lastRenderedPageBreak/>
        <w:t>弱，影响作物生长；降雨天气，施工车辆进出施工场地，施工便道上的泥土将影响到公路路面的清洁，干燥后会产生扬尘污染；</w:t>
      </w:r>
    </w:p>
    <w:p w:rsidR="00BD5820" w:rsidRDefault="00F64314">
      <w:pPr>
        <w:pStyle w:val="affa"/>
        <w:ind w:firstLine="480"/>
      </w:pPr>
      <w:r>
        <w:t>总之，临时性工程占地短期内将影响沿线土地的利用状况，施工结束后，随着生态补偿或生态恢复措施的实施，这一影响将逐渐小或消失。</w:t>
      </w:r>
    </w:p>
    <w:p w:rsidR="00BD5820" w:rsidRDefault="00F64314">
      <w:pPr>
        <w:pStyle w:val="affa"/>
        <w:ind w:firstLine="482"/>
        <w:rPr>
          <w:b/>
          <w:bCs/>
        </w:rPr>
      </w:pPr>
      <w:r>
        <w:rPr>
          <w:b/>
          <w:bCs/>
        </w:rPr>
        <w:t>（</w:t>
      </w:r>
      <w:r>
        <w:rPr>
          <w:b/>
          <w:bCs/>
        </w:rPr>
        <w:t>3</w:t>
      </w:r>
      <w:r>
        <w:rPr>
          <w:b/>
          <w:bCs/>
        </w:rPr>
        <w:t>）</w:t>
      </w:r>
      <w:r>
        <w:rPr>
          <w:rFonts w:hint="eastAsia"/>
          <w:b/>
          <w:bCs/>
        </w:rPr>
        <w:t>占地</w:t>
      </w:r>
      <w:r>
        <w:rPr>
          <w:b/>
          <w:bCs/>
        </w:rPr>
        <w:t>对农业生产的影响</w:t>
      </w:r>
    </w:p>
    <w:p w:rsidR="00BD5820" w:rsidRDefault="00F64314">
      <w:pPr>
        <w:pStyle w:val="affa"/>
        <w:ind w:firstLine="480"/>
        <w:rPr>
          <w:bCs/>
        </w:rPr>
      </w:pPr>
      <w:r>
        <w:rPr>
          <w:bCs/>
        </w:rPr>
        <w:t>在管道施工期间，主要包括站场建设、管道施工以及施工便道建设期，当季无法种植农作物，而且将破坏施工地面已有的农作物，这些都将造成一定的经济损失。管道维修养护也将影响农业收入。</w:t>
      </w:r>
    </w:p>
    <w:p w:rsidR="00BD5820" w:rsidRDefault="00F64314">
      <w:pPr>
        <w:pStyle w:val="affa"/>
        <w:ind w:firstLine="480"/>
      </w:pPr>
      <w:r>
        <w:t>在施工期间，由于土石开挖填埋、机械与车辆碾压及人员践踏等活动，将对施工作业带范围内的农作物产生影响。输气管道工程对农作物的影响主要表现在临时性占用土地的形式上。倘若施工作业在耕作期，必将毁坏农作物减少农作物产量。临时性占地只对耕作期的作物有影响，对农业带来的损失是暂时的，在施工结束后，经过一段时间皆可恢复其原有功能。由于管道的开挖和铺设是分段进行的，每段施工的期限为</w:t>
      </w:r>
      <w:r>
        <w:t>1~3</w:t>
      </w:r>
      <w:r>
        <w:t>个月，因而只会影响一季度的农作物收成，施工结束后，第二年将会恢复种植。</w:t>
      </w:r>
    </w:p>
    <w:p w:rsidR="00BD5820" w:rsidRDefault="00F64314">
      <w:pPr>
        <w:pStyle w:val="affa"/>
        <w:ind w:firstLine="480"/>
        <w:rPr>
          <w:bCs/>
        </w:rPr>
      </w:pPr>
      <w:r>
        <w:t>对于临时占用耕地使农民受到一定的经济损失，</w:t>
      </w:r>
      <w:r>
        <w:rPr>
          <w:bCs/>
        </w:rPr>
        <w:t>项目建设需对沿线农作物、林地资源等资源的赔偿，</w:t>
      </w:r>
      <w:r>
        <w:t>这部分损失应给予赔偿，</w:t>
      </w:r>
      <w:r>
        <w:rPr>
          <w:bCs/>
        </w:rPr>
        <w:t>与相关方面达成一致协议，同时设立赔偿专项资金，最大限度的减小项目对当地的影响。</w:t>
      </w:r>
    </w:p>
    <w:p w:rsidR="00BD5820" w:rsidRDefault="00F64314">
      <w:pPr>
        <w:pStyle w:val="affa"/>
        <w:ind w:firstLine="482"/>
        <w:rPr>
          <w:b/>
        </w:rPr>
      </w:pPr>
      <w:r>
        <w:rPr>
          <w:rFonts w:hint="eastAsia"/>
          <w:b/>
        </w:rPr>
        <w:t>2</w:t>
      </w:r>
      <w:r>
        <w:rPr>
          <w:rFonts w:hint="eastAsia"/>
          <w:b/>
        </w:rPr>
        <w:t>、主要工程活动对生态环境的影响分析</w:t>
      </w:r>
    </w:p>
    <w:p w:rsidR="00BD5820" w:rsidRDefault="00F64314">
      <w:pPr>
        <w:pStyle w:val="affa"/>
        <w:ind w:firstLine="480"/>
      </w:pPr>
      <w:r>
        <w:rPr>
          <w:rFonts w:hint="eastAsia"/>
        </w:rPr>
        <w:t>（</w:t>
      </w:r>
      <w:r>
        <w:rPr>
          <w:rFonts w:hint="eastAsia"/>
        </w:rPr>
        <w:t>1</w:t>
      </w:r>
      <w:r>
        <w:rPr>
          <w:rFonts w:hint="eastAsia"/>
        </w:rPr>
        <w:t>）敷设管道对生态环境的影响</w:t>
      </w:r>
    </w:p>
    <w:p w:rsidR="00BD5820" w:rsidRDefault="00F64314">
      <w:pPr>
        <w:pStyle w:val="affa"/>
        <w:ind w:firstLine="480"/>
      </w:pPr>
      <w:r>
        <w:rPr>
          <w:rFonts w:hint="eastAsia"/>
        </w:rPr>
        <w:t>管线主要沿低山、丘陵地带敷设，部分区段需要翻越山体。施工活动将破坏自然植被，工程施工过程中将开挖地表覆盖层，破坏植被，扰动土层，造成山体岩石暴露，产生大量弃石（土）渣，加剧该地区的水土流失。此外，开挖管沟产生的弃土石方处理不当，也会对生态环境造成严重影响，在以往工程中曾发生过弃土石顺山坡倾倒的现象，造成青山坡变成了砾石堆，甚至堵塞河道，造成严重水土流失，山体石漠化。</w:t>
      </w:r>
    </w:p>
    <w:p w:rsidR="00BD5820" w:rsidRDefault="00F64314">
      <w:pPr>
        <w:pStyle w:val="affa"/>
        <w:ind w:firstLine="480"/>
      </w:pPr>
      <w:r>
        <w:rPr>
          <w:rFonts w:hint="eastAsia"/>
        </w:rPr>
        <w:t>（</w:t>
      </w:r>
      <w:r>
        <w:rPr>
          <w:rFonts w:hint="eastAsia"/>
        </w:rPr>
        <w:t>2</w:t>
      </w:r>
      <w:r>
        <w:rPr>
          <w:rFonts w:hint="eastAsia"/>
        </w:rPr>
        <w:t>）施工便道建设</w:t>
      </w:r>
    </w:p>
    <w:p w:rsidR="00BD5820" w:rsidRDefault="00F64314">
      <w:pPr>
        <w:pStyle w:val="affa"/>
        <w:ind w:firstLine="480"/>
      </w:pPr>
      <w:r>
        <w:rPr>
          <w:rFonts w:hint="eastAsia"/>
        </w:rPr>
        <w:t>项目施工主要利用周边现有道路，对于局部交通条件较差区，通过新建或改扩建施工道路满足项目施工运输需要，本输气管道项目施工道路主要依托乡村道</w:t>
      </w:r>
      <w:r>
        <w:rPr>
          <w:rFonts w:hint="eastAsia"/>
        </w:rPr>
        <w:lastRenderedPageBreak/>
        <w:t>路，仅针对局部深丘、低山地段无道路可利用时新建道路。</w:t>
      </w:r>
    </w:p>
    <w:p w:rsidR="00BD5820" w:rsidRDefault="00F64314">
      <w:pPr>
        <w:pStyle w:val="affa"/>
        <w:ind w:firstLine="480"/>
      </w:pPr>
      <w:r>
        <w:rPr>
          <w:rFonts w:hint="eastAsia"/>
        </w:rPr>
        <w:t>①部分线路为改造原有机耕道，对原有机耕道作适当的路面修补和加固，清理边沟（主要针对道路较宽，路面条件较好，局部通过性低的道路）；</w:t>
      </w:r>
    </w:p>
    <w:p w:rsidR="00BD5820" w:rsidRDefault="00F64314">
      <w:pPr>
        <w:pStyle w:val="affa"/>
        <w:ind w:firstLine="480"/>
      </w:pPr>
      <w:r>
        <w:rPr>
          <w:rFonts w:hint="eastAsia"/>
        </w:rPr>
        <w:t>②改造原有机耕道面修补、加固和加宽，清理边沟（主要针对道路较窄，路基较软，转弯半径较小，必须改建后方可通过重型车辆）；</w:t>
      </w:r>
    </w:p>
    <w:p w:rsidR="00BD5820" w:rsidRDefault="00F64314">
      <w:pPr>
        <w:pStyle w:val="affa"/>
        <w:ind w:firstLine="480"/>
      </w:pPr>
      <w:r>
        <w:rPr>
          <w:rFonts w:hint="eastAsia"/>
        </w:rPr>
        <w:t>③针对局部深丘、中低山地段无道路可利用时新建道路。</w:t>
      </w:r>
    </w:p>
    <w:p w:rsidR="00BD5820" w:rsidRDefault="00F64314">
      <w:pPr>
        <w:pStyle w:val="affa"/>
        <w:ind w:firstLine="480"/>
      </w:pPr>
      <w:r>
        <w:rPr>
          <w:rFonts w:hint="eastAsia"/>
        </w:rPr>
        <w:t>经统计，本项目施工便道共占地</w:t>
      </w:r>
      <w:r>
        <w:t>2</w:t>
      </w:r>
      <w:r>
        <w:rPr>
          <w:rFonts w:hint="eastAsia"/>
        </w:rPr>
        <w:t>44</w:t>
      </w:r>
      <w:r>
        <w:t>0</w:t>
      </w:r>
      <w:r>
        <w:rPr>
          <w:bCs/>
        </w:rPr>
        <w:t>m</w:t>
      </w:r>
      <w:r>
        <w:rPr>
          <w:bCs/>
          <w:vertAlign w:val="superscript"/>
        </w:rPr>
        <w:t>2</w:t>
      </w:r>
      <w:r>
        <w:rPr>
          <w:rFonts w:hint="eastAsia"/>
        </w:rPr>
        <w:t>，均为临时占地，占地类型为耕地、林地和其他土地。待施工完成后，施工便道恢复成原有的土地利用类型。</w:t>
      </w:r>
    </w:p>
    <w:p w:rsidR="00BD5820" w:rsidRDefault="00F64314">
      <w:pPr>
        <w:pStyle w:val="affa"/>
        <w:ind w:firstLine="480"/>
      </w:pPr>
      <w:r>
        <w:rPr>
          <w:rFonts w:hint="eastAsia"/>
        </w:rPr>
        <w:t>施工道路占地类型以耕地、林地和其他土地为主。修建道路，要动用大量土石方，必将破坏地表植被，改变土壤结构，取土及弃土施工方式或措施选用不当，易引发水土流失、滑坡、塌陷、泥石流等自然灾害。</w:t>
      </w:r>
    </w:p>
    <w:p w:rsidR="00BD5820" w:rsidRDefault="00F64314">
      <w:pPr>
        <w:pStyle w:val="affa"/>
        <w:ind w:firstLine="480"/>
      </w:pPr>
      <w:r>
        <w:rPr>
          <w:rFonts w:hint="eastAsia"/>
        </w:rPr>
        <w:t>道路建成后，会给地方的交通和生活带来一定的便利，但也会给环境带来一定的不利影响。道路对沿线生态环境的主要影响有：交通的便利使周边地区的人员和机械更易进入管道沿线地区，使原自然生境更易受到扰动、遭到破坏。</w:t>
      </w:r>
    </w:p>
    <w:p w:rsidR="00BD5820" w:rsidRDefault="00F64314">
      <w:pPr>
        <w:pStyle w:val="affa"/>
        <w:ind w:firstLine="480"/>
      </w:pPr>
      <w:r>
        <w:rPr>
          <w:rFonts w:hint="eastAsia"/>
        </w:rPr>
        <w:t>（</w:t>
      </w:r>
      <w:r>
        <w:rPr>
          <w:rFonts w:hint="eastAsia"/>
        </w:rPr>
        <w:t>3</w:t>
      </w:r>
      <w:r>
        <w:rPr>
          <w:rFonts w:hint="eastAsia"/>
        </w:rPr>
        <w:t>）穿越公路对生态环境的影响分析</w:t>
      </w:r>
    </w:p>
    <w:p w:rsidR="00BD5820" w:rsidRDefault="00F64314">
      <w:pPr>
        <w:pStyle w:val="affa"/>
        <w:ind w:firstLine="480"/>
        <w:rPr>
          <w:color w:val="000000"/>
        </w:rPr>
      </w:pPr>
      <w:r>
        <w:rPr>
          <w:rFonts w:hint="eastAsia"/>
          <w:color w:val="000000"/>
        </w:rPr>
        <w:t>本工程沿线共穿越公路（均为乡村道路）</w:t>
      </w:r>
      <w:r>
        <w:rPr>
          <w:rFonts w:hint="eastAsia"/>
          <w:color w:val="000000"/>
        </w:rPr>
        <w:t>7</w:t>
      </w:r>
      <w:r>
        <w:rPr>
          <w:rFonts w:hint="eastAsia"/>
          <w:color w:val="000000"/>
        </w:rPr>
        <w:t>次，累计穿越长度约</w:t>
      </w:r>
      <w:r>
        <w:rPr>
          <w:rFonts w:hint="eastAsia"/>
          <w:color w:val="000000"/>
        </w:rPr>
        <w:t>28</w:t>
      </w:r>
      <w:r>
        <w:rPr>
          <w:color w:val="000000"/>
        </w:rPr>
        <w:t>m</w:t>
      </w:r>
      <w:r>
        <w:rPr>
          <w:rFonts w:hint="eastAsia"/>
          <w:color w:val="000000"/>
        </w:rPr>
        <w:t>，均采用顶管穿越方式进行穿越。</w:t>
      </w:r>
    </w:p>
    <w:p w:rsidR="00BD5820" w:rsidRDefault="00F64314">
      <w:pPr>
        <w:pStyle w:val="affa"/>
        <w:ind w:firstLine="480"/>
        <w:rPr>
          <w:color w:val="000000"/>
        </w:rPr>
      </w:pPr>
      <w:r>
        <w:rPr>
          <w:rFonts w:hint="eastAsia"/>
          <w:color w:val="000000"/>
        </w:rPr>
        <w:t>穿越公路工程施工期较短，可以采取集中施工方式进行，缩短施工期限，这种影响属于短期行为，施工结束后影响就会消失，施工过程中只要安排好工程进度，搞好施工管理，对生态环境和景观格局带来的影响较小。</w:t>
      </w:r>
    </w:p>
    <w:p w:rsidR="006C0065" w:rsidRPr="009272C3" w:rsidRDefault="006C0065" w:rsidP="006C0065">
      <w:pPr>
        <w:pStyle w:val="affa"/>
        <w:ind w:firstLine="480"/>
        <w:rPr>
          <w:color w:val="FF0000"/>
        </w:rPr>
      </w:pPr>
      <w:r w:rsidRPr="009272C3">
        <w:rPr>
          <w:rFonts w:hint="eastAsia"/>
          <w:color w:val="FF0000"/>
        </w:rPr>
        <w:t>（</w:t>
      </w:r>
      <w:r w:rsidRPr="009272C3">
        <w:rPr>
          <w:rFonts w:hint="eastAsia"/>
          <w:color w:val="FF0000"/>
        </w:rPr>
        <w:t>4</w:t>
      </w:r>
      <w:r w:rsidRPr="009272C3">
        <w:rPr>
          <w:rFonts w:hint="eastAsia"/>
          <w:color w:val="FF0000"/>
        </w:rPr>
        <w:t>）跨越冲沟对生态环境的影响分析</w:t>
      </w:r>
    </w:p>
    <w:p w:rsidR="006C0065" w:rsidRPr="009272C3" w:rsidRDefault="006C0065" w:rsidP="006C0065">
      <w:pPr>
        <w:pStyle w:val="affa"/>
        <w:ind w:firstLine="480"/>
        <w:rPr>
          <w:color w:val="FF0000"/>
        </w:rPr>
      </w:pPr>
      <w:r w:rsidRPr="009272C3">
        <w:rPr>
          <w:rFonts w:hint="eastAsia"/>
          <w:color w:val="FF0000"/>
        </w:rPr>
        <w:t>本项目管线不涉及河流穿越，管道跨越冲沟</w:t>
      </w:r>
      <w:r w:rsidRPr="009272C3">
        <w:rPr>
          <w:color w:val="FF0000"/>
        </w:rPr>
        <w:t>1</w:t>
      </w:r>
      <w:r w:rsidRPr="009272C3">
        <w:rPr>
          <w:rFonts w:hint="eastAsia"/>
          <w:color w:val="FF0000"/>
        </w:rPr>
        <w:t>处，采用桁架跨越的方式过沟，桁架跨越工程施工期较短，可以采取集中施工方式进行，缩短施工期限，这种影响属于短期行为，施工结束后影响就会消失，施工过程中只要安排好工程进度，搞好施工管理，对冲沟生态环境和景观格局带来的影响较小。</w:t>
      </w:r>
    </w:p>
    <w:p w:rsidR="00BD5820" w:rsidRDefault="00F64314">
      <w:pPr>
        <w:pStyle w:val="affa"/>
        <w:ind w:firstLine="482"/>
        <w:rPr>
          <w:b/>
          <w:bCs/>
        </w:rPr>
      </w:pPr>
      <w:r>
        <w:rPr>
          <w:b/>
          <w:bCs/>
        </w:rPr>
        <w:t>3</w:t>
      </w:r>
      <w:r>
        <w:rPr>
          <w:b/>
          <w:bCs/>
        </w:rPr>
        <w:t>、</w:t>
      </w:r>
      <w:r>
        <w:rPr>
          <w:rFonts w:hint="eastAsia"/>
          <w:b/>
          <w:bCs/>
        </w:rPr>
        <w:t>对陆生植物的影响分析</w:t>
      </w:r>
    </w:p>
    <w:p w:rsidR="00BD5820" w:rsidRDefault="00F64314">
      <w:pPr>
        <w:pStyle w:val="affa"/>
        <w:ind w:firstLine="480"/>
      </w:pPr>
      <w:r>
        <w:rPr>
          <w:rFonts w:hint="eastAsia"/>
        </w:rPr>
        <w:t>评价区内的植物都是区域内分布广泛的常见种和广布种。工程施工会消除施工区内的植物个体，使相关种类的个体数量减少，但受影响的个体数量非常有限，工程建设不会造成相关区域植物种群数量的明显改变，不会造成植物种类的减少</w:t>
      </w:r>
      <w:r>
        <w:rPr>
          <w:rFonts w:hint="eastAsia"/>
        </w:rPr>
        <w:lastRenderedPageBreak/>
        <w:t>和植物区系的改变。工程运行期间，不会对植物资源造成任何影响。</w:t>
      </w:r>
    </w:p>
    <w:p w:rsidR="00BD5820" w:rsidRDefault="00F64314">
      <w:pPr>
        <w:pStyle w:val="affa"/>
        <w:ind w:firstLine="480"/>
      </w:pPr>
      <w:r>
        <w:t>本项目土壤影响范围内</w:t>
      </w:r>
      <w:r>
        <w:rPr>
          <w:rFonts w:hint="eastAsia"/>
        </w:rPr>
        <w:t>（</w:t>
      </w:r>
      <w:r>
        <w:rPr>
          <w:rFonts w:hint="eastAsia"/>
        </w:rPr>
        <w:t>200m</w:t>
      </w:r>
      <w:r>
        <w:rPr>
          <w:rFonts w:hint="eastAsia"/>
        </w:rPr>
        <w:t>范围）分布有公益林，建议施工期对本项目</w:t>
      </w:r>
      <w:r>
        <w:rPr>
          <w:rFonts w:hint="eastAsia"/>
        </w:rPr>
        <w:t>200m</w:t>
      </w:r>
      <w:r>
        <w:rPr>
          <w:rFonts w:hint="eastAsia"/>
        </w:rPr>
        <w:t>范围的公益林进行保护</w:t>
      </w:r>
      <w:r>
        <w:rPr>
          <w:rFonts w:hint="eastAsia"/>
          <w:bCs/>
          <w:szCs w:val="24"/>
        </w:rPr>
        <w:t>（如：封山育林、人工造林等）</w:t>
      </w:r>
      <w:r>
        <w:rPr>
          <w:rFonts w:hint="eastAsia"/>
        </w:rPr>
        <w:t>，防止施工期对公益林的扰动。</w:t>
      </w:r>
    </w:p>
    <w:p w:rsidR="00BD5820" w:rsidRDefault="00F64314">
      <w:pPr>
        <w:pStyle w:val="affa"/>
        <w:ind w:firstLine="480"/>
      </w:pPr>
      <w:r>
        <w:rPr>
          <w:rFonts w:hint="eastAsia"/>
        </w:rPr>
        <w:t>管道施工期间一次性的干扰和破坏将影响植物的生长和物种多样性。土石回填后，周围植物渐次侵入，植被开始恢复。根据生态学观点，管道施工过程是对植被及其生态系统的一次性扰动，这种扰动一旦结束，则由施工形成的次生裸地便开始向顶级植物群落方向演替。</w:t>
      </w:r>
    </w:p>
    <w:p w:rsidR="00BD5820" w:rsidRDefault="00F64314">
      <w:pPr>
        <w:pStyle w:val="affa"/>
        <w:ind w:firstLine="480"/>
      </w:pPr>
      <w:r>
        <w:rPr>
          <w:rFonts w:hint="eastAsia"/>
        </w:rPr>
        <w:t>按照生态学理论，管道沿线的植被破坏具有暂时性，一般将随施工完成而终止。根据管线所经地区的土壤、气候等自然条件分析，施工结束后，周围植物渐次侵入，开始恢复演替过程。要恢复植被覆盖，草本最先进入，可能需要</w:t>
      </w:r>
      <w:r>
        <w:t>1</w:t>
      </w:r>
      <w:r>
        <w:rPr>
          <w:rFonts w:hint="eastAsia"/>
        </w:rPr>
        <w:t>～</w:t>
      </w:r>
      <w:r>
        <w:t>2</w:t>
      </w:r>
      <w:r>
        <w:rPr>
          <w:rFonts w:hint="eastAsia"/>
        </w:rPr>
        <w:t>年，灌木侵入需要</w:t>
      </w:r>
      <w:r>
        <w:t>5</w:t>
      </w:r>
      <w:r>
        <w:rPr>
          <w:rFonts w:hint="eastAsia"/>
        </w:rPr>
        <w:t>～</w:t>
      </w:r>
      <w:r>
        <w:t>10</w:t>
      </w:r>
      <w:r>
        <w:rPr>
          <w:rFonts w:hint="eastAsia"/>
        </w:rPr>
        <w:t>年。采用人工植树种草的措施，可以加快恢复进程，</w:t>
      </w:r>
      <w:r>
        <w:t>2</w:t>
      </w:r>
      <w:r>
        <w:rPr>
          <w:rFonts w:hint="eastAsia"/>
        </w:rPr>
        <w:t>～</w:t>
      </w:r>
      <w:r>
        <w:t>3</w:t>
      </w:r>
      <w:r>
        <w:rPr>
          <w:rFonts w:hint="eastAsia"/>
        </w:rPr>
        <w:t>年恢复草本植被，</w:t>
      </w:r>
      <w:r>
        <w:t>3</w:t>
      </w:r>
      <w:r>
        <w:rPr>
          <w:rFonts w:hint="eastAsia"/>
        </w:rPr>
        <w:t>～</w:t>
      </w:r>
      <w:r>
        <w:t>5</w:t>
      </w:r>
      <w:r>
        <w:rPr>
          <w:rFonts w:hint="eastAsia"/>
        </w:rPr>
        <w:t>年恢复灌木植被，</w:t>
      </w:r>
      <w:r>
        <w:t>10</w:t>
      </w:r>
      <w:r>
        <w:rPr>
          <w:rFonts w:hint="eastAsia"/>
        </w:rPr>
        <w:t>～</w:t>
      </w:r>
      <w:r>
        <w:t>15</w:t>
      </w:r>
      <w:r>
        <w:rPr>
          <w:rFonts w:hint="eastAsia"/>
        </w:rPr>
        <w:t>年恢复乔木植被。但是，恢复的含义并非是完全恢复原施工前的植被种类组成和相对数量比例，而只是恢复至种类组成近似，物种多样性指数值近似的状态，但仍有所降低。</w:t>
      </w:r>
    </w:p>
    <w:p w:rsidR="00BD5820" w:rsidRDefault="00F64314">
      <w:pPr>
        <w:pStyle w:val="affa"/>
        <w:ind w:firstLine="480"/>
      </w:pPr>
      <w:r>
        <w:t>管道施工确实对该区域植被造成一定的影响，但总体上不会使评价区内植物群落的种类组成发生变化，也不会造成某一植物种的消失，对区域植被稳定性的破坏较小。首先，</w:t>
      </w:r>
      <w:r>
        <w:rPr>
          <w:rFonts w:hint="eastAsia"/>
        </w:rPr>
        <w:t>本项目</w:t>
      </w:r>
      <w:r>
        <w:t>属于线性工程，对管线所经过林区的整体生态功能的影响相对较小，被破坏的灌丛和乔木，估计至少需要</w:t>
      </w:r>
      <w:r>
        <w:t>5</w:t>
      </w:r>
      <w:r>
        <w:t>年（灌丛）或更长（乔木）的时可以逐渐恢复。其次，从植物种类来看，在施工期作业场地范围内被破坏或影响的植物均为广布种和常见种，且分布也较均匀。施工结束后，通过复垦、恢复植被、补偿等措施，评价范围内被破坏的人工植被可以得到有效的恢复。</w:t>
      </w:r>
    </w:p>
    <w:p w:rsidR="00BD5820" w:rsidRDefault="00F64314">
      <w:pPr>
        <w:pStyle w:val="affa"/>
        <w:ind w:firstLine="480"/>
      </w:pPr>
      <w:r>
        <w:t>同时，本次环评提出，在施工过程中一旦发现保护植物，需立即告知当地林业部门，并在林业部门的指导下采取合理的保护措施。</w:t>
      </w:r>
    </w:p>
    <w:p w:rsidR="00BD5820" w:rsidRDefault="00F64314">
      <w:pPr>
        <w:pStyle w:val="affa"/>
        <w:ind w:firstLine="482"/>
        <w:rPr>
          <w:b/>
          <w:bCs/>
        </w:rPr>
      </w:pPr>
      <w:r>
        <w:rPr>
          <w:b/>
          <w:bCs/>
        </w:rPr>
        <w:t>4</w:t>
      </w:r>
      <w:r>
        <w:rPr>
          <w:b/>
          <w:bCs/>
        </w:rPr>
        <w:t>、</w:t>
      </w:r>
      <w:r>
        <w:rPr>
          <w:rFonts w:hint="eastAsia"/>
          <w:b/>
          <w:bCs/>
        </w:rPr>
        <w:t>对野生动物的影响分析</w:t>
      </w:r>
    </w:p>
    <w:p w:rsidR="00BD5820" w:rsidRDefault="00F64314">
      <w:pPr>
        <w:pStyle w:val="affa"/>
        <w:ind w:firstLine="480"/>
      </w:pPr>
      <w:bookmarkStart w:id="381" w:name="_Toc12288621"/>
      <w:r>
        <w:t>（</w:t>
      </w:r>
      <w:r>
        <w:t>1</w:t>
      </w:r>
      <w:r>
        <w:t>）对两栖爬行类动物的影响</w:t>
      </w:r>
    </w:p>
    <w:p w:rsidR="00BD5820" w:rsidRDefault="00F64314">
      <w:pPr>
        <w:pStyle w:val="affa"/>
        <w:ind w:firstLine="480"/>
      </w:pPr>
      <w:r>
        <w:t>两栖爬行动物一般在冬季冬眠，或经历一段休眠期，在物种的出现和行为方面表现出季节性。在冬季施工时，遇到两栖爬行动物的几率较小，对其直接造成的损害几乎没有，只要注意施工时减少对鱼塘等生境的破坏，就能降低对两栖爬</w:t>
      </w:r>
      <w:r>
        <w:lastRenderedPageBreak/>
        <w:t>行动物的影响范围。由于两栖爬行类在评价区范围内种类不多，分布数量较少，故管道工程施工对其影响较小。</w:t>
      </w:r>
    </w:p>
    <w:p w:rsidR="00BD5820" w:rsidRDefault="00F64314">
      <w:pPr>
        <w:pStyle w:val="affa"/>
        <w:ind w:firstLine="480"/>
      </w:pPr>
      <w:r>
        <w:t>（</w:t>
      </w:r>
      <w:r>
        <w:t>2</w:t>
      </w:r>
      <w:r>
        <w:t>）对鸟类动物的影响</w:t>
      </w:r>
    </w:p>
    <w:p w:rsidR="00BD5820" w:rsidRDefault="00F64314">
      <w:pPr>
        <w:pStyle w:val="affa"/>
        <w:ind w:firstLine="480"/>
      </w:pPr>
      <w:r>
        <w:rPr>
          <w:rFonts w:ascii="宋体" w:hAnsi="宋体" w:cs="宋体" w:hint="eastAsia"/>
        </w:rPr>
        <w:t>①</w:t>
      </w:r>
      <w:r>
        <w:t>在施工过程中，管线穿越林地时，施工场地将在林地中形成干扰走廊，影响到野生动物的迁移与觅食，施工的噪音影响野生动物的栖息，如在夜晚施工，灯光也会影响到鸟类的栖息，甚至影响到候鸟的迁移等；堆放的生活垃圾以及废弃物也对野生鸟类的生存产生影响。</w:t>
      </w:r>
    </w:p>
    <w:p w:rsidR="00BD5820" w:rsidRDefault="00F64314">
      <w:pPr>
        <w:pStyle w:val="affa"/>
        <w:ind w:firstLine="480"/>
      </w:pPr>
      <w:r>
        <w:rPr>
          <w:rFonts w:ascii="宋体" w:hAnsi="宋体" w:cs="宋体" w:hint="eastAsia"/>
        </w:rPr>
        <w:t>②</w:t>
      </w:r>
      <w:r>
        <w:t>工程施工时，施工人员对野生鸟类可能的捕杀会影响到鸟类的种类与数量，甚至会影响珍稀野生动物种类的存在。</w:t>
      </w:r>
    </w:p>
    <w:p w:rsidR="00BD5820" w:rsidRDefault="00F64314">
      <w:pPr>
        <w:pStyle w:val="affa"/>
        <w:ind w:firstLine="480"/>
      </w:pPr>
      <w:r>
        <w:rPr>
          <w:rFonts w:ascii="宋体" w:hAnsi="宋体" w:cs="宋体" w:hint="eastAsia"/>
        </w:rPr>
        <w:t>③</w:t>
      </w:r>
      <w:r>
        <w:t>施工期如处在野生鸟类的繁殖季节，则会影响到野生鸟类的生殖繁衍。但施工期一般只有</w:t>
      </w:r>
      <w:r>
        <w:t>2</w:t>
      </w:r>
      <w:r>
        <w:t>～</w:t>
      </w:r>
      <w:r>
        <w:t>4</w:t>
      </w:r>
      <w:r>
        <w:t>个月，只要加强管理，工程对鸟类的影响是可控的。</w:t>
      </w:r>
    </w:p>
    <w:p w:rsidR="00BD5820" w:rsidRDefault="00F64314">
      <w:pPr>
        <w:pStyle w:val="affa"/>
        <w:ind w:firstLine="480"/>
      </w:pPr>
      <w:r>
        <w:t>（</w:t>
      </w:r>
      <w:r>
        <w:t>3</w:t>
      </w:r>
      <w:r>
        <w:t>）对陆生脊椎动物的影响</w:t>
      </w:r>
    </w:p>
    <w:p w:rsidR="00BD5820" w:rsidRDefault="00F64314">
      <w:pPr>
        <w:pStyle w:val="affa"/>
        <w:ind w:firstLine="480"/>
      </w:pPr>
      <w:r>
        <w:rPr>
          <w:rFonts w:hint="eastAsia"/>
        </w:rPr>
        <w:t>本项目</w:t>
      </w:r>
      <w:r>
        <w:t>在管道施工期间由于车辆机具的运行及施工人员的活动等，会对管道所在地区的野生动物特别是第一类适应顶极群落的动物产生惊扰而使其躲避或暂时迁移。因此第一类适应顶级群落的动物可以避开施工干扰区，从而减小对其的影响。</w:t>
      </w:r>
    </w:p>
    <w:p w:rsidR="00BD5820" w:rsidRDefault="00F64314">
      <w:pPr>
        <w:pStyle w:val="affa"/>
        <w:ind w:firstLine="480"/>
      </w:pPr>
      <w:r>
        <w:t>施工地段的阻隔也可能使一些陆行动物暂时失去迁移行走的通道，但通过调查，未发现横穿管线的重要动物通道；同时，</w:t>
      </w:r>
      <w:r>
        <w:rPr>
          <w:rFonts w:hint="eastAsia"/>
        </w:rPr>
        <w:t>本项目</w:t>
      </w:r>
      <w:r>
        <w:t>施工是分段进行的，就某一段来讲，施工期一般只有</w:t>
      </w:r>
      <w:r>
        <w:t>1</w:t>
      </w:r>
      <w:r>
        <w:t>～</w:t>
      </w:r>
      <w:r>
        <w:t>3</w:t>
      </w:r>
      <w:r>
        <w:t>个月，施工完毕即可恢复正常，不会影响动物存活及种群数量；施工过程中，人为干扰如施工人员滥捕乱猎等现象的出现，将直接影响到这一地区的某些野生动物种群数量。这种影响可通过加强对施工人员的宣传教育和管理得到消除；施工活动将对动物的生境造成一定破坏，施工区域内自然植被的破坏，会使一些野生动物失去小量觅食地、栖息场所和活动区域，但由于工程建设区域的主要植被类型为农田、受人类活动干扰的林地，且施工带的面积占林地区域面积很小，所以生境破坏不会对动物的生存和繁殖造成明显影响；同时，工程影响是短期的，施工结束后将进行土地复垦和植被恢复，多数动物有重返原有生存环境的条件和可能。另一方面，由于在森林景观制造的这一施工廊道，在其植被恢复后产生的边缘效应，会导致廊道内生物多样性的增加，甚至会对野生动物的生存环境产生有利影响。</w:t>
      </w:r>
    </w:p>
    <w:p w:rsidR="00BD5820" w:rsidRDefault="00F64314">
      <w:pPr>
        <w:pStyle w:val="affa"/>
        <w:ind w:firstLine="480"/>
      </w:pPr>
      <w:r>
        <w:lastRenderedPageBreak/>
        <w:t>管道经过的林地区分布较多的有蹄动物是狍和野猪，管道施工期间可能对其造成影响，但它们可以通过短距离迁移适应生境变化，管道运营期对这两种动物基本没有影响。小型食肉兽狐、黄鼬也适应于多种交错生境，管道建成后对其没有影响。管道经过的南部平原区兽类物种组成更为简单，其中大型动物很少分布，小型食肉兽和啮齿类是兽类动物的主体。</w:t>
      </w:r>
    </w:p>
    <w:p w:rsidR="00BD5820" w:rsidRDefault="00F64314">
      <w:pPr>
        <w:pStyle w:val="affa"/>
        <w:ind w:firstLine="480"/>
      </w:pPr>
      <w:r>
        <w:t>总之，项目建设不会使管道沿线所经地区野生动物物种数发生变化，其种群数量也不会发生变化。</w:t>
      </w:r>
    </w:p>
    <w:p w:rsidR="00BD5820" w:rsidRDefault="00F64314">
      <w:pPr>
        <w:pStyle w:val="affa"/>
        <w:ind w:firstLine="480"/>
      </w:pPr>
      <w:r>
        <w:t>（</w:t>
      </w:r>
      <w:r>
        <w:t>4</w:t>
      </w:r>
      <w:r>
        <w:t>）对水生生物的影响</w:t>
      </w:r>
    </w:p>
    <w:p w:rsidR="00BD5820" w:rsidRDefault="00F64314">
      <w:pPr>
        <w:pStyle w:val="affa"/>
        <w:ind w:firstLine="480"/>
      </w:pPr>
      <w:r>
        <w:t>本项目不涉及对河流</w:t>
      </w:r>
      <w:r>
        <w:rPr>
          <w:rFonts w:hint="eastAsia"/>
        </w:rPr>
        <w:t>、</w:t>
      </w:r>
      <w:r>
        <w:t>沟渠、溪流的穿跨越。因此本项目施工对水生生物无影响。本次环评要求</w:t>
      </w:r>
      <w:r>
        <w:rPr>
          <w:spacing w:val="-8"/>
          <w:szCs w:val="21"/>
        </w:rPr>
        <w:t>施工期管线施工人员生活污水依托租用附近居民房收集处理</w:t>
      </w:r>
      <w:r>
        <w:rPr>
          <w:rFonts w:hint="eastAsia"/>
          <w:spacing w:val="-8"/>
          <w:szCs w:val="21"/>
        </w:rPr>
        <w:t>；站场</w:t>
      </w:r>
      <w:r>
        <w:rPr>
          <w:spacing w:val="-8"/>
          <w:szCs w:val="21"/>
        </w:rPr>
        <w:t>施工</w:t>
      </w:r>
      <w:r>
        <w:rPr>
          <w:rFonts w:hint="eastAsia"/>
          <w:spacing w:val="-8"/>
          <w:szCs w:val="21"/>
        </w:rPr>
        <w:t>入厕生活污水依托</w:t>
      </w:r>
      <w:r>
        <w:rPr>
          <w:spacing w:val="-8"/>
          <w:szCs w:val="21"/>
        </w:rPr>
        <w:t>经</w:t>
      </w:r>
      <w:r>
        <w:rPr>
          <w:bCs/>
          <w:spacing w:val="-8"/>
          <w:szCs w:val="21"/>
        </w:rPr>
        <w:t>生态环保厕所收集处理</w:t>
      </w:r>
      <w:r>
        <w:t>后，用作周边农肥，不外排</w:t>
      </w:r>
      <w:r>
        <w:rPr>
          <w:rFonts w:hint="eastAsia"/>
        </w:rPr>
        <w:t>；员工洗澡、食堂废水经单独收集后拉运至普光镇场镇污水处理厂处理。</w:t>
      </w:r>
      <w:r>
        <w:t>施工废水经处理后回用，固体废物及时清运、妥善处置，禁止将生活污水、施工废水、固体废物排入或倾倒至附近沟渠、溪流中，采取上述措施后，施工对水生生物产生的影响很小。</w:t>
      </w:r>
    </w:p>
    <w:bookmarkEnd w:id="381"/>
    <w:p w:rsidR="00BD5820" w:rsidRDefault="00F64314">
      <w:pPr>
        <w:pStyle w:val="affa"/>
        <w:ind w:firstLine="482"/>
        <w:rPr>
          <w:b/>
          <w:bCs/>
        </w:rPr>
      </w:pPr>
      <w:r>
        <w:rPr>
          <w:b/>
          <w:bCs/>
        </w:rPr>
        <w:t>5</w:t>
      </w:r>
      <w:r>
        <w:rPr>
          <w:b/>
          <w:bCs/>
        </w:rPr>
        <w:t>、土壤侵蚀和水土流失的影响</w:t>
      </w:r>
    </w:p>
    <w:p w:rsidR="00BD5820" w:rsidRDefault="00F64314">
      <w:pPr>
        <w:pStyle w:val="affa"/>
        <w:ind w:firstLine="480"/>
      </w:pPr>
      <w:r>
        <w:t>拟建管道工程水土流失主要发生在施工期。管沟开挖、施工便道的平整等建设将破坏原有相对稳定的地貌，使土壤结构疏松，作业区地表植被丧失，产生一定面积的裸露地面，诱发或加剧土壤侵蚀危害。</w:t>
      </w:r>
    </w:p>
    <w:p w:rsidR="00BD5820" w:rsidRDefault="00F64314">
      <w:pPr>
        <w:pStyle w:val="affa"/>
        <w:ind w:firstLine="480"/>
      </w:pPr>
      <w:r>
        <w:t>主要影响：</w:t>
      </w:r>
    </w:p>
    <w:p w:rsidR="00BD5820" w:rsidRDefault="00F64314">
      <w:pPr>
        <w:pStyle w:val="affa"/>
        <w:ind w:firstLine="480"/>
      </w:pPr>
      <w:r>
        <w:t>（</w:t>
      </w:r>
      <w:r>
        <w:t>1</w:t>
      </w:r>
      <w:r>
        <w:t>）原地表耕作层遭到破坏，土地肥力和生产力下降</w:t>
      </w:r>
    </w:p>
    <w:p w:rsidR="00BD5820" w:rsidRDefault="00F64314">
      <w:pPr>
        <w:pStyle w:val="affa"/>
        <w:ind w:firstLine="480"/>
      </w:pPr>
      <w:r>
        <w:t>工程建设施工与运行维护将占用和破坏部分旱地，对原地表土壤结构构成破坏，使土壤养分流失、土地生产力下降。</w:t>
      </w:r>
    </w:p>
    <w:p w:rsidR="00BD5820" w:rsidRDefault="00F64314">
      <w:pPr>
        <w:pStyle w:val="affa"/>
        <w:ind w:firstLine="480"/>
      </w:pPr>
      <w:r>
        <w:t>（</w:t>
      </w:r>
      <w:r>
        <w:t>2</w:t>
      </w:r>
      <w:r>
        <w:t>）危害工程安全：开挖回填形成的裸露坡地，如不采取护坡、护脚、拦挡等有效工程措施加以防护，将可能造成局部的崩塌和滑坡等现象，影响工程建筑物安全和整个项目的正常运行。</w:t>
      </w:r>
    </w:p>
    <w:p w:rsidR="00BD5820" w:rsidRDefault="00F64314">
      <w:pPr>
        <w:pStyle w:val="affa"/>
        <w:ind w:firstLine="480"/>
      </w:pPr>
      <w:r>
        <w:t>（</w:t>
      </w:r>
      <w:r>
        <w:t>3</w:t>
      </w:r>
      <w:r>
        <w:t>）损坏水土保持设施，破坏植被，加速了土壤侵蚀</w:t>
      </w:r>
    </w:p>
    <w:p w:rsidR="00BD5820" w:rsidRDefault="00F64314">
      <w:pPr>
        <w:pStyle w:val="affa"/>
        <w:ind w:firstLine="480"/>
      </w:pPr>
      <w:r>
        <w:rPr>
          <w:rFonts w:hint="eastAsia"/>
        </w:rPr>
        <w:t>本项目</w:t>
      </w:r>
      <w:r>
        <w:t>建设时不同程度的占压和扰动耕地、林草地，导致土壤结构改变，植被覆盖度降低，形成裸露面，降低了原地表的水土保持功能，加大该区生态环境</w:t>
      </w:r>
      <w:r>
        <w:lastRenderedPageBreak/>
        <w:t>人工修复的成本和难度。工程竣工后，原临时占用土地的植被遭到破坏，如果不及时采取措施，随着水土流失的发生，土壤中的肥力流失，进而导致土地贫瘠，加大绿化工作难度。</w:t>
      </w:r>
    </w:p>
    <w:p w:rsidR="00BD5820" w:rsidRDefault="00F64314">
      <w:pPr>
        <w:pStyle w:val="affa"/>
        <w:ind w:firstLine="480"/>
      </w:pPr>
      <w:r>
        <w:t>一般而言，施工期土壤侵蚀的影响待施工结束后基本消除；营运期地表复原后，只要严格实施相应的水土保持措施，不会造成新的土壤侵蚀。本项目分段进行建设，且遵循边开挖边回填的作业工序要求，每一管段施工周期相对较短。</w:t>
      </w:r>
      <w:r>
        <w:rPr>
          <w:rFonts w:hint="eastAsia"/>
        </w:rPr>
        <w:t>本项目</w:t>
      </w:r>
      <w:r>
        <w:t>水土流失时段划分为施工期和运行期，其中管道建设水土流失主要集中在施工期。鉴于沿线工程占地多为旱地和水田，施工结束后临时性工程占用的旱地和水田地段即可恢复耕种，营运期对地表植被影响不大。因此，本次评价水土流失预测时段按不同施工项目扰动持续时间各异，管沟开挖、施工便道平整拟定为约</w:t>
      </w:r>
      <w:r>
        <w:t>2</w:t>
      </w:r>
      <w:r>
        <w:t>个月。</w:t>
      </w:r>
    </w:p>
    <w:p w:rsidR="00BD5820" w:rsidRDefault="00F64314">
      <w:pPr>
        <w:pStyle w:val="affa"/>
        <w:ind w:firstLine="480"/>
      </w:pPr>
      <w:r>
        <w:t>综上，水土流失量主要发生在沿线工程扰动区内，对局部地区而言，新增土壤侵蚀量不大。</w:t>
      </w:r>
    </w:p>
    <w:p w:rsidR="00BD5820" w:rsidRDefault="00F64314">
      <w:pPr>
        <w:pStyle w:val="affa"/>
        <w:ind w:firstLine="482"/>
        <w:rPr>
          <w:b/>
        </w:rPr>
      </w:pPr>
      <w:r>
        <w:rPr>
          <w:b/>
        </w:rPr>
        <w:t>6</w:t>
      </w:r>
      <w:r>
        <w:rPr>
          <w:b/>
        </w:rPr>
        <w:t>、施工期主要生态环境影响分析</w:t>
      </w:r>
    </w:p>
    <w:p w:rsidR="00BD5820" w:rsidRDefault="00F64314">
      <w:pPr>
        <w:pStyle w:val="affa"/>
        <w:ind w:firstLine="480"/>
      </w:pPr>
      <w:r>
        <w:t>本项目的建设将改变项目地区部分土地的利用性质；造成生物量的减少；管道施工开挖土方引起土壤结构、土壤紧实度、土壤养分变化；同时，防腐材料和施工废弃物也会对土壤的理化性质产生影响；管线评价范围内无珍稀野生动物分布，也没有涉及野生动物的通道、栖息地等敏感场所；工程建成后不会对整个评价区的生态完整性产生影响，生物多样性的影响也很小，属可接受范围；工程的建设不会造成物种缺失，不会影响生物迁徒和物质能量流，也无须预留通道；该项目涉及的生态系统的结构和功能没有受到影响，在干扰之后可以较好的恢复，没有显著的生态问题。</w:t>
      </w:r>
    </w:p>
    <w:p w:rsidR="00BD5820" w:rsidRDefault="00F64314">
      <w:pPr>
        <w:pStyle w:val="3"/>
        <w:rPr>
          <w:rFonts w:eastAsia="宋体"/>
        </w:rPr>
      </w:pPr>
      <w:bookmarkStart w:id="382" w:name="_Toc12288642"/>
      <w:bookmarkStart w:id="383" w:name="_Toc19816049"/>
      <w:bookmarkEnd w:id="379"/>
      <w:bookmarkEnd w:id="380"/>
      <w:r>
        <w:rPr>
          <w:rFonts w:eastAsia="宋体"/>
        </w:rPr>
        <w:t xml:space="preserve">6.1.2 </w:t>
      </w:r>
      <w:r>
        <w:rPr>
          <w:rFonts w:eastAsia="宋体"/>
        </w:rPr>
        <w:t>施工期地表水影响分析</w:t>
      </w:r>
      <w:bookmarkEnd w:id="382"/>
      <w:bookmarkEnd w:id="383"/>
    </w:p>
    <w:p w:rsidR="00BD5820" w:rsidRDefault="00F64314">
      <w:pPr>
        <w:pStyle w:val="a1"/>
        <w:ind w:firstLine="482"/>
        <w:rPr>
          <w:rFonts w:ascii="Times New Roman" w:cs="Times New Roman"/>
          <w:b/>
        </w:rPr>
      </w:pPr>
      <w:bookmarkStart w:id="384" w:name="_Toc12288643"/>
      <w:r>
        <w:rPr>
          <w:rFonts w:ascii="Times New Roman" w:cs="Times New Roman" w:hint="eastAsia"/>
          <w:b/>
        </w:rPr>
        <w:t>1</w:t>
      </w:r>
      <w:r>
        <w:rPr>
          <w:rFonts w:ascii="Times New Roman" w:cs="Times New Roman" w:hint="eastAsia"/>
          <w:b/>
        </w:rPr>
        <w:t>、</w:t>
      </w:r>
      <w:r>
        <w:rPr>
          <w:rFonts w:ascii="Times New Roman" w:cs="Times New Roman"/>
          <w:b/>
        </w:rPr>
        <w:t>施工方式对地表水的影响分析</w:t>
      </w:r>
      <w:bookmarkEnd w:id="384"/>
    </w:p>
    <w:p w:rsidR="00BD5820" w:rsidRDefault="00F64314">
      <w:pPr>
        <w:pStyle w:val="a1"/>
        <w:ind w:firstLine="480"/>
        <w:rPr>
          <w:rFonts w:ascii="Times New Roman" w:cs="Times New Roman"/>
        </w:rPr>
      </w:pPr>
      <w:r>
        <w:rPr>
          <w:rFonts w:ascii="Times New Roman" w:cs="Times New Roman"/>
        </w:rPr>
        <w:t>管道施工期废水主要来自施工人员在施工作业中产生的生活污水、管道安装完后清管试压排放的废水</w:t>
      </w:r>
      <w:r>
        <w:rPr>
          <w:rFonts w:hint="eastAsia"/>
        </w:rPr>
        <w:t>、站场施工废水</w:t>
      </w:r>
      <w:r>
        <w:rPr>
          <w:rFonts w:ascii="Times New Roman" w:cs="Times New Roman"/>
        </w:rPr>
        <w:t>。</w:t>
      </w:r>
    </w:p>
    <w:p w:rsidR="00BD5820" w:rsidRDefault="00F64314">
      <w:pPr>
        <w:pStyle w:val="affa"/>
        <w:ind w:firstLine="480"/>
      </w:pPr>
      <w:bookmarkStart w:id="385" w:name="_Hlk53087303"/>
      <w:r>
        <w:t>根据以往施工经验，施工是分段分期进行，具有较大的分散性，局部排放量很小，</w:t>
      </w:r>
      <w:r>
        <w:rPr>
          <w:spacing w:val="-8"/>
          <w:szCs w:val="21"/>
        </w:rPr>
        <w:t>施工期管线施工人员生活污水依托租用附近居民房收集处理</w:t>
      </w:r>
      <w:r>
        <w:rPr>
          <w:rFonts w:hint="eastAsia"/>
          <w:spacing w:val="-8"/>
          <w:szCs w:val="21"/>
        </w:rPr>
        <w:t>；站场</w:t>
      </w:r>
      <w:r>
        <w:rPr>
          <w:spacing w:val="-8"/>
          <w:szCs w:val="21"/>
        </w:rPr>
        <w:t>施工</w:t>
      </w:r>
      <w:r>
        <w:rPr>
          <w:rFonts w:hint="eastAsia"/>
          <w:spacing w:val="-8"/>
          <w:szCs w:val="21"/>
        </w:rPr>
        <w:t>入厕生活污水依托</w:t>
      </w:r>
      <w:r>
        <w:rPr>
          <w:spacing w:val="-8"/>
          <w:szCs w:val="21"/>
        </w:rPr>
        <w:t>经</w:t>
      </w:r>
      <w:r>
        <w:rPr>
          <w:bCs/>
          <w:spacing w:val="-8"/>
          <w:szCs w:val="21"/>
        </w:rPr>
        <w:t>生态环保厕所收集处理</w:t>
      </w:r>
      <w:r>
        <w:t>后，用作周边农肥，不外排</w:t>
      </w:r>
      <w:r>
        <w:rPr>
          <w:rFonts w:hint="eastAsia"/>
        </w:rPr>
        <w:t>；员工洗澡、食堂</w:t>
      </w:r>
      <w:r>
        <w:rPr>
          <w:rFonts w:hint="eastAsia"/>
        </w:rPr>
        <w:lastRenderedPageBreak/>
        <w:t>废水经单独收集后拉运至普光镇场镇污水处理厂处理。</w:t>
      </w:r>
      <w:r>
        <w:t>因此，只要控制不让生活污水进入河道，一般不会造成水体污染。</w:t>
      </w:r>
    </w:p>
    <w:p w:rsidR="00BD5820" w:rsidRDefault="00F64314">
      <w:pPr>
        <w:pStyle w:val="affa"/>
        <w:ind w:firstLine="480"/>
        <w:rPr>
          <w:szCs w:val="24"/>
        </w:rPr>
      </w:pPr>
      <w:r>
        <w:t>管道施工期生产废水主要来自管道安装完后试压排放的废水。</w:t>
      </w:r>
      <w:r>
        <w:rPr>
          <w:rFonts w:hint="eastAsia"/>
          <w:szCs w:val="24"/>
        </w:rPr>
        <w:t>由于本项目管线清管、试压时采用的介质为洁净水，产生的试压废水主要含有泥沙、机械等杂质，类比同类项目，试压废水主要污染物为</w:t>
      </w:r>
      <w:r>
        <w:rPr>
          <w:szCs w:val="24"/>
        </w:rPr>
        <w:t>SS</w:t>
      </w:r>
      <w:r>
        <w:rPr>
          <w:rFonts w:hint="eastAsia"/>
          <w:szCs w:val="24"/>
        </w:rPr>
        <w:t>，不含有毒有害物质，属于清净下水，试压废水经沉淀后回用做绿化用水，不外排。</w:t>
      </w:r>
    </w:p>
    <w:p w:rsidR="00BD5820" w:rsidRDefault="00F64314">
      <w:pPr>
        <w:pStyle w:val="a1"/>
        <w:ind w:firstLine="482"/>
        <w:rPr>
          <w:rFonts w:ascii="Times New Roman" w:cs="Times New Roman"/>
          <w:b/>
        </w:rPr>
      </w:pPr>
      <w:bookmarkStart w:id="386" w:name="_Toc12288646"/>
      <w:r>
        <w:rPr>
          <w:rFonts w:ascii="Times New Roman" w:cs="Times New Roman" w:hint="eastAsia"/>
          <w:b/>
        </w:rPr>
        <w:t>2</w:t>
      </w:r>
      <w:r>
        <w:rPr>
          <w:rFonts w:ascii="Times New Roman" w:cs="Times New Roman" w:hint="eastAsia"/>
          <w:b/>
        </w:rPr>
        <w:t>、</w:t>
      </w:r>
      <w:r>
        <w:rPr>
          <w:rFonts w:ascii="Times New Roman" w:cs="Times New Roman"/>
          <w:b/>
        </w:rPr>
        <w:t>施工期其它因素对地表水环境影响分析</w:t>
      </w:r>
      <w:bookmarkEnd w:id="386"/>
    </w:p>
    <w:p w:rsidR="00BD5820" w:rsidRDefault="00F64314">
      <w:pPr>
        <w:pStyle w:val="a1"/>
        <w:ind w:firstLine="480"/>
        <w:rPr>
          <w:rFonts w:ascii="Times New Roman" w:cs="Times New Roman"/>
        </w:rPr>
      </w:pPr>
      <w:r>
        <w:rPr>
          <w:rFonts w:ascii="Times New Roman" w:cs="Times New Roman" w:hint="eastAsia"/>
        </w:rPr>
        <w:t>（</w:t>
      </w:r>
      <w:r>
        <w:rPr>
          <w:rFonts w:ascii="Times New Roman" w:cs="Times New Roman" w:hint="eastAsia"/>
        </w:rPr>
        <w:t>1</w:t>
      </w:r>
      <w:r>
        <w:rPr>
          <w:rFonts w:ascii="Times New Roman" w:cs="Times New Roman" w:hint="eastAsia"/>
        </w:rPr>
        <w:t>）</w:t>
      </w:r>
      <w:r>
        <w:rPr>
          <w:rFonts w:ascii="Times New Roman" w:cs="Times New Roman"/>
        </w:rPr>
        <w:t>管道开挖过程中，挖出的土石如未能及时回填，遇雨水冲刷进入附近水体，影响水域水质。</w:t>
      </w:r>
    </w:p>
    <w:p w:rsidR="00BD5820" w:rsidRDefault="00F64314">
      <w:pPr>
        <w:pStyle w:val="a1"/>
        <w:ind w:firstLine="480"/>
        <w:rPr>
          <w:rFonts w:ascii="Times New Roman" w:cs="Times New Roman"/>
        </w:rPr>
      </w:pPr>
      <w:r>
        <w:rPr>
          <w:rFonts w:ascii="Times New Roman" w:cs="Times New Roman" w:hint="eastAsia"/>
        </w:rPr>
        <w:t>（</w:t>
      </w:r>
      <w:r>
        <w:rPr>
          <w:rFonts w:ascii="Times New Roman" w:cs="Times New Roman" w:hint="eastAsia"/>
        </w:rPr>
        <w:t>2</w:t>
      </w:r>
      <w:r>
        <w:rPr>
          <w:rFonts w:ascii="Times New Roman" w:cs="Times New Roman" w:hint="eastAsia"/>
        </w:rPr>
        <w:t>）</w:t>
      </w:r>
      <w:r>
        <w:rPr>
          <w:rFonts w:ascii="Times New Roman" w:cs="Times New Roman"/>
        </w:rPr>
        <w:t>施工物料如堆放管理不严，受雨水冲刷进入附近水体，对水域造成影响。</w:t>
      </w:r>
    </w:p>
    <w:p w:rsidR="00BD5820" w:rsidRDefault="00F64314">
      <w:pPr>
        <w:pStyle w:val="a1"/>
        <w:ind w:firstLine="480"/>
        <w:rPr>
          <w:rFonts w:ascii="Times New Roman" w:cs="Times New Roman"/>
        </w:rPr>
      </w:pPr>
      <w:r>
        <w:rPr>
          <w:rFonts w:ascii="Times New Roman" w:cs="Times New Roman" w:hint="eastAsia"/>
        </w:rPr>
        <w:t>（</w:t>
      </w:r>
      <w:r>
        <w:rPr>
          <w:rFonts w:ascii="Times New Roman" w:cs="Times New Roman" w:hint="eastAsia"/>
        </w:rPr>
        <w:t>3</w:t>
      </w:r>
      <w:r>
        <w:rPr>
          <w:rFonts w:ascii="Times New Roman" w:cs="Times New Roman" w:hint="eastAsia"/>
        </w:rPr>
        <w:t>）</w:t>
      </w:r>
      <w:r>
        <w:rPr>
          <w:rFonts w:ascii="Times New Roman" w:cs="Times New Roman"/>
        </w:rPr>
        <w:t>施工弃渣和施工人员的生活垃圾如不妥善处理，随意堆放，受雨水冲刷进入附近水体，将对其水质造成影响。</w:t>
      </w:r>
    </w:p>
    <w:p w:rsidR="00BD5820" w:rsidRDefault="00F64314">
      <w:pPr>
        <w:pStyle w:val="a1"/>
        <w:ind w:firstLine="482"/>
        <w:rPr>
          <w:rFonts w:ascii="Times New Roman" w:cs="Times New Roman"/>
          <w:b/>
        </w:rPr>
      </w:pPr>
      <w:bookmarkStart w:id="387" w:name="_Toc12288647"/>
      <w:r>
        <w:rPr>
          <w:rFonts w:ascii="Times New Roman" w:cs="Times New Roman" w:hint="eastAsia"/>
          <w:b/>
        </w:rPr>
        <w:t>3</w:t>
      </w:r>
      <w:r>
        <w:rPr>
          <w:rFonts w:ascii="Times New Roman" w:cs="Times New Roman" w:hint="eastAsia"/>
          <w:b/>
        </w:rPr>
        <w:t>、施工期地表水环境影响分析</w:t>
      </w:r>
      <w:r>
        <w:rPr>
          <w:rFonts w:ascii="Times New Roman" w:cs="Times New Roman"/>
          <w:b/>
        </w:rPr>
        <w:t>小结</w:t>
      </w:r>
      <w:bookmarkEnd w:id="387"/>
    </w:p>
    <w:p w:rsidR="00BD5820" w:rsidRDefault="00F64314">
      <w:pPr>
        <w:pStyle w:val="a1"/>
        <w:ind w:firstLine="480"/>
        <w:rPr>
          <w:rFonts w:ascii="Times New Roman" w:cs="Times New Roman"/>
        </w:rPr>
      </w:pPr>
      <w:r>
        <w:rPr>
          <w:rFonts w:ascii="Times New Roman" w:cs="Times New Roman"/>
        </w:rPr>
        <w:t>通过以上分析，通过对施工弃土、施工人员生活垃圾妥善处置；对施工材料堆放严格管理，及时填埋开挖土石。</w:t>
      </w:r>
    </w:p>
    <w:p w:rsidR="00BD5820" w:rsidRDefault="00F64314">
      <w:pPr>
        <w:pStyle w:val="a1"/>
        <w:ind w:firstLine="480"/>
        <w:rPr>
          <w:rFonts w:ascii="Times New Roman" w:cs="Times New Roman"/>
        </w:rPr>
      </w:pPr>
      <w:r>
        <w:rPr>
          <w:rFonts w:ascii="Times New Roman" w:cs="Times New Roman"/>
        </w:rPr>
        <w:t>由地表水环境质量现状调查与评价可知，</w:t>
      </w:r>
      <w:r>
        <w:rPr>
          <w:rFonts w:ascii="Times New Roman" w:cs="Times New Roman" w:hint="eastAsia"/>
        </w:rPr>
        <w:t>项目所在地地表</w:t>
      </w:r>
      <w:r>
        <w:rPr>
          <w:rFonts w:ascii="Times New Roman" w:cs="Times New Roman"/>
        </w:rPr>
        <w:t>水环境质量现状较好，如加强施工期间的环境管理，因此，</w:t>
      </w:r>
      <w:r>
        <w:rPr>
          <w:rFonts w:ascii="Times New Roman" w:cs="Times New Roman" w:hint="eastAsia"/>
        </w:rPr>
        <w:t>施工期</w:t>
      </w:r>
      <w:r>
        <w:rPr>
          <w:rFonts w:ascii="Times New Roman" w:cs="Times New Roman"/>
        </w:rPr>
        <w:t>对地表水产生的影响较小。</w:t>
      </w:r>
    </w:p>
    <w:p w:rsidR="00BD5820" w:rsidRDefault="00F64314">
      <w:pPr>
        <w:pStyle w:val="3"/>
        <w:rPr>
          <w:rFonts w:eastAsia="宋体"/>
        </w:rPr>
      </w:pPr>
      <w:bookmarkStart w:id="388" w:name="bookmark42"/>
      <w:bookmarkStart w:id="389" w:name="_Toc19816053"/>
      <w:bookmarkStart w:id="390" w:name="_Toc12288651"/>
      <w:bookmarkStart w:id="391" w:name="_Hlk53087353"/>
      <w:bookmarkEnd w:id="385"/>
      <w:bookmarkEnd w:id="388"/>
      <w:r>
        <w:rPr>
          <w:rFonts w:eastAsia="宋体"/>
        </w:rPr>
        <w:t xml:space="preserve">6.1.3 </w:t>
      </w:r>
      <w:r>
        <w:rPr>
          <w:rFonts w:eastAsia="宋体"/>
        </w:rPr>
        <w:t>施工期地下水环境影响分析</w:t>
      </w:r>
      <w:bookmarkEnd w:id="389"/>
      <w:bookmarkEnd w:id="390"/>
    </w:p>
    <w:p w:rsidR="00BD5820" w:rsidRDefault="00F64314">
      <w:pPr>
        <w:pStyle w:val="a1"/>
        <w:ind w:firstLine="480"/>
        <w:rPr>
          <w:rFonts w:ascii="Times New Roman" w:cs="Times New Roman"/>
        </w:rPr>
      </w:pPr>
      <w:r>
        <w:rPr>
          <w:rFonts w:ascii="Times New Roman" w:cs="Times New Roman" w:hint="eastAsia"/>
        </w:rPr>
        <w:t>（</w:t>
      </w:r>
      <w:r>
        <w:rPr>
          <w:rFonts w:ascii="Times New Roman" w:cs="Times New Roman" w:hint="eastAsia"/>
        </w:rPr>
        <w:t>1</w:t>
      </w:r>
      <w:r>
        <w:rPr>
          <w:rFonts w:ascii="Times New Roman" w:cs="Times New Roman" w:hint="eastAsia"/>
        </w:rPr>
        <w:t>）管道施工对地下水影响</w:t>
      </w:r>
    </w:p>
    <w:p w:rsidR="00BD5820" w:rsidRDefault="00F64314">
      <w:pPr>
        <w:pStyle w:val="a1"/>
        <w:ind w:firstLine="480"/>
        <w:rPr>
          <w:rFonts w:ascii="Times New Roman" w:cs="Times New Roman"/>
        </w:rPr>
      </w:pPr>
      <w:r>
        <w:rPr>
          <w:rFonts w:ascii="Times New Roman" w:cs="Times New Roman"/>
        </w:rPr>
        <w:t>本项目的管道敷设埋深一般在</w:t>
      </w:r>
      <w:r>
        <w:rPr>
          <w:rFonts w:ascii="Times New Roman" w:cs="Times New Roman"/>
        </w:rPr>
        <w:t>1.5m</w:t>
      </w:r>
      <w:r>
        <w:rPr>
          <w:rFonts w:ascii="Times New Roman" w:cs="Times New Roman"/>
        </w:rPr>
        <w:t>以内，在施工过程中的辅料、废料等在降水的淋滤作用下产生的浸出液进入地下含水层，将对地下水造成不同程度的影响，其影响程度决定于下渗量及其饱和地带的厚度、岩性和对污染物的阻滞、吸附分解等自然净化能力。由管道通过地区沿线的表层土来看，均有一定的自然净化能力，对地下水的影响很小。施工过程中不设营地，均依托民居与招待所，生活污水、生活垃圾利用现有设施进行处理处置，对地下水的影响很小。因此，正常的管线埋设对地下水造成影响的很小。</w:t>
      </w:r>
    </w:p>
    <w:p w:rsidR="00BD5820" w:rsidRDefault="00F64314">
      <w:pPr>
        <w:snapToGrid w:val="0"/>
        <w:ind w:firstLine="480"/>
        <w:rPr>
          <w:rFonts w:ascii="Times New Roman" w:cs="Times New Roman"/>
        </w:rPr>
      </w:pPr>
      <w:r>
        <w:rPr>
          <w:rFonts w:ascii="Times New Roman" w:cs="Times New Roman"/>
        </w:rPr>
        <w:t>（</w:t>
      </w:r>
      <w:r>
        <w:rPr>
          <w:rFonts w:ascii="Times New Roman" w:cs="Times New Roman" w:hint="eastAsia"/>
        </w:rPr>
        <w:t>6</w:t>
      </w:r>
      <w:r>
        <w:rPr>
          <w:rFonts w:ascii="Times New Roman" w:cs="Times New Roman"/>
        </w:rPr>
        <w:t>）地下水污染防治措施</w:t>
      </w:r>
    </w:p>
    <w:p w:rsidR="00BD5820" w:rsidRDefault="00F64314">
      <w:pPr>
        <w:pStyle w:val="SSEC20150323"/>
        <w:spacing w:line="360" w:lineRule="auto"/>
        <w:ind w:firstLine="480"/>
        <w:rPr>
          <w:rFonts w:ascii="Times New Roman" w:hAnsi="Times New Roman"/>
        </w:rPr>
      </w:pPr>
      <w:r>
        <w:rPr>
          <w:rFonts w:ascii="Times New Roman"/>
        </w:rPr>
        <w:t>本项目采取的地下水污染防治措施包括源头控制措施、分区防渗控制措施、实时监控措施、地下水污染监控措施和地下水污染治理措施。</w:t>
      </w:r>
    </w:p>
    <w:p w:rsidR="00BD5820" w:rsidRDefault="00F64314">
      <w:pPr>
        <w:pStyle w:val="SSEC30"/>
        <w:spacing w:line="360" w:lineRule="auto"/>
        <w:ind w:firstLine="480"/>
        <w:rPr>
          <w:rFonts w:ascii="Times New Roman" w:hAnsi="Times New Roman"/>
        </w:rPr>
      </w:pPr>
      <w:r>
        <w:rPr>
          <w:rFonts w:ascii="Times New Roman" w:hAnsi="Times New Roman"/>
        </w:rPr>
        <w:t>1</w:t>
      </w:r>
      <w:r>
        <w:rPr>
          <w:rFonts w:ascii="Times New Roman"/>
        </w:rPr>
        <w:t>）源头控制措施</w:t>
      </w:r>
    </w:p>
    <w:p w:rsidR="00BD5820" w:rsidRDefault="00F64314">
      <w:pPr>
        <w:pStyle w:val="SSEC41"/>
        <w:spacing w:line="360" w:lineRule="auto"/>
        <w:ind w:firstLine="480"/>
        <w:rPr>
          <w:rFonts w:ascii="Times New Roman" w:hAnsi="Times New Roman"/>
        </w:rPr>
      </w:pPr>
      <w:r>
        <w:rPr>
          <w:rFonts w:ascii="Times New Roman" w:hAnsi="Times New Roman"/>
        </w:rPr>
        <w:lastRenderedPageBreak/>
        <w:t>加强油料的管理和控制，特别应加强和完善废油的控制措施。</w:t>
      </w:r>
    </w:p>
    <w:p w:rsidR="00BD5820" w:rsidRDefault="00F64314">
      <w:pPr>
        <w:pStyle w:val="SSEC30"/>
        <w:spacing w:line="360" w:lineRule="auto"/>
        <w:ind w:firstLine="480"/>
        <w:rPr>
          <w:rFonts w:ascii="Times New Roman" w:hAnsi="Times New Roman"/>
        </w:rPr>
      </w:pPr>
      <w:r>
        <w:rPr>
          <w:rFonts w:ascii="Times New Roman" w:hAnsi="Times New Roman"/>
        </w:rPr>
        <w:t>2</w:t>
      </w:r>
      <w:r>
        <w:rPr>
          <w:rFonts w:ascii="Times New Roman" w:hAnsi="Times New Roman"/>
        </w:rPr>
        <w:t>）分区防渗控制措施</w:t>
      </w:r>
    </w:p>
    <w:p w:rsidR="00BD5820" w:rsidRDefault="00F64314">
      <w:pPr>
        <w:pStyle w:val="SSEC20150323"/>
        <w:spacing w:line="360" w:lineRule="auto"/>
        <w:ind w:firstLine="480"/>
        <w:rPr>
          <w:rFonts w:ascii="Times New Roman" w:hAnsi="Times New Roman"/>
        </w:rPr>
      </w:pPr>
      <w:r>
        <w:rPr>
          <w:rFonts w:ascii="Times New Roman" w:hAnsi="Times New Roman"/>
        </w:rPr>
        <w:t>参照《危险废物贮存污染控制标准》（</w:t>
      </w:r>
      <w:r>
        <w:rPr>
          <w:rFonts w:ascii="Times New Roman" w:hAnsi="Times New Roman"/>
        </w:rPr>
        <w:t>GB 18597-20</w:t>
      </w:r>
      <w:r>
        <w:rPr>
          <w:rFonts w:ascii="Times New Roman" w:hAnsi="Times New Roman" w:hint="eastAsia"/>
        </w:rPr>
        <w:t>23</w:t>
      </w:r>
      <w:r>
        <w:rPr>
          <w:rFonts w:ascii="Times New Roman" w:hAnsi="Times New Roman"/>
        </w:rPr>
        <w:t>）制定防渗措施，一般污染防治区防渗层的防渗性能不应低于</w:t>
      </w:r>
      <w:r>
        <w:rPr>
          <w:rFonts w:ascii="Times New Roman" w:hAnsi="Times New Roman"/>
        </w:rPr>
        <w:t>1.5m</w:t>
      </w:r>
      <w:r>
        <w:rPr>
          <w:rFonts w:ascii="Times New Roman" w:hAnsi="Times New Roman"/>
        </w:rPr>
        <w:t>厚渗透系数为</w:t>
      </w:r>
      <w:r>
        <w:rPr>
          <w:rFonts w:ascii="Times New Roman" w:hAnsi="Times New Roman"/>
        </w:rPr>
        <w:t>1.0×10</w:t>
      </w:r>
      <w:r>
        <w:rPr>
          <w:rFonts w:ascii="Times New Roman" w:hAnsi="Times New Roman"/>
          <w:vertAlign w:val="superscript"/>
        </w:rPr>
        <w:t>-7</w:t>
      </w:r>
      <w:r>
        <w:rPr>
          <w:rFonts w:ascii="Times New Roman" w:hAnsi="Times New Roman"/>
        </w:rPr>
        <w:t>cm/s</w:t>
      </w:r>
      <w:r>
        <w:rPr>
          <w:rFonts w:ascii="Times New Roman" w:hAnsi="Times New Roman"/>
        </w:rPr>
        <w:t>的黏土层的防渗性能，重点污染防治区防渗层的防渗性能不应低于</w:t>
      </w:r>
      <w:r>
        <w:rPr>
          <w:rFonts w:ascii="Times New Roman" w:hAnsi="Times New Roman"/>
        </w:rPr>
        <w:t>6.0m</w:t>
      </w:r>
      <w:r>
        <w:rPr>
          <w:rFonts w:ascii="Times New Roman" w:hAnsi="Times New Roman"/>
        </w:rPr>
        <w:t>厚渗透系数为</w:t>
      </w:r>
      <w:r>
        <w:rPr>
          <w:rFonts w:ascii="Times New Roman" w:hAnsi="Times New Roman"/>
        </w:rPr>
        <w:t>1.0×10</w:t>
      </w:r>
      <w:r>
        <w:rPr>
          <w:rFonts w:ascii="Times New Roman" w:hAnsi="Times New Roman"/>
          <w:vertAlign w:val="superscript"/>
        </w:rPr>
        <w:t>-7</w:t>
      </w:r>
      <w:r>
        <w:rPr>
          <w:rFonts w:ascii="Times New Roman" w:hAnsi="Times New Roman"/>
        </w:rPr>
        <w:t>cm/s</w:t>
      </w:r>
      <w:r>
        <w:rPr>
          <w:rFonts w:ascii="Times New Roman" w:hAnsi="Times New Roman"/>
        </w:rPr>
        <w:t>的黏土层的防渗性能。</w:t>
      </w:r>
    </w:p>
    <w:p w:rsidR="00BD5820" w:rsidRDefault="00F64314">
      <w:pPr>
        <w:pStyle w:val="SSEC41"/>
        <w:spacing w:line="360" w:lineRule="auto"/>
        <w:ind w:firstLine="480"/>
        <w:rPr>
          <w:rFonts w:ascii="Times New Roman"/>
        </w:rPr>
      </w:pPr>
      <w:r>
        <w:rPr>
          <w:rFonts w:ascii="Times New Roman" w:hAnsi="Times New Roman"/>
        </w:rPr>
        <w:t>污染防治分区：</w:t>
      </w:r>
      <w:r>
        <w:rPr>
          <w:rFonts w:ascii="Times New Roman"/>
        </w:rPr>
        <w:t>根据</w:t>
      </w:r>
      <w:r>
        <w:rPr>
          <w:rFonts w:ascii="Times New Roman" w:hint="eastAsia"/>
        </w:rPr>
        <w:t>站场</w:t>
      </w:r>
      <w:r>
        <w:rPr>
          <w:rFonts w:ascii="Times New Roman"/>
        </w:rPr>
        <w:t>的平面布置，按照通过各种途径可能进入地下水环境的各种有毒有害物质的泄漏（含跑、冒、滴、漏）量及其他各类污染物的性质、产生和排放量，将</w:t>
      </w:r>
      <w:r>
        <w:rPr>
          <w:rFonts w:ascii="Times New Roman" w:hint="eastAsia"/>
        </w:rPr>
        <w:t>站场</w:t>
      </w:r>
      <w:r>
        <w:rPr>
          <w:rFonts w:ascii="Times New Roman"/>
        </w:rPr>
        <w:t>划分为污染防治区和非污染防治区，污染防治区包括重点污染防治区和一般污染防治区，污染防治区分区情况详见表</w:t>
      </w:r>
      <w:r>
        <w:rPr>
          <w:rFonts w:ascii="Times New Roman" w:hAnsi="Times New Roman" w:hint="eastAsia"/>
        </w:rPr>
        <w:t>6.1</w:t>
      </w:r>
      <w:r>
        <w:rPr>
          <w:rFonts w:ascii="Times New Roman" w:hAnsi="Times New Roman"/>
        </w:rPr>
        <w:t>-</w:t>
      </w:r>
      <w:r>
        <w:rPr>
          <w:rFonts w:ascii="Times New Roman" w:hAnsi="Times New Roman" w:hint="eastAsia"/>
        </w:rPr>
        <w:t>1</w:t>
      </w:r>
      <w:r>
        <w:rPr>
          <w:rFonts w:ascii="Times New Roman"/>
        </w:rPr>
        <w:t>。</w:t>
      </w:r>
    </w:p>
    <w:p w:rsidR="00BD5820" w:rsidRDefault="00F64314" w:rsidP="00511129">
      <w:pPr>
        <w:topLinePunct w:val="0"/>
        <w:snapToGrid w:val="0"/>
        <w:spacing w:beforeLines="50"/>
        <w:ind w:firstLineChars="0" w:firstLine="480"/>
        <w:jc w:val="center"/>
        <w:rPr>
          <w:rFonts w:hAnsi="Cambria" w:cs="Times New Roman"/>
          <w:b/>
          <w:kern w:val="2"/>
          <w:sz w:val="21"/>
          <w:szCs w:val="20"/>
        </w:rPr>
      </w:pPr>
      <w:bookmarkStart w:id="392" w:name="_Ref502860035"/>
      <w:r>
        <w:rPr>
          <w:rFonts w:ascii="Times New Roman" w:cs="Times New Roman"/>
          <w:b/>
          <w:kern w:val="2"/>
          <w:sz w:val="21"/>
          <w:szCs w:val="20"/>
        </w:rPr>
        <w:t>表</w:t>
      </w:r>
      <w:r>
        <w:rPr>
          <w:rFonts w:ascii="Times New Roman" w:cs="Times New Roman"/>
          <w:b/>
          <w:kern w:val="2"/>
          <w:sz w:val="21"/>
          <w:szCs w:val="20"/>
        </w:rPr>
        <w:t xml:space="preserve"> </w:t>
      </w:r>
      <w:bookmarkEnd w:id="392"/>
      <w:r>
        <w:rPr>
          <w:rFonts w:ascii="Times New Roman" w:cs="Times New Roman" w:hint="eastAsia"/>
          <w:b/>
          <w:kern w:val="2"/>
          <w:sz w:val="21"/>
          <w:szCs w:val="20"/>
        </w:rPr>
        <w:t>6.1</w:t>
      </w:r>
      <w:r>
        <w:rPr>
          <w:rFonts w:ascii="Times New Roman" w:cs="Times New Roman"/>
          <w:b/>
          <w:kern w:val="2"/>
          <w:sz w:val="21"/>
          <w:szCs w:val="20"/>
        </w:rPr>
        <w:t>-</w:t>
      </w:r>
      <w:r>
        <w:rPr>
          <w:rFonts w:ascii="Times New Roman" w:cs="Times New Roman" w:hint="eastAsia"/>
          <w:b/>
          <w:kern w:val="2"/>
          <w:sz w:val="21"/>
          <w:szCs w:val="20"/>
        </w:rPr>
        <w:t>1</w:t>
      </w:r>
      <w:r>
        <w:rPr>
          <w:rFonts w:hAnsi="Cambria" w:cs="Times New Roman"/>
          <w:b/>
          <w:kern w:val="2"/>
          <w:sz w:val="21"/>
          <w:szCs w:val="20"/>
        </w:rPr>
        <w:t xml:space="preserve"> </w:t>
      </w:r>
      <w:r>
        <w:rPr>
          <w:rFonts w:hAnsi="Cambria" w:cs="Times New Roman" w:hint="eastAsia"/>
          <w:b/>
          <w:kern w:val="2"/>
          <w:sz w:val="21"/>
          <w:szCs w:val="20"/>
        </w:rPr>
        <w:t xml:space="preserve">  本项目分区防渗方案一览表</w:t>
      </w:r>
    </w:p>
    <w:tbl>
      <w:tblPr>
        <w:tblW w:w="0" w:type="auto"/>
        <w:tblInd w:w="43" w:type="dxa"/>
        <w:tblBorders>
          <w:top w:val="single" w:sz="12" w:space="0" w:color="auto"/>
          <w:bottom w:val="single" w:sz="12" w:space="0" w:color="auto"/>
          <w:insideH w:val="single" w:sz="4" w:space="0" w:color="auto"/>
          <w:insideV w:val="single" w:sz="4" w:space="0" w:color="auto"/>
        </w:tblBorders>
        <w:tblLayout w:type="fixed"/>
        <w:tblLook w:val="04A0"/>
      </w:tblPr>
      <w:tblGrid>
        <w:gridCol w:w="1420"/>
        <w:gridCol w:w="1904"/>
        <w:gridCol w:w="2791"/>
        <w:gridCol w:w="1929"/>
      </w:tblGrid>
      <w:tr w:rsidR="00BD5820">
        <w:trPr>
          <w:trHeight w:val="270"/>
          <w:tblHeader/>
        </w:trPr>
        <w:tc>
          <w:tcPr>
            <w:tcW w:w="1420" w:type="dxa"/>
            <w:vAlign w:val="center"/>
          </w:tcPr>
          <w:p w:rsidR="00BD5820" w:rsidRDefault="00F64314">
            <w:pPr>
              <w:widowControl/>
              <w:topLinePunct w:val="0"/>
              <w:snapToGrid w:val="0"/>
              <w:spacing w:line="240" w:lineRule="auto"/>
              <w:ind w:firstLineChars="0" w:firstLine="0"/>
              <w:jc w:val="center"/>
              <w:rPr>
                <w:rFonts w:ascii="Times New Roman" w:cs="Times New Roman"/>
                <w:b/>
                <w:kern w:val="2"/>
                <w:sz w:val="21"/>
                <w:szCs w:val="21"/>
              </w:rPr>
            </w:pPr>
            <w:r>
              <w:rPr>
                <w:rFonts w:ascii="Times New Roman" w:cs="Times New Roman"/>
                <w:b/>
                <w:kern w:val="2"/>
                <w:sz w:val="21"/>
                <w:szCs w:val="21"/>
              </w:rPr>
              <w:t>污染防治区类别</w:t>
            </w:r>
          </w:p>
        </w:tc>
        <w:tc>
          <w:tcPr>
            <w:tcW w:w="1904" w:type="dxa"/>
            <w:vAlign w:val="center"/>
          </w:tcPr>
          <w:p w:rsidR="00BD5820" w:rsidRDefault="00F64314">
            <w:pPr>
              <w:widowControl/>
              <w:topLinePunct w:val="0"/>
              <w:snapToGrid w:val="0"/>
              <w:spacing w:line="240" w:lineRule="auto"/>
              <w:ind w:firstLineChars="0" w:firstLine="0"/>
              <w:jc w:val="center"/>
              <w:rPr>
                <w:rFonts w:ascii="Times New Roman" w:cs="Times New Roman"/>
                <w:b/>
                <w:kern w:val="2"/>
                <w:sz w:val="21"/>
                <w:szCs w:val="21"/>
              </w:rPr>
            </w:pPr>
            <w:r>
              <w:rPr>
                <w:rFonts w:ascii="Times New Roman" w:cs="Times New Roman"/>
                <w:b/>
                <w:kern w:val="2"/>
                <w:sz w:val="21"/>
                <w:szCs w:val="21"/>
              </w:rPr>
              <w:t>防渗性能要求</w:t>
            </w:r>
          </w:p>
        </w:tc>
        <w:tc>
          <w:tcPr>
            <w:tcW w:w="2791" w:type="dxa"/>
            <w:vAlign w:val="center"/>
          </w:tcPr>
          <w:p w:rsidR="00BD5820" w:rsidRDefault="00F64314">
            <w:pPr>
              <w:widowControl/>
              <w:topLinePunct w:val="0"/>
              <w:snapToGrid w:val="0"/>
              <w:spacing w:line="240" w:lineRule="auto"/>
              <w:ind w:firstLineChars="0" w:firstLine="0"/>
              <w:jc w:val="center"/>
              <w:rPr>
                <w:rFonts w:ascii="Times New Roman" w:cs="Times New Roman"/>
                <w:b/>
                <w:kern w:val="2"/>
                <w:sz w:val="21"/>
                <w:szCs w:val="21"/>
              </w:rPr>
            </w:pPr>
            <w:r>
              <w:rPr>
                <w:rFonts w:ascii="Times New Roman" w:cs="Times New Roman"/>
                <w:b/>
                <w:kern w:val="2"/>
                <w:sz w:val="21"/>
                <w:szCs w:val="21"/>
              </w:rPr>
              <w:t>装置、单元名称</w:t>
            </w:r>
          </w:p>
        </w:tc>
        <w:tc>
          <w:tcPr>
            <w:tcW w:w="1929" w:type="dxa"/>
            <w:vAlign w:val="center"/>
          </w:tcPr>
          <w:p w:rsidR="00BD5820" w:rsidRDefault="00F64314">
            <w:pPr>
              <w:widowControl/>
              <w:topLinePunct w:val="0"/>
              <w:snapToGrid w:val="0"/>
              <w:spacing w:line="240" w:lineRule="auto"/>
              <w:ind w:firstLineChars="0" w:firstLine="0"/>
              <w:jc w:val="center"/>
              <w:rPr>
                <w:rFonts w:ascii="Times New Roman" w:cs="Times New Roman"/>
                <w:b/>
                <w:kern w:val="2"/>
                <w:sz w:val="21"/>
                <w:szCs w:val="21"/>
              </w:rPr>
            </w:pPr>
            <w:r>
              <w:rPr>
                <w:rFonts w:ascii="Times New Roman" w:cs="Times New Roman"/>
                <w:b/>
                <w:kern w:val="2"/>
                <w:sz w:val="21"/>
                <w:szCs w:val="21"/>
              </w:rPr>
              <w:t>污染防治区域或部位</w:t>
            </w:r>
          </w:p>
        </w:tc>
      </w:tr>
      <w:tr w:rsidR="00BD5820">
        <w:trPr>
          <w:trHeight w:val="758"/>
        </w:trPr>
        <w:tc>
          <w:tcPr>
            <w:tcW w:w="1420"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重点污染防治区</w:t>
            </w:r>
          </w:p>
        </w:tc>
        <w:tc>
          <w:tcPr>
            <w:tcW w:w="1904"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防渗性能应不低于</w:t>
            </w:r>
            <w:r>
              <w:rPr>
                <w:rFonts w:ascii="Times New Roman" w:cs="Times New Roman"/>
                <w:kern w:val="2"/>
                <w:sz w:val="21"/>
                <w:szCs w:val="21"/>
              </w:rPr>
              <w:t>6.0m</w:t>
            </w:r>
            <w:r>
              <w:rPr>
                <w:rFonts w:ascii="Times New Roman" w:cs="Times New Roman"/>
                <w:kern w:val="2"/>
                <w:sz w:val="21"/>
                <w:szCs w:val="21"/>
              </w:rPr>
              <w:t>厚渗透系数为</w:t>
            </w:r>
            <w:r>
              <w:rPr>
                <w:rFonts w:ascii="Times New Roman" w:cs="Times New Roman"/>
                <w:kern w:val="2"/>
                <w:sz w:val="21"/>
                <w:szCs w:val="21"/>
              </w:rPr>
              <w:t>1.0×10</w:t>
            </w:r>
            <w:r>
              <w:rPr>
                <w:rFonts w:ascii="Times New Roman" w:cs="Times New Roman"/>
                <w:kern w:val="2"/>
                <w:sz w:val="21"/>
                <w:szCs w:val="21"/>
                <w:vertAlign w:val="superscript"/>
              </w:rPr>
              <w:t>-7</w:t>
            </w:r>
            <w:r>
              <w:rPr>
                <w:rFonts w:ascii="Times New Roman" w:cs="Times New Roman"/>
                <w:kern w:val="2"/>
                <w:sz w:val="21"/>
                <w:szCs w:val="21"/>
              </w:rPr>
              <w:t>cm/s</w:t>
            </w:r>
            <w:r>
              <w:rPr>
                <w:rFonts w:ascii="Times New Roman" w:cs="Times New Roman"/>
                <w:kern w:val="2"/>
                <w:sz w:val="21"/>
                <w:szCs w:val="21"/>
              </w:rPr>
              <w:t>的黏土层防渗性能</w:t>
            </w:r>
          </w:p>
        </w:tc>
        <w:tc>
          <w:tcPr>
            <w:tcW w:w="2791" w:type="dxa"/>
            <w:vAlign w:val="center"/>
          </w:tcPr>
          <w:p w:rsidR="00BD5820" w:rsidRDefault="00F64314">
            <w:pPr>
              <w:topLinePunct w:val="0"/>
              <w:snapToGrid w:val="0"/>
              <w:spacing w:line="240" w:lineRule="auto"/>
              <w:ind w:firstLineChars="0" w:firstLine="0"/>
              <w:jc w:val="center"/>
              <w:textAlignment w:val="center"/>
              <w:rPr>
                <w:rFonts w:ascii="Times New Roman" w:cs="Times New Roman"/>
                <w:kern w:val="2"/>
                <w:sz w:val="21"/>
                <w:szCs w:val="21"/>
              </w:rPr>
            </w:pPr>
            <w:r>
              <w:rPr>
                <w:rFonts w:ascii="Times New Roman" w:cs="Times New Roman" w:hint="eastAsia"/>
                <w:kern w:val="2"/>
                <w:sz w:val="21"/>
                <w:szCs w:val="21"/>
              </w:rPr>
              <w:t>分离器</w:t>
            </w:r>
            <w:r>
              <w:rPr>
                <w:rFonts w:ascii="Times New Roman" w:cs="Times New Roman"/>
                <w:kern w:val="2"/>
                <w:sz w:val="21"/>
                <w:szCs w:val="21"/>
              </w:rPr>
              <w:t>、润滑油储罐、污水罐</w:t>
            </w:r>
            <w:r>
              <w:rPr>
                <w:rFonts w:ascii="Times New Roman" w:cs="Times New Roman" w:hint="eastAsia"/>
                <w:kern w:val="2"/>
                <w:sz w:val="21"/>
                <w:szCs w:val="21"/>
              </w:rPr>
              <w:t>、</w:t>
            </w:r>
            <w:r>
              <w:rPr>
                <w:rFonts w:ascii="Times New Roman" w:cs="Times New Roman"/>
                <w:kern w:val="2"/>
                <w:sz w:val="21"/>
                <w:szCs w:val="21"/>
              </w:rPr>
              <w:t>危废暂存间</w:t>
            </w:r>
          </w:p>
        </w:tc>
        <w:tc>
          <w:tcPr>
            <w:tcW w:w="1929"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地面</w:t>
            </w:r>
          </w:p>
        </w:tc>
      </w:tr>
      <w:tr w:rsidR="00BD5820">
        <w:trPr>
          <w:trHeight w:val="483"/>
        </w:trPr>
        <w:tc>
          <w:tcPr>
            <w:tcW w:w="1420"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一般污染防治区</w:t>
            </w:r>
          </w:p>
        </w:tc>
        <w:tc>
          <w:tcPr>
            <w:tcW w:w="1904"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防渗性能应不低于</w:t>
            </w:r>
            <w:r>
              <w:rPr>
                <w:rFonts w:ascii="Times New Roman" w:cs="Times New Roman"/>
                <w:kern w:val="2"/>
                <w:sz w:val="21"/>
                <w:szCs w:val="21"/>
              </w:rPr>
              <w:t>1.5m</w:t>
            </w:r>
            <w:r>
              <w:rPr>
                <w:rFonts w:ascii="Times New Roman" w:cs="Times New Roman"/>
                <w:kern w:val="2"/>
                <w:sz w:val="21"/>
                <w:szCs w:val="21"/>
              </w:rPr>
              <w:t>厚渗透系数为</w:t>
            </w:r>
            <w:r>
              <w:rPr>
                <w:rFonts w:ascii="Times New Roman" w:cs="Times New Roman"/>
                <w:kern w:val="2"/>
                <w:sz w:val="21"/>
                <w:szCs w:val="21"/>
              </w:rPr>
              <w:t>1.0×10</w:t>
            </w:r>
            <w:r>
              <w:rPr>
                <w:rFonts w:ascii="Times New Roman" w:cs="Times New Roman"/>
                <w:kern w:val="2"/>
                <w:sz w:val="21"/>
                <w:szCs w:val="21"/>
                <w:vertAlign w:val="superscript"/>
              </w:rPr>
              <w:t>-7</w:t>
            </w:r>
            <w:r>
              <w:rPr>
                <w:rFonts w:ascii="Times New Roman" w:cs="Times New Roman"/>
                <w:kern w:val="2"/>
                <w:sz w:val="21"/>
                <w:szCs w:val="21"/>
              </w:rPr>
              <w:t>cm/s</w:t>
            </w:r>
            <w:r>
              <w:rPr>
                <w:rFonts w:ascii="Times New Roman" w:cs="Times New Roman"/>
                <w:kern w:val="2"/>
                <w:sz w:val="21"/>
                <w:szCs w:val="21"/>
              </w:rPr>
              <w:t>的黏土层防渗性能</w:t>
            </w:r>
          </w:p>
        </w:tc>
        <w:tc>
          <w:tcPr>
            <w:tcW w:w="2791"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工艺设备区、</w:t>
            </w:r>
            <w:r>
              <w:rPr>
                <w:rFonts w:ascii="Times New Roman" w:cs="Times New Roman"/>
                <w:kern w:val="2"/>
                <w:sz w:val="21"/>
                <w:szCs w:val="21"/>
              </w:rPr>
              <w:t>雨、污分流区域</w:t>
            </w:r>
          </w:p>
        </w:tc>
        <w:tc>
          <w:tcPr>
            <w:tcW w:w="1929"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地面</w:t>
            </w:r>
          </w:p>
        </w:tc>
      </w:tr>
    </w:tbl>
    <w:p w:rsidR="00BD5820" w:rsidRDefault="00F64314">
      <w:pPr>
        <w:pStyle w:val="3"/>
        <w:rPr>
          <w:rFonts w:eastAsia="宋体"/>
        </w:rPr>
      </w:pPr>
      <w:bookmarkStart w:id="393" w:name="_Toc19816061"/>
      <w:bookmarkStart w:id="394" w:name="_Toc12288660"/>
      <w:bookmarkStart w:id="395" w:name="_Toc12288654"/>
      <w:bookmarkStart w:id="396" w:name="_Toc19816056"/>
      <w:bookmarkEnd w:id="391"/>
      <w:r>
        <w:rPr>
          <w:rFonts w:eastAsia="宋体"/>
        </w:rPr>
        <w:t xml:space="preserve">6.1.4 </w:t>
      </w:r>
      <w:r>
        <w:rPr>
          <w:rFonts w:eastAsia="宋体"/>
        </w:rPr>
        <w:t>施工期环境空气影响分析</w:t>
      </w:r>
      <w:bookmarkEnd w:id="393"/>
      <w:bookmarkEnd w:id="394"/>
    </w:p>
    <w:p w:rsidR="00BD5820" w:rsidRDefault="00F64314">
      <w:pPr>
        <w:pStyle w:val="a1"/>
        <w:ind w:firstLine="482"/>
        <w:rPr>
          <w:rFonts w:ascii="Times New Roman" w:cs="Times New Roman"/>
          <w:b/>
          <w:bCs/>
        </w:rPr>
      </w:pPr>
      <w:bookmarkStart w:id="397" w:name="_Toc12288661"/>
      <w:r>
        <w:rPr>
          <w:rFonts w:ascii="Times New Roman" w:cs="Times New Roman"/>
          <w:b/>
          <w:bCs/>
        </w:rPr>
        <w:t>1</w:t>
      </w:r>
      <w:r>
        <w:rPr>
          <w:rFonts w:ascii="Times New Roman" w:cs="Times New Roman"/>
          <w:b/>
          <w:bCs/>
        </w:rPr>
        <w:t>、扬尘（粉尘）的影响分析</w:t>
      </w:r>
      <w:bookmarkEnd w:id="397"/>
    </w:p>
    <w:p w:rsidR="00BD5820" w:rsidRDefault="00F64314">
      <w:pPr>
        <w:pStyle w:val="affa"/>
        <w:ind w:firstLine="480"/>
      </w:pPr>
      <w:r>
        <w:t>本项目的扬尘（粉尘）主要产生于两个部分：管沟及站场的地面开挖、填埋、土石方堆放和车辆运输过程产生的扬尘（粉尘）。施工期间产生的扬尘（粉尘）污染主要取决于施工作业方式、材料的堆放以及风力等因素，其中受风力的影响因素最大，随着风速的增大，施工扬尘（粉尘）的污染程度和超标范围也将随之增强和扩大。</w:t>
      </w:r>
    </w:p>
    <w:p w:rsidR="00BD5820" w:rsidRDefault="00F64314">
      <w:pPr>
        <w:pStyle w:val="affa"/>
        <w:ind w:firstLine="480"/>
      </w:pPr>
      <w:r>
        <w:t>管道及</w:t>
      </w:r>
      <w:r>
        <w:rPr>
          <w:rFonts w:hint="eastAsia"/>
        </w:rPr>
        <w:t>场站</w:t>
      </w:r>
      <w:r>
        <w:t>的地面开挖、填埋、土石方堆放过程为分段进行，施工时间较短，作业带内产生的扬尘（粉尘）为无组织面源排放，根据类比调查，施工工地上风向</w:t>
      </w:r>
      <w:r>
        <w:t>50m</w:t>
      </w:r>
      <w:r>
        <w:t>范围内</w:t>
      </w:r>
      <w:r>
        <w:t>TSP</w:t>
      </w:r>
      <w:r>
        <w:t>浓度约</w:t>
      </w:r>
      <w:r>
        <w:t>0.3mg/m</w:t>
      </w:r>
      <w:r>
        <w:rPr>
          <w:vertAlign w:val="superscript"/>
        </w:rPr>
        <w:t>3</w:t>
      </w:r>
      <w:r>
        <w:t>，施工工地内</w:t>
      </w:r>
      <w:r>
        <w:t>TSP</w:t>
      </w:r>
      <w:r>
        <w:t>浓度约为</w:t>
      </w:r>
      <w:r>
        <w:t>0.6</w:t>
      </w:r>
      <w:r>
        <w:t>～</w:t>
      </w:r>
      <w:r>
        <w:t>0.8mg/m</w:t>
      </w:r>
      <w:r>
        <w:rPr>
          <w:vertAlign w:val="superscript"/>
        </w:rPr>
        <w:t>3</w:t>
      </w:r>
      <w:r>
        <w:t>，下风向</w:t>
      </w:r>
      <w:r>
        <w:t>50m</w:t>
      </w:r>
      <w:r>
        <w:t>距离</w:t>
      </w:r>
      <w:r>
        <w:t>TSP</w:t>
      </w:r>
      <w:r>
        <w:t>浓度约为</w:t>
      </w:r>
      <w:r>
        <w:t>0.45</w:t>
      </w:r>
      <w:r>
        <w:t>～</w:t>
      </w:r>
      <w:r>
        <w:t>0.5mg/m</w:t>
      </w:r>
      <w:r>
        <w:rPr>
          <w:vertAlign w:val="superscript"/>
        </w:rPr>
        <w:t>3</w:t>
      </w:r>
      <w:r>
        <w:t>，</w:t>
      </w:r>
      <w:r>
        <w:t>100m</w:t>
      </w:r>
      <w:r>
        <w:t>距离</w:t>
      </w:r>
      <w:r>
        <w:t>TSP</w:t>
      </w:r>
      <w:r>
        <w:t>浓度约为</w:t>
      </w:r>
      <w:r>
        <w:t>0.35</w:t>
      </w:r>
      <w:r>
        <w:t>～</w:t>
      </w:r>
      <w:r>
        <w:t>0.38mg/m</w:t>
      </w:r>
      <w:r>
        <w:rPr>
          <w:vertAlign w:val="superscript"/>
        </w:rPr>
        <w:t>3</w:t>
      </w:r>
      <w:r>
        <w:t>，</w:t>
      </w:r>
      <w:r>
        <w:t>150m</w:t>
      </w:r>
      <w:r>
        <w:t>距离</w:t>
      </w:r>
      <w:r>
        <w:t>TSP</w:t>
      </w:r>
      <w:r>
        <w:t>浓度约为</w:t>
      </w:r>
      <w:r>
        <w:t>0.31</w:t>
      </w:r>
      <w:r>
        <w:t>～</w:t>
      </w:r>
      <w:r>
        <w:t>0.34mg/m</w:t>
      </w:r>
      <w:r>
        <w:rPr>
          <w:vertAlign w:val="superscript"/>
        </w:rPr>
        <w:t>3</w:t>
      </w:r>
      <w:r>
        <w:t>。管道沿线的较近居住民</w:t>
      </w:r>
      <w:r>
        <w:lastRenderedPageBreak/>
        <w:t>施工期内会受到施工扬尘的影响，但由于施工过程为分段进行，施工时间较短，且以上地段管道沿线土壤多比较湿润，因此总体而言，管线施工作业扬尘污染是短时的，且影响不会很大。再加上土壤本身的湿润性，地面开挖时产生的扬尘很少；在采取合理化管理、作业面和土堆适当喷水、土堆和建筑材料遮盖、大风天停止作业等措施后，施工扬尘对周围保护目标的影响会大为降低。</w:t>
      </w:r>
    </w:p>
    <w:p w:rsidR="00BD5820" w:rsidRDefault="00F64314">
      <w:pPr>
        <w:pStyle w:val="affa"/>
        <w:ind w:firstLine="480"/>
      </w:pPr>
      <w:r>
        <w:t>施工阶段汽车运输过程中，也会产生扬尘污染。扬尘量、粒径大小等与多种因素有关，如路面状况、车辆行驶速度、载重量、天气情况等。其中风速、风向等天气状况直接影响扬尘的传输方向和距离。由于汽车运输过程中产生的扬尘时间短、扬尘落地快、影响范围主要集中在运输道路两侧，故汽车运输扬尘对周边的环境空气影响程度和范围较小，影响时间也较短。如果采用道路定时撒水抑尘、车辆不要装载过满并采取密闭或遮盖措施，可大大减少运输扬尘对周围环境空气的影响。</w:t>
      </w:r>
    </w:p>
    <w:p w:rsidR="00BD5820" w:rsidRDefault="00F64314">
      <w:pPr>
        <w:pStyle w:val="affa"/>
        <w:ind w:firstLine="480"/>
      </w:pPr>
      <w:r>
        <w:t>总体而言，施工期扬尘对管道沿经各环境空气敏感点影响很小，属可接受范围。</w:t>
      </w:r>
    </w:p>
    <w:p w:rsidR="00BD5820" w:rsidRDefault="00F64314">
      <w:pPr>
        <w:pStyle w:val="a1"/>
        <w:ind w:firstLine="482"/>
        <w:rPr>
          <w:rFonts w:ascii="Times New Roman" w:cs="Times New Roman"/>
          <w:b/>
          <w:bCs/>
        </w:rPr>
      </w:pPr>
      <w:bookmarkStart w:id="398" w:name="_Toc12288662"/>
      <w:r>
        <w:rPr>
          <w:rFonts w:ascii="Times New Roman" w:cs="Times New Roman"/>
          <w:b/>
          <w:bCs/>
        </w:rPr>
        <w:t>2</w:t>
      </w:r>
      <w:r>
        <w:rPr>
          <w:rFonts w:ascii="Times New Roman" w:cs="Times New Roman"/>
          <w:b/>
          <w:bCs/>
        </w:rPr>
        <w:t>、施工机械尾气影响分析</w:t>
      </w:r>
      <w:bookmarkEnd w:id="398"/>
    </w:p>
    <w:p w:rsidR="00BD5820" w:rsidRDefault="00F64314">
      <w:pPr>
        <w:pStyle w:val="a1"/>
        <w:ind w:firstLine="480"/>
        <w:rPr>
          <w:rFonts w:ascii="Times New Roman" w:cs="Times New Roman"/>
        </w:rPr>
      </w:pPr>
      <w:r>
        <w:rPr>
          <w:rFonts w:ascii="Times New Roman" w:cs="Times New Roman"/>
        </w:rPr>
        <w:t>施工期间，运输汽车、</w:t>
      </w:r>
      <w:r>
        <w:rPr>
          <w:rFonts w:ascii="Times New Roman" w:cs="Times New Roman" w:hint="eastAsia"/>
        </w:rPr>
        <w:t>施工机械</w:t>
      </w:r>
      <w:r>
        <w:rPr>
          <w:rFonts w:ascii="Times New Roman" w:cs="Times New Roman"/>
        </w:rPr>
        <w:t>施工中，由于使用</w:t>
      </w:r>
      <w:r>
        <w:rPr>
          <w:rFonts w:ascii="Times New Roman" w:cs="Times New Roman" w:hint="eastAsia"/>
        </w:rPr>
        <w:t>施工机械</w:t>
      </w:r>
      <w:r>
        <w:rPr>
          <w:rFonts w:ascii="Times New Roman" w:cs="Times New Roman"/>
        </w:rPr>
        <w:t>等设备，将产生燃烧烟气，主要污染物为</w:t>
      </w:r>
      <w:r>
        <w:rPr>
          <w:rFonts w:ascii="Times New Roman" w:cs="Times New Roman"/>
        </w:rPr>
        <w:t>SO</w:t>
      </w:r>
      <w:r>
        <w:rPr>
          <w:rFonts w:ascii="Times New Roman" w:cs="Times New Roman"/>
          <w:sz w:val="16"/>
          <w:szCs w:val="16"/>
        </w:rPr>
        <w:t>2</w:t>
      </w:r>
      <w:r>
        <w:rPr>
          <w:rFonts w:ascii="Times New Roman" w:cs="Times New Roman"/>
        </w:rPr>
        <w:t>、</w:t>
      </w:r>
      <w:r>
        <w:rPr>
          <w:rFonts w:ascii="Times New Roman" w:cs="Times New Roman"/>
        </w:rPr>
        <w:t>NO</w:t>
      </w:r>
      <w:r>
        <w:rPr>
          <w:rFonts w:ascii="Times New Roman" w:cs="Times New Roman"/>
          <w:sz w:val="16"/>
          <w:szCs w:val="16"/>
        </w:rPr>
        <w:t>2</w:t>
      </w:r>
      <w:r>
        <w:rPr>
          <w:rFonts w:ascii="Times New Roman" w:cs="Times New Roman"/>
        </w:rPr>
        <w:t>、</w:t>
      </w:r>
      <w:r>
        <w:rPr>
          <w:rFonts w:ascii="Times New Roman" w:cs="Times New Roman"/>
        </w:rPr>
        <w:t>C</w:t>
      </w:r>
      <w:r>
        <w:rPr>
          <w:rFonts w:ascii="Times New Roman" w:cs="Times New Roman"/>
          <w:sz w:val="16"/>
          <w:szCs w:val="16"/>
        </w:rPr>
        <w:t>m</w:t>
      </w:r>
      <w:r>
        <w:rPr>
          <w:rFonts w:ascii="Times New Roman" w:cs="Times New Roman"/>
        </w:rPr>
        <w:t>H</w:t>
      </w:r>
      <w:r>
        <w:rPr>
          <w:rFonts w:ascii="Times New Roman" w:cs="Times New Roman"/>
          <w:sz w:val="16"/>
          <w:szCs w:val="16"/>
        </w:rPr>
        <w:t>n</w:t>
      </w:r>
      <w:r>
        <w:rPr>
          <w:rFonts w:ascii="Times New Roman" w:cs="Times New Roman"/>
        </w:rPr>
        <w:t>等。但由于废气量较小且施工现场均在野外，有利于空气的扩散。同时施工过程中应加强大型施工机械和车辆管理，工程承包商的机械设备应配备相应的消烟除尘设备。考虑到管线走向基本沿公路并行敷设，两者相距较近，因此，本项目运输车辆较公路上其它车辆的车流量要低的多，因此对大气环境的影响可忽略。此外，施工机械排放燃烧烟气具有排放量小、间歇性、短期性和流动性的特点，该类污染源对大气环境的影响较轻。</w:t>
      </w:r>
    </w:p>
    <w:p w:rsidR="00BD5820" w:rsidRDefault="00F64314">
      <w:pPr>
        <w:pStyle w:val="a1"/>
        <w:ind w:firstLine="482"/>
        <w:rPr>
          <w:rFonts w:ascii="Times New Roman" w:cs="Times New Roman"/>
          <w:b/>
          <w:bCs/>
        </w:rPr>
      </w:pPr>
      <w:r>
        <w:rPr>
          <w:rFonts w:ascii="Times New Roman" w:cs="Times New Roman"/>
          <w:b/>
          <w:bCs/>
        </w:rPr>
        <w:t>3</w:t>
      </w:r>
      <w:r>
        <w:rPr>
          <w:rFonts w:ascii="Times New Roman" w:cs="Times New Roman"/>
          <w:b/>
          <w:bCs/>
        </w:rPr>
        <w:t>、施工焊接烟尘影响分析</w:t>
      </w:r>
    </w:p>
    <w:p w:rsidR="00BD5820" w:rsidRDefault="00F64314">
      <w:pPr>
        <w:pStyle w:val="a1"/>
        <w:ind w:firstLine="480"/>
        <w:rPr>
          <w:rFonts w:ascii="Times New Roman" w:cs="Times New Roman"/>
        </w:rPr>
      </w:pPr>
      <w:r>
        <w:rPr>
          <w:rFonts w:ascii="Times New Roman" w:cs="Times New Roman" w:hint="eastAsia"/>
        </w:rPr>
        <w:t>本项目</w:t>
      </w:r>
      <w:r>
        <w:rPr>
          <w:rFonts w:ascii="Times New Roman" w:cs="Times New Roman"/>
        </w:rPr>
        <w:t>产生的焊接烟尘废气量较小，且施工场地分散，废气污染源具有排放量小、间断分散的特点，该类污染源对大气环境的影响较小。</w:t>
      </w:r>
    </w:p>
    <w:p w:rsidR="00BD5820" w:rsidRDefault="00F64314">
      <w:pPr>
        <w:pStyle w:val="affa"/>
        <w:ind w:firstLine="480"/>
      </w:pPr>
      <w:r>
        <w:t>综上，项目施工期将会对施工场地周围的环境空气质量造成一定影响，但这些影响随着施工期的结束也会结束。因此，项目施工期不会造成项目所在地环境空气质量明显恶化。</w:t>
      </w:r>
    </w:p>
    <w:p w:rsidR="00BD5820" w:rsidRDefault="00F64314">
      <w:pPr>
        <w:pStyle w:val="affa"/>
        <w:ind w:firstLine="482"/>
        <w:rPr>
          <w:b/>
        </w:rPr>
      </w:pPr>
      <w:r>
        <w:rPr>
          <w:rFonts w:hint="eastAsia"/>
          <w:b/>
          <w:bCs/>
        </w:rPr>
        <w:t>4</w:t>
      </w:r>
      <w:r>
        <w:rPr>
          <w:b/>
          <w:bCs/>
        </w:rPr>
        <w:t>、</w:t>
      </w:r>
      <w:r>
        <w:rPr>
          <w:rFonts w:hint="eastAsia"/>
          <w:b/>
        </w:rPr>
        <w:t>食堂油烟</w:t>
      </w:r>
    </w:p>
    <w:p w:rsidR="00BD5820" w:rsidRDefault="00F64314">
      <w:pPr>
        <w:pStyle w:val="affa"/>
        <w:ind w:firstLine="480"/>
        <w:rPr>
          <w:bCs/>
        </w:rPr>
      </w:pPr>
      <w:r>
        <w:rPr>
          <w:rFonts w:hint="eastAsia"/>
        </w:rPr>
        <w:lastRenderedPageBreak/>
        <w:t>施工期食堂油烟经油烟净化器处理后通过专用管道超屋顶排放，对环境空气影响小。</w:t>
      </w:r>
    </w:p>
    <w:p w:rsidR="00BD5820" w:rsidRDefault="00F64314">
      <w:pPr>
        <w:pStyle w:val="3"/>
        <w:rPr>
          <w:rFonts w:eastAsia="宋体"/>
        </w:rPr>
      </w:pPr>
      <w:bookmarkStart w:id="399" w:name="_Toc19816057"/>
      <w:bookmarkStart w:id="400" w:name="_Toc12288655"/>
      <w:bookmarkEnd w:id="395"/>
      <w:bookmarkEnd w:id="396"/>
      <w:r>
        <w:rPr>
          <w:rFonts w:eastAsia="宋体"/>
        </w:rPr>
        <w:t xml:space="preserve">6.1.5 </w:t>
      </w:r>
      <w:r>
        <w:rPr>
          <w:rFonts w:eastAsia="宋体"/>
        </w:rPr>
        <w:t>施工期声环境影响预测</w:t>
      </w:r>
      <w:bookmarkEnd w:id="399"/>
      <w:bookmarkEnd w:id="400"/>
    </w:p>
    <w:p w:rsidR="00BD5820" w:rsidRDefault="00F64314">
      <w:pPr>
        <w:pStyle w:val="affa"/>
        <w:ind w:firstLine="482"/>
        <w:rPr>
          <w:b/>
          <w:bCs/>
        </w:rPr>
      </w:pPr>
      <w:r>
        <w:rPr>
          <w:b/>
          <w:bCs/>
        </w:rPr>
        <w:t>6.1.5</w:t>
      </w:r>
      <w:r>
        <w:rPr>
          <w:rFonts w:hint="eastAsia"/>
          <w:b/>
          <w:bCs/>
        </w:rPr>
        <w:t>.1</w:t>
      </w:r>
      <w:r>
        <w:rPr>
          <w:rFonts w:hint="eastAsia"/>
          <w:b/>
          <w:bCs/>
        </w:rPr>
        <w:t>管道、站场施工</w:t>
      </w:r>
    </w:p>
    <w:p w:rsidR="00BD5820" w:rsidRDefault="00F64314">
      <w:pPr>
        <w:pStyle w:val="affa"/>
        <w:ind w:firstLine="482"/>
        <w:rPr>
          <w:b/>
          <w:bCs/>
        </w:rPr>
      </w:pPr>
      <w:r>
        <w:rPr>
          <w:b/>
          <w:bCs/>
        </w:rPr>
        <w:t>1</w:t>
      </w:r>
      <w:r>
        <w:rPr>
          <w:b/>
          <w:bCs/>
        </w:rPr>
        <w:t>、施工噪声源</w:t>
      </w:r>
    </w:p>
    <w:p w:rsidR="00BD5820" w:rsidRDefault="00F64314">
      <w:pPr>
        <w:pStyle w:val="affa"/>
        <w:ind w:firstLine="480"/>
      </w:pPr>
      <w:r>
        <w:t>本项目主要穿越丘陵</w:t>
      </w:r>
      <w:r>
        <w:rPr>
          <w:rFonts w:hint="eastAsia"/>
        </w:rPr>
        <w:t>山</w:t>
      </w:r>
      <w:r>
        <w:t>区，经工程分析，施工对声环境的影响中主要是由施工机械和运输车辆造成。各施工区段内随着项目进展，将采用不同的机械设备施工，如在挖沟时采用挖掘机，布管时使用运输车辆，焊接时使用电焊机及发电机，管线入沟时采用吊管机，回填时使用推土机，这些施工均为白天作业，根据施工内容交替使用施工机械，并随施工位置变化移动。</w:t>
      </w:r>
    </w:p>
    <w:p w:rsidR="00BD5820" w:rsidRDefault="00F64314">
      <w:pPr>
        <w:pStyle w:val="affa"/>
        <w:ind w:firstLine="480"/>
      </w:pPr>
      <w:r>
        <w:t>根据类比调查和现场踏勘监测以及项目初步设计中提供的主要设备选型等有关资料分析，设备高达</w:t>
      </w:r>
      <w:r>
        <w:t>85dB</w:t>
      </w:r>
      <w:r>
        <w:t>（</w:t>
      </w:r>
      <w:r>
        <w:t>A</w:t>
      </w:r>
      <w:r>
        <w:t>）以上的噪声源施工机械有：挖掘机、吊管机、电焊机、推土机、混凝土搅拌机、切割机、石料运输车等，具体见表</w:t>
      </w:r>
      <w:r>
        <w:t>6.</w:t>
      </w:r>
      <w:r>
        <w:rPr>
          <w:rFonts w:hint="eastAsia"/>
        </w:rPr>
        <w:t>1</w:t>
      </w:r>
      <w:r>
        <w:t>-</w:t>
      </w:r>
      <w:r>
        <w:rPr>
          <w:rFonts w:hint="eastAsia"/>
        </w:rPr>
        <w:t>2</w:t>
      </w:r>
      <w:r>
        <w:t>。</w:t>
      </w:r>
    </w:p>
    <w:p w:rsidR="00BD5820" w:rsidRDefault="00F64314">
      <w:pPr>
        <w:pStyle w:val="10"/>
        <w:rPr>
          <w:rFonts w:cs="Times New Roman"/>
        </w:rPr>
      </w:pPr>
      <w:r>
        <w:rPr>
          <w:rFonts w:cs="Times New Roman"/>
        </w:rPr>
        <w:t>表</w:t>
      </w:r>
      <w:r>
        <w:rPr>
          <w:rFonts w:cs="Times New Roman"/>
        </w:rPr>
        <w:t>6.</w:t>
      </w:r>
      <w:r>
        <w:rPr>
          <w:rFonts w:cs="Times New Roman" w:hint="eastAsia"/>
        </w:rPr>
        <w:t>1</w:t>
      </w:r>
      <w:r>
        <w:rPr>
          <w:rFonts w:cs="Times New Roman"/>
        </w:rPr>
        <w:t>-</w:t>
      </w:r>
      <w:r>
        <w:rPr>
          <w:rFonts w:cs="Times New Roman" w:hint="eastAsia"/>
        </w:rPr>
        <w:t>2</w:t>
      </w:r>
      <w:r>
        <w:rPr>
          <w:rFonts w:cs="Times New Roman"/>
        </w:rPr>
        <w:t xml:space="preserve">  </w:t>
      </w:r>
      <w:r>
        <w:rPr>
          <w:rFonts w:cs="Times New Roman"/>
        </w:rPr>
        <w:t>主要施工机械噪声值</w:t>
      </w:r>
      <w:r>
        <w:rPr>
          <w:rFonts w:cs="Times New Roman"/>
        </w:rPr>
        <w:t xml:space="preserve">   </w:t>
      </w:r>
      <w:r>
        <w:rPr>
          <w:rFonts w:cs="Times New Roman"/>
        </w:rPr>
        <w:t>单位：</w:t>
      </w:r>
      <w:r>
        <w:rPr>
          <w:rFonts w:cs="Times New Roman"/>
        </w:rPr>
        <w:t>dB</w:t>
      </w:r>
      <w:r>
        <w:rPr>
          <w:rFonts w:cs="Times New Roman"/>
        </w:rPr>
        <w:t>（</w:t>
      </w:r>
      <w:r>
        <w:rPr>
          <w:rFonts w:cs="Times New Roman"/>
        </w:rPr>
        <w:t>A</w:t>
      </w:r>
      <w:r>
        <w:rPr>
          <w:rFonts w:cs="Times New Roman"/>
        </w:rPr>
        <w:t>）</w:t>
      </w:r>
    </w:p>
    <w:tbl>
      <w:tblPr>
        <w:tblW w:w="5231" w:type="pct"/>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tblPr>
      <w:tblGrid>
        <w:gridCol w:w="1166"/>
        <w:gridCol w:w="4333"/>
        <w:gridCol w:w="3191"/>
      </w:tblGrid>
      <w:tr w:rsidR="00BD5820">
        <w:trPr>
          <w:trHeight w:val="14"/>
          <w:jc w:val="center"/>
        </w:trPr>
        <w:tc>
          <w:tcPr>
            <w:tcW w:w="671" w:type="pct"/>
            <w:tcBorders>
              <w:top w:val="single" w:sz="12" w:space="0" w:color="000000"/>
              <w:left w:val="nil"/>
              <w:bottom w:val="single" w:sz="4" w:space="0" w:color="000000"/>
              <w:right w:val="single" w:sz="4" w:space="0" w:color="000000"/>
            </w:tcBorders>
            <w:vAlign w:val="center"/>
          </w:tcPr>
          <w:p w:rsidR="00BD5820" w:rsidRDefault="00F64314">
            <w:pPr>
              <w:pStyle w:val="afff1"/>
              <w:rPr>
                <w:b/>
                <w:bCs/>
              </w:rPr>
            </w:pPr>
            <w:r>
              <w:rPr>
                <w:b/>
                <w:bCs/>
              </w:rPr>
              <w:t>序号</w:t>
            </w:r>
          </w:p>
        </w:tc>
        <w:tc>
          <w:tcPr>
            <w:tcW w:w="2493" w:type="pct"/>
            <w:tcBorders>
              <w:top w:val="single" w:sz="12" w:space="0" w:color="000000"/>
              <w:left w:val="single" w:sz="4" w:space="0" w:color="000000"/>
              <w:bottom w:val="single" w:sz="4" w:space="0" w:color="000000"/>
              <w:right w:val="single" w:sz="4" w:space="0" w:color="000000"/>
            </w:tcBorders>
            <w:vAlign w:val="center"/>
          </w:tcPr>
          <w:p w:rsidR="00BD5820" w:rsidRDefault="00F64314">
            <w:pPr>
              <w:pStyle w:val="afff1"/>
              <w:rPr>
                <w:b/>
                <w:bCs/>
              </w:rPr>
            </w:pPr>
            <w:r>
              <w:rPr>
                <w:b/>
                <w:bCs/>
              </w:rPr>
              <w:t>噪声源</w:t>
            </w:r>
          </w:p>
        </w:tc>
        <w:tc>
          <w:tcPr>
            <w:tcW w:w="1836" w:type="pct"/>
            <w:tcBorders>
              <w:top w:val="single" w:sz="12" w:space="0" w:color="000000"/>
              <w:left w:val="single" w:sz="4" w:space="0" w:color="000000"/>
              <w:bottom w:val="single" w:sz="4" w:space="0" w:color="000000"/>
              <w:right w:val="nil"/>
            </w:tcBorders>
            <w:vAlign w:val="center"/>
          </w:tcPr>
          <w:p w:rsidR="00BD5820" w:rsidRDefault="00F64314">
            <w:pPr>
              <w:pStyle w:val="afff1"/>
              <w:rPr>
                <w:b/>
                <w:bCs/>
              </w:rPr>
            </w:pPr>
            <w:r>
              <w:rPr>
                <w:b/>
                <w:bCs/>
              </w:rPr>
              <w:t>噪声强度</w:t>
            </w:r>
          </w:p>
        </w:tc>
      </w:tr>
      <w:tr w:rsidR="00BD5820">
        <w:trPr>
          <w:trHeight w:val="14"/>
          <w:jc w:val="center"/>
        </w:trPr>
        <w:tc>
          <w:tcPr>
            <w:tcW w:w="671" w:type="pct"/>
            <w:tcBorders>
              <w:top w:val="single" w:sz="4" w:space="0" w:color="000000"/>
              <w:left w:val="nil"/>
              <w:bottom w:val="single" w:sz="4" w:space="0" w:color="000000"/>
              <w:right w:val="single" w:sz="4" w:space="0" w:color="000000"/>
            </w:tcBorders>
            <w:vAlign w:val="center"/>
          </w:tcPr>
          <w:p w:rsidR="00BD5820" w:rsidRDefault="00F64314">
            <w:pPr>
              <w:pStyle w:val="afff1"/>
            </w:pPr>
            <w:r>
              <w:t>1</w:t>
            </w:r>
          </w:p>
        </w:tc>
        <w:tc>
          <w:tcPr>
            <w:tcW w:w="2493" w:type="pct"/>
            <w:tcBorders>
              <w:top w:val="single" w:sz="4" w:space="0" w:color="000000"/>
              <w:left w:val="single" w:sz="4" w:space="0" w:color="000000"/>
              <w:bottom w:val="single" w:sz="4" w:space="0" w:color="000000"/>
              <w:right w:val="single" w:sz="4" w:space="0" w:color="000000"/>
            </w:tcBorders>
            <w:vAlign w:val="center"/>
          </w:tcPr>
          <w:p w:rsidR="00BD5820" w:rsidRDefault="00F64314">
            <w:pPr>
              <w:pStyle w:val="afff1"/>
            </w:pPr>
            <w:r>
              <w:t>挖掘机</w:t>
            </w:r>
          </w:p>
        </w:tc>
        <w:tc>
          <w:tcPr>
            <w:tcW w:w="1836" w:type="pct"/>
            <w:tcBorders>
              <w:top w:val="single" w:sz="4" w:space="0" w:color="000000"/>
              <w:left w:val="single" w:sz="4" w:space="0" w:color="000000"/>
              <w:bottom w:val="single" w:sz="4" w:space="0" w:color="000000"/>
              <w:right w:val="nil"/>
            </w:tcBorders>
            <w:vAlign w:val="center"/>
          </w:tcPr>
          <w:p w:rsidR="00BD5820" w:rsidRDefault="00F64314">
            <w:pPr>
              <w:pStyle w:val="afff1"/>
            </w:pPr>
            <w:r>
              <w:t>92</w:t>
            </w:r>
          </w:p>
        </w:tc>
      </w:tr>
      <w:tr w:rsidR="00BD5820">
        <w:trPr>
          <w:trHeight w:val="14"/>
          <w:jc w:val="center"/>
        </w:trPr>
        <w:tc>
          <w:tcPr>
            <w:tcW w:w="671" w:type="pct"/>
            <w:tcBorders>
              <w:top w:val="single" w:sz="4" w:space="0" w:color="000000"/>
              <w:left w:val="nil"/>
              <w:bottom w:val="single" w:sz="4" w:space="0" w:color="000000"/>
              <w:right w:val="single" w:sz="4" w:space="0" w:color="000000"/>
            </w:tcBorders>
            <w:vAlign w:val="center"/>
          </w:tcPr>
          <w:p w:rsidR="00BD5820" w:rsidRDefault="00F64314">
            <w:pPr>
              <w:pStyle w:val="afff1"/>
            </w:pPr>
            <w:r>
              <w:t>2</w:t>
            </w:r>
          </w:p>
        </w:tc>
        <w:tc>
          <w:tcPr>
            <w:tcW w:w="2493" w:type="pct"/>
            <w:tcBorders>
              <w:top w:val="single" w:sz="4" w:space="0" w:color="000000"/>
              <w:left w:val="single" w:sz="4" w:space="0" w:color="000000"/>
              <w:bottom w:val="single" w:sz="4" w:space="0" w:color="000000"/>
              <w:right w:val="single" w:sz="4" w:space="0" w:color="000000"/>
            </w:tcBorders>
            <w:vAlign w:val="center"/>
          </w:tcPr>
          <w:p w:rsidR="00BD5820" w:rsidRDefault="00F64314">
            <w:pPr>
              <w:pStyle w:val="afff1"/>
            </w:pPr>
            <w:r>
              <w:t>吊管机</w:t>
            </w:r>
          </w:p>
        </w:tc>
        <w:tc>
          <w:tcPr>
            <w:tcW w:w="1836" w:type="pct"/>
            <w:tcBorders>
              <w:top w:val="single" w:sz="4" w:space="0" w:color="000000"/>
              <w:left w:val="single" w:sz="4" w:space="0" w:color="000000"/>
              <w:bottom w:val="single" w:sz="4" w:space="0" w:color="000000"/>
              <w:right w:val="nil"/>
            </w:tcBorders>
            <w:vAlign w:val="center"/>
          </w:tcPr>
          <w:p w:rsidR="00BD5820" w:rsidRDefault="00F64314">
            <w:pPr>
              <w:pStyle w:val="afff1"/>
            </w:pPr>
            <w:r>
              <w:t>88</w:t>
            </w:r>
          </w:p>
        </w:tc>
      </w:tr>
      <w:tr w:rsidR="00BD5820">
        <w:trPr>
          <w:trHeight w:val="14"/>
          <w:jc w:val="center"/>
        </w:trPr>
        <w:tc>
          <w:tcPr>
            <w:tcW w:w="671" w:type="pct"/>
            <w:tcBorders>
              <w:top w:val="single" w:sz="4" w:space="0" w:color="000000"/>
              <w:left w:val="nil"/>
              <w:bottom w:val="single" w:sz="4" w:space="0" w:color="000000"/>
              <w:right w:val="single" w:sz="4" w:space="0" w:color="000000"/>
            </w:tcBorders>
            <w:vAlign w:val="center"/>
          </w:tcPr>
          <w:p w:rsidR="00BD5820" w:rsidRDefault="00F64314">
            <w:pPr>
              <w:pStyle w:val="afff1"/>
            </w:pPr>
            <w:r>
              <w:t>3</w:t>
            </w:r>
          </w:p>
        </w:tc>
        <w:tc>
          <w:tcPr>
            <w:tcW w:w="2493" w:type="pct"/>
            <w:tcBorders>
              <w:top w:val="single" w:sz="4" w:space="0" w:color="000000"/>
              <w:left w:val="single" w:sz="4" w:space="0" w:color="000000"/>
              <w:bottom w:val="single" w:sz="4" w:space="0" w:color="000000"/>
              <w:right w:val="single" w:sz="4" w:space="0" w:color="000000"/>
            </w:tcBorders>
            <w:vAlign w:val="center"/>
          </w:tcPr>
          <w:p w:rsidR="00BD5820" w:rsidRDefault="00F64314">
            <w:pPr>
              <w:pStyle w:val="afff1"/>
            </w:pPr>
            <w:r>
              <w:t>电焊机</w:t>
            </w:r>
          </w:p>
        </w:tc>
        <w:tc>
          <w:tcPr>
            <w:tcW w:w="1836" w:type="pct"/>
            <w:tcBorders>
              <w:top w:val="single" w:sz="4" w:space="0" w:color="000000"/>
              <w:left w:val="single" w:sz="4" w:space="0" w:color="000000"/>
              <w:bottom w:val="single" w:sz="4" w:space="0" w:color="000000"/>
              <w:right w:val="nil"/>
            </w:tcBorders>
            <w:vAlign w:val="center"/>
          </w:tcPr>
          <w:p w:rsidR="00BD5820" w:rsidRDefault="00F64314">
            <w:pPr>
              <w:pStyle w:val="afff1"/>
            </w:pPr>
            <w:r>
              <w:t>85</w:t>
            </w:r>
          </w:p>
        </w:tc>
      </w:tr>
      <w:tr w:rsidR="00BD5820">
        <w:trPr>
          <w:trHeight w:val="14"/>
          <w:jc w:val="center"/>
        </w:trPr>
        <w:tc>
          <w:tcPr>
            <w:tcW w:w="671" w:type="pct"/>
            <w:tcBorders>
              <w:top w:val="single" w:sz="4" w:space="0" w:color="000000"/>
              <w:left w:val="nil"/>
              <w:bottom w:val="single" w:sz="4" w:space="0" w:color="000000"/>
              <w:right w:val="single" w:sz="4" w:space="0" w:color="000000"/>
            </w:tcBorders>
            <w:vAlign w:val="center"/>
          </w:tcPr>
          <w:p w:rsidR="00BD5820" w:rsidRDefault="00F64314">
            <w:pPr>
              <w:pStyle w:val="afff1"/>
            </w:pPr>
            <w:r>
              <w:t>4</w:t>
            </w:r>
          </w:p>
        </w:tc>
        <w:tc>
          <w:tcPr>
            <w:tcW w:w="2493" w:type="pct"/>
            <w:tcBorders>
              <w:top w:val="single" w:sz="4" w:space="0" w:color="000000"/>
              <w:left w:val="single" w:sz="4" w:space="0" w:color="000000"/>
              <w:bottom w:val="single" w:sz="4" w:space="0" w:color="000000"/>
              <w:right w:val="single" w:sz="4" w:space="0" w:color="000000"/>
            </w:tcBorders>
            <w:vAlign w:val="center"/>
          </w:tcPr>
          <w:p w:rsidR="00BD5820" w:rsidRDefault="00F64314">
            <w:pPr>
              <w:pStyle w:val="afff1"/>
            </w:pPr>
            <w:r>
              <w:t>推土机</w:t>
            </w:r>
          </w:p>
        </w:tc>
        <w:tc>
          <w:tcPr>
            <w:tcW w:w="1836" w:type="pct"/>
            <w:tcBorders>
              <w:top w:val="single" w:sz="4" w:space="0" w:color="000000"/>
              <w:left w:val="single" w:sz="4" w:space="0" w:color="000000"/>
              <w:bottom w:val="single" w:sz="4" w:space="0" w:color="000000"/>
              <w:right w:val="nil"/>
            </w:tcBorders>
            <w:vAlign w:val="center"/>
          </w:tcPr>
          <w:p w:rsidR="00BD5820" w:rsidRDefault="00F64314">
            <w:pPr>
              <w:pStyle w:val="afff1"/>
            </w:pPr>
            <w:r>
              <w:t>90</w:t>
            </w:r>
          </w:p>
        </w:tc>
      </w:tr>
      <w:tr w:rsidR="00BD5820">
        <w:trPr>
          <w:trHeight w:val="14"/>
          <w:jc w:val="center"/>
        </w:trPr>
        <w:tc>
          <w:tcPr>
            <w:tcW w:w="671" w:type="pct"/>
            <w:tcBorders>
              <w:top w:val="single" w:sz="4" w:space="0" w:color="000000"/>
              <w:left w:val="nil"/>
              <w:bottom w:val="single" w:sz="4" w:space="0" w:color="000000"/>
              <w:right w:val="single" w:sz="4" w:space="0" w:color="000000"/>
            </w:tcBorders>
            <w:vAlign w:val="center"/>
          </w:tcPr>
          <w:p w:rsidR="00BD5820" w:rsidRDefault="00F64314">
            <w:pPr>
              <w:pStyle w:val="afff1"/>
            </w:pPr>
            <w:r>
              <w:t>5</w:t>
            </w:r>
          </w:p>
        </w:tc>
        <w:tc>
          <w:tcPr>
            <w:tcW w:w="2493" w:type="pct"/>
            <w:tcBorders>
              <w:top w:val="single" w:sz="4" w:space="0" w:color="000000"/>
              <w:left w:val="single" w:sz="4" w:space="0" w:color="000000"/>
              <w:bottom w:val="single" w:sz="4" w:space="0" w:color="000000"/>
              <w:right w:val="single" w:sz="4" w:space="0" w:color="000000"/>
            </w:tcBorders>
            <w:vAlign w:val="center"/>
          </w:tcPr>
          <w:p w:rsidR="00BD5820" w:rsidRDefault="00F64314">
            <w:pPr>
              <w:pStyle w:val="afff1"/>
            </w:pPr>
            <w:r>
              <w:t>混凝土搅拌机</w:t>
            </w:r>
          </w:p>
        </w:tc>
        <w:tc>
          <w:tcPr>
            <w:tcW w:w="1836" w:type="pct"/>
            <w:tcBorders>
              <w:top w:val="single" w:sz="4" w:space="0" w:color="000000"/>
              <w:left w:val="single" w:sz="4" w:space="0" w:color="000000"/>
              <w:bottom w:val="single" w:sz="4" w:space="0" w:color="000000"/>
              <w:right w:val="nil"/>
            </w:tcBorders>
            <w:vAlign w:val="center"/>
          </w:tcPr>
          <w:p w:rsidR="00BD5820" w:rsidRDefault="00F64314">
            <w:pPr>
              <w:pStyle w:val="afff1"/>
            </w:pPr>
            <w:r>
              <w:t>95</w:t>
            </w:r>
          </w:p>
        </w:tc>
      </w:tr>
      <w:tr w:rsidR="00BD5820">
        <w:trPr>
          <w:trHeight w:val="14"/>
          <w:jc w:val="center"/>
        </w:trPr>
        <w:tc>
          <w:tcPr>
            <w:tcW w:w="671" w:type="pct"/>
            <w:tcBorders>
              <w:top w:val="single" w:sz="4" w:space="0" w:color="000000"/>
              <w:left w:val="nil"/>
              <w:bottom w:val="single" w:sz="4" w:space="0" w:color="000000"/>
              <w:right w:val="single" w:sz="4" w:space="0" w:color="000000"/>
            </w:tcBorders>
            <w:vAlign w:val="center"/>
          </w:tcPr>
          <w:p w:rsidR="00BD5820" w:rsidRDefault="00F64314">
            <w:pPr>
              <w:pStyle w:val="afff1"/>
            </w:pPr>
            <w:r>
              <w:t>6</w:t>
            </w:r>
          </w:p>
        </w:tc>
        <w:tc>
          <w:tcPr>
            <w:tcW w:w="2493" w:type="pct"/>
            <w:tcBorders>
              <w:top w:val="single" w:sz="4" w:space="0" w:color="000000"/>
              <w:left w:val="single" w:sz="4" w:space="0" w:color="000000"/>
              <w:bottom w:val="single" w:sz="4" w:space="0" w:color="000000"/>
              <w:right w:val="single" w:sz="4" w:space="0" w:color="000000"/>
            </w:tcBorders>
            <w:vAlign w:val="center"/>
          </w:tcPr>
          <w:p w:rsidR="00BD5820" w:rsidRDefault="00F64314">
            <w:pPr>
              <w:pStyle w:val="afff1"/>
            </w:pPr>
            <w:r>
              <w:t>定向钻机</w:t>
            </w:r>
          </w:p>
        </w:tc>
        <w:tc>
          <w:tcPr>
            <w:tcW w:w="1836" w:type="pct"/>
            <w:tcBorders>
              <w:top w:val="single" w:sz="4" w:space="0" w:color="000000"/>
              <w:left w:val="single" w:sz="4" w:space="0" w:color="000000"/>
              <w:bottom w:val="single" w:sz="4" w:space="0" w:color="000000"/>
              <w:right w:val="nil"/>
            </w:tcBorders>
            <w:vAlign w:val="center"/>
          </w:tcPr>
          <w:p w:rsidR="00BD5820" w:rsidRDefault="00F64314">
            <w:pPr>
              <w:pStyle w:val="afff1"/>
            </w:pPr>
            <w:r>
              <w:t>90</w:t>
            </w:r>
          </w:p>
        </w:tc>
      </w:tr>
      <w:tr w:rsidR="00BD5820">
        <w:trPr>
          <w:trHeight w:val="14"/>
          <w:jc w:val="center"/>
        </w:trPr>
        <w:tc>
          <w:tcPr>
            <w:tcW w:w="671" w:type="pct"/>
            <w:tcBorders>
              <w:top w:val="single" w:sz="4" w:space="0" w:color="000000"/>
              <w:left w:val="nil"/>
              <w:bottom w:val="single" w:sz="4" w:space="0" w:color="000000"/>
              <w:right w:val="single" w:sz="4" w:space="0" w:color="000000"/>
            </w:tcBorders>
            <w:vAlign w:val="center"/>
          </w:tcPr>
          <w:p w:rsidR="00BD5820" w:rsidRDefault="00F64314">
            <w:pPr>
              <w:pStyle w:val="afff1"/>
            </w:pPr>
            <w:r>
              <w:t>7</w:t>
            </w:r>
          </w:p>
        </w:tc>
        <w:tc>
          <w:tcPr>
            <w:tcW w:w="2493" w:type="pct"/>
            <w:tcBorders>
              <w:top w:val="single" w:sz="4" w:space="0" w:color="000000"/>
              <w:left w:val="single" w:sz="4" w:space="0" w:color="000000"/>
              <w:bottom w:val="single" w:sz="4" w:space="0" w:color="000000"/>
              <w:right w:val="single" w:sz="4" w:space="0" w:color="000000"/>
            </w:tcBorders>
            <w:vAlign w:val="center"/>
          </w:tcPr>
          <w:p w:rsidR="00BD5820" w:rsidRDefault="00F64314">
            <w:pPr>
              <w:pStyle w:val="afff1"/>
            </w:pPr>
            <w:r>
              <w:t>混凝土翻斗车</w:t>
            </w:r>
          </w:p>
        </w:tc>
        <w:tc>
          <w:tcPr>
            <w:tcW w:w="1836" w:type="pct"/>
            <w:tcBorders>
              <w:top w:val="single" w:sz="4" w:space="0" w:color="000000"/>
              <w:left w:val="single" w:sz="4" w:space="0" w:color="000000"/>
              <w:bottom w:val="single" w:sz="4" w:space="0" w:color="000000"/>
              <w:right w:val="nil"/>
            </w:tcBorders>
            <w:vAlign w:val="center"/>
          </w:tcPr>
          <w:p w:rsidR="00BD5820" w:rsidRDefault="00F64314">
            <w:pPr>
              <w:pStyle w:val="afff1"/>
            </w:pPr>
            <w:r>
              <w:t>95</w:t>
            </w:r>
          </w:p>
        </w:tc>
      </w:tr>
      <w:tr w:rsidR="00BD5820">
        <w:trPr>
          <w:trHeight w:val="14"/>
          <w:jc w:val="center"/>
        </w:trPr>
        <w:tc>
          <w:tcPr>
            <w:tcW w:w="671" w:type="pct"/>
            <w:tcBorders>
              <w:top w:val="single" w:sz="4" w:space="0" w:color="000000"/>
              <w:left w:val="nil"/>
              <w:bottom w:val="single" w:sz="4" w:space="0" w:color="000000"/>
              <w:right w:val="single" w:sz="4" w:space="0" w:color="000000"/>
            </w:tcBorders>
            <w:vAlign w:val="center"/>
          </w:tcPr>
          <w:p w:rsidR="00BD5820" w:rsidRDefault="00F64314">
            <w:pPr>
              <w:pStyle w:val="afff1"/>
            </w:pPr>
            <w:r>
              <w:t>8</w:t>
            </w:r>
          </w:p>
        </w:tc>
        <w:tc>
          <w:tcPr>
            <w:tcW w:w="2493" w:type="pct"/>
            <w:tcBorders>
              <w:top w:val="single" w:sz="4" w:space="0" w:color="000000"/>
              <w:left w:val="single" w:sz="4" w:space="0" w:color="000000"/>
              <w:bottom w:val="single" w:sz="4" w:space="0" w:color="000000"/>
              <w:right w:val="single" w:sz="4" w:space="0" w:color="000000"/>
            </w:tcBorders>
            <w:vAlign w:val="center"/>
          </w:tcPr>
          <w:p w:rsidR="00BD5820" w:rsidRDefault="00F64314">
            <w:pPr>
              <w:pStyle w:val="afff1"/>
            </w:pPr>
            <w:r>
              <w:t>切割机</w:t>
            </w:r>
          </w:p>
        </w:tc>
        <w:tc>
          <w:tcPr>
            <w:tcW w:w="1836" w:type="pct"/>
            <w:tcBorders>
              <w:top w:val="single" w:sz="4" w:space="0" w:color="000000"/>
              <w:left w:val="single" w:sz="4" w:space="0" w:color="000000"/>
              <w:bottom w:val="single" w:sz="4" w:space="0" w:color="000000"/>
              <w:right w:val="nil"/>
            </w:tcBorders>
            <w:vAlign w:val="center"/>
          </w:tcPr>
          <w:p w:rsidR="00BD5820" w:rsidRDefault="00F64314">
            <w:pPr>
              <w:pStyle w:val="afff1"/>
            </w:pPr>
            <w:r>
              <w:t>95</w:t>
            </w:r>
          </w:p>
        </w:tc>
      </w:tr>
      <w:tr w:rsidR="00BD5820">
        <w:trPr>
          <w:trHeight w:val="14"/>
          <w:jc w:val="center"/>
        </w:trPr>
        <w:tc>
          <w:tcPr>
            <w:tcW w:w="671" w:type="pct"/>
            <w:tcBorders>
              <w:top w:val="single" w:sz="4" w:space="0" w:color="000000"/>
              <w:left w:val="nil"/>
              <w:bottom w:val="single" w:sz="4" w:space="0" w:color="000000"/>
              <w:right w:val="single" w:sz="4" w:space="0" w:color="000000"/>
            </w:tcBorders>
            <w:vAlign w:val="center"/>
          </w:tcPr>
          <w:p w:rsidR="00BD5820" w:rsidRDefault="00F64314">
            <w:pPr>
              <w:pStyle w:val="afff1"/>
            </w:pPr>
            <w:r>
              <w:t>9</w:t>
            </w:r>
          </w:p>
        </w:tc>
        <w:tc>
          <w:tcPr>
            <w:tcW w:w="2493" w:type="pct"/>
            <w:tcBorders>
              <w:top w:val="single" w:sz="4" w:space="0" w:color="000000"/>
              <w:left w:val="single" w:sz="4" w:space="0" w:color="000000"/>
              <w:bottom w:val="single" w:sz="4" w:space="0" w:color="000000"/>
              <w:right w:val="single" w:sz="4" w:space="0" w:color="000000"/>
            </w:tcBorders>
            <w:vAlign w:val="center"/>
          </w:tcPr>
          <w:p w:rsidR="00BD5820" w:rsidRDefault="00F64314">
            <w:pPr>
              <w:pStyle w:val="afff1"/>
            </w:pPr>
            <w:r>
              <w:t>润滑油发电机</w:t>
            </w:r>
          </w:p>
        </w:tc>
        <w:tc>
          <w:tcPr>
            <w:tcW w:w="1836" w:type="pct"/>
            <w:tcBorders>
              <w:top w:val="single" w:sz="4" w:space="0" w:color="000000"/>
              <w:left w:val="single" w:sz="4" w:space="0" w:color="000000"/>
              <w:bottom w:val="single" w:sz="4" w:space="0" w:color="000000"/>
              <w:right w:val="nil"/>
            </w:tcBorders>
            <w:vAlign w:val="center"/>
          </w:tcPr>
          <w:p w:rsidR="00BD5820" w:rsidRDefault="00F64314">
            <w:pPr>
              <w:pStyle w:val="afff1"/>
            </w:pPr>
            <w:r>
              <w:t>100</w:t>
            </w:r>
          </w:p>
        </w:tc>
      </w:tr>
      <w:tr w:rsidR="00BD5820">
        <w:trPr>
          <w:trHeight w:val="14"/>
          <w:jc w:val="center"/>
        </w:trPr>
        <w:tc>
          <w:tcPr>
            <w:tcW w:w="671" w:type="pct"/>
            <w:tcBorders>
              <w:top w:val="single" w:sz="4" w:space="0" w:color="000000"/>
              <w:left w:val="nil"/>
              <w:bottom w:val="single" w:sz="12" w:space="0" w:color="000000"/>
              <w:right w:val="single" w:sz="4" w:space="0" w:color="000000"/>
            </w:tcBorders>
            <w:vAlign w:val="center"/>
          </w:tcPr>
          <w:p w:rsidR="00BD5820" w:rsidRDefault="00F64314">
            <w:pPr>
              <w:pStyle w:val="afff1"/>
            </w:pPr>
            <w:r>
              <w:t>10</w:t>
            </w:r>
          </w:p>
        </w:tc>
        <w:tc>
          <w:tcPr>
            <w:tcW w:w="2493" w:type="pct"/>
            <w:tcBorders>
              <w:top w:val="single" w:sz="4" w:space="0" w:color="000000"/>
              <w:left w:val="single" w:sz="4" w:space="0" w:color="000000"/>
              <w:bottom w:val="single" w:sz="12" w:space="0" w:color="000000"/>
              <w:right w:val="single" w:sz="4" w:space="0" w:color="000000"/>
            </w:tcBorders>
            <w:vAlign w:val="center"/>
          </w:tcPr>
          <w:p w:rsidR="00BD5820" w:rsidRDefault="00F64314">
            <w:pPr>
              <w:pStyle w:val="afff1"/>
            </w:pPr>
            <w:r>
              <w:t>混凝土震动棒</w:t>
            </w:r>
          </w:p>
        </w:tc>
        <w:tc>
          <w:tcPr>
            <w:tcW w:w="1836" w:type="pct"/>
            <w:tcBorders>
              <w:top w:val="single" w:sz="4" w:space="0" w:color="000000"/>
              <w:left w:val="single" w:sz="4" w:space="0" w:color="000000"/>
              <w:bottom w:val="single" w:sz="12" w:space="0" w:color="000000"/>
              <w:right w:val="nil"/>
            </w:tcBorders>
            <w:vAlign w:val="center"/>
          </w:tcPr>
          <w:p w:rsidR="00BD5820" w:rsidRDefault="00F64314">
            <w:pPr>
              <w:pStyle w:val="afff1"/>
            </w:pPr>
            <w:r>
              <w:t>105</w:t>
            </w:r>
          </w:p>
        </w:tc>
      </w:tr>
    </w:tbl>
    <w:p w:rsidR="00BD5820" w:rsidRDefault="00F64314">
      <w:pPr>
        <w:pStyle w:val="affa"/>
        <w:ind w:firstLine="482"/>
        <w:rPr>
          <w:b/>
          <w:bCs/>
        </w:rPr>
      </w:pPr>
      <w:r>
        <w:rPr>
          <w:b/>
          <w:bCs/>
        </w:rPr>
        <w:t>2</w:t>
      </w:r>
      <w:r>
        <w:rPr>
          <w:b/>
          <w:bCs/>
        </w:rPr>
        <w:t>、施工期噪声影响评价</w:t>
      </w:r>
    </w:p>
    <w:p w:rsidR="00BD5820" w:rsidRDefault="00F64314">
      <w:pPr>
        <w:pStyle w:val="affa"/>
        <w:ind w:firstLine="480"/>
      </w:pPr>
      <w:r>
        <w:t>（</w:t>
      </w:r>
      <w:r>
        <w:t>1</w:t>
      </w:r>
      <w:r>
        <w:t>）噪声预测公式的选用</w:t>
      </w:r>
    </w:p>
    <w:p w:rsidR="00BD5820" w:rsidRDefault="00F64314">
      <w:pPr>
        <w:pStyle w:val="affa"/>
        <w:ind w:firstLine="480"/>
      </w:pPr>
      <w:r>
        <w:t>当声源的大小与预测距离相比小的多时，可以将此声源看作点源，声源噪声值随距离衰减的计算公式如下：</w:t>
      </w:r>
    </w:p>
    <w:p w:rsidR="00BD5820" w:rsidRDefault="00F64314">
      <w:pPr>
        <w:pStyle w:val="a1"/>
        <w:ind w:firstLineChars="0" w:firstLine="0"/>
        <w:jc w:val="center"/>
        <w:rPr>
          <w:rFonts w:ascii="Times New Roman" w:cs="Times New Roman"/>
        </w:rPr>
      </w:pPr>
      <w:r>
        <w:rPr>
          <w:rFonts w:ascii="Times New Roman" w:cs="Times New Roman"/>
        </w:rPr>
        <w:t>L</w:t>
      </w:r>
      <w:r>
        <w:rPr>
          <w:rFonts w:ascii="Times New Roman" w:cs="Times New Roman"/>
        </w:rPr>
        <w:t>＝</w:t>
      </w:r>
      <w:r>
        <w:rPr>
          <w:rFonts w:ascii="Times New Roman" w:cs="Times New Roman"/>
        </w:rPr>
        <w:t>L</w:t>
      </w:r>
      <w:r>
        <w:rPr>
          <w:rFonts w:ascii="Times New Roman" w:cs="Times New Roman"/>
        </w:rPr>
        <w:t>－</w:t>
      </w:r>
      <w:r>
        <w:rPr>
          <w:rFonts w:ascii="Times New Roman" w:cs="Times New Roman"/>
        </w:rPr>
        <w:t>20lg</w:t>
      </w:r>
      <w:r>
        <w:rPr>
          <w:rFonts w:ascii="Times New Roman" w:cs="Times New Roman"/>
        </w:rPr>
        <w:t>（</w:t>
      </w:r>
      <w:r>
        <w:rPr>
          <w:rFonts w:ascii="Times New Roman" w:cs="Times New Roman"/>
        </w:rPr>
        <w:t>r</w:t>
      </w:r>
      <w:r>
        <w:rPr>
          <w:rFonts w:ascii="Times New Roman" w:cs="Times New Roman"/>
          <w:vertAlign w:val="subscript"/>
        </w:rPr>
        <w:t>2</w:t>
      </w:r>
      <w:r>
        <w:rPr>
          <w:rFonts w:ascii="Times New Roman" w:cs="Times New Roman"/>
        </w:rPr>
        <w:t>/r</w:t>
      </w:r>
      <w:r>
        <w:rPr>
          <w:rFonts w:ascii="Times New Roman" w:cs="Times New Roman"/>
          <w:vertAlign w:val="subscript"/>
        </w:rPr>
        <w:t>1</w:t>
      </w:r>
      <w:r>
        <w:rPr>
          <w:rFonts w:ascii="Times New Roman" w:cs="Times New Roman"/>
        </w:rPr>
        <w:t>）</w:t>
      </w:r>
    </w:p>
    <w:p w:rsidR="00BD5820" w:rsidRDefault="00F64314">
      <w:pPr>
        <w:pStyle w:val="a1"/>
        <w:ind w:firstLine="480"/>
        <w:rPr>
          <w:rFonts w:ascii="Times New Roman" w:cs="Times New Roman"/>
        </w:rPr>
      </w:pPr>
      <w:r>
        <w:rPr>
          <w:rFonts w:ascii="Times New Roman" w:cs="Times New Roman"/>
        </w:rPr>
        <w:t>式中：</w:t>
      </w:r>
      <w:r>
        <w:rPr>
          <w:rFonts w:ascii="Times New Roman" w:cs="Times New Roman"/>
        </w:rPr>
        <w:t>r</w:t>
      </w:r>
      <w:r>
        <w:rPr>
          <w:rFonts w:ascii="Times New Roman" w:cs="Times New Roman"/>
          <w:vertAlign w:val="subscript"/>
        </w:rPr>
        <w:t>2</w:t>
      </w:r>
      <w:r>
        <w:rPr>
          <w:rFonts w:ascii="Times New Roman" w:cs="Times New Roman"/>
        </w:rPr>
        <w:t>、</w:t>
      </w:r>
      <w:r>
        <w:rPr>
          <w:rFonts w:ascii="Times New Roman" w:cs="Times New Roman"/>
        </w:rPr>
        <w:t>r</w:t>
      </w:r>
      <w:r>
        <w:rPr>
          <w:rFonts w:ascii="Times New Roman" w:cs="Times New Roman"/>
          <w:vertAlign w:val="subscript"/>
        </w:rPr>
        <w:t>1</w:t>
      </w:r>
      <w:r>
        <w:rPr>
          <w:rFonts w:ascii="Times New Roman" w:cs="Times New Roman"/>
        </w:rPr>
        <w:t>——</w:t>
      </w:r>
      <w:r>
        <w:rPr>
          <w:rFonts w:ascii="Times New Roman" w:cs="Times New Roman"/>
        </w:rPr>
        <w:t>距声源的距离（</w:t>
      </w:r>
      <w:r>
        <w:rPr>
          <w:rFonts w:ascii="Times New Roman" w:cs="Times New Roman"/>
        </w:rPr>
        <w:t>m</w:t>
      </w:r>
      <w:r>
        <w:rPr>
          <w:rFonts w:ascii="Times New Roman" w:cs="Times New Roman"/>
        </w:rPr>
        <w:t>）；</w:t>
      </w:r>
    </w:p>
    <w:p w:rsidR="00BD5820" w:rsidRDefault="00F64314">
      <w:pPr>
        <w:pStyle w:val="a1"/>
        <w:ind w:firstLineChars="500" w:firstLine="1200"/>
        <w:rPr>
          <w:rFonts w:ascii="Times New Roman" w:cs="Times New Roman"/>
        </w:rPr>
      </w:pPr>
      <w:r>
        <w:rPr>
          <w:rFonts w:ascii="Times New Roman" w:cs="Times New Roman"/>
        </w:rPr>
        <w:t>L</w:t>
      </w:r>
      <w:r>
        <w:rPr>
          <w:rFonts w:ascii="Times New Roman" w:cs="Times New Roman"/>
          <w:vertAlign w:val="subscript"/>
        </w:rPr>
        <w:t>1</w:t>
      </w:r>
      <w:r>
        <w:rPr>
          <w:rFonts w:ascii="Times New Roman" w:cs="Times New Roman"/>
        </w:rPr>
        <w:t>、</w:t>
      </w:r>
      <w:r>
        <w:rPr>
          <w:rFonts w:ascii="Times New Roman" w:cs="Times New Roman"/>
        </w:rPr>
        <w:t>L</w:t>
      </w:r>
      <w:r>
        <w:rPr>
          <w:rFonts w:ascii="Times New Roman" w:cs="Times New Roman"/>
          <w:vertAlign w:val="subscript"/>
        </w:rPr>
        <w:t>2</w:t>
      </w:r>
      <w:r>
        <w:rPr>
          <w:rFonts w:ascii="Times New Roman" w:cs="Times New Roman"/>
        </w:rPr>
        <w:t>——</w:t>
      </w:r>
      <w:r>
        <w:rPr>
          <w:rFonts w:ascii="Times New Roman" w:cs="Times New Roman"/>
        </w:rPr>
        <w:t>声源相距</w:t>
      </w:r>
      <w:r>
        <w:rPr>
          <w:rFonts w:ascii="Times New Roman" w:cs="Times New Roman"/>
        </w:rPr>
        <w:t>r</w:t>
      </w:r>
      <w:r>
        <w:rPr>
          <w:rFonts w:ascii="Times New Roman" w:cs="Times New Roman"/>
          <w:vertAlign w:val="subscript"/>
        </w:rPr>
        <w:t>1</w:t>
      </w:r>
      <w:r>
        <w:rPr>
          <w:rFonts w:ascii="Times New Roman" w:cs="Times New Roman"/>
        </w:rPr>
        <w:t>、</w:t>
      </w:r>
      <w:r>
        <w:rPr>
          <w:rFonts w:ascii="Times New Roman" w:cs="Times New Roman"/>
        </w:rPr>
        <w:t>r</w:t>
      </w:r>
      <w:r>
        <w:rPr>
          <w:rFonts w:ascii="Times New Roman" w:cs="Times New Roman"/>
          <w:vertAlign w:val="subscript"/>
        </w:rPr>
        <w:t>2</w:t>
      </w:r>
      <w:r>
        <w:rPr>
          <w:rFonts w:ascii="Times New Roman" w:cs="Times New Roman"/>
        </w:rPr>
        <w:t>处的噪声声级</w:t>
      </w:r>
      <w:r>
        <w:rPr>
          <w:rFonts w:ascii="Times New Roman" w:cs="Times New Roman"/>
        </w:rPr>
        <w:t>dB(A)</w:t>
      </w:r>
      <w:r>
        <w:rPr>
          <w:rFonts w:ascii="Times New Roman" w:cs="Times New Roman"/>
        </w:rPr>
        <w:t>。</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2</w:t>
      </w:r>
      <w:r>
        <w:rPr>
          <w:rFonts w:ascii="Times New Roman" w:cs="Times New Roman"/>
        </w:rPr>
        <w:t>）预测结果及评价</w:t>
      </w:r>
    </w:p>
    <w:p w:rsidR="00BD5820" w:rsidRDefault="00F64314">
      <w:pPr>
        <w:pStyle w:val="a1"/>
        <w:ind w:firstLine="480"/>
        <w:rPr>
          <w:rFonts w:ascii="Times New Roman" w:cs="Times New Roman"/>
        </w:rPr>
      </w:pPr>
      <w:r>
        <w:rPr>
          <w:rFonts w:ascii="Times New Roman" w:cs="Times New Roman"/>
        </w:rPr>
        <w:t>通常施工场地上有多台不同种类的施工机械同时作业，它们的辐射声级将叠</w:t>
      </w:r>
      <w:r>
        <w:rPr>
          <w:rFonts w:ascii="Times New Roman" w:cs="Times New Roman"/>
        </w:rPr>
        <w:lastRenderedPageBreak/>
        <w:t>加，其强度增量视噪声源种类、数量、相对分布的距离等因素而不同。施工噪声随距离衰减后的预测值见表</w:t>
      </w:r>
      <w:r>
        <w:rPr>
          <w:rFonts w:ascii="Times New Roman" w:cs="Times New Roman"/>
        </w:rPr>
        <w:t>6.</w:t>
      </w:r>
      <w:r>
        <w:rPr>
          <w:rFonts w:ascii="Times New Roman" w:cs="Times New Roman" w:hint="eastAsia"/>
        </w:rPr>
        <w:t>1</w:t>
      </w:r>
      <w:r>
        <w:rPr>
          <w:rFonts w:ascii="Times New Roman" w:cs="Times New Roman"/>
        </w:rPr>
        <w:t>-</w:t>
      </w:r>
      <w:r>
        <w:rPr>
          <w:rFonts w:ascii="Times New Roman" w:cs="Times New Roman" w:hint="eastAsia"/>
        </w:rPr>
        <w:t>3</w:t>
      </w:r>
      <w:r>
        <w:rPr>
          <w:rFonts w:ascii="Times New Roman" w:cs="Times New Roman"/>
        </w:rPr>
        <w:t>。</w:t>
      </w:r>
    </w:p>
    <w:p w:rsidR="00BD5820" w:rsidRDefault="00F64314">
      <w:pPr>
        <w:pStyle w:val="10"/>
        <w:rPr>
          <w:rFonts w:cs="Times New Roman"/>
        </w:rPr>
      </w:pPr>
      <w:r>
        <w:rPr>
          <w:rFonts w:cs="Times New Roman"/>
        </w:rPr>
        <w:t>表</w:t>
      </w:r>
      <w:r>
        <w:rPr>
          <w:rFonts w:cs="Times New Roman"/>
        </w:rPr>
        <w:t>6.</w:t>
      </w:r>
      <w:r>
        <w:rPr>
          <w:rFonts w:cs="Times New Roman" w:hint="eastAsia"/>
        </w:rPr>
        <w:t>1</w:t>
      </w:r>
      <w:r>
        <w:rPr>
          <w:rFonts w:cs="Times New Roman"/>
        </w:rPr>
        <w:t>-</w:t>
      </w:r>
      <w:r>
        <w:rPr>
          <w:rFonts w:cs="Times New Roman" w:hint="eastAsia"/>
        </w:rPr>
        <w:t>3</w:t>
      </w:r>
      <w:r>
        <w:rPr>
          <w:rFonts w:cs="Times New Roman"/>
        </w:rPr>
        <w:t xml:space="preserve">   </w:t>
      </w:r>
      <w:r>
        <w:rPr>
          <w:rFonts w:cs="Times New Roman"/>
        </w:rPr>
        <w:t>施工噪声随距离的衰减情况</w:t>
      </w:r>
      <w:r>
        <w:rPr>
          <w:rFonts w:cs="Times New Roman"/>
        </w:rPr>
        <w:t xml:space="preserve">  </w:t>
      </w:r>
      <w:r>
        <w:rPr>
          <w:rFonts w:cs="Times New Roman"/>
        </w:rPr>
        <w:t>单位：</w:t>
      </w:r>
      <w:r>
        <w:rPr>
          <w:rFonts w:cs="Times New Roman"/>
        </w:rPr>
        <w:t>dB</w:t>
      </w:r>
      <w:r>
        <w:rPr>
          <w:rFonts w:cs="Times New Roman"/>
        </w:rPr>
        <w:t>（</w:t>
      </w:r>
      <w:r>
        <w:rPr>
          <w:rFonts w:cs="Times New Roman"/>
        </w:rPr>
        <w:t>A</w:t>
      </w:r>
      <w:r>
        <w:rPr>
          <w:rFonts w:cs="Times New Roman"/>
        </w:rPr>
        <w:t>）</w:t>
      </w:r>
    </w:p>
    <w:tbl>
      <w:tblPr>
        <w:tblW w:w="5000" w:type="pct"/>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tblPr>
      <w:tblGrid>
        <w:gridCol w:w="1865"/>
        <w:gridCol w:w="1073"/>
        <w:gridCol w:w="1078"/>
        <w:gridCol w:w="1073"/>
        <w:gridCol w:w="1073"/>
        <w:gridCol w:w="1073"/>
        <w:gridCol w:w="1071"/>
      </w:tblGrid>
      <w:tr w:rsidR="00BD5820">
        <w:trPr>
          <w:trHeight w:val="20"/>
          <w:jc w:val="center"/>
        </w:trPr>
        <w:tc>
          <w:tcPr>
            <w:tcW w:w="1122" w:type="pct"/>
            <w:vAlign w:val="center"/>
          </w:tcPr>
          <w:p w:rsidR="00BD5820" w:rsidRDefault="00F64314">
            <w:pPr>
              <w:pStyle w:val="afff1"/>
              <w:rPr>
                <w:b/>
                <w:bCs/>
              </w:rPr>
            </w:pPr>
            <w:r>
              <w:rPr>
                <w:b/>
                <w:bCs/>
              </w:rPr>
              <w:t>距离（</w:t>
            </w:r>
            <w:r>
              <w:rPr>
                <w:b/>
                <w:bCs/>
              </w:rPr>
              <w:t>m</w:t>
            </w:r>
            <w:r>
              <w:rPr>
                <w:b/>
                <w:bCs/>
              </w:rPr>
              <w:t>）</w:t>
            </w:r>
          </w:p>
        </w:tc>
        <w:tc>
          <w:tcPr>
            <w:tcW w:w="646" w:type="pct"/>
            <w:vAlign w:val="center"/>
          </w:tcPr>
          <w:p w:rsidR="00BD5820" w:rsidRDefault="00F64314">
            <w:pPr>
              <w:pStyle w:val="afff1"/>
              <w:rPr>
                <w:b/>
                <w:bCs/>
              </w:rPr>
            </w:pPr>
            <w:r>
              <w:rPr>
                <w:b/>
                <w:bCs/>
              </w:rPr>
              <w:t>10</w:t>
            </w:r>
          </w:p>
        </w:tc>
        <w:tc>
          <w:tcPr>
            <w:tcW w:w="649" w:type="pct"/>
            <w:vAlign w:val="center"/>
          </w:tcPr>
          <w:p w:rsidR="00BD5820" w:rsidRDefault="00F64314">
            <w:pPr>
              <w:pStyle w:val="afff1"/>
              <w:rPr>
                <w:b/>
                <w:bCs/>
              </w:rPr>
            </w:pPr>
            <w:r>
              <w:rPr>
                <w:b/>
                <w:bCs/>
              </w:rPr>
              <w:t>20</w:t>
            </w:r>
          </w:p>
        </w:tc>
        <w:tc>
          <w:tcPr>
            <w:tcW w:w="646" w:type="pct"/>
            <w:vAlign w:val="center"/>
          </w:tcPr>
          <w:p w:rsidR="00BD5820" w:rsidRDefault="00F64314">
            <w:pPr>
              <w:pStyle w:val="afff1"/>
              <w:rPr>
                <w:b/>
                <w:bCs/>
              </w:rPr>
            </w:pPr>
            <w:r>
              <w:rPr>
                <w:b/>
                <w:bCs/>
              </w:rPr>
              <w:t>40</w:t>
            </w:r>
          </w:p>
        </w:tc>
        <w:tc>
          <w:tcPr>
            <w:tcW w:w="646" w:type="pct"/>
            <w:vAlign w:val="center"/>
          </w:tcPr>
          <w:p w:rsidR="00BD5820" w:rsidRDefault="00F64314">
            <w:pPr>
              <w:pStyle w:val="afff1"/>
              <w:rPr>
                <w:b/>
                <w:bCs/>
              </w:rPr>
            </w:pPr>
            <w:r>
              <w:rPr>
                <w:b/>
                <w:bCs/>
              </w:rPr>
              <w:t>80</w:t>
            </w:r>
          </w:p>
        </w:tc>
        <w:tc>
          <w:tcPr>
            <w:tcW w:w="646" w:type="pct"/>
            <w:vAlign w:val="center"/>
          </w:tcPr>
          <w:p w:rsidR="00BD5820" w:rsidRDefault="00F64314">
            <w:pPr>
              <w:pStyle w:val="afff1"/>
              <w:rPr>
                <w:b/>
                <w:bCs/>
              </w:rPr>
            </w:pPr>
            <w:r>
              <w:rPr>
                <w:b/>
                <w:bCs/>
              </w:rPr>
              <w:t>100</w:t>
            </w:r>
          </w:p>
        </w:tc>
        <w:tc>
          <w:tcPr>
            <w:tcW w:w="646" w:type="pct"/>
            <w:vAlign w:val="center"/>
          </w:tcPr>
          <w:p w:rsidR="00BD5820" w:rsidRDefault="00F64314">
            <w:pPr>
              <w:pStyle w:val="afff1"/>
              <w:rPr>
                <w:b/>
                <w:bCs/>
              </w:rPr>
            </w:pPr>
            <w:r>
              <w:rPr>
                <w:b/>
                <w:bCs/>
              </w:rPr>
              <w:t>200</w:t>
            </w:r>
          </w:p>
        </w:tc>
      </w:tr>
      <w:tr w:rsidR="00BD5820">
        <w:trPr>
          <w:trHeight w:val="20"/>
          <w:jc w:val="center"/>
        </w:trPr>
        <w:tc>
          <w:tcPr>
            <w:tcW w:w="1122" w:type="pct"/>
            <w:vAlign w:val="center"/>
          </w:tcPr>
          <w:p w:rsidR="00BD5820" w:rsidRDefault="00F64314">
            <w:pPr>
              <w:pStyle w:val="afff1"/>
            </w:pPr>
            <w:r>
              <w:t>挖掘机</w:t>
            </w:r>
          </w:p>
        </w:tc>
        <w:tc>
          <w:tcPr>
            <w:tcW w:w="646" w:type="pct"/>
            <w:vAlign w:val="center"/>
          </w:tcPr>
          <w:p w:rsidR="00BD5820" w:rsidRDefault="00F64314">
            <w:pPr>
              <w:pStyle w:val="afff1"/>
            </w:pPr>
            <w:r>
              <w:t>72</w:t>
            </w:r>
          </w:p>
        </w:tc>
        <w:tc>
          <w:tcPr>
            <w:tcW w:w="649" w:type="pct"/>
            <w:vAlign w:val="center"/>
          </w:tcPr>
          <w:p w:rsidR="00BD5820" w:rsidRDefault="00F64314">
            <w:pPr>
              <w:pStyle w:val="afff1"/>
            </w:pPr>
            <w:r>
              <w:t>66</w:t>
            </w:r>
          </w:p>
        </w:tc>
        <w:tc>
          <w:tcPr>
            <w:tcW w:w="646" w:type="pct"/>
            <w:vAlign w:val="center"/>
          </w:tcPr>
          <w:p w:rsidR="00BD5820" w:rsidRDefault="00F64314">
            <w:pPr>
              <w:pStyle w:val="afff1"/>
            </w:pPr>
            <w:r>
              <w:t>60</w:t>
            </w:r>
          </w:p>
        </w:tc>
        <w:tc>
          <w:tcPr>
            <w:tcW w:w="646" w:type="pct"/>
            <w:vAlign w:val="center"/>
          </w:tcPr>
          <w:p w:rsidR="00BD5820" w:rsidRDefault="00F64314">
            <w:pPr>
              <w:pStyle w:val="afff1"/>
            </w:pPr>
            <w:r>
              <w:t>54</w:t>
            </w:r>
          </w:p>
        </w:tc>
        <w:tc>
          <w:tcPr>
            <w:tcW w:w="646" w:type="pct"/>
            <w:vAlign w:val="center"/>
          </w:tcPr>
          <w:p w:rsidR="00BD5820" w:rsidRDefault="00F64314">
            <w:pPr>
              <w:pStyle w:val="afff1"/>
            </w:pPr>
            <w:r>
              <w:t>52</w:t>
            </w:r>
          </w:p>
        </w:tc>
        <w:tc>
          <w:tcPr>
            <w:tcW w:w="646" w:type="pct"/>
            <w:vAlign w:val="center"/>
          </w:tcPr>
          <w:p w:rsidR="00BD5820" w:rsidRDefault="00F64314">
            <w:pPr>
              <w:pStyle w:val="afff1"/>
            </w:pPr>
            <w:r>
              <w:t>46</w:t>
            </w:r>
          </w:p>
        </w:tc>
      </w:tr>
      <w:tr w:rsidR="00BD5820">
        <w:trPr>
          <w:trHeight w:val="20"/>
          <w:jc w:val="center"/>
        </w:trPr>
        <w:tc>
          <w:tcPr>
            <w:tcW w:w="1122" w:type="pct"/>
            <w:vAlign w:val="center"/>
          </w:tcPr>
          <w:p w:rsidR="00BD5820" w:rsidRDefault="00F64314">
            <w:pPr>
              <w:pStyle w:val="afff1"/>
            </w:pPr>
            <w:r>
              <w:t>吊管机</w:t>
            </w:r>
          </w:p>
        </w:tc>
        <w:tc>
          <w:tcPr>
            <w:tcW w:w="646" w:type="pct"/>
            <w:vAlign w:val="center"/>
          </w:tcPr>
          <w:p w:rsidR="00BD5820" w:rsidRDefault="00F64314">
            <w:pPr>
              <w:pStyle w:val="afff1"/>
            </w:pPr>
            <w:r>
              <w:t>68</w:t>
            </w:r>
          </w:p>
        </w:tc>
        <w:tc>
          <w:tcPr>
            <w:tcW w:w="649" w:type="pct"/>
            <w:vAlign w:val="center"/>
          </w:tcPr>
          <w:p w:rsidR="00BD5820" w:rsidRDefault="00F64314">
            <w:pPr>
              <w:pStyle w:val="afff1"/>
            </w:pPr>
            <w:r>
              <w:t>62</w:t>
            </w:r>
          </w:p>
        </w:tc>
        <w:tc>
          <w:tcPr>
            <w:tcW w:w="646" w:type="pct"/>
            <w:vAlign w:val="center"/>
          </w:tcPr>
          <w:p w:rsidR="00BD5820" w:rsidRDefault="00F64314">
            <w:pPr>
              <w:pStyle w:val="afff1"/>
            </w:pPr>
            <w:r>
              <w:t>56</w:t>
            </w:r>
          </w:p>
        </w:tc>
        <w:tc>
          <w:tcPr>
            <w:tcW w:w="646" w:type="pct"/>
            <w:vAlign w:val="center"/>
          </w:tcPr>
          <w:p w:rsidR="00BD5820" w:rsidRDefault="00F64314">
            <w:pPr>
              <w:pStyle w:val="afff1"/>
            </w:pPr>
            <w:r>
              <w:t>50</w:t>
            </w:r>
          </w:p>
        </w:tc>
        <w:tc>
          <w:tcPr>
            <w:tcW w:w="646" w:type="pct"/>
            <w:vAlign w:val="center"/>
          </w:tcPr>
          <w:p w:rsidR="00BD5820" w:rsidRDefault="00F64314">
            <w:pPr>
              <w:pStyle w:val="afff1"/>
            </w:pPr>
            <w:r>
              <w:t>48</w:t>
            </w:r>
          </w:p>
        </w:tc>
        <w:tc>
          <w:tcPr>
            <w:tcW w:w="646" w:type="pct"/>
            <w:vAlign w:val="center"/>
          </w:tcPr>
          <w:p w:rsidR="00BD5820" w:rsidRDefault="00F64314">
            <w:pPr>
              <w:pStyle w:val="afff1"/>
            </w:pPr>
            <w:r>
              <w:t>42</w:t>
            </w:r>
          </w:p>
        </w:tc>
      </w:tr>
      <w:tr w:rsidR="00BD5820">
        <w:trPr>
          <w:trHeight w:val="20"/>
          <w:jc w:val="center"/>
        </w:trPr>
        <w:tc>
          <w:tcPr>
            <w:tcW w:w="1122" w:type="pct"/>
            <w:vAlign w:val="center"/>
          </w:tcPr>
          <w:p w:rsidR="00BD5820" w:rsidRDefault="00F64314">
            <w:pPr>
              <w:pStyle w:val="afff1"/>
            </w:pPr>
            <w:r>
              <w:t>电焊机</w:t>
            </w:r>
          </w:p>
        </w:tc>
        <w:tc>
          <w:tcPr>
            <w:tcW w:w="646" w:type="pct"/>
            <w:vAlign w:val="center"/>
          </w:tcPr>
          <w:p w:rsidR="00BD5820" w:rsidRDefault="00F64314">
            <w:pPr>
              <w:pStyle w:val="afff1"/>
            </w:pPr>
            <w:r>
              <w:t>65</w:t>
            </w:r>
          </w:p>
        </w:tc>
        <w:tc>
          <w:tcPr>
            <w:tcW w:w="649" w:type="pct"/>
            <w:vAlign w:val="center"/>
          </w:tcPr>
          <w:p w:rsidR="00BD5820" w:rsidRDefault="00F64314">
            <w:pPr>
              <w:pStyle w:val="afff1"/>
            </w:pPr>
            <w:r>
              <w:t>59</w:t>
            </w:r>
          </w:p>
        </w:tc>
        <w:tc>
          <w:tcPr>
            <w:tcW w:w="646" w:type="pct"/>
            <w:vAlign w:val="center"/>
          </w:tcPr>
          <w:p w:rsidR="00BD5820" w:rsidRDefault="00F64314">
            <w:pPr>
              <w:pStyle w:val="afff1"/>
            </w:pPr>
            <w:r>
              <w:t>53</w:t>
            </w:r>
          </w:p>
        </w:tc>
        <w:tc>
          <w:tcPr>
            <w:tcW w:w="646" w:type="pct"/>
            <w:vAlign w:val="center"/>
          </w:tcPr>
          <w:p w:rsidR="00BD5820" w:rsidRDefault="00F64314">
            <w:pPr>
              <w:pStyle w:val="afff1"/>
            </w:pPr>
            <w:r>
              <w:t>47</w:t>
            </w:r>
          </w:p>
        </w:tc>
        <w:tc>
          <w:tcPr>
            <w:tcW w:w="646" w:type="pct"/>
            <w:vAlign w:val="center"/>
          </w:tcPr>
          <w:p w:rsidR="00BD5820" w:rsidRDefault="00F64314">
            <w:pPr>
              <w:pStyle w:val="afff1"/>
            </w:pPr>
            <w:r>
              <w:t>45</w:t>
            </w:r>
          </w:p>
        </w:tc>
        <w:tc>
          <w:tcPr>
            <w:tcW w:w="646" w:type="pct"/>
            <w:vAlign w:val="center"/>
          </w:tcPr>
          <w:p w:rsidR="00BD5820" w:rsidRDefault="00F64314">
            <w:pPr>
              <w:pStyle w:val="afff1"/>
            </w:pPr>
            <w:r>
              <w:t>39</w:t>
            </w:r>
          </w:p>
        </w:tc>
      </w:tr>
      <w:tr w:rsidR="00BD5820">
        <w:trPr>
          <w:trHeight w:val="20"/>
          <w:jc w:val="center"/>
        </w:trPr>
        <w:tc>
          <w:tcPr>
            <w:tcW w:w="1122" w:type="pct"/>
            <w:vAlign w:val="center"/>
          </w:tcPr>
          <w:p w:rsidR="00BD5820" w:rsidRDefault="00F64314">
            <w:pPr>
              <w:pStyle w:val="afff1"/>
            </w:pPr>
            <w:r>
              <w:t>推土机</w:t>
            </w:r>
          </w:p>
        </w:tc>
        <w:tc>
          <w:tcPr>
            <w:tcW w:w="646" w:type="pct"/>
            <w:vAlign w:val="center"/>
          </w:tcPr>
          <w:p w:rsidR="00BD5820" w:rsidRDefault="00F64314">
            <w:pPr>
              <w:pStyle w:val="afff1"/>
            </w:pPr>
            <w:r>
              <w:t>70</w:t>
            </w:r>
          </w:p>
        </w:tc>
        <w:tc>
          <w:tcPr>
            <w:tcW w:w="649" w:type="pct"/>
            <w:vAlign w:val="center"/>
          </w:tcPr>
          <w:p w:rsidR="00BD5820" w:rsidRDefault="00F64314">
            <w:pPr>
              <w:pStyle w:val="afff1"/>
            </w:pPr>
            <w:r>
              <w:t>64</w:t>
            </w:r>
          </w:p>
        </w:tc>
        <w:tc>
          <w:tcPr>
            <w:tcW w:w="646" w:type="pct"/>
            <w:vAlign w:val="center"/>
          </w:tcPr>
          <w:p w:rsidR="00BD5820" w:rsidRDefault="00F64314">
            <w:pPr>
              <w:pStyle w:val="afff1"/>
            </w:pPr>
            <w:r>
              <w:t>58</w:t>
            </w:r>
          </w:p>
        </w:tc>
        <w:tc>
          <w:tcPr>
            <w:tcW w:w="646" w:type="pct"/>
            <w:vAlign w:val="center"/>
          </w:tcPr>
          <w:p w:rsidR="00BD5820" w:rsidRDefault="00F64314">
            <w:pPr>
              <w:pStyle w:val="afff1"/>
            </w:pPr>
            <w:r>
              <w:t>52</w:t>
            </w:r>
          </w:p>
        </w:tc>
        <w:tc>
          <w:tcPr>
            <w:tcW w:w="646" w:type="pct"/>
            <w:vAlign w:val="center"/>
          </w:tcPr>
          <w:p w:rsidR="00BD5820" w:rsidRDefault="00F64314">
            <w:pPr>
              <w:pStyle w:val="afff1"/>
            </w:pPr>
            <w:r>
              <w:t>50</w:t>
            </w:r>
          </w:p>
        </w:tc>
        <w:tc>
          <w:tcPr>
            <w:tcW w:w="646" w:type="pct"/>
            <w:vAlign w:val="center"/>
          </w:tcPr>
          <w:p w:rsidR="00BD5820" w:rsidRDefault="00F64314">
            <w:pPr>
              <w:pStyle w:val="afff1"/>
            </w:pPr>
            <w:r>
              <w:t>44</w:t>
            </w:r>
          </w:p>
        </w:tc>
      </w:tr>
      <w:tr w:rsidR="00BD5820">
        <w:trPr>
          <w:trHeight w:val="20"/>
          <w:jc w:val="center"/>
        </w:trPr>
        <w:tc>
          <w:tcPr>
            <w:tcW w:w="1122" w:type="pct"/>
            <w:vAlign w:val="center"/>
          </w:tcPr>
          <w:p w:rsidR="00BD5820" w:rsidRDefault="00F64314">
            <w:pPr>
              <w:pStyle w:val="afff1"/>
            </w:pPr>
            <w:r>
              <w:t>混凝土搅拌机</w:t>
            </w:r>
          </w:p>
        </w:tc>
        <w:tc>
          <w:tcPr>
            <w:tcW w:w="646" w:type="pct"/>
            <w:vAlign w:val="center"/>
          </w:tcPr>
          <w:p w:rsidR="00BD5820" w:rsidRDefault="00F64314">
            <w:pPr>
              <w:pStyle w:val="afff1"/>
            </w:pPr>
            <w:r>
              <w:t>75</w:t>
            </w:r>
          </w:p>
        </w:tc>
        <w:tc>
          <w:tcPr>
            <w:tcW w:w="649" w:type="pct"/>
            <w:vAlign w:val="center"/>
          </w:tcPr>
          <w:p w:rsidR="00BD5820" w:rsidRDefault="00F64314">
            <w:pPr>
              <w:pStyle w:val="afff1"/>
            </w:pPr>
            <w:r>
              <w:t>69</w:t>
            </w:r>
          </w:p>
        </w:tc>
        <w:tc>
          <w:tcPr>
            <w:tcW w:w="646" w:type="pct"/>
            <w:vAlign w:val="center"/>
          </w:tcPr>
          <w:p w:rsidR="00BD5820" w:rsidRDefault="00F64314">
            <w:pPr>
              <w:pStyle w:val="afff1"/>
            </w:pPr>
            <w:r>
              <w:t>63</w:t>
            </w:r>
          </w:p>
        </w:tc>
        <w:tc>
          <w:tcPr>
            <w:tcW w:w="646" w:type="pct"/>
            <w:vAlign w:val="center"/>
          </w:tcPr>
          <w:p w:rsidR="00BD5820" w:rsidRDefault="00F64314">
            <w:pPr>
              <w:pStyle w:val="afff1"/>
            </w:pPr>
            <w:r>
              <w:t>57</w:t>
            </w:r>
          </w:p>
        </w:tc>
        <w:tc>
          <w:tcPr>
            <w:tcW w:w="646" w:type="pct"/>
            <w:vAlign w:val="center"/>
          </w:tcPr>
          <w:p w:rsidR="00BD5820" w:rsidRDefault="00F64314">
            <w:pPr>
              <w:pStyle w:val="afff1"/>
            </w:pPr>
            <w:r>
              <w:t>55</w:t>
            </w:r>
          </w:p>
        </w:tc>
        <w:tc>
          <w:tcPr>
            <w:tcW w:w="646" w:type="pct"/>
            <w:vAlign w:val="center"/>
          </w:tcPr>
          <w:p w:rsidR="00BD5820" w:rsidRDefault="00F64314">
            <w:pPr>
              <w:pStyle w:val="afff1"/>
            </w:pPr>
            <w:r>
              <w:t>49</w:t>
            </w:r>
          </w:p>
        </w:tc>
      </w:tr>
      <w:tr w:rsidR="00BD5820">
        <w:trPr>
          <w:trHeight w:val="20"/>
          <w:jc w:val="center"/>
        </w:trPr>
        <w:tc>
          <w:tcPr>
            <w:tcW w:w="1122" w:type="pct"/>
            <w:vAlign w:val="center"/>
          </w:tcPr>
          <w:p w:rsidR="00BD5820" w:rsidRDefault="00F64314">
            <w:pPr>
              <w:pStyle w:val="afff1"/>
            </w:pPr>
            <w:r>
              <w:t>混凝土翻斗车</w:t>
            </w:r>
          </w:p>
        </w:tc>
        <w:tc>
          <w:tcPr>
            <w:tcW w:w="646" w:type="pct"/>
            <w:vAlign w:val="center"/>
          </w:tcPr>
          <w:p w:rsidR="00BD5820" w:rsidRDefault="00F64314">
            <w:pPr>
              <w:pStyle w:val="afff1"/>
            </w:pPr>
            <w:r>
              <w:t>75</w:t>
            </w:r>
          </w:p>
        </w:tc>
        <w:tc>
          <w:tcPr>
            <w:tcW w:w="649" w:type="pct"/>
            <w:vAlign w:val="center"/>
          </w:tcPr>
          <w:p w:rsidR="00BD5820" w:rsidRDefault="00F64314">
            <w:pPr>
              <w:pStyle w:val="afff1"/>
            </w:pPr>
            <w:r>
              <w:t>69</w:t>
            </w:r>
          </w:p>
        </w:tc>
        <w:tc>
          <w:tcPr>
            <w:tcW w:w="646" w:type="pct"/>
            <w:vAlign w:val="center"/>
          </w:tcPr>
          <w:p w:rsidR="00BD5820" w:rsidRDefault="00F64314">
            <w:pPr>
              <w:pStyle w:val="afff1"/>
            </w:pPr>
            <w:r>
              <w:t>63</w:t>
            </w:r>
          </w:p>
        </w:tc>
        <w:tc>
          <w:tcPr>
            <w:tcW w:w="646" w:type="pct"/>
            <w:vAlign w:val="center"/>
          </w:tcPr>
          <w:p w:rsidR="00BD5820" w:rsidRDefault="00F64314">
            <w:pPr>
              <w:pStyle w:val="afff1"/>
            </w:pPr>
            <w:r>
              <w:t>57</w:t>
            </w:r>
          </w:p>
        </w:tc>
        <w:tc>
          <w:tcPr>
            <w:tcW w:w="646" w:type="pct"/>
            <w:vAlign w:val="center"/>
          </w:tcPr>
          <w:p w:rsidR="00BD5820" w:rsidRDefault="00F64314">
            <w:pPr>
              <w:pStyle w:val="afff1"/>
            </w:pPr>
            <w:r>
              <w:t>55</w:t>
            </w:r>
          </w:p>
        </w:tc>
        <w:tc>
          <w:tcPr>
            <w:tcW w:w="646" w:type="pct"/>
            <w:vAlign w:val="center"/>
          </w:tcPr>
          <w:p w:rsidR="00BD5820" w:rsidRDefault="00F64314">
            <w:pPr>
              <w:pStyle w:val="afff1"/>
            </w:pPr>
            <w:r>
              <w:t>49</w:t>
            </w:r>
          </w:p>
        </w:tc>
      </w:tr>
      <w:tr w:rsidR="00BD5820">
        <w:trPr>
          <w:trHeight w:val="20"/>
          <w:jc w:val="center"/>
        </w:trPr>
        <w:tc>
          <w:tcPr>
            <w:tcW w:w="1122" w:type="pct"/>
            <w:vAlign w:val="center"/>
          </w:tcPr>
          <w:p w:rsidR="00BD5820" w:rsidRDefault="00F64314">
            <w:pPr>
              <w:pStyle w:val="afff1"/>
            </w:pPr>
            <w:r>
              <w:t>切割机</w:t>
            </w:r>
          </w:p>
        </w:tc>
        <w:tc>
          <w:tcPr>
            <w:tcW w:w="646" w:type="pct"/>
            <w:vAlign w:val="center"/>
          </w:tcPr>
          <w:p w:rsidR="00BD5820" w:rsidRDefault="00F64314">
            <w:pPr>
              <w:pStyle w:val="afff1"/>
            </w:pPr>
            <w:r>
              <w:t>75</w:t>
            </w:r>
          </w:p>
        </w:tc>
        <w:tc>
          <w:tcPr>
            <w:tcW w:w="649" w:type="pct"/>
            <w:vAlign w:val="center"/>
          </w:tcPr>
          <w:p w:rsidR="00BD5820" w:rsidRDefault="00F64314">
            <w:pPr>
              <w:pStyle w:val="afff1"/>
            </w:pPr>
            <w:r>
              <w:t>69</w:t>
            </w:r>
          </w:p>
        </w:tc>
        <w:tc>
          <w:tcPr>
            <w:tcW w:w="646" w:type="pct"/>
            <w:vAlign w:val="center"/>
          </w:tcPr>
          <w:p w:rsidR="00BD5820" w:rsidRDefault="00F64314">
            <w:pPr>
              <w:pStyle w:val="afff1"/>
            </w:pPr>
            <w:r>
              <w:t>63</w:t>
            </w:r>
          </w:p>
        </w:tc>
        <w:tc>
          <w:tcPr>
            <w:tcW w:w="646" w:type="pct"/>
            <w:vAlign w:val="center"/>
          </w:tcPr>
          <w:p w:rsidR="00BD5820" w:rsidRDefault="00F64314">
            <w:pPr>
              <w:pStyle w:val="afff1"/>
            </w:pPr>
            <w:r>
              <w:t>57</w:t>
            </w:r>
          </w:p>
        </w:tc>
        <w:tc>
          <w:tcPr>
            <w:tcW w:w="646" w:type="pct"/>
            <w:vAlign w:val="center"/>
          </w:tcPr>
          <w:p w:rsidR="00BD5820" w:rsidRDefault="00F64314">
            <w:pPr>
              <w:pStyle w:val="afff1"/>
            </w:pPr>
            <w:r>
              <w:t>55</w:t>
            </w:r>
          </w:p>
        </w:tc>
        <w:tc>
          <w:tcPr>
            <w:tcW w:w="646" w:type="pct"/>
            <w:vAlign w:val="center"/>
          </w:tcPr>
          <w:p w:rsidR="00BD5820" w:rsidRDefault="00F64314">
            <w:pPr>
              <w:pStyle w:val="afff1"/>
            </w:pPr>
            <w:r>
              <w:t>49</w:t>
            </w:r>
          </w:p>
        </w:tc>
      </w:tr>
      <w:tr w:rsidR="00BD5820">
        <w:trPr>
          <w:trHeight w:val="20"/>
          <w:jc w:val="center"/>
        </w:trPr>
        <w:tc>
          <w:tcPr>
            <w:tcW w:w="1122" w:type="pct"/>
            <w:vAlign w:val="center"/>
          </w:tcPr>
          <w:p w:rsidR="00BD5820" w:rsidRDefault="00F64314">
            <w:pPr>
              <w:pStyle w:val="afff1"/>
            </w:pPr>
            <w:r>
              <w:t>润滑油发电机</w:t>
            </w:r>
          </w:p>
        </w:tc>
        <w:tc>
          <w:tcPr>
            <w:tcW w:w="646" w:type="pct"/>
            <w:vAlign w:val="center"/>
          </w:tcPr>
          <w:p w:rsidR="00BD5820" w:rsidRDefault="00F64314">
            <w:pPr>
              <w:pStyle w:val="afff1"/>
            </w:pPr>
            <w:r>
              <w:t>80</w:t>
            </w:r>
          </w:p>
        </w:tc>
        <w:tc>
          <w:tcPr>
            <w:tcW w:w="649" w:type="pct"/>
            <w:vAlign w:val="center"/>
          </w:tcPr>
          <w:p w:rsidR="00BD5820" w:rsidRDefault="00F64314">
            <w:pPr>
              <w:pStyle w:val="afff1"/>
            </w:pPr>
            <w:r>
              <w:t>74</w:t>
            </w:r>
          </w:p>
        </w:tc>
        <w:tc>
          <w:tcPr>
            <w:tcW w:w="646" w:type="pct"/>
            <w:vAlign w:val="center"/>
          </w:tcPr>
          <w:p w:rsidR="00BD5820" w:rsidRDefault="00F64314">
            <w:pPr>
              <w:pStyle w:val="afff1"/>
            </w:pPr>
            <w:r>
              <w:t>68</w:t>
            </w:r>
          </w:p>
        </w:tc>
        <w:tc>
          <w:tcPr>
            <w:tcW w:w="646" w:type="pct"/>
            <w:vAlign w:val="center"/>
          </w:tcPr>
          <w:p w:rsidR="00BD5820" w:rsidRDefault="00F64314">
            <w:pPr>
              <w:pStyle w:val="afff1"/>
            </w:pPr>
            <w:r>
              <w:t>62</w:t>
            </w:r>
          </w:p>
        </w:tc>
        <w:tc>
          <w:tcPr>
            <w:tcW w:w="646" w:type="pct"/>
            <w:vAlign w:val="center"/>
          </w:tcPr>
          <w:p w:rsidR="00BD5820" w:rsidRDefault="00F64314">
            <w:pPr>
              <w:pStyle w:val="afff1"/>
            </w:pPr>
            <w:r>
              <w:t>60</w:t>
            </w:r>
          </w:p>
        </w:tc>
        <w:tc>
          <w:tcPr>
            <w:tcW w:w="646" w:type="pct"/>
            <w:vAlign w:val="center"/>
          </w:tcPr>
          <w:p w:rsidR="00BD5820" w:rsidRDefault="00F64314">
            <w:pPr>
              <w:pStyle w:val="afff1"/>
            </w:pPr>
            <w:r>
              <w:t>54</w:t>
            </w:r>
          </w:p>
        </w:tc>
      </w:tr>
      <w:tr w:rsidR="00BD5820">
        <w:trPr>
          <w:trHeight w:val="20"/>
          <w:jc w:val="center"/>
        </w:trPr>
        <w:tc>
          <w:tcPr>
            <w:tcW w:w="1122" w:type="pct"/>
            <w:vAlign w:val="center"/>
          </w:tcPr>
          <w:p w:rsidR="00BD5820" w:rsidRDefault="00F64314">
            <w:pPr>
              <w:pStyle w:val="afff1"/>
            </w:pPr>
            <w:r>
              <w:t>混凝土震动棒</w:t>
            </w:r>
          </w:p>
        </w:tc>
        <w:tc>
          <w:tcPr>
            <w:tcW w:w="646" w:type="pct"/>
            <w:vAlign w:val="center"/>
          </w:tcPr>
          <w:p w:rsidR="00BD5820" w:rsidRDefault="00F64314">
            <w:pPr>
              <w:pStyle w:val="afff1"/>
            </w:pPr>
            <w:r>
              <w:t>85</w:t>
            </w:r>
          </w:p>
        </w:tc>
        <w:tc>
          <w:tcPr>
            <w:tcW w:w="649" w:type="pct"/>
            <w:vAlign w:val="center"/>
          </w:tcPr>
          <w:p w:rsidR="00BD5820" w:rsidRDefault="00F64314">
            <w:pPr>
              <w:pStyle w:val="afff1"/>
            </w:pPr>
            <w:r>
              <w:t>79</w:t>
            </w:r>
          </w:p>
        </w:tc>
        <w:tc>
          <w:tcPr>
            <w:tcW w:w="646" w:type="pct"/>
            <w:vAlign w:val="center"/>
          </w:tcPr>
          <w:p w:rsidR="00BD5820" w:rsidRDefault="00F64314">
            <w:pPr>
              <w:pStyle w:val="afff1"/>
            </w:pPr>
            <w:r>
              <w:t>73</w:t>
            </w:r>
          </w:p>
        </w:tc>
        <w:tc>
          <w:tcPr>
            <w:tcW w:w="646" w:type="pct"/>
            <w:vAlign w:val="center"/>
          </w:tcPr>
          <w:p w:rsidR="00BD5820" w:rsidRDefault="00F64314">
            <w:pPr>
              <w:pStyle w:val="afff1"/>
            </w:pPr>
            <w:r>
              <w:t>67</w:t>
            </w:r>
          </w:p>
        </w:tc>
        <w:tc>
          <w:tcPr>
            <w:tcW w:w="646" w:type="pct"/>
            <w:vAlign w:val="center"/>
          </w:tcPr>
          <w:p w:rsidR="00BD5820" w:rsidRDefault="00F64314">
            <w:pPr>
              <w:pStyle w:val="afff1"/>
            </w:pPr>
            <w:r>
              <w:t>65</w:t>
            </w:r>
          </w:p>
        </w:tc>
        <w:tc>
          <w:tcPr>
            <w:tcW w:w="646" w:type="pct"/>
            <w:vAlign w:val="center"/>
          </w:tcPr>
          <w:p w:rsidR="00BD5820" w:rsidRDefault="00F64314">
            <w:pPr>
              <w:pStyle w:val="afff1"/>
            </w:pPr>
            <w:r>
              <w:t>59</w:t>
            </w:r>
          </w:p>
        </w:tc>
      </w:tr>
    </w:tbl>
    <w:p w:rsidR="00BD5820" w:rsidRDefault="00F64314">
      <w:pPr>
        <w:pStyle w:val="affa"/>
        <w:ind w:firstLine="480"/>
      </w:pPr>
      <w:r>
        <w:t>在线路施工中，使用挖掘机的时间较长，噪声强度较高，持续时间较长，而其它施工机械如混凝土震捣棒、混凝土搅拌机、混凝土翻斗车、切割机、推土机等一般间歇使用，且施工时间较短，故挖掘机施工噪声基本反映了管线施工噪声的影响水平。</w:t>
      </w:r>
    </w:p>
    <w:p w:rsidR="00BD5820" w:rsidRDefault="00F64314">
      <w:pPr>
        <w:pStyle w:val="affa"/>
        <w:ind w:firstLine="480"/>
      </w:pPr>
      <w:r>
        <w:t>从计算结果可以看出：主要机械在</w:t>
      </w:r>
      <w:r>
        <w:t>40m</w:t>
      </w:r>
      <w:r>
        <w:t>以外均不超过建筑物施工场界昼间噪声限值</w:t>
      </w:r>
      <w:r>
        <w:t>75dB</w:t>
      </w:r>
      <w:r>
        <w:t>（</w:t>
      </w:r>
      <w:r>
        <w:t>A</w:t>
      </w:r>
      <w:r>
        <w:t>），而在夜间若不超过</w:t>
      </w:r>
      <w:r>
        <w:t>55dB</w:t>
      </w:r>
      <w:r>
        <w:t>（</w:t>
      </w:r>
      <w:r>
        <w:t>A</w:t>
      </w:r>
      <w:r>
        <w:t>）的标准，其距离要远到</w:t>
      </w:r>
      <w:r>
        <w:t>200m</w:t>
      </w:r>
      <w:r>
        <w:t>以上，且不适用产噪设备较大的混凝土震动棒。</w:t>
      </w:r>
    </w:p>
    <w:p w:rsidR="00BD5820" w:rsidRDefault="00F64314">
      <w:pPr>
        <w:pStyle w:val="affa"/>
        <w:ind w:firstLine="480"/>
      </w:pPr>
      <w:r>
        <w:t>由于管线所经地区敏感目标主要是农村居住区。对于采用机械施工的地段，预测参照《声环境质量噪声标准》进行评价。</w:t>
      </w:r>
    </w:p>
    <w:p w:rsidR="00BD5820" w:rsidRDefault="00F64314">
      <w:pPr>
        <w:pStyle w:val="affa"/>
        <w:ind w:firstLine="480"/>
      </w:pPr>
      <w:r>
        <w:t>本项目的施工机械混凝土搅拌机、混凝土翻斗机、切割机和润滑油发电机基本在站场施工时使用，使用频率低，挖掘机使用频率最高，因此，以挖掘机为代表说明本项目施工期噪声影响，计算结果可知，本项目施工期设备噪声声级值以施工管道沿线向外逐渐减弱，距声源</w:t>
      </w:r>
      <w:r>
        <w:t>200m</w:t>
      </w:r>
      <w:r>
        <w:t>以外挖掘机的噪声声级值已低于</w:t>
      </w:r>
      <w:r>
        <w:t>54dB</w:t>
      </w:r>
      <w:r>
        <w:rPr>
          <w:rFonts w:hint="eastAsia"/>
        </w:rPr>
        <w:t>（</w:t>
      </w:r>
      <w:r>
        <w:t>A</w:t>
      </w:r>
      <w:r>
        <w:rPr>
          <w:rFonts w:hint="eastAsia"/>
        </w:rPr>
        <w:t>）</w:t>
      </w:r>
      <w:r>
        <w:t>。根据调查，管线沿线两侧</w:t>
      </w:r>
      <w:r>
        <w:t>200m</w:t>
      </w:r>
      <w:r>
        <w:t>内，自然村分布较少，这些敏感点的声环境在施工期会受到施工噪声的影响，噪声水平有不同程度的增加；距管线较近的村庄噪声值会超过标准限值。但是，施工噪声是短暂的且具有分散性，一般在白天施工，不会对夜间声环境产生影响</w:t>
      </w:r>
      <w:r>
        <w:rPr>
          <w:rFonts w:hint="eastAsia"/>
        </w:rPr>
        <w:t>，同时</w:t>
      </w:r>
      <w:r>
        <w:t>施工沿线居民集中点设挡声板。因此，一般施工噪声对周围居民的生活影响不是很大。</w:t>
      </w:r>
    </w:p>
    <w:p w:rsidR="00BD5820" w:rsidRDefault="00F64314">
      <w:pPr>
        <w:pStyle w:val="affa"/>
        <w:ind w:firstLine="480"/>
      </w:pPr>
      <w:r>
        <w:t>（</w:t>
      </w:r>
      <w:r>
        <w:t>3</w:t>
      </w:r>
      <w:r>
        <w:t>）施工期噪声对敏感点影响分析</w:t>
      </w:r>
    </w:p>
    <w:p w:rsidR="00BD5820" w:rsidRDefault="00F64314">
      <w:pPr>
        <w:pStyle w:val="affa"/>
        <w:ind w:firstLine="480"/>
      </w:pPr>
      <w:r>
        <w:rPr>
          <w:rFonts w:hint="eastAsia"/>
        </w:rPr>
        <w:t>由于本项目施工期较短，施工机械使用较少，同时，项目施工噪声是暂时的，</w:t>
      </w:r>
      <w:r>
        <w:rPr>
          <w:rFonts w:hint="eastAsia"/>
        </w:rPr>
        <w:lastRenderedPageBreak/>
        <w:t>将随着施工期的结束而消失，在采取限值车辆行驶速度、合理安排作业时间、采用低噪声设备等措施后，目施工不会对评价范围内声环境造成明显不利影响。</w:t>
      </w:r>
    </w:p>
    <w:p w:rsidR="00BD5820" w:rsidRDefault="00F64314">
      <w:pPr>
        <w:pStyle w:val="3"/>
        <w:rPr>
          <w:rFonts w:eastAsia="宋体"/>
        </w:rPr>
      </w:pPr>
      <w:bookmarkStart w:id="401" w:name="bookmark44"/>
      <w:bookmarkStart w:id="402" w:name="bookmark45"/>
      <w:bookmarkStart w:id="403" w:name="_Toc12288667"/>
      <w:bookmarkStart w:id="404" w:name="_Toc19816065"/>
      <w:bookmarkEnd w:id="401"/>
      <w:bookmarkEnd w:id="402"/>
      <w:r>
        <w:rPr>
          <w:rFonts w:eastAsia="宋体"/>
        </w:rPr>
        <w:t xml:space="preserve">6.1.6 </w:t>
      </w:r>
      <w:r>
        <w:rPr>
          <w:rFonts w:eastAsia="宋体"/>
        </w:rPr>
        <w:t>施工期产生固体废物的影响</w:t>
      </w:r>
      <w:bookmarkEnd w:id="403"/>
      <w:bookmarkEnd w:id="404"/>
    </w:p>
    <w:p w:rsidR="00BD5820" w:rsidRDefault="00F64314">
      <w:pPr>
        <w:pStyle w:val="affa"/>
        <w:ind w:firstLine="480"/>
      </w:pPr>
      <w:r>
        <w:t>施工期产生的固体废物主要为生活垃圾、施工废料、</w:t>
      </w:r>
      <w:r>
        <w:rPr>
          <w:rFonts w:hint="eastAsia"/>
        </w:rPr>
        <w:t>土石方</w:t>
      </w:r>
      <w:r>
        <w:t>等。</w:t>
      </w:r>
    </w:p>
    <w:p w:rsidR="00BD5820" w:rsidRDefault="00F64314">
      <w:pPr>
        <w:pStyle w:val="affa"/>
        <w:ind w:firstLine="482"/>
        <w:rPr>
          <w:b/>
          <w:bCs/>
        </w:rPr>
      </w:pPr>
      <w:bookmarkStart w:id="405" w:name="_Hlk82897241"/>
      <w:r>
        <w:rPr>
          <w:b/>
          <w:bCs/>
        </w:rPr>
        <w:t>1</w:t>
      </w:r>
      <w:r>
        <w:rPr>
          <w:b/>
          <w:bCs/>
        </w:rPr>
        <w:t>、生活垃圾</w:t>
      </w:r>
    </w:p>
    <w:p w:rsidR="00BD5820" w:rsidRDefault="00F64314">
      <w:pPr>
        <w:pStyle w:val="affa"/>
        <w:ind w:firstLine="480"/>
      </w:pPr>
      <w:r>
        <w:t>施工人员垃圾</w:t>
      </w:r>
      <w:r>
        <w:rPr>
          <w:rFonts w:hint="eastAsia"/>
        </w:rPr>
        <w:t>经垃圾</w:t>
      </w:r>
      <w:r>
        <w:t>收集设施收集，统一送环卫部门处理。因此，施工期施工人员生活垃圾不会对当地环境造成影响。</w:t>
      </w:r>
    </w:p>
    <w:p w:rsidR="00BD5820" w:rsidRDefault="00F64314">
      <w:pPr>
        <w:pStyle w:val="affa"/>
        <w:ind w:firstLine="482"/>
        <w:rPr>
          <w:b/>
          <w:bCs/>
        </w:rPr>
      </w:pPr>
      <w:r>
        <w:rPr>
          <w:b/>
          <w:bCs/>
        </w:rPr>
        <w:t>2</w:t>
      </w:r>
      <w:r>
        <w:rPr>
          <w:b/>
          <w:bCs/>
        </w:rPr>
        <w:t>、施工废料</w:t>
      </w:r>
    </w:p>
    <w:p w:rsidR="00BD5820" w:rsidRDefault="00F64314">
      <w:pPr>
        <w:pStyle w:val="affa"/>
        <w:ind w:firstLine="480"/>
      </w:pPr>
      <w:r>
        <w:t>项目管线防腐层均在厂家预制完成，现场无防腐层废料产生，施工废料为管道焊接后废弃的废焊条、焊渣（属于一般固废）及接口处废弃防腐材料及少量废油漆桶。施工废料部分可回收利用，剩余废料交由当地环卫部门处置；一定量的废弃防腐材料及少量废油漆桶由施工单位集中收集，然后交有资质单位处置。</w:t>
      </w:r>
      <w:r>
        <w:t>X</w:t>
      </w:r>
      <w:r>
        <w:t>射线探伤产生一些废弃物（浸润液、感光废弃材料等），由工程探伤检验专业队伍集中收集处置，不在本次评价范围内。</w:t>
      </w:r>
    </w:p>
    <w:p w:rsidR="00BD5820" w:rsidRDefault="00F64314">
      <w:pPr>
        <w:pStyle w:val="affa"/>
        <w:ind w:firstLine="482"/>
        <w:rPr>
          <w:b/>
          <w:bCs/>
        </w:rPr>
      </w:pPr>
      <w:r>
        <w:rPr>
          <w:b/>
          <w:bCs/>
        </w:rPr>
        <w:t>3</w:t>
      </w:r>
      <w:r>
        <w:rPr>
          <w:b/>
          <w:bCs/>
        </w:rPr>
        <w:t>、土石方</w:t>
      </w:r>
    </w:p>
    <w:p w:rsidR="00BD5820" w:rsidRDefault="00F64314">
      <w:pPr>
        <w:pStyle w:val="affa"/>
        <w:ind w:firstLine="480"/>
      </w:pPr>
      <w:r>
        <w:t>项目</w:t>
      </w:r>
      <w:r>
        <w:rPr>
          <w:rFonts w:hint="eastAsia"/>
        </w:rPr>
        <w:t>管沟</w:t>
      </w:r>
      <w:r>
        <w:t>土石方挖填平衡</w:t>
      </w:r>
      <w:r>
        <w:rPr>
          <w:rFonts w:hint="eastAsia"/>
        </w:rPr>
        <w:t>，无</w:t>
      </w:r>
      <w:r>
        <w:t>弃方</w:t>
      </w:r>
      <w:r>
        <w:rPr>
          <w:rFonts w:hint="eastAsia"/>
        </w:rPr>
        <w:t>产生</w:t>
      </w:r>
      <w:r>
        <w:t>。</w:t>
      </w:r>
    </w:p>
    <w:bookmarkEnd w:id="405"/>
    <w:p w:rsidR="00BD5820" w:rsidRDefault="00F64314">
      <w:pPr>
        <w:pStyle w:val="3"/>
        <w:rPr>
          <w:rFonts w:eastAsia="宋体"/>
        </w:rPr>
      </w:pPr>
      <w:r>
        <w:rPr>
          <w:rFonts w:eastAsia="宋体"/>
        </w:rPr>
        <w:t xml:space="preserve">6.1.7 </w:t>
      </w:r>
      <w:r>
        <w:rPr>
          <w:rFonts w:eastAsia="宋体" w:hint="eastAsia"/>
        </w:rPr>
        <w:t>对基础设施影响分析</w:t>
      </w:r>
    </w:p>
    <w:p w:rsidR="00BD5820" w:rsidRDefault="00F64314">
      <w:pPr>
        <w:pStyle w:val="affa"/>
        <w:ind w:firstLine="482"/>
        <w:rPr>
          <w:b/>
          <w:bCs/>
        </w:rPr>
      </w:pPr>
      <w:r>
        <w:rPr>
          <w:rFonts w:hAnsi="Calibri" w:hint="eastAsia"/>
          <w:b/>
          <w:bCs/>
        </w:rPr>
        <w:t>1</w:t>
      </w:r>
      <w:r>
        <w:rPr>
          <w:rFonts w:hAnsi="Calibri" w:hint="eastAsia"/>
          <w:b/>
          <w:bCs/>
        </w:rPr>
        <w:t>、</w:t>
      </w:r>
      <w:r>
        <w:rPr>
          <w:rFonts w:hint="eastAsia"/>
          <w:b/>
          <w:bCs/>
        </w:rPr>
        <w:t>对区域其他管道的影响</w:t>
      </w:r>
    </w:p>
    <w:p w:rsidR="00BD5820" w:rsidRDefault="00F64314">
      <w:pPr>
        <w:pStyle w:val="affa"/>
        <w:ind w:firstLine="480"/>
      </w:pPr>
      <w:r>
        <w:rPr>
          <w:rFonts w:hint="eastAsia"/>
        </w:rPr>
        <w:t>根据工程设计资料和现场踏勘，工程管道沿线区域存在现状天然气管网、国防光缆等，工程管线在路由设计时已留出一定的安全距离，原则上不会对已有管线造成影响。在实际施工中，若调查内容与实际情况有出入，以管线的实际埋设情况为准，如果有线路重合则申请更改该段路线；如果线路交叉，施工时需加强管理，做到文明施工，分层开挖，严禁对交叉管线造成影响和破坏，以免对环境造成次生污染。</w:t>
      </w:r>
    </w:p>
    <w:p w:rsidR="00BD5820" w:rsidRDefault="00F64314">
      <w:pPr>
        <w:pStyle w:val="affa"/>
        <w:ind w:firstLine="482"/>
        <w:rPr>
          <w:b/>
          <w:bCs/>
        </w:rPr>
      </w:pPr>
      <w:r>
        <w:rPr>
          <w:rFonts w:hint="eastAsia"/>
          <w:b/>
          <w:bCs/>
        </w:rPr>
        <w:t>2</w:t>
      </w:r>
      <w:r>
        <w:rPr>
          <w:rFonts w:hint="eastAsia"/>
          <w:b/>
          <w:bCs/>
        </w:rPr>
        <w:t>、对交通的影响</w:t>
      </w:r>
    </w:p>
    <w:p w:rsidR="00BD5820" w:rsidRDefault="00F64314">
      <w:pPr>
        <w:pStyle w:val="affa"/>
        <w:ind w:firstLine="480"/>
      </w:pPr>
      <w:r>
        <w:rPr>
          <w:rFonts w:hint="eastAsia"/>
        </w:rPr>
        <w:t>本项目天然气管道为埋地敷设，施工期施工机械工作时会临时占用道路，施工车辆进出施工场地会增加区域的道路交通量，提高交通噪声影响值，给周边居民的出行带来不便。本项目施工期分段施工，施工机械作业时间较短，尽量减小对管线沿途道路交通的影响。建设单位制定好施工方案和计划，减少对交通的影</w:t>
      </w:r>
      <w:r>
        <w:rPr>
          <w:rFonts w:hint="eastAsia"/>
        </w:rPr>
        <w:lastRenderedPageBreak/>
        <w:t>响，并提前向社会公布，对于出入施工场地的车辆，实施清洁工作，避免影响周边环境。施工期合理安排施工时间，把施工对居民的生活和出行造成的影响降到最低程度。</w:t>
      </w:r>
    </w:p>
    <w:p w:rsidR="00BD5820" w:rsidRDefault="00F64314">
      <w:pPr>
        <w:pStyle w:val="2"/>
        <w:spacing w:before="120"/>
        <w:rPr>
          <w:rFonts w:cs="Times New Roman"/>
        </w:rPr>
      </w:pPr>
      <w:bookmarkStart w:id="406" w:name="_Toc1872"/>
      <w:r>
        <w:rPr>
          <w:rFonts w:cs="Times New Roman"/>
        </w:rPr>
        <w:t xml:space="preserve">6.2 </w:t>
      </w:r>
      <w:r>
        <w:rPr>
          <w:rFonts w:cs="Times New Roman" w:hint="eastAsia"/>
        </w:rPr>
        <w:t>运营期环境影响预测及评价</w:t>
      </w:r>
      <w:bookmarkEnd w:id="406"/>
    </w:p>
    <w:p w:rsidR="00BD5820" w:rsidRDefault="00F64314">
      <w:pPr>
        <w:pStyle w:val="3"/>
        <w:rPr>
          <w:rFonts w:eastAsia="宋体"/>
        </w:rPr>
      </w:pPr>
      <w:r>
        <w:rPr>
          <w:rFonts w:eastAsia="宋体"/>
        </w:rPr>
        <w:t xml:space="preserve">6.2.1 </w:t>
      </w:r>
      <w:r>
        <w:rPr>
          <w:rFonts w:eastAsia="宋体" w:hint="eastAsia"/>
        </w:rPr>
        <w:t>运营期</w:t>
      </w:r>
      <w:r>
        <w:rPr>
          <w:rFonts w:eastAsia="宋体"/>
        </w:rPr>
        <w:t>生态影响分析</w:t>
      </w:r>
    </w:p>
    <w:p w:rsidR="00BD5820" w:rsidRDefault="00F64314">
      <w:pPr>
        <w:pStyle w:val="affa"/>
        <w:ind w:firstLine="482"/>
        <w:rPr>
          <w:b/>
          <w:bCs/>
        </w:rPr>
      </w:pPr>
      <w:r>
        <w:rPr>
          <w:rFonts w:hint="eastAsia"/>
          <w:b/>
          <w:bCs/>
        </w:rPr>
        <w:t>1</w:t>
      </w:r>
      <w:r>
        <w:rPr>
          <w:b/>
          <w:bCs/>
        </w:rPr>
        <w:t>、</w:t>
      </w:r>
      <w:r>
        <w:rPr>
          <w:rFonts w:hint="eastAsia"/>
          <w:b/>
          <w:bCs/>
        </w:rPr>
        <w:t>对沿线景观生态环境的影响</w:t>
      </w:r>
    </w:p>
    <w:p w:rsidR="00BD5820" w:rsidRDefault="00F64314">
      <w:pPr>
        <w:pStyle w:val="affa"/>
        <w:ind w:firstLine="480"/>
      </w:pPr>
      <w:r>
        <w:rPr>
          <w:rFonts w:hint="eastAsia"/>
        </w:rPr>
        <w:t>管线两侧各</w:t>
      </w:r>
      <w:r>
        <w:t>5m</w:t>
      </w:r>
      <w:r>
        <w:rPr>
          <w:rFonts w:hint="eastAsia"/>
        </w:rPr>
        <w:t>范围内的林地段施工结束后，原有林地景观类型发生变化。本项目施工结束后，沿线工程扰动区内的农田可恢复农业生产。</w:t>
      </w:r>
    </w:p>
    <w:p w:rsidR="00BD5820" w:rsidRDefault="00F64314">
      <w:pPr>
        <w:pStyle w:val="affa"/>
        <w:ind w:firstLine="480"/>
      </w:pPr>
      <w:r>
        <w:rPr>
          <w:rFonts w:hint="eastAsia"/>
        </w:rPr>
        <w:t>总体而言，本项目集输管线敷设在地下，进行密闭输送，运营后沿线工程扰动区域内的原有人工植被及自然植被逐渐恢复，对沿线区域景观生态环境影响相对较小。</w:t>
      </w:r>
    </w:p>
    <w:p w:rsidR="00BD5820" w:rsidRDefault="00F64314">
      <w:pPr>
        <w:pStyle w:val="affa"/>
        <w:ind w:firstLine="482"/>
        <w:rPr>
          <w:b/>
          <w:bCs/>
        </w:rPr>
      </w:pPr>
      <w:r>
        <w:rPr>
          <w:rFonts w:hint="eastAsia"/>
          <w:b/>
          <w:bCs/>
        </w:rPr>
        <w:t>2</w:t>
      </w:r>
      <w:r>
        <w:rPr>
          <w:b/>
          <w:bCs/>
        </w:rPr>
        <w:t>、</w:t>
      </w:r>
      <w:r>
        <w:rPr>
          <w:rFonts w:hint="eastAsia"/>
          <w:b/>
          <w:bCs/>
        </w:rPr>
        <w:t>对沿线动植物的影响</w:t>
      </w:r>
    </w:p>
    <w:p w:rsidR="00BD5820" w:rsidRDefault="00F64314">
      <w:pPr>
        <w:pStyle w:val="affa"/>
        <w:ind w:firstLine="480"/>
      </w:pPr>
      <w:r>
        <w:rPr>
          <w:rFonts w:hint="eastAsia"/>
        </w:rPr>
        <w:t>线性工程营运期对动植物的影响从景观生态功能和生态关系角度分析，集输管线等线性工程建设会对沿线工程扰动区域地表及其周围一定范围区域造成一定的景观隔离；但从生物传播关系来看，这种隔离作用仅限于对土壤微生物及以根系作为传播途径的植物的影响，对以花粉、种子为传播途径的植物以及动物的生态隔离影响较小。从生态系统中的食物链关系以及更广范围的生物互惠关系来看，由于建设过程持续时间较短，项目在区域总面积中所占比重较小，其影响较小。因此项目的建设对沿线的动植物影响较小。</w:t>
      </w:r>
    </w:p>
    <w:p w:rsidR="00BD5820" w:rsidRDefault="00F64314">
      <w:pPr>
        <w:pStyle w:val="affa"/>
        <w:ind w:firstLine="482"/>
        <w:rPr>
          <w:b/>
          <w:bCs/>
        </w:rPr>
      </w:pPr>
      <w:r>
        <w:rPr>
          <w:rFonts w:hint="eastAsia"/>
          <w:b/>
          <w:bCs/>
        </w:rPr>
        <w:t>3</w:t>
      </w:r>
      <w:r>
        <w:rPr>
          <w:b/>
          <w:bCs/>
        </w:rPr>
        <w:t>、</w:t>
      </w:r>
      <w:r>
        <w:rPr>
          <w:rFonts w:hint="eastAsia"/>
          <w:b/>
          <w:bCs/>
        </w:rPr>
        <w:t>对生态系统结构完整性和功能连续性的影响分析</w:t>
      </w:r>
    </w:p>
    <w:p w:rsidR="00BD5820" w:rsidRDefault="00F64314">
      <w:pPr>
        <w:pStyle w:val="affa"/>
        <w:ind w:firstLine="480"/>
      </w:pPr>
      <w:r>
        <w:rPr>
          <w:rFonts w:hint="eastAsia"/>
        </w:rPr>
        <w:t>拟建管道沿线区域主要植被类型为林地和农田植被。构成这些植被类型的种类为适应该区域的物种，具有种群数量大、适应性强的特点。项目建设过程会占用一定面积的林地及耕地，会减少部分植被类型的分布面积，但不会造成沿线植被类型分布状况和植物群落结构的改变。</w:t>
      </w:r>
    </w:p>
    <w:p w:rsidR="00BD5820" w:rsidRDefault="00F64314">
      <w:pPr>
        <w:pStyle w:val="affa"/>
        <w:ind w:firstLine="480"/>
      </w:pPr>
      <w:r>
        <w:rPr>
          <w:rFonts w:hint="eastAsia"/>
        </w:rPr>
        <w:t>对于森林植被而言，呈带状分布的施工作业不会阻隔植物的散布。植物通过花粉流仍能进行基因交流，种子生产和种子库更新等过程也不会被打断，因此，现有植物群落的物种组成不会因此发生改变，生物多样性也不会受较大的影响。由不同植物群落组成的生态系统结构也不会发生改变，生态系统的物质循环和能量流动及其中的生态关系仍能延续。</w:t>
      </w:r>
    </w:p>
    <w:p w:rsidR="00BD5820" w:rsidRDefault="00F64314">
      <w:pPr>
        <w:pStyle w:val="affa"/>
        <w:ind w:firstLine="480"/>
      </w:pPr>
      <w:r>
        <w:rPr>
          <w:rFonts w:hint="eastAsia"/>
        </w:rPr>
        <w:lastRenderedPageBreak/>
        <w:t>对于农田生态系统而言，小麦、玉米、马铃薯及蔬菜等农作物均为常见的物种，因此不会改变农田生态系统的结构和功能，因此，农田生态系统的持续生产能力不会下降，系统的运行连续性不会破坏。</w:t>
      </w:r>
    </w:p>
    <w:p w:rsidR="00BD5820" w:rsidRDefault="00F64314">
      <w:pPr>
        <w:pStyle w:val="affa"/>
        <w:ind w:firstLine="480"/>
      </w:pPr>
      <w:r>
        <w:rPr>
          <w:rFonts w:hint="eastAsia"/>
        </w:rPr>
        <w:t>综上所述，本区域内绝大部分的植被面积和植被类型没有发生变化，亦即对本区域生态环境起控制作用的组分未变动，生境的异质性没有发生大的改变，因此，项目建设不会改变现有生态系统的完整性和功能的连续性。</w:t>
      </w:r>
    </w:p>
    <w:p w:rsidR="00BD5820" w:rsidRDefault="00F64314">
      <w:pPr>
        <w:pStyle w:val="3"/>
        <w:rPr>
          <w:rFonts w:eastAsia="宋体"/>
        </w:rPr>
      </w:pPr>
      <w:r>
        <w:rPr>
          <w:rFonts w:eastAsia="宋体"/>
        </w:rPr>
        <w:t xml:space="preserve">6.2.2 </w:t>
      </w:r>
      <w:r>
        <w:rPr>
          <w:rFonts w:eastAsia="宋体" w:hint="eastAsia"/>
        </w:rPr>
        <w:t>环境空气影响分析</w:t>
      </w:r>
    </w:p>
    <w:p w:rsidR="00BD5820" w:rsidRDefault="00F64314">
      <w:pPr>
        <w:pStyle w:val="affa"/>
        <w:ind w:firstLine="482"/>
        <w:rPr>
          <w:b/>
          <w:bCs/>
        </w:rPr>
      </w:pPr>
      <w:r>
        <w:rPr>
          <w:rFonts w:hint="eastAsia"/>
          <w:b/>
          <w:bCs/>
        </w:rPr>
        <w:t>1</w:t>
      </w:r>
      <w:r>
        <w:rPr>
          <w:rFonts w:hint="eastAsia"/>
          <w:b/>
          <w:bCs/>
        </w:rPr>
        <w:t>、正常工况</w:t>
      </w:r>
    </w:p>
    <w:p w:rsidR="00BD5820" w:rsidRDefault="00F64314">
      <w:pPr>
        <w:pStyle w:val="affa"/>
        <w:ind w:firstLine="480"/>
      </w:pPr>
      <w:r>
        <w:rPr>
          <w:rFonts w:hint="eastAsia"/>
        </w:rPr>
        <w:t>由于输气管道敷设在地下，进行密闭输送，管道进行了防腐处理，在正常情况下，不会有废气排放，不会对大气环境造成不利影响。</w:t>
      </w:r>
      <w:r>
        <w:t>本项目依托</w:t>
      </w:r>
      <w:r>
        <w:rPr>
          <w:rFonts w:hint="eastAsia"/>
        </w:rPr>
        <w:t>P102</w:t>
      </w:r>
      <w:r>
        <w:rPr>
          <w:rFonts w:hint="eastAsia"/>
        </w:rPr>
        <w:t>集气站</w:t>
      </w:r>
      <w:r>
        <w:t>的水套加热炉，本项目</w:t>
      </w:r>
      <w:r>
        <w:rPr>
          <w:rFonts w:hint="eastAsia"/>
        </w:rPr>
        <w:t>运营期</w:t>
      </w:r>
      <w:r>
        <w:t>正常工况无废气排放</w:t>
      </w:r>
      <w:r>
        <w:rPr>
          <w:rFonts w:hint="eastAsia"/>
        </w:rPr>
        <w:t>。</w:t>
      </w:r>
    </w:p>
    <w:p w:rsidR="00BD5820" w:rsidRDefault="00F64314">
      <w:pPr>
        <w:pStyle w:val="affa"/>
        <w:ind w:firstLine="482"/>
        <w:rPr>
          <w:b/>
          <w:bCs/>
        </w:rPr>
      </w:pPr>
      <w:r>
        <w:rPr>
          <w:rFonts w:hint="eastAsia"/>
          <w:b/>
          <w:bCs/>
        </w:rPr>
        <w:t>2</w:t>
      </w:r>
      <w:r>
        <w:rPr>
          <w:b/>
          <w:bCs/>
        </w:rPr>
        <w:t>、</w:t>
      </w:r>
      <w:r>
        <w:rPr>
          <w:rFonts w:hint="eastAsia"/>
          <w:b/>
          <w:bCs/>
        </w:rPr>
        <w:t>非正常工况</w:t>
      </w:r>
    </w:p>
    <w:p w:rsidR="00BD5820" w:rsidRDefault="00F64314">
      <w:pPr>
        <w:pStyle w:val="affa"/>
        <w:ind w:firstLine="480"/>
      </w:pPr>
      <w:r>
        <w:rPr>
          <w:rFonts w:hint="eastAsia"/>
        </w:rPr>
        <w:t>非正常工况，在事故或检修放空期间会产生放空废气，本项目天然气中含硫，少量的天然气通过放空管燃烧后在放空区会产生氮氧化物和</w:t>
      </w:r>
      <w:r>
        <w:rPr>
          <w:rFonts w:hint="eastAsia"/>
        </w:rPr>
        <w:t>S</w:t>
      </w:r>
      <w:r>
        <w:t>O</w:t>
      </w:r>
      <w:r>
        <w:rPr>
          <w:vertAlign w:val="subscript"/>
        </w:rPr>
        <w:t>2</w:t>
      </w:r>
      <w:r>
        <w:rPr>
          <w:rFonts w:hint="eastAsia"/>
        </w:rPr>
        <w:t>，但由于事故及检修频率低，每次外排氮氧化物和</w:t>
      </w:r>
      <w:r>
        <w:rPr>
          <w:rFonts w:hint="eastAsia"/>
        </w:rPr>
        <w:t>S</w:t>
      </w:r>
      <w:r>
        <w:t>O</w:t>
      </w:r>
      <w:r>
        <w:rPr>
          <w:vertAlign w:val="subscript"/>
        </w:rPr>
        <w:t>2</w:t>
      </w:r>
      <w:r>
        <w:rPr>
          <w:rFonts w:hint="eastAsia"/>
        </w:rPr>
        <w:t>较少，通过放空区放空管高空排放，且放空区位于地势开阔的空旷地带，大气扩散条件良好，放空时疏散</w:t>
      </w:r>
      <w:r>
        <w:t>附近的居民</w:t>
      </w:r>
      <w:r>
        <w:rPr>
          <w:rFonts w:hint="eastAsia"/>
        </w:rPr>
        <w:t>，放空废气不会对周边大气环境造成明显不利影响。</w:t>
      </w:r>
    </w:p>
    <w:p w:rsidR="00BD5820" w:rsidRDefault="00F64314">
      <w:pPr>
        <w:pStyle w:val="3"/>
        <w:rPr>
          <w:rFonts w:eastAsia="宋体"/>
        </w:rPr>
      </w:pPr>
      <w:r>
        <w:rPr>
          <w:rFonts w:eastAsia="宋体"/>
        </w:rPr>
        <w:t xml:space="preserve">6.2.3 </w:t>
      </w:r>
      <w:r>
        <w:rPr>
          <w:rFonts w:eastAsia="宋体" w:hint="eastAsia"/>
        </w:rPr>
        <w:t>地表水环境影响分析</w:t>
      </w:r>
    </w:p>
    <w:p w:rsidR="00BD5820" w:rsidRDefault="00F64314">
      <w:pPr>
        <w:pStyle w:val="affa"/>
        <w:ind w:firstLine="482"/>
        <w:rPr>
          <w:b/>
          <w:bCs/>
        </w:rPr>
      </w:pPr>
      <w:r>
        <w:rPr>
          <w:rFonts w:hint="eastAsia"/>
          <w:b/>
          <w:bCs/>
        </w:rPr>
        <w:t>1</w:t>
      </w:r>
      <w:r>
        <w:rPr>
          <w:b/>
          <w:bCs/>
        </w:rPr>
        <w:t>、</w:t>
      </w:r>
      <w:r>
        <w:rPr>
          <w:rFonts w:hint="eastAsia"/>
          <w:b/>
          <w:bCs/>
        </w:rPr>
        <w:t>评价等级判定</w:t>
      </w:r>
    </w:p>
    <w:p w:rsidR="00BD5820" w:rsidRDefault="00F64314">
      <w:pPr>
        <w:pStyle w:val="affa"/>
        <w:ind w:firstLine="480"/>
      </w:pPr>
      <w:r>
        <w:t>根据《环境影响评价技术导则</w:t>
      </w:r>
      <w:r>
        <w:t xml:space="preserve"> </w:t>
      </w:r>
      <w:r>
        <w:t>地表水环境》（</w:t>
      </w:r>
      <w:r>
        <w:t>HJ2.3-2018</w:t>
      </w:r>
      <w:r>
        <w:t>）中关于项目评价等级与评价范围的规定及工程分析。</w:t>
      </w:r>
      <w:r>
        <w:rPr>
          <w:szCs w:val="22"/>
        </w:rPr>
        <w:t>本项目运营期产生的气田水</w:t>
      </w:r>
      <w:r>
        <w:rPr>
          <w:rFonts w:hint="eastAsia"/>
          <w:szCs w:val="22"/>
        </w:rPr>
        <w:t>分别经普光</w:t>
      </w:r>
      <w:r>
        <w:rPr>
          <w:rFonts w:hint="eastAsia"/>
          <w:szCs w:val="22"/>
        </w:rPr>
        <w:t>3#</w:t>
      </w:r>
      <w:r>
        <w:rPr>
          <w:rFonts w:hint="eastAsia"/>
          <w:szCs w:val="22"/>
        </w:rPr>
        <w:t>水处理站、</w:t>
      </w:r>
      <w:r>
        <w:rPr>
          <w:rFonts w:hint="eastAsia"/>
          <w:szCs w:val="22"/>
        </w:rPr>
        <w:t>1#</w:t>
      </w:r>
      <w:r>
        <w:rPr>
          <w:rFonts w:hint="eastAsia"/>
          <w:szCs w:val="22"/>
        </w:rPr>
        <w:t>污水处理站集中处理，水处理采用新建预处理流程，满足压裂液配制要求，剩余采出水然后进入深度水处理站处理后回用</w:t>
      </w:r>
      <w:r>
        <w:rPr>
          <w:szCs w:val="22"/>
        </w:rPr>
        <w:t>，不外排</w:t>
      </w:r>
      <w:r>
        <w:t>。因此，本项目地表水环境影响评价等级定为水污染影响型三级</w:t>
      </w:r>
      <w:r>
        <w:t>B</w:t>
      </w:r>
      <w:r>
        <w:t>。</w:t>
      </w:r>
    </w:p>
    <w:p w:rsidR="00BD5820" w:rsidRDefault="00F64314">
      <w:pPr>
        <w:pStyle w:val="affa"/>
        <w:ind w:firstLine="480"/>
      </w:pPr>
      <w:r>
        <w:t>根据建设项目水文要素影响分析，项目管道</w:t>
      </w:r>
      <w:r>
        <w:rPr>
          <w:rFonts w:hint="eastAsia"/>
        </w:rPr>
        <w:t>不涉及河流或沟渠</w:t>
      </w:r>
      <w:r>
        <w:t>穿越，故不涉及水文要素影响。</w:t>
      </w:r>
    </w:p>
    <w:p w:rsidR="00BD5820" w:rsidRDefault="00F64314">
      <w:pPr>
        <w:pStyle w:val="affa"/>
        <w:ind w:firstLine="482"/>
        <w:rPr>
          <w:b/>
          <w:bCs/>
        </w:rPr>
      </w:pPr>
      <w:r>
        <w:rPr>
          <w:b/>
          <w:bCs/>
        </w:rPr>
        <w:t>2</w:t>
      </w:r>
      <w:r>
        <w:rPr>
          <w:b/>
          <w:bCs/>
        </w:rPr>
        <w:t>、</w:t>
      </w:r>
      <w:r>
        <w:rPr>
          <w:rFonts w:hint="eastAsia"/>
          <w:b/>
          <w:bCs/>
        </w:rPr>
        <w:t>环境影响分析</w:t>
      </w:r>
    </w:p>
    <w:p w:rsidR="00BD5820" w:rsidRDefault="00F64314">
      <w:pPr>
        <w:pStyle w:val="affa"/>
        <w:ind w:firstLine="482"/>
        <w:rPr>
          <w:b/>
          <w:bCs/>
        </w:rPr>
      </w:pPr>
      <w:r>
        <w:rPr>
          <w:rFonts w:hint="eastAsia"/>
          <w:b/>
          <w:bCs/>
        </w:rPr>
        <w:t>（</w:t>
      </w:r>
      <w:r>
        <w:rPr>
          <w:rFonts w:hint="eastAsia"/>
          <w:b/>
          <w:bCs/>
        </w:rPr>
        <w:t>1</w:t>
      </w:r>
      <w:r>
        <w:rPr>
          <w:rFonts w:hint="eastAsia"/>
          <w:b/>
          <w:bCs/>
        </w:rPr>
        <w:t>）集输管线</w:t>
      </w:r>
    </w:p>
    <w:p w:rsidR="00BD5820" w:rsidRDefault="00F64314">
      <w:pPr>
        <w:pStyle w:val="affa"/>
        <w:ind w:firstLine="480"/>
      </w:pPr>
      <w:r>
        <w:t>正常工况下，由于输气管线是全封闭系统，输运的天然气不会与</w:t>
      </w:r>
      <w:r>
        <w:rPr>
          <w:rFonts w:hint="eastAsia"/>
        </w:rPr>
        <w:t>地表水体</w:t>
      </w:r>
      <w:r>
        <w:t>之</w:t>
      </w:r>
      <w:r>
        <w:lastRenderedPageBreak/>
        <w:t>间发生联系，采用外防腐层和强制电流阴极保护联合方式，如不发生泄漏事故，正常运营期对</w:t>
      </w:r>
      <w:r>
        <w:rPr>
          <w:rFonts w:hint="eastAsia"/>
        </w:rPr>
        <w:t>地表水</w:t>
      </w:r>
      <w:r>
        <w:t>不会造成影响；在发生泄漏事故时，由于天然气中以</w:t>
      </w:r>
      <w:r>
        <w:t>CH</w:t>
      </w:r>
      <w:r>
        <w:rPr>
          <w:vertAlign w:val="subscript"/>
        </w:rPr>
        <w:t>4</w:t>
      </w:r>
      <w:r>
        <w:t>为主，在水中的溶解度极低，因此对水环境基本无影响。</w:t>
      </w:r>
    </w:p>
    <w:p w:rsidR="00BD5820" w:rsidRDefault="00F64314">
      <w:pPr>
        <w:pStyle w:val="affa"/>
        <w:ind w:firstLine="482"/>
        <w:rPr>
          <w:b/>
          <w:bCs/>
        </w:rPr>
      </w:pPr>
      <w:r>
        <w:rPr>
          <w:rFonts w:hint="eastAsia"/>
          <w:b/>
          <w:bCs/>
        </w:rPr>
        <w:t>（</w:t>
      </w:r>
      <w:r>
        <w:rPr>
          <w:rFonts w:hint="eastAsia"/>
          <w:b/>
          <w:bCs/>
        </w:rPr>
        <w:t>2</w:t>
      </w:r>
      <w:r>
        <w:rPr>
          <w:rFonts w:hint="eastAsia"/>
          <w:b/>
          <w:bCs/>
        </w:rPr>
        <w:t>）增压站</w:t>
      </w:r>
    </w:p>
    <w:p w:rsidR="00BD5820" w:rsidRDefault="00F64314">
      <w:pPr>
        <w:pStyle w:val="affa"/>
        <w:ind w:firstLine="480"/>
      </w:pPr>
      <w:r>
        <w:rPr>
          <w:szCs w:val="22"/>
        </w:rPr>
        <w:t>本项目运营期产生的气田水</w:t>
      </w:r>
      <w:r>
        <w:rPr>
          <w:rFonts w:hint="eastAsia"/>
          <w:szCs w:val="22"/>
        </w:rPr>
        <w:t>分别经普光</w:t>
      </w:r>
      <w:r>
        <w:rPr>
          <w:rFonts w:hint="eastAsia"/>
          <w:szCs w:val="22"/>
        </w:rPr>
        <w:t>3#</w:t>
      </w:r>
      <w:r>
        <w:rPr>
          <w:rFonts w:hint="eastAsia"/>
          <w:szCs w:val="22"/>
        </w:rPr>
        <w:t>水处理站、</w:t>
      </w:r>
      <w:r>
        <w:rPr>
          <w:rFonts w:hint="eastAsia"/>
          <w:szCs w:val="22"/>
        </w:rPr>
        <w:t>1#</w:t>
      </w:r>
      <w:r>
        <w:rPr>
          <w:rFonts w:hint="eastAsia"/>
          <w:szCs w:val="22"/>
        </w:rPr>
        <w:t>污水处理站集中处理，水处理采用新建预处理流程，满足压裂液配制要求，剩余采出水然后进入深度水处理站处理后回用</w:t>
      </w:r>
      <w:r>
        <w:rPr>
          <w:szCs w:val="22"/>
        </w:rPr>
        <w:t>，不外排</w:t>
      </w:r>
      <w:r>
        <w:t>。</w:t>
      </w:r>
    </w:p>
    <w:p w:rsidR="00BD5820" w:rsidRDefault="00F64314">
      <w:pPr>
        <w:pStyle w:val="3"/>
        <w:rPr>
          <w:rFonts w:eastAsia="宋体"/>
        </w:rPr>
      </w:pPr>
      <w:r>
        <w:rPr>
          <w:rFonts w:eastAsia="宋体"/>
        </w:rPr>
        <w:t xml:space="preserve">6.2.4 </w:t>
      </w:r>
      <w:r>
        <w:rPr>
          <w:rFonts w:eastAsia="宋体" w:hint="eastAsia"/>
        </w:rPr>
        <w:t>地下水环境影响分析</w:t>
      </w:r>
    </w:p>
    <w:p w:rsidR="00BD5820" w:rsidRDefault="00F64314">
      <w:pPr>
        <w:pStyle w:val="affa"/>
        <w:ind w:firstLine="480"/>
        <w:rPr>
          <w:rFonts w:ascii="宋体" w:cs="宋体"/>
        </w:rPr>
      </w:pPr>
      <w:r>
        <w:rPr>
          <w:rFonts w:ascii="宋体" w:cs="宋体" w:hint="eastAsia"/>
        </w:rPr>
        <w:t>本项目各可能影响地下水的环节中，污水罐四周设有防渗围堰，主要污染因素为跑冒滴漏和事故状态下废水泄漏，泄漏后废水在围堰内收集，不会深入地下造成地下水污染。因此本项目非正常情况下地下水环境影响重点分析污水罐泄漏，</w:t>
      </w:r>
      <w:r>
        <w:rPr>
          <w:rFonts w:hint="eastAsia"/>
        </w:rPr>
        <w:t>且防渗设施失效而导致泄漏</w:t>
      </w:r>
      <w:r>
        <w:rPr>
          <w:rFonts w:hAnsi="宋体" w:hint="eastAsia"/>
          <w:kern w:val="2"/>
        </w:rPr>
        <w:t>气田水</w:t>
      </w:r>
      <w:r>
        <w:rPr>
          <w:rFonts w:hint="eastAsia"/>
        </w:rPr>
        <w:t>直接进入潜水含水层</w:t>
      </w:r>
      <w:r>
        <w:rPr>
          <w:rFonts w:ascii="宋体" w:cs="宋体" w:hint="eastAsia"/>
        </w:rPr>
        <w:t>对地下水环境的影响。</w:t>
      </w:r>
    </w:p>
    <w:p w:rsidR="00BD5820" w:rsidRDefault="00F64314">
      <w:pPr>
        <w:pStyle w:val="affa"/>
        <w:ind w:firstLine="482"/>
        <w:rPr>
          <w:b/>
          <w:bCs/>
        </w:rPr>
      </w:pPr>
      <w:r>
        <w:rPr>
          <w:rFonts w:hint="eastAsia"/>
          <w:b/>
          <w:bCs/>
        </w:rPr>
        <w:t>1</w:t>
      </w:r>
      <w:r>
        <w:rPr>
          <w:b/>
          <w:bCs/>
        </w:rPr>
        <w:t>、</w:t>
      </w:r>
      <w:r>
        <w:rPr>
          <w:rFonts w:hint="eastAsia"/>
          <w:b/>
          <w:bCs/>
        </w:rPr>
        <w:t>评价区和场地环境水文地质条件</w:t>
      </w:r>
    </w:p>
    <w:p w:rsidR="00BD5820" w:rsidRDefault="00F64314">
      <w:pPr>
        <w:pStyle w:val="affa"/>
        <w:ind w:firstLine="480"/>
        <w:rPr>
          <w:rFonts w:hAnsi="Calibri"/>
        </w:rPr>
      </w:pPr>
      <w:r>
        <w:rPr>
          <w:rFonts w:hAnsi="Calibri" w:hint="eastAsia"/>
        </w:rPr>
        <w:t>管道敷设线路通过地区地下水类型均为第四系全新统松散层孔隙上层滞水、碎屑岩类基岩风化裂隙水。</w:t>
      </w:r>
    </w:p>
    <w:p w:rsidR="00BD5820" w:rsidRDefault="00F64314">
      <w:pPr>
        <w:pStyle w:val="affa"/>
        <w:ind w:firstLine="480"/>
        <w:rPr>
          <w:rFonts w:hAnsi="Calibri"/>
        </w:rPr>
      </w:pPr>
      <w:r>
        <w:rPr>
          <w:rFonts w:hAnsi="Calibri" w:hint="eastAsia"/>
        </w:rPr>
        <w:t>第四系全新统松散层孔隙上层滞水，线路分布的沟谷粉质粘土层中局部具有上层滞水，主要接受大气降雨及斜坡、沟谷地表水漫灌补给，埋藏深度不一，水量较贫乏，对管道敷设施工影响较小。</w:t>
      </w:r>
    </w:p>
    <w:p w:rsidR="00BD5820" w:rsidRDefault="00F64314">
      <w:pPr>
        <w:pStyle w:val="affa"/>
        <w:ind w:firstLine="480"/>
        <w:rPr>
          <w:rFonts w:ascii="宋体" w:cs="宋体"/>
        </w:rPr>
      </w:pPr>
      <w:r>
        <w:rPr>
          <w:rFonts w:ascii="宋体" w:hAnsi="Calibri" w:cs="宋体" w:hint="eastAsia"/>
        </w:rPr>
        <w:t>基岩风化裂隙水：主要赋存于场地区下伏、出露的基岩风化裂隙与构造裂隙中。根据现场勘察，勘察深度内未见该类地下水出露。该类地下水主要接受地下水径流补给（出露区可接受大气降雨补给），一般埋深大于</w:t>
      </w:r>
      <w:r>
        <w:rPr>
          <w:rFonts w:hint="eastAsia"/>
        </w:rPr>
        <w:t>4</w:t>
      </w:r>
      <w:r>
        <w:t>m</w:t>
      </w:r>
      <w:r>
        <w:rPr>
          <w:rFonts w:ascii="宋体" w:cs="宋体" w:hint="eastAsia"/>
        </w:rPr>
        <w:t>，埋深较大，水量较少，仅在裂隙发育、贯通性好，以及补给源较充分地段可形成局部富水。该类地下水对管道敷设施工、运营影响较小。</w:t>
      </w:r>
    </w:p>
    <w:p w:rsidR="00BD5820" w:rsidRDefault="00F64314">
      <w:pPr>
        <w:pStyle w:val="affa"/>
        <w:ind w:firstLine="482"/>
        <w:rPr>
          <w:b/>
          <w:bCs/>
        </w:rPr>
      </w:pPr>
      <w:r>
        <w:rPr>
          <w:b/>
          <w:bCs/>
        </w:rPr>
        <w:t>2</w:t>
      </w:r>
      <w:r>
        <w:rPr>
          <w:b/>
          <w:bCs/>
        </w:rPr>
        <w:t>、</w:t>
      </w:r>
      <w:r>
        <w:rPr>
          <w:rFonts w:hint="eastAsia"/>
          <w:b/>
          <w:bCs/>
        </w:rPr>
        <w:t>地下水补径排条件和地下水环境质量现状</w:t>
      </w:r>
    </w:p>
    <w:p w:rsidR="00BD5820" w:rsidRDefault="00F64314">
      <w:pPr>
        <w:pStyle w:val="affa"/>
        <w:ind w:firstLine="480"/>
      </w:pPr>
      <w:r>
        <w:rPr>
          <w:rFonts w:hint="eastAsia"/>
        </w:rPr>
        <w:t>项目管线经过地区地下水以大气补给为主。根据地下水现状监测结果，可知项目监测点位地下水化学类型为</w:t>
      </w:r>
      <w:r>
        <w:t>HCO</w:t>
      </w:r>
      <w:r>
        <w:rPr>
          <w:vertAlign w:val="subscript"/>
        </w:rPr>
        <w:t>3</w:t>
      </w:r>
      <w:r>
        <w:t>-Mg-Ca</w:t>
      </w:r>
      <w:r>
        <w:rPr>
          <w:rFonts w:hint="eastAsia"/>
        </w:rPr>
        <w:t>型水，各监测点地下水各项指标均满足《地下水质量标准》（</w:t>
      </w:r>
      <w:r>
        <w:t>GB/T14848-2017</w:t>
      </w:r>
      <w:r>
        <w:rPr>
          <w:rFonts w:hint="eastAsia"/>
        </w:rPr>
        <w:t>）中</w:t>
      </w:r>
      <w:r>
        <w:t>Ⅲ</w:t>
      </w:r>
      <w:r>
        <w:rPr>
          <w:rFonts w:hint="eastAsia"/>
        </w:rPr>
        <w:t>类标准要求，总体来说，项目评价区内地下水水质较好。</w:t>
      </w:r>
    </w:p>
    <w:p w:rsidR="00BD5820" w:rsidRDefault="00F64314">
      <w:pPr>
        <w:ind w:firstLine="490"/>
        <w:rPr>
          <w:rFonts w:ascii="Times New Roman" w:cs="Times New Roman"/>
          <w:b/>
          <w:bCs/>
          <w:spacing w:val="2"/>
          <w:kern w:val="2"/>
          <w:position w:val="2"/>
          <w:szCs w:val="22"/>
        </w:rPr>
      </w:pPr>
      <w:r>
        <w:rPr>
          <w:rFonts w:ascii="Times New Roman" w:cs="Times New Roman"/>
          <w:b/>
          <w:bCs/>
          <w:spacing w:val="2"/>
          <w:kern w:val="2"/>
          <w:position w:val="2"/>
          <w:szCs w:val="22"/>
        </w:rPr>
        <w:t>3</w:t>
      </w:r>
      <w:r>
        <w:rPr>
          <w:rFonts w:ascii="Times New Roman" w:cs="Times New Roman"/>
          <w:b/>
          <w:bCs/>
          <w:spacing w:val="2"/>
          <w:kern w:val="2"/>
          <w:position w:val="2"/>
          <w:szCs w:val="22"/>
        </w:rPr>
        <w:t>、评价等级</w:t>
      </w:r>
    </w:p>
    <w:p w:rsidR="00BD5820" w:rsidRDefault="00F64314">
      <w:pPr>
        <w:pStyle w:val="affa"/>
        <w:ind w:firstLine="480"/>
      </w:pPr>
      <w:r>
        <w:lastRenderedPageBreak/>
        <w:t>根据《环境影响评价技术导则</w:t>
      </w:r>
      <w:r>
        <w:t xml:space="preserve"> </w:t>
      </w:r>
      <w:r>
        <w:t>地下水环境》（</w:t>
      </w:r>
      <w:r>
        <w:t>HJ610-2016</w:t>
      </w:r>
      <w:r>
        <w:t>）附录</w:t>
      </w:r>
      <w:r>
        <w:t>A</w:t>
      </w:r>
      <w:r>
        <w:t>，</w:t>
      </w:r>
      <w:r>
        <w:t xml:space="preserve"> </w:t>
      </w:r>
      <w:r>
        <w:rPr>
          <w:rFonts w:hint="eastAsia"/>
        </w:rPr>
        <w:t>本项目</w:t>
      </w:r>
      <w:r>
        <w:t>属于</w:t>
      </w:r>
      <w:r>
        <w:t>“F</w:t>
      </w:r>
      <w:r>
        <w:t>石油、天然气第</w:t>
      </w:r>
      <w:r>
        <w:t>38</w:t>
      </w:r>
      <w:r>
        <w:t>项天然气、页岩气开采（含净化）</w:t>
      </w:r>
      <w:r>
        <w:t>”</w:t>
      </w:r>
      <w:r>
        <w:t>，编制环评报告书的</w:t>
      </w:r>
      <w:r>
        <w:t>Ⅱ</w:t>
      </w:r>
      <w:r>
        <w:t>类建设项目。</w:t>
      </w:r>
    </w:p>
    <w:p w:rsidR="00BD5820" w:rsidRDefault="00F64314">
      <w:pPr>
        <w:pStyle w:val="affa"/>
        <w:ind w:firstLine="480"/>
      </w:pPr>
      <w:r>
        <w:t>根据《环境影响评价技术导则</w:t>
      </w:r>
      <w:r>
        <w:t xml:space="preserve"> </w:t>
      </w:r>
      <w:r>
        <w:t>地下水环境》（</w:t>
      </w:r>
      <w:r>
        <w:t>HJ610-2016</w:t>
      </w:r>
      <w:r>
        <w:t>）中地下水环境影响评价工作等级划分原则，地下水评价工作等级应依据建设项目行业类别和地下水环境敏感程度分级进行判定。</w:t>
      </w:r>
    </w:p>
    <w:p w:rsidR="00BD5820" w:rsidRDefault="00F64314">
      <w:pPr>
        <w:pStyle w:val="affa"/>
        <w:ind w:firstLine="480"/>
      </w:pPr>
      <w:r>
        <w:t>根据现场调查和资料收集，评价区范围内有居民分布，</w:t>
      </w:r>
      <w:r>
        <w:rPr>
          <w:rFonts w:hint="eastAsia"/>
        </w:rPr>
        <w:t>站场</w:t>
      </w:r>
      <w:r>
        <w:t>周围分散居民主要以浅层地下水（山泉出露水为主）作为生活饮用水源</w:t>
      </w:r>
      <w:r>
        <w:rPr>
          <w:rFonts w:hint="eastAsia"/>
        </w:rPr>
        <w:t>，</w:t>
      </w:r>
      <w:r>
        <w:t>属于</w:t>
      </w:r>
      <w:r>
        <w:rPr>
          <w:bCs/>
        </w:rPr>
        <w:t>分散式饮用水水源地</w:t>
      </w:r>
      <w:r>
        <w:t>。因此，评价区地下水环境敏感程度定为</w:t>
      </w:r>
      <w:r>
        <w:t>“</w:t>
      </w:r>
      <w:r>
        <w:rPr>
          <w:rFonts w:hint="eastAsia"/>
        </w:rPr>
        <w:t>较</w:t>
      </w:r>
      <w:r>
        <w:t>敏感</w:t>
      </w:r>
      <w:r>
        <w:t>”</w:t>
      </w:r>
      <w:r>
        <w:t>。地下水环境敏感程度识别详见表</w:t>
      </w:r>
      <w:r>
        <w:rPr>
          <w:rFonts w:hint="eastAsia"/>
        </w:rPr>
        <w:t>6</w:t>
      </w:r>
      <w:r>
        <w:t>.</w:t>
      </w:r>
      <w:r>
        <w:rPr>
          <w:rFonts w:hint="eastAsia"/>
        </w:rPr>
        <w:t>2</w:t>
      </w:r>
      <w:r>
        <w:t>-</w:t>
      </w:r>
      <w:r>
        <w:rPr>
          <w:rFonts w:hint="eastAsia"/>
        </w:rPr>
        <w:t>1</w:t>
      </w:r>
      <w:r>
        <w:t>。</w:t>
      </w:r>
    </w:p>
    <w:p w:rsidR="00BD5820" w:rsidRDefault="00F64314">
      <w:pPr>
        <w:pStyle w:val="10"/>
        <w:rPr>
          <w:rFonts w:cs="Times New Roman"/>
        </w:rPr>
      </w:pPr>
      <w:r>
        <w:rPr>
          <w:rFonts w:cs="Times New Roman"/>
        </w:rPr>
        <w:t>表</w:t>
      </w:r>
      <w:r>
        <w:rPr>
          <w:rFonts w:cs="Times New Roman"/>
        </w:rPr>
        <w:t>6.2</w:t>
      </w:r>
      <w:r>
        <w:rPr>
          <w:rFonts w:cs="Times New Roman" w:hint="eastAsia"/>
        </w:rPr>
        <w:t>-1</w:t>
      </w:r>
      <w:r>
        <w:rPr>
          <w:rFonts w:cs="Times New Roman"/>
        </w:rPr>
        <w:t xml:space="preserve">  </w:t>
      </w:r>
      <w:r>
        <w:rPr>
          <w:rFonts w:cs="Times New Roman"/>
        </w:rPr>
        <w:t>地下水环境敏感程度分级表</w:t>
      </w:r>
    </w:p>
    <w:tbl>
      <w:tblPr>
        <w:tblW w:w="5199" w:type="pct"/>
        <w:jc w:val="center"/>
        <w:tblCellMar>
          <w:left w:w="0" w:type="dxa"/>
          <w:right w:w="0" w:type="dxa"/>
        </w:tblCellMar>
        <w:tblLook w:val="04A0"/>
      </w:tblPr>
      <w:tblGrid>
        <w:gridCol w:w="1277"/>
        <w:gridCol w:w="7360"/>
      </w:tblGrid>
      <w:tr w:rsidR="00BD5820">
        <w:trPr>
          <w:trHeight w:val="19"/>
          <w:jc w:val="center"/>
        </w:trPr>
        <w:tc>
          <w:tcPr>
            <w:tcW w:w="739" w:type="pct"/>
            <w:tcBorders>
              <w:top w:val="single" w:sz="12" w:space="0" w:color="000000"/>
              <w:left w:val="nil"/>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b/>
                <w:bCs/>
                <w:kern w:val="2"/>
                <w:sz w:val="21"/>
              </w:rPr>
            </w:pPr>
            <w:r>
              <w:rPr>
                <w:rFonts w:ascii="Times New Roman" w:cs="Times New Roman"/>
                <w:b/>
                <w:bCs/>
                <w:kern w:val="2"/>
                <w:sz w:val="21"/>
              </w:rPr>
              <w:t>分级</w:t>
            </w:r>
          </w:p>
        </w:tc>
        <w:tc>
          <w:tcPr>
            <w:tcW w:w="4261" w:type="pct"/>
            <w:tcBorders>
              <w:top w:val="single" w:sz="12" w:space="0" w:color="000000"/>
              <w:left w:val="single" w:sz="4" w:space="0" w:color="000000"/>
              <w:bottom w:val="single" w:sz="4" w:space="0" w:color="000000"/>
              <w:right w:val="nil"/>
            </w:tcBorders>
            <w:vAlign w:val="center"/>
          </w:tcPr>
          <w:p w:rsidR="00BD5820" w:rsidRDefault="00F64314">
            <w:pPr>
              <w:topLinePunct w:val="0"/>
              <w:adjustRightInd/>
              <w:spacing w:line="240" w:lineRule="auto"/>
              <w:ind w:firstLineChars="0" w:firstLine="0"/>
              <w:jc w:val="center"/>
              <w:rPr>
                <w:rFonts w:ascii="Times New Roman" w:cs="Times New Roman"/>
                <w:b/>
                <w:bCs/>
                <w:kern w:val="2"/>
                <w:sz w:val="21"/>
              </w:rPr>
            </w:pPr>
            <w:r>
              <w:rPr>
                <w:rFonts w:ascii="Times New Roman" w:cs="Times New Roman"/>
                <w:b/>
                <w:bCs/>
                <w:kern w:val="2"/>
                <w:sz w:val="21"/>
              </w:rPr>
              <w:t>地下水环境敏感特征</w:t>
            </w:r>
          </w:p>
        </w:tc>
      </w:tr>
      <w:tr w:rsidR="00BD5820">
        <w:trPr>
          <w:trHeight w:val="19"/>
          <w:jc w:val="center"/>
        </w:trPr>
        <w:tc>
          <w:tcPr>
            <w:tcW w:w="739" w:type="pct"/>
            <w:tcBorders>
              <w:top w:val="single" w:sz="4" w:space="0" w:color="000000"/>
              <w:left w:val="nil"/>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敏感</w:t>
            </w:r>
          </w:p>
        </w:tc>
        <w:tc>
          <w:tcPr>
            <w:tcW w:w="4261" w:type="pct"/>
            <w:tcBorders>
              <w:top w:val="single" w:sz="4" w:space="0" w:color="000000"/>
              <w:left w:val="single" w:sz="4" w:space="0" w:color="000000"/>
              <w:bottom w:val="single" w:sz="4" w:space="0" w:color="000000"/>
              <w:right w:val="nil"/>
            </w:tcBorders>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集中式饮用水水源（包括已建成的在用、备用、应急水源地，在建和规划的水源地）准保护区；除集中式饮用水水源地以外的国家或地方政府设定的与地下水环境相关的其它保护区，如热水、矿泉水、温泉等特殊地下水资源保护区。</w:t>
            </w:r>
          </w:p>
        </w:tc>
      </w:tr>
      <w:tr w:rsidR="00BD5820">
        <w:trPr>
          <w:trHeight w:val="19"/>
          <w:jc w:val="center"/>
        </w:trPr>
        <w:tc>
          <w:tcPr>
            <w:tcW w:w="739" w:type="pct"/>
            <w:tcBorders>
              <w:top w:val="single" w:sz="4" w:space="0" w:color="000000"/>
              <w:left w:val="nil"/>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较敏感（</w:t>
            </w:r>
            <w:r>
              <w:rPr>
                <w:rFonts w:ascii="Times New Roman" w:cs="Times New Roman"/>
                <w:kern w:val="2"/>
                <w:sz w:val="21"/>
              </w:rPr>
              <w:t>√</w:t>
            </w:r>
            <w:r>
              <w:rPr>
                <w:rFonts w:ascii="Times New Roman" w:cs="Times New Roman"/>
                <w:kern w:val="2"/>
                <w:sz w:val="21"/>
              </w:rPr>
              <w:t>）</w:t>
            </w:r>
          </w:p>
        </w:tc>
        <w:tc>
          <w:tcPr>
            <w:tcW w:w="4261" w:type="pct"/>
            <w:tcBorders>
              <w:top w:val="single" w:sz="4" w:space="0" w:color="000000"/>
              <w:left w:val="single" w:sz="4" w:space="0" w:color="000000"/>
              <w:bottom w:val="single" w:sz="4" w:space="0" w:color="000000"/>
              <w:right w:val="nil"/>
            </w:tcBorders>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集中式饮用水水源（包括已建成的在用、备用、应急水源，在建和规划的饮用水水源）准保护区以外的补给径流区；未划定准保护区的集中水式饮用水水源，其保护区以外的补给径流区；</w:t>
            </w:r>
            <w:r>
              <w:rPr>
                <w:rFonts w:ascii="Times New Roman" w:cs="Times New Roman"/>
                <w:bCs/>
                <w:kern w:val="2"/>
                <w:sz w:val="21"/>
              </w:rPr>
              <w:t>分散式饮用水水源地；</w:t>
            </w:r>
            <w:r>
              <w:rPr>
                <w:rFonts w:ascii="Times New Roman" w:cs="Times New Roman"/>
                <w:kern w:val="2"/>
                <w:sz w:val="21"/>
              </w:rPr>
              <w:t>特殊地下水资源（如矿泉水、温泉等）保护区以外的分布区等其他未列入上述敏感分级的环境敏感区。</w:t>
            </w:r>
          </w:p>
        </w:tc>
      </w:tr>
      <w:tr w:rsidR="00BD5820">
        <w:trPr>
          <w:trHeight w:val="19"/>
          <w:jc w:val="center"/>
        </w:trPr>
        <w:tc>
          <w:tcPr>
            <w:tcW w:w="739" w:type="pct"/>
            <w:tcBorders>
              <w:top w:val="single" w:sz="4" w:space="0" w:color="000000"/>
              <w:left w:val="nil"/>
              <w:bottom w:val="single" w:sz="12"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不敏感</w:t>
            </w:r>
          </w:p>
        </w:tc>
        <w:tc>
          <w:tcPr>
            <w:tcW w:w="4261" w:type="pct"/>
            <w:tcBorders>
              <w:top w:val="single" w:sz="4" w:space="0" w:color="000000"/>
              <w:left w:val="single" w:sz="4" w:space="0" w:color="000000"/>
              <w:bottom w:val="single" w:sz="12" w:space="0" w:color="000000"/>
              <w:right w:val="nil"/>
            </w:tcBorders>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上述地区之外的其它地区。</w:t>
            </w:r>
          </w:p>
        </w:tc>
      </w:tr>
    </w:tbl>
    <w:p w:rsidR="00BD5820" w:rsidRDefault="00F64314">
      <w:pPr>
        <w:pStyle w:val="affa"/>
        <w:ind w:firstLine="480"/>
      </w:pPr>
      <w:r>
        <w:t>根据《环境影响评价技术导则地下水环境》（</w:t>
      </w:r>
      <w:r>
        <w:t>HJ610-2016</w:t>
      </w:r>
      <w:r>
        <w:t>）建设项目地下水环境影响评价工作等级划分见表</w:t>
      </w:r>
      <w:r>
        <w:rPr>
          <w:rFonts w:hint="eastAsia"/>
        </w:rPr>
        <w:t>6</w:t>
      </w:r>
      <w:r>
        <w:t>.</w:t>
      </w:r>
      <w:r>
        <w:rPr>
          <w:rFonts w:hint="eastAsia"/>
        </w:rPr>
        <w:t>2</w:t>
      </w:r>
      <w:r>
        <w:t>-</w:t>
      </w:r>
      <w:r>
        <w:rPr>
          <w:rFonts w:hint="eastAsia"/>
        </w:rPr>
        <w:t>2</w:t>
      </w:r>
      <w:r>
        <w:t>。</w:t>
      </w:r>
    </w:p>
    <w:p w:rsidR="00BD5820" w:rsidRDefault="00F64314">
      <w:pPr>
        <w:pStyle w:val="10"/>
        <w:rPr>
          <w:rFonts w:cs="Times New Roman"/>
        </w:rPr>
      </w:pPr>
      <w:r>
        <w:rPr>
          <w:rFonts w:cs="Times New Roman"/>
        </w:rPr>
        <w:t>表</w:t>
      </w:r>
      <w:r>
        <w:rPr>
          <w:rFonts w:cs="Times New Roman" w:hint="eastAsia"/>
        </w:rPr>
        <w:t>6</w:t>
      </w:r>
      <w:r>
        <w:rPr>
          <w:rFonts w:cs="Times New Roman"/>
        </w:rPr>
        <w:t>.</w:t>
      </w:r>
      <w:r>
        <w:rPr>
          <w:rFonts w:cs="Times New Roman" w:hint="eastAsia"/>
        </w:rPr>
        <w:t>2</w:t>
      </w:r>
      <w:r>
        <w:rPr>
          <w:rFonts w:cs="Times New Roman"/>
        </w:rPr>
        <w:t>-</w:t>
      </w:r>
      <w:r>
        <w:rPr>
          <w:rFonts w:cs="Times New Roman" w:hint="eastAsia"/>
        </w:rPr>
        <w:t>2</w:t>
      </w:r>
      <w:r>
        <w:rPr>
          <w:rFonts w:cs="Times New Roman"/>
        </w:rPr>
        <w:t xml:space="preserve">  </w:t>
      </w:r>
      <w:r>
        <w:rPr>
          <w:rFonts w:cs="Times New Roman"/>
        </w:rPr>
        <w:t>地下水环境影响评价工作等级分级表</w:t>
      </w:r>
    </w:p>
    <w:tbl>
      <w:tblPr>
        <w:tblW w:w="5126" w:type="pct"/>
        <w:jc w:val="center"/>
        <w:tblCellMar>
          <w:left w:w="0" w:type="dxa"/>
          <w:right w:w="0" w:type="dxa"/>
        </w:tblCellMar>
        <w:tblLook w:val="04A0"/>
      </w:tblPr>
      <w:tblGrid>
        <w:gridCol w:w="3108"/>
        <w:gridCol w:w="1824"/>
        <w:gridCol w:w="1829"/>
        <w:gridCol w:w="1754"/>
      </w:tblGrid>
      <w:tr w:rsidR="00BD5820">
        <w:trPr>
          <w:trHeight w:val="19"/>
          <w:jc w:val="center"/>
        </w:trPr>
        <w:tc>
          <w:tcPr>
            <w:tcW w:w="1825" w:type="pct"/>
            <w:tcBorders>
              <w:top w:val="single" w:sz="12" w:space="0" w:color="000000"/>
              <w:left w:val="nil"/>
              <w:bottom w:val="single" w:sz="4" w:space="0" w:color="000000"/>
              <w:right w:val="single" w:sz="4" w:space="0" w:color="000000"/>
              <w:tl2br w:val="single" w:sz="4" w:space="0" w:color="auto"/>
            </w:tcBorders>
          </w:tcPr>
          <w:p w:rsidR="00BD5820" w:rsidRDefault="00F64314">
            <w:pPr>
              <w:topLinePunct w:val="0"/>
              <w:adjustRightInd/>
              <w:spacing w:line="240" w:lineRule="auto"/>
              <w:ind w:firstLineChars="0" w:firstLine="0"/>
              <w:jc w:val="right"/>
              <w:rPr>
                <w:rFonts w:ascii="Times New Roman" w:cs="Times New Roman"/>
                <w:b/>
                <w:bCs/>
                <w:kern w:val="2"/>
                <w:sz w:val="21"/>
              </w:rPr>
            </w:pPr>
            <w:r>
              <w:rPr>
                <w:rFonts w:ascii="Times New Roman" w:cs="Times New Roman"/>
                <w:b/>
                <w:bCs/>
                <w:kern w:val="2"/>
                <w:sz w:val="21"/>
              </w:rPr>
              <w:t>类别</w:t>
            </w:r>
          </w:p>
          <w:p w:rsidR="00BD5820" w:rsidRDefault="00F64314">
            <w:pPr>
              <w:topLinePunct w:val="0"/>
              <w:adjustRightInd/>
              <w:spacing w:line="240" w:lineRule="auto"/>
              <w:ind w:firstLineChars="0" w:firstLine="0"/>
              <w:rPr>
                <w:rFonts w:ascii="Times New Roman" w:cs="Times New Roman"/>
                <w:b/>
                <w:bCs/>
                <w:kern w:val="2"/>
                <w:sz w:val="21"/>
              </w:rPr>
            </w:pPr>
            <w:r>
              <w:rPr>
                <w:rFonts w:ascii="Times New Roman" w:cs="Times New Roman"/>
                <w:b/>
                <w:bCs/>
                <w:kern w:val="2"/>
                <w:sz w:val="21"/>
              </w:rPr>
              <w:t>环境敏感程度</w:t>
            </w:r>
          </w:p>
        </w:tc>
        <w:tc>
          <w:tcPr>
            <w:tcW w:w="1071" w:type="pct"/>
            <w:tcBorders>
              <w:top w:val="single" w:sz="12"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b/>
                <w:bCs/>
                <w:kern w:val="2"/>
                <w:sz w:val="21"/>
              </w:rPr>
            </w:pPr>
            <w:r>
              <w:rPr>
                <w:rFonts w:ascii="Times New Roman" w:cs="Times New Roman"/>
                <w:b/>
                <w:bCs/>
                <w:kern w:val="2"/>
                <w:sz w:val="21"/>
              </w:rPr>
              <w:t>Ⅰ</w:t>
            </w:r>
            <w:r>
              <w:rPr>
                <w:rFonts w:ascii="Times New Roman" w:cs="Times New Roman"/>
                <w:b/>
                <w:bCs/>
                <w:kern w:val="2"/>
                <w:sz w:val="21"/>
              </w:rPr>
              <w:t>类项目</w:t>
            </w:r>
          </w:p>
        </w:tc>
        <w:tc>
          <w:tcPr>
            <w:tcW w:w="1074" w:type="pct"/>
            <w:tcBorders>
              <w:top w:val="single" w:sz="12"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b/>
                <w:bCs/>
                <w:kern w:val="2"/>
                <w:sz w:val="21"/>
              </w:rPr>
            </w:pPr>
            <w:r>
              <w:rPr>
                <w:rFonts w:ascii="Times New Roman" w:cs="Times New Roman"/>
                <w:b/>
                <w:bCs/>
                <w:kern w:val="2"/>
                <w:sz w:val="21"/>
              </w:rPr>
              <w:t>Ⅱ</w:t>
            </w:r>
            <w:r>
              <w:rPr>
                <w:rFonts w:ascii="Times New Roman" w:cs="Times New Roman"/>
                <w:b/>
                <w:bCs/>
                <w:kern w:val="2"/>
                <w:sz w:val="21"/>
              </w:rPr>
              <w:t>类项目</w:t>
            </w:r>
          </w:p>
        </w:tc>
        <w:tc>
          <w:tcPr>
            <w:tcW w:w="1030" w:type="pct"/>
            <w:tcBorders>
              <w:top w:val="single" w:sz="12" w:space="0" w:color="000000"/>
              <w:left w:val="single" w:sz="4" w:space="0" w:color="000000"/>
              <w:bottom w:val="single" w:sz="4" w:space="0" w:color="000000"/>
              <w:right w:val="nil"/>
            </w:tcBorders>
            <w:vAlign w:val="center"/>
          </w:tcPr>
          <w:p w:rsidR="00BD5820" w:rsidRDefault="00F64314">
            <w:pPr>
              <w:topLinePunct w:val="0"/>
              <w:adjustRightInd/>
              <w:spacing w:line="240" w:lineRule="auto"/>
              <w:ind w:firstLineChars="0" w:firstLine="0"/>
              <w:jc w:val="center"/>
              <w:rPr>
                <w:rFonts w:ascii="Times New Roman" w:cs="Times New Roman"/>
                <w:b/>
                <w:bCs/>
                <w:kern w:val="2"/>
                <w:sz w:val="21"/>
              </w:rPr>
            </w:pPr>
            <w:r>
              <w:rPr>
                <w:rFonts w:ascii="Times New Roman" w:cs="Times New Roman"/>
                <w:b/>
                <w:bCs/>
                <w:kern w:val="2"/>
                <w:sz w:val="21"/>
              </w:rPr>
              <w:t>Ⅲ</w:t>
            </w:r>
            <w:r>
              <w:rPr>
                <w:rFonts w:ascii="Times New Roman" w:cs="Times New Roman"/>
                <w:b/>
                <w:bCs/>
                <w:kern w:val="2"/>
                <w:sz w:val="21"/>
              </w:rPr>
              <w:t>类项目</w:t>
            </w:r>
          </w:p>
        </w:tc>
      </w:tr>
      <w:tr w:rsidR="00BD5820">
        <w:trPr>
          <w:trHeight w:val="19"/>
          <w:jc w:val="center"/>
        </w:trPr>
        <w:tc>
          <w:tcPr>
            <w:tcW w:w="1825" w:type="pct"/>
            <w:tcBorders>
              <w:top w:val="single" w:sz="4" w:space="0" w:color="000000"/>
              <w:left w:val="nil"/>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敏感</w:t>
            </w:r>
          </w:p>
        </w:tc>
        <w:tc>
          <w:tcPr>
            <w:tcW w:w="1071"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一</w:t>
            </w:r>
          </w:p>
        </w:tc>
        <w:tc>
          <w:tcPr>
            <w:tcW w:w="1074"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一</w:t>
            </w:r>
          </w:p>
        </w:tc>
        <w:tc>
          <w:tcPr>
            <w:tcW w:w="1030" w:type="pct"/>
            <w:tcBorders>
              <w:top w:val="single" w:sz="4" w:space="0" w:color="000000"/>
              <w:left w:val="single" w:sz="4" w:space="0" w:color="000000"/>
              <w:bottom w:val="single" w:sz="4" w:space="0" w:color="000000"/>
              <w:right w:val="nil"/>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二</w:t>
            </w:r>
          </w:p>
        </w:tc>
      </w:tr>
      <w:tr w:rsidR="00BD5820">
        <w:trPr>
          <w:trHeight w:val="19"/>
          <w:jc w:val="center"/>
        </w:trPr>
        <w:tc>
          <w:tcPr>
            <w:tcW w:w="1825" w:type="pct"/>
            <w:tcBorders>
              <w:top w:val="single" w:sz="4" w:space="0" w:color="000000"/>
              <w:left w:val="nil"/>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较敏感</w:t>
            </w:r>
          </w:p>
        </w:tc>
        <w:tc>
          <w:tcPr>
            <w:tcW w:w="1071"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一</w:t>
            </w:r>
          </w:p>
        </w:tc>
        <w:tc>
          <w:tcPr>
            <w:tcW w:w="1074" w:type="pct"/>
            <w:tcBorders>
              <w:top w:val="single" w:sz="4" w:space="0" w:color="000000"/>
              <w:left w:val="single" w:sz="4" w:space="0" w:color="000000"/>
              <w:bottom w:val="single" w:sz="4"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二</w:t>
            </w:r>
            <w:r>
              <w:rPr>
                <w:rFonts w:ascii="Times New Roman" w:cs="Times New Roman"/>
                <w:bCs/>
                <w:kern w:val="2"/>
                <w:sz w:val="21"/>
              </w:rPr>
              <w:t>（</w:t>
            </w:r>
            <w:r>
              <w:rPr>
                <w:rFonts w:ascii="Times New Roman" w:cs="Times New Roman"/>
                <w:bCs/>
                <w:kern w:val="2"/>
                <w:sz w:val="21"/>
              </w:rPr>
              <w:t>√</w:t>
            </w:r>
            <w:r>
              <w:rPr>
                <w:rFonts w:ascii="Times New Roman" w:cs="Times New Roman"/>
                <w:bCs/>
                <w:kern w:val="2"/>
                <w:sz w:val="21"/>
              </w:rPr>
              <w:t>）</w:t>
            </w:r>
          </w:p>
        </w:tc>
        <w:tc>
          <w:tcPr>
            <w:tcW w:w="1030" w:type="pct"/>
            <w:tcBorders>
              <w:top w:val="single" w:sz="4" w:space="0" w:color="000000"/>
              <w:left w:val="single" w:sz="4" w:space="0" w:color="000000"/>
              <w:bottom w:val="single" w:sz="4" w:space="0" w:color="000000"/>
              <w:right w:val="nil"/>
            </w:tcBorders>
            <w:vAlign w:val="center"/>
          </w:tcPr>
          <w:p w:rsidR="00BD5820" w:rsidRDefault="00F64314">
            <w:pPr>
              <w:topLinePunct w:val="0"/>
              <w:adjustRightInd/>
              <w:spacing w:line="240" w:lineRule="auto"/>
              <w:ind w:firstLineChars="0" w:firstLine="0"/>
              <w:jc w:val="center"/>
              <w:rPr>
                <w:rFonts w:ascii="Times New Roman" w:cs="Times New Roman"/>
                <w:bCs/>
                <w:kern w:val="2"/>
                <w:sz w:val="21"/>
              </w:rPr>
            </w:pPr>
            <w:r>
              <w:rPr>
                <w:rFonts w:ascii="Times New Roman" w:cs="Times New Roman"/>
                <w:bCs/>
                <w:kern w:val="2"/>
                <w:sz w:val="21"/>
              </w:rPr>
              <w:t>三（</w:t>
            </w:r>
            <w:r>
              <w:rPr>
                <w:rFonts w:ascii="Times New Roman" w:cs="Times New Roman"/>
                <w:bCs/>
                <w:kern w:val="2"/>
                <w:sz w:val="21"/>
              </w:rPr>
              <w:t>√</w:t>
            </w:r>
            <w:r>
              <w:rPr>
                <w:rFonts w:ascii="Times New Roman" w:cs="Times New Roman"/>
                <w:bCs/>
                <w:kern w:val="2"/>
                <w:sz w:val="21"/>
              </w:rPr>
              <w:t>）</w:t>
            </w:r>
          </w:p>
        </w:tc>
      </w:tr>
      <w:tr w:rsidR="00BD5820">
        <w:trPr>
          <w:trHeight w:val="19"/>
          <w:jc w:val="center"/>
        </w:trPr>
        <w:tc>
          <w:tcPr>
            <w:tcW w:w="1825" w:type="pct"/>
            <w:tcBorders>
              <w:top w:val="single" w:sz="4" w:space="0" w:color="000000"/>
              <w:left w:val="nil"/>
              <w:bottom w:val="single" w:sz="12"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不敏感</w:t>
            </w:r>
          </w:p>
        </w:tc>
        <w:tc>
          <w:tcPr>
            <w:tcW w:w="1071" w:type="pct"/>
            <w:tcBorders>
              <w:top w:val="single" w:sz="4" w:space="0" w:color="000000"/>
              <w:left w:val="single" w:sz="4" w:space="0" w:color="000000"/>
              <w:bottom w:val="single" w:sz="12"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二</w:t>
            </w:r>
          </w:p>
        </w:tc>
        <w:tc>
          <w:tcPr>
            <w:tcW w:w="1074" w:type="pct"/>
            <w:tcBorders>
              <w:top w:val="single" w:sz="4" w:space="0" w:color="000000"/>
              <w:left w:val="single" w:sz="4" w:space="0" w:color="000000"/>
              <w:bottom w:val="single" w:sz="12" w:space="0" w:color="000000"/>
              <w:right w:val="single" w:sz="4" w:space="0" w:color="000000"/>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三</w:t>
            </w:r>
          </w:p>
        </w:tc>
        <w:tc>
          <w:tcPr>
            <w:tcW w:w="1030" w:type="pct"/>
            <w:tcBorders>
              <w:top w:val="single" w:sz="4" w:space="0" w:color="000000"/>
              <w:left w:val="single" w:sz="4" w:space="0" w:color="000000"/>
              <w:bottom w:val="single" w:sz="12" w:space="0" w:color="000000"/>
              <w:right w:val="nil"/>
            </w:tcBorders>
            <w:vAlign w:val="center"/>
          </w:tcPr>
          <w:p w:rsidR="00BD5820" w:rsidRDefault="00F64314">
            <w:pPr>
              <w:topLinePunct w:val="0"/>
              <w:adjustRightInd/>
              <w:spacing w:line="240" w:lineRule="auto"/>
              <w:ind w:firstLineChars="0" w:firstLine="0"/>
              <w:jc w:val="center"/>
              <w:rPr>
                <w:rFonts w:ascii="Times New Roman" w:cs="Times New Roman"/>
                <w:kern w:val="2"/>
                <w:sz w:val="21"/>
              </w:rPr>
            </w:pPr>
            <w:r>
              <w:rPr>
                <w:rFonts w:ascii="Times New Roman" w:cs="Times New Roman"/>
                <w:kern w:val="2"/>
                <w:sz w:val="21"/>
              </w:rPr>
              <w:t>三</w:t>
            </w:r>
          </w:p>
        </w:tc>
      </w:tr>
    </w:tbl>
    <w:p w:rsidR="00BD5820" w:rsidRDefault="00F64314">
      <w:pPr>
        <w:pStyle w:val="affa"/>
        <w:ind w:firstLine="480"/>
      </w:pPr>
      <w:r>
        <w:t>综合以上</w:t>
      </w:r>
      <w:r>
        <w:t>“</w:t>
      </w:r>
      <w:r>
        <w:t>项目类别</w:t>
      </w:r>
      <w:r>
        <w:t>”</w:t>
      </w:r>
      <w:r>
        <w:t>和</w:t>
      </w:r>
      <w:r>
        <w:t>“</w:t>
      </w:r>
      <w:r>
        <w:t>地下水环境敏感程度分级</w:t>
      </w:r>
      <w:r>
        <w:t>”</w:t>
      </w:r>
      <w:r>
        <w:t>结果，查询《环境影响评价技术导则</w:t>
      </w:r>
      <w:r>
        <w:t xml:space="preserve"> </w:t>
      </w:r>
      <w:r>
        <w:t>地下水环境》（</w:t>
      </w:r>
      <w:r>
        <w:t>HJ610-2016</w:t>
      </w:r>
      <w:r>
        <w:t>）建设项目评价工作等级分级表，确定</w:t>
      </w:r>
      <w:r>
        <w:rPr>
          <w:rFonts w:hint="eastAsia"/>
        </w:rPr>
        <w:t>本项目</w:t>
      </w:r>
      <w:r>
        <w:t>评价工作等级为</w:t>
      </w:r>
      <w:r>
        <w:t>“</w:t>
      </w:r>
      <w:r>
        <w:rPr>
          <w:rFonts w:hint="eastAsia"/>
        </w:rPr>
        <w:t>二</w:t>
      </w:r>
      <w:r>
        <w:t>级</w:t>
      </w:r>
      <w:r>
        <w:t>”</w:t>
      </w:r>
      <w:r>
        <w:t>。</w:t>
      </w:r>
    </w:p>
    <w:p w:rsidR="00BD5820" w:rsidRDefault="00F64314">
      <w:pPr>
        <w:pStyle w:val="affa"/>
        <w:ind w:firstLine="482"/>
        <w:rPr>
          <w:b/>
          <w:bCs/>
        </w:rPr>
      </w:pPr>
      <w:r>
        <w:rPr>
          <w:rFonts w:hint="eastAsia"/>
          <w:b/>
          <w:bCs/>
        </w:rPr>
        <w:t>4</w:t>
      </w:r>
      <w:r>
        <w:rPr>
          <w:b/>
          <w:bCs/>
        </w:rPr>
        <w:t>、</w:t>
      </w:r>
      <w:r>
        <w:rPr>
          <w:rFonts w:hint="eastAsia"/>
          <w:b/>
          <w:bCs/>
        </w:rPr>
        <w:t>地下水环境影响预测与分析</w:t>
      </w:r>
    </w:p>
    <w:p w:rsidR="00BD5820" w:rsidRDefault="00F64314">
      <w:pPr>
        <w:pStyle w:val="affa"/>
        <w:ind w:firstLine="480"/>
        <w:rPr>
          <w:highlight w:val="yellow"/>
        </w:rPr>
      </w:pPr>
      <w:r>
        <w:rPr>
          <w:rFonts w:hint="eastAsia"/>
        </w:rPr>
        <w:t>根据</w:t>
      </w:r>
      <w:r>
        <w:t>《环境影响评价技术导则</w:t>
      </w:r>
      <w:r>
        <w:t xml:space="preserve"> </w:t>
      </w:r>
      <w:r>
        <w:t>地下水环境》（</w:t>
      </w:r>
      <w:r>
        <w:t>HJ610-2016</w:t>
      </w:r>
      <w:r>
        <w:t>）</w:t>
      </w:r>
      <w:r>
        <w:rPr>
          <w:rFonts w:hint="eastAsia"/>
        </w:rPr>
        <w:t>7</w:t>
      </w:r>
      <w:r>
        <w:t>.4.3</w:t>
      </w:r>
      <w:r>
        <w:rPr>
          <w:rFonts w:hint="eastAsia"/>
        </w:rPr>
        <w:t>“二级评价要求”“采用数值法或解析法进行地下水影响分析与评价”，主要针对</w:t>
      </w:r>
      <w:r>
        <w:t>P102</w:t>
      </w:r>
      <w:r>
        <w:lastRenderedPageBreak/>
        <w:t>集气站污水罐对地下水环境影响进行预测和分析</w:t>
      </w:r>
      <w:r>
        <w:rPr>
          <w:rFonts w:hint="eastAsia"/>
        </w:rPr>
        <w:t>。</w:t>
      </w:r>
    </w:p>
    <w:p w:rsidR="00BD5820" w:rsidRDefault="00F64314">
      <w:pPr>
        <w:pStyle w:val="affa"/>
        <w:ind w:firstLine="482"/>
        <w:rPr>
          <w:b/>
          <w:bCs/>
        </w:rPr>
      </w:pPr>
      <w:r>
        <w:rPr>
          <w:rFonts w:hint="eastAsia"/>
          <w:b/>
          <w:bCs/>
        </w:rPr>
        <w:t>（</w:t>
      </w:r>
      <w:r>
        <w:rPr>
          <w:rFonts w:hint="eastAsia"/>
          <w:b/>
          <w:bCs/>
        </w:rPr>
        <w:t>1</w:t>
      </w:r>
      <w:r>
        <w:rPr>
          <w:rFonts w:hint="eastAsia"/>
          <w:b/>
          <w:bCs/>
        </w:rPr>
        <w:t>）预测时段</w:t>
      </w:r>
    </w:p>
    <w:p w:rsidR="00BD5820" w:rsidRDefault="00F64314">
      <w:pPr>
        <w:pStyle w:val="affa"/>
        <w:ind w:firstLine="480"/>
      </w:pPr>
      <w:r>
        <w:rPr>
          <w:rFonts w:hint="eastAsia"/>
        </w:rPr>
        <w:t>根据《建设项目环境影响评价技术导则地下水环境》（</w:t>
      </w:r>
      <w:r>
        <w:t>HJ610-2016</w:t>
      </w:r>
      <w:r>
        <w:rPr>
          <w:rFonts w:hint="eastAsia"/>
        </w:rPr>
        <w:t>），结合本项目特点，将生产运营期地下水环境影响预测时段限定为</w:t>
      </w:r>
      <w:r>
        <w:t>100</w:t>
      </w:r>
      <w:r>
        <w:rPr>
          <w:rFonts w:hint="eastAsia"/>
        </w:rPr>
        <w:t>天、</w:t>
      </w:r>
      <w:r>
        <w:rPr>
          <w:rFonts w:hint="eastAsia"/>
        </w:rPr>
        <w:t>365</w:t>
      </w:r>
      <w:r>
        <w:rPr>
          <w:rFonts w:hint="eastAsia"/>
        </w:rPr>
        <w:t>天。</w:t>
      </w:r>
    </w:p>
    <w:p w:rsidR="00BD5820" w:rsidRDefault="00F64314">
      <w:pPr>
        <w:pStyle w:val="affa"/>
        <w:ind w:firstLine="482"/>
        <w:rPr>
          <w:b/>
          <w:bCs/>
        </w:rPr>
      </w:pPr>
      <w:r>
        <w:rPr>
          <w:rFonts w:hint="eastAsia"/>
          <w:b/>
          <w:bCs/>
        </w:rPr>
        <w:t>（</w:t>
      </w:r>
      <w:r>
        <w:rPr>
          <w:b/>
          <w:bCs/>
        </w:rPr>
        <w:t>2</w:t>
      </w:r>
      <w:r>
        <w:rPr>
          <w:rFonts w:hint="eastAsia"/>
          <w:b/>
          <w:bCs/>
        </w:rPr>
        <w:t>）情景设置</w:t>
      </w:r>
    </w:p>
    <w:p w:rsidR="00BD5820" w:rsidRDefault="00F64314">
      <w:pPr>
        <w:pStyle w:val="affa"/>
        <w:ind w:firstLine="480"/>
      </w:pPr>
      <w:r>
        <w:rPr>
          <w:rFonts w:hint="eastAsia"/>
        </w:rPr>
        <w:t>按照《环境影响评价技术导则地下水环境》（</w:t>
      </w:r>
      <w:r>
        <w:t>HJ610-2016</w:t>
      </w:r>
      <w:r>
        <w:rPr>
          <w:rFonts w:hint="eastAsia"/>
        </w:rPr>
        <w:t>）要求，根据分析，项目地下水污染源主要是指</w:t>
      </w:r>
      <w:r>
        <w:rPr>
          <w:rFonts w:ascii="宋体" w:cs="宋体" w:hint="eastAsia"/>
        </w:rPr>
        <w:t>污水罐</w:t>
      </w:r>
      <w:r>
        <w:rPr>
          <w:rFonts w:hint="eastAsia"/>
        </w:rPr>
        <w:t>泄漏且防渗设施失效，而主要预测点为</w:t>
      </w:r>
      <w:r>
        <w:rPr>
          <w:rFonts w:ascii="宋体" w:cs="宋体" w:hint="eastAsia"/>
        </w:rPr>
        <w:t>污水罐</w:t>
      </w:r>
      <w:r>
        <w:rPr>
          <w:rFonts w:hint="eastAsia"/>
        </w:rPr>
        <w:t>，本次预测忽略正常工况对周边地下水的影响，主要分析在非正常状况下</w:t>
      </w:r>
      <w:r>
        <w:rPr>
          <w:rFonts w:ascii="宋体" w:cs="宋体" w:hint="eastAsia"/>
        </w:rPr>
        <w:t>污水罐</w:t>
      </w:r>
      <w:r>
        <w:rPr>
          <w:rFonts w:hint="eastAsia"/>
        </w:rPr>
        <w:t>破损且防渗设施失效，而导致泄漏</w:t>
      </w:r>
      <w:r>
        <w:rPr>
          <w:rFonts w:hAnsi="宋体" w:hint="eastAsia"/>
          <w:kern w:val="2"/>
        </w:rPr>
        <w:t>气田水</w:t>
      </w:r>
      <w:r>
        <w:rPr>
          <w:rFonts w:hint="eastAsia"/>
        </w:rPr>
        <w:t>直接进入潜水含水层。考虑最不利情况，考虑</w:t>
      </w:r>
      <w:r>
        <w:rPr>
          <w:rFonts w:hAnsi="宋体" w:hint="eastAsia"/>
          <w:kern w:val="2"/>
        </w:rPr>
        <w:t>气田水</w:t>
      </w:r>
      <w:r w:rsidRPr="00BD3852">
        <w:rPr>
          <w:rFonts w:hint="eastAsia"/>
          <w:color w:val="FF0000"/>
        </w:rPr>
        <w:t>全部泄漏</w:t>
      </w:r>
      <w:r>
        <w:rPr>
          <w:rFonts w:hint="eastAsia"/>
        </w:rPr>
        <w:t>。结合本项目各阶段工程分析，并结合地下水环境现状调查评价，选取合适的评价方法，确定评价范围、识别预测时段和选取预测因子，从而对周边地下水环境影响的范围及程度，对本项目进行地下水水质影响预测。</w:t>
      </w:r>
    </w:p>
    <w:p w:rsidR="00BD5820" w:rsidRDefault="00F64314">
      <w:pPr>
        <w:pStyle w:val="affa"/>
        <w:ind w:firstLine="482"/>
        <w:rPr>
          <w:b/>
          <w:bCs/>
        </w:rPr>
      </w:pPr>
      <w:r>
        <w:rPr>
          <w:rFonts w:hint="eastAsia"/>
          <w:b/>
          <w:bCs/>
        </w:rPr>
        <w:t>（</w:t>
      </w:r>
      <w:r>
        <w:rPr>
          <w:b/>
          <w:bCs/>
        </w:rPr>
        <w:t>3</w:t>
      </w:r>
      <w:r>
        <w:rPr>
          <w:rFonts w:hint="eastAsia"/>
          <w:b/>
          <w:bCs/>
        </w:rPr>
        <w:t>）预测因子</w:t>
      </w:r>
    </w:p>
    <w:p w:rsidR="00BD5820" w:rsidRDefault="00F64314">
      <w:pPr>
        <w:pStyle w:val="affa"/>
        <w:ind w:firstLine="480"/>
      </w:pPr>
      <w:r>
        <w:rPr>
          <w:rFonts w:hint="eastAsia"/>
        </w:rPr>
        <w:t>根据导则要求，并结合项目特点，预测因子选择应在导则要求的基础上，充分考虑选取与其排放的污染物有关的特征因子。根据废水排放中污染物排放量和排放浓度，预测因子为建设项目排放的污染物有关的特征因子。本次选取对地下水环境质量影响负荷较大的石油类进行影响预测与评估。</w:t>
      </w:r>
    </w:p>
    <w:p w:rsidR="00BD5820" w:rsidRDefault="00F64314">
      <w:pPr>
        <w:pStyle w:val="affa"/>
        <w:ind w:firstLine="480"/>
      </w:pPr>
      <w:r>
        <w:rPr>
          <w:rFonts w:ascii="宋体" w:cs="宋体" w:hint="eastAsia"/>
        </w:rPr>
        <w:t>由于《地下水质量标准》（</w:t>
      </w:r>
      <w:r>
        <w:t>GB/T14848-2017</w:t>
      </w:r>
      <w:r>
        <w:rPr>
          <w:rFonts w:ascii="宋体" w:cs="宋体" w:hint="eastAsia"/>
        </w:rPr>
        <w:t>）中没有石油类相关指标，因此参照执行《地表水质量标准》（</w:t>
      </w:r>
      <w:r>
        <w:t>GB3838-2002</w:t>
      </w:r>
      <w:r>
        <w:rPr>
          <w:rFonts w:ascii="宋体" w:cs="宋体" w:hint="eastAsia"/>
        </w:rPr>
        <w:t>）中</w:t>
      </w:r>
      <w:r>
        <w:t>Ⅲ</w:t>
      </w:r>
      <w:r>
        <w:rPr>
          <w:rFonts w:ascii="宋体" w:cs="宋体" w:hint="eastAsia"/>
        </w:rPr>
        <w:t>类标准（</w:t>
      </w:r>
      <w:r>
        <w:t>500μg/L</w:t>
      </w:r>
      <w:r>
        <w:rPr>
          <w:rFonts w:ascii="宋体" w:cs="宋体" w:hint="eastAsia"/>
        </w:rPr>
        <w:t>）超过《地下水质量标准》（</w:t>
      </w:r>
      <w:r>
        <w:t>GB/T14848-2017</w:t>
      </w:r>
      <w:r>
        <w:rPr>
          <w:rFonts w:ascii="宋体" w:cs="宋体" w:hint="eastAsia"/>
        </w:rPr>
        <w:t>）的</w:t>
      </w:r>
      <w:r>
        <w:t>Ⅲ</w:t>
      </w:r>
      <w:r>
        <w:rPr>
          <w:rFonts w:ascii="宋体" w:cs="宋体" w:hint="eastAsia"/>
        </w:rPr>
        <w:t>类标准（</w:t>
      </w:r>
      <w:r>
        <w:t>0.05mg/L</w:t>
      </w:r>
      <w:r>
        <w:rPr>
          <w:rFonts w:ascii="宋体" w:cs="宋体" w:hint="eastAsia"/>
        </w:rPr>
        <w:t>），并对超过该标准的范围进行定量描述，影响范围以检测方法检出限（</w:t>
      </w:r>
      <w:r>
        <w:t>0.01mg/L</w:t>
      </w:r>
      <w:r>
        <w:rPr>
          <w:rFonts w:ascii="宋体" w:cs="宋体" w:hint="eastAsia"/>
        </w:rPr>
        <w:t>）作为影响限值。</w:t>
      </w:r>
    </w:p>
    <w:p w:rsidR="00BD5820" w:rsidRDefault="00F64314">
      <w:pPr>
        <w:pStyle w:val="affa"/>
        <w:ind w:firstLine="482"/>
        <w:rPr>
          <w:b/>
          <w:bCs/>
        </w:rPr>
      </w:pPr>
      <w:r>
        <w:rPr>
          <w:rFonts w:hint="eastAsia"/>
          <w:b/>
          <w:bCs/>
        </w:rPr>
        <w:t>（</w:t>
      </w:r>
      <w:r>
        <w:rPr>
          <w:b/>
          <w:bCs/>
        </w:rPr>
        <w:t>4</w:t>
      </w:r>
      <w:r>
        <w:rPr>
          <w:rFonts w:hint="eastAsia"/>
          <w:b/>
          <w:bCs/>
        </w:rPr>
        <w:t>）预测源强</w:t>
      </w:r>
    </w:p>
    <w:p w:rsidR="00BD5820" w:rsidRDefault="00F64314">
      <w:pPr>
        <w:pStyle w:val="affa"/>
        <w:ind w:firstLine="480"/>
      </w:pPr>
      <w:r>
        <w:rPr>
          <w:rFonts w:hint="eastAsia"/>
        </w:rPr>
        <w:t>本项目普光气田</w:t>
      </w:r>
      <w:r>
        <w:rPr>
          <w:rFonts w:hint="eastAsia"/>
        </w:rPr>
        <w:t>1#</w:t>
      </w:r>
      <w:r>
        <w:rPr>
          <w:rFonts w:hint="eastAsia"/>
        </w:rPr>
        <w:t>增压站、普光气田</w:t>
      </w:r>
      <w:r>
        <w:rPr>
          <w:rFonts w:hint="eastAsia"/>
        </w:rPr>
        <w:t>2#</w:t>
      </w:r>
      <w:r>
        <w:rPr>
          <w:rFonts w:hint="eastAsia"/>
        </w:rPr>
        <w:t>增压站的</w:t>
      </w:r>
      <w:r>
        <w:rPr>
          <w:rFonts w:ascii="宋体" w:cs="宋体" w:hint="eastAsia"/>
        </w:rPr>
        <w:t>污水罐</w:t>
      </w:r>
      <w:r>
        <w:rPr>
          <w:rFonts w:hint="eastAsia"/>
        </w:rPr>
        <w:t>容积分别约</w:t>
      </w:r>
      <w:r>
        <w:rPr>
          <w:rFonts w:hint="eastAsia"/>
        </w:rPr>
        <w:t>61.544</w:t>
      </w:r>
      <w:r>
        <w:t>m</w:t>
      </w:r>
      <w:r>
        <w:rPr>
          <w:vertAlign w:val="superscript"/>
        </w:rPr>
        <w:t>3</w:t>
      </w:r>
      <w:r>
        <w:rPr>
          <w:rFonts w:hint="eastAsia"/>
        </w:rPr>
        <w:t>、</w:t>
      </w:r>
      <w:r>
        <w:rPr>
          <w:rFonts w:hint="eastAsia"/>
        </w:rPr>
        <w:t>63.585</w:t>
      </w:r>
      <w:r>
        <w:t>m</w:t>
      </w:r>
      <w:r>
        <w:rPr>
          <w:vertAlign w:val="superscript"/>
        </w:rPr>
        <w:t>3</w:t>
      </w:r>
      <w:r>
        <w:rPr>
          <w:rFonts w:hint="eastAsia"/>
        </w:rPr>
        <w:t>，气田水最大</w:t>
      </w:r>
      <w:r>
        <w:rPr>
          <w:rFonts w:ascii="宋体" w:cs="宋体" w:hint="eastAsia"/>
        </w:rPr>
        <w:t>储存量</w:t>
      </w:r>
      <w:r>
        <w:rPr>
          <w:rFonts w:hint="eastAsia"/>
        </w:rPr>
        <w:t>按</w:t>
      </w:r>
      <w:r>
        <w:rPr>
          <w:rFonts w:hint="eastAsia"/>
        </w:rPr>
        <w:t>63.585</w:t>
      </w:r>
      <w:r>
        <w:t>m</w:t>
      </w:r>
      <w:r>
        <w:rPr>
          <w:vertAlign w:val="superscript"/>
        </w:rPr>
        <w:t>3</w:t>
      </w:r>
      <w:r>
        <w:rPr>
          <w:rFonts w:hint="eastAsia"/>
        </w:rPr>
        <w:t>计，即以普光气田</w:t>
      </w:r>
      <w:r>
        <w:rPr>
          <w:rFonts w:hint="eastAsia"/>
        </w:rPr>
        <w:t>2#</w:t>
      </w:r>
      <w:r>
        <w:rPr>
          <w:rFonts w:hint="eastAsia"/>
        </w:rPr>
        <w:t>增压站污水罐作为预测源，假定普光气田</w:t>
      </w:r>
      <w:r>
        <w:rPr>
          <w:rFonts w:hint="eastAsia"/>
        </w:rPr>
        <w:t>2#</w:t>
      </w:r>
      <w:r>
        <w:rPr>
          <w:rFonts w:hint="eastAsia"/>
        </w:rPr>
        <w:t>增压站污水罐发生泄漏，</w:t>
      </w:r>
      <w:r>
        <w:rPr>
          <w:rFonts w:ascii="宋体" w:cs="宋体" w:hint="eastAsia"/>
        </w:rPr>
        <w:t>污水罐</w:t>
      </w:r>
      <w:r>
        <w:rPr>
          <w:rFonts w:hint="eastAsia"/>
        </w:rPr>
        <w:t>储存的气田水全部渗漏到地下水含水层中，对地下水水质造成污染。则泄漏量为</w:t>
      </w:r>
      <w:r>
        <w:rPr>
          <w:rFonts w:hint="eastAsia"/>
        </w:rPr>
        <w:t>63.585</w:t>
      </w:r>
      <w:r>
        <w:t>m</w:t>
      </w:r>
      <w:r>
        <w:rPr>
          <w:vertAlign w:val="superscript"/>
        </w:rPr>
        <w:t>3</w:t>
      </w:r>
      <w:r>
        <w:rPr>
          <w:rFonts w:hint="eastAsia"/>
        </w:rPr>
        <w:t>。根据气田水水质，主要超标污染物为石油类，事故污染物预测强度见表</w:t>
      </w:r>
      <w:r>
        <w:rPr>
          <w:rFonts w:hint="eastAsia"/>
        </w:rPr>
        <w:t>6</w:t>
      </w:r>
      <w:r>
        <w:t>.2-</w:t>
      </w:r>
      <w:r>
        <w:rPr>
          <w:rFonts w:hint="eastAsia"/>
        </w:rPr>
        <w:t>3</w:t>
      </w:r>
      <w:r>
        <w:rPr>
          <w:rFonts w:hint="eastAsia"/>
        </w:rPr>
        <w:t>。</w:t>
      </w:r>
    </w:p>
    <w:p w:rsidR="00BD5820" w:rsidRDefault="00F64314">
      <w:pPr>
        <w:pStyle w:val="a9"/>
        <w:spacing w:before="120"/>
        <w:ind w:firstLine="422"/>
        <w:jc w:val="center"/>
        <w:rPr>
          <w:rFonts w:ascii="Times New Roman" w:eastAsia="宋体" w:hAnsi="Times New Roman"/>
          <w:sz w:val="21"/>
          <w:szCs w:val="21"/>
        </w:rPr>
      </w:pPr>
      <w:bookmarkStart w:id="407" w:name="_Ref474413801"/>
      <w:r>
        <w:rPr>
          <w:rFonts w:ascii="Times New Roman" w:eastAsia="宋体" w:hAnsi="Times New Roman"/>
          <w:b/>
          <w:sz w:val="21"/>
          <w:szCs w:val="21"/>
        </w:rPr>
        <w:t>表</w:t>
      </w:r>
      <w:bookmarkEnd w:id="407"/>
      <w:r>
        <w:rPr>
          <w:rFonts w:ascii="Times New Roman" w:eastAsia="宋体" w:hAnsi="Times New Roman" w:hint="eastAsia"/>
          <w:b/>
          <w:sz w:val="21"/>
          <w:szCs w:val="21"/>
        </w:rPr>
        <w:t>6</w:t>
      </w:r>
      <w:r>
        <w:rPr>
          <w:rFonts w:ascii="Times New Roman" w:eastAsia="宋体" w:hAnsi="Times New Roman"/>
          <w:b/>
          <w:sz w:val="21"/>
          <w:szCs w:val="21"/>
        </w:rPr>
        <w:t>.2-</w:t>
      </w:r>
      <w:r>
        <w:rPr>
          <w:rFonts w:ascii="Times New Roman" w:eastAsia="宋体" w:hAnsi="Times New Roman" w:hint="eastAsia"/>
          <w:b/>
          <w:sz w:val="21"/>
          <w:szCs w:val="21"/>
        </w:rPr>
        <w:t>3</w:t>
      </w:r>
      <w:r>
        <w:rPr>
          <w:rFonts w:ascii="Times New Roman" w:eastAsia="宋体" w:hAnsi="Times New Roman"/>
          <w:b/>
          <w:sz w:val="21"/>
          <w:szCs w:val="21"/>
        </w:rPr>
        <w:t xml:space="preserve">  </w:t>
      </w:r>
      <w:r>
        <w:rPr>
          <w:rFonts w:ascii="Times New Roman" w:eastAsia="宋体" w:hAnsi="Times New Roman"/>
          <w:b/>
          <w:sz w:val="21"/>
          <w:szCs w:val="21"/>
        </w:rPr>
        <w:t>事故情况下污染物预测源强</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456"/>
        <w:gridCol w:w="2288"/>
        <w:gridCol w:w="1488"/>
        <w:gridCol w:w="1676"/>
        <w:gridCol w:w="1614"/>
      </w:tblGrid>
      <w:tr w:rsidR="00BD5820">
        <w:trPr>
          <w:trHeight w:val="498"/>
          <w:jc w:val="center"/>
        </w:trPr>
        <w:tc>
          <w:tcPr>
            <w:tcW w:w="1583" w:type="dxa"/>
            <w:vAlign w:val="center"/>
          </w:tcPr>
          <w:p w:rsidR="00BD5820" w:rsidRDefault="00F64314">
            <w:pPr>
              <w:pStyle w:val="SSEC201503230"/>
              <w:rPr>
                <w:rFonts w:ascii="Times New Roman" w:hAnsi="Times New Roman"/>
                <w:b/>
              </w:rPr>
            </w:pPr>
            <w:r>
              <w:rPr>
                <w:rFonts w:cs="宋体" w:hint="eastAsia"/>
                <w:b/>
              </w:rPr>
              <w:lastRenderedPageBreak/>
              <w:t>泄漏位置</w:t>
            </w:r>
          </w:p>
        </w:tc>
        <w:tc>
          <w:tcPr>
            <w:tcW w:w="2502" w:type="dxa"/>
            <w:vAlign w:val="center"/>
          </w:tcPr>
          <w:p w:rsidR="00BD5820" w:rsidRDefault="00F64314">
            <w:pPr>
              <w:pStyle w:val="SSEC201503230"/>
              <w:rPr>
                <w:rFonts w:ascii="Times New Roman" w:hAnsi="Times New Roman"/>
                <w:b/>
              </w:rPr>
            </w:pPr>
            <w:r>
              <w:rPr>
                <w:rFonts w:cs="宋体" w:hint="eastAsia"/>
                <w:b/>
              </w:rPr>
              <w:t>渗漏废水或压裂液量</w:t>
            </w:r>
          </w:p>
          <w:p w:rsidR="00BD5820" w:rsidRDefault="00F64314">
            <w:pPr>
              <w:pStyle w:val="SSEC201503230"/>
              <w:rPr>
                <w:rFonts w:ascii="Times New Roman" w:hAnsi="Times New Roman"/>
                <w:b/>
              </w:rPr>
            </w:pPr>
            <w:r>
              <w:rPr>
                <w:rFonts w:cs="宋体" w:hint="eastAsia"/>
                <w:b/>
              </w:rPr>
              <w:t>（</w:t>
            </w:r>
            <w:r>
              <w:rPr>
                <w:rFonts w:ascii="Times New Roman" w:hAnsi="Times New Roman"/>
                <w:b/>
              </w:rPr>
              <w:t>m</w:t>
            </w:r>
            <w:r>
              <w:rPr>
                <w:rFonts w:ascii="Times New Roman" w:hAnsi="Times New Roman"/>
                <w:b/>
                <w:vertAlign w:val="superscript"/>
              </w:rPr>
              <w:t>3</w:t>
            </w:r>
            <w:r>
              <w:rPr>
                <w:rFonts w:cs="宋体" w:hint="eastAsia"/>
                <w:b/>
              </w:rPr>
              <w:t>）</w:t>
            </w:r>
          </w:p>
        </w:tc>
        <w:tc>
          <w:tcPr>
            <w:tcW w:w="1618" w:type="dxa"/>
            <w:vAlign w:val="center"/>
          </w:tcPr>
          <w:p w:rsidR="00BD5820" w:rsidRDefault="00F64314">
            <w:pPr>
              <w:pStyle w:val="SSEC201503230"/>
              <w:rPr>
                <w:rFonts w:ascii="Times New Roman" w:hAnsi="Times New Roman"/>
                <w:b/>
              </w:rPr>
            </w:pPr>
            <w:r>
              <w:rPr>
                <w:rFonts w:cs="宋体" w:hint="eastAsia"/>
                <w:b/>
              </w:rPr>
              <w:t>污染物</w:t>
            </w:r>
          </w:p>
        </w:tc>
        <w:tc>
          <w:tcPr>
            <w:tcW w:w="1826" w:type="dxa"/>
            <w:vAlign w:val="center"/>
          </w:tcPr>
          <w:p w:rsidR="00BD5820" w:rsidRDefault="00F64314">
            <w:pPr>
              <w:pStyle w:val="SSEC201503230"/>
              <w:rPr>
                <w:rFonts w:ascii="Times New Roman" w:hAnsi="Times New Roman"/>
                <w:b/>
              </w:rPr>
            </w:pPr>
            <w:r>
              <w:rPr>
                <w:rFonts w:cs="宋体" w:hint="eastAsia"/>
                <w:b/>
              </w:rPr>
              <w:t>污染物浓度（</w:t>
            </w:r>
            <w:r>
              <w:rPr>
                <w:rFonts w:ascii="Times New Roman" w:hAnsi="Times New Roman"/>
                <w:b/>
              </w:rPr>
              <w:t>mg/L</w:t>
            </w:r>
            <w:r>
              <w:rPr>
                <w:rFonts w:cs="宋体" w:hint="eastAsia"/>
                <w:b/>
              </w:rPr>
              <w:t>）</w:t>
            </w:r>
          </w:p>
        </w:tc>
        <w:tc>
          <w:tcPr>
            <w:tcW w:w="1757" w:type="dxa"/>
            <w:vAlign w:val="center"/>
          </w:tcPr>
          <w:p w:rsidR="00BD5820" w:rsidRDefault="00F64314">
            <w:pPr>
              <w:pStyle w:val="SSEC201503230"/>
              <w:rPr>
                <w:rFonts w:ascii="Times New Roman" w:hAnsi="Times New Roman"/>
                <w:b/>
              </w:rPr>
            </w:pPr>
            <w:r>
              <w:rPr>
                <w:rFonts w:cs="宋体" w:hint="eastAsia"/>
                <w:b/>
              </w:rPr>
              <w:t>污染物渗漏量（</w:t>
            </w:r>
            <w:r>
              <w:rPr>
                <w:rFonts w:ascii="Times New Roman" w:hAnsi="Times New Roman"/>
                <w:b/>
              </w:rPr>
              <w:t>kg</w:t>
            </w:r>
            <w:r>
              <w:rPr>
                <w:rFonts w:cs="宋体" w:hint="eastAsia"/>
                <w:b/>
              </w:rPr>
              <w:t>）</w:t>
            </w:r>
          </w:p>
        </w:tc>
      </w:tr>
      <w:tr w:rsidR="00BD5820">
        <w:trPr>
          <w:trHeight w:val="239"/>
          <w:jc w:val="center"/>
        </w:trPr>
        <w:tc>
          <w:tcPr>
            <w:tcW w:w="1583" w:type="dxa"/>
            <w:vAlign w:val="center"/>
          </w:tcPr>
          <w:p w:rsidR="00BD5820" w:rsidRDefault="00F64314">
            <w:pPr>
              <w:pStyle w:val="SSEC201503230"/>
              <w:rPr>
                <w:rFonts w:ascii="Times New Roman" w:hAnsi="Times New Roman"/>
              </w:rPr>
            </w:pPr>
            <w:r>
              <w:rPr>
                <w:rFonts w:cs="宋体" w:hint="eastAsia"/>
              </w:rPr>
              <w:t>污水罐</w:t>
            </w:r>
          </w:p>
        </w:tc>
        <w:tc>
          <w:tcPr>
            <w:tcW w:w="2502" w:type="dxa"/>
            <w:vAlign w:val="center"/>
          </w:tcPr>
          <w:p w:rsidR="00BD5820" w:rsidRDefault="00F64314">
            <w:pPr>
              <w:pStyle w:val="SSEC201503230"/>
              <w:rPr>
                <w:rFonts w:ascii="Times New Roman" w:hAnsi="Times New Roman"/>
              </w:rPr>
            </w:pPr>
            <w:r>
              <w:rPr>
                <w:rFonts w:ascii="Times New Roman" w:hAnsi="Times New Roman" w:hint="eastAsia"/>
              </w:rPr>
              <w:t>63.585</w:t>
            </w:r>
          </w:p>
        </w:tc>
        <w:tc>
          <w:tcPr>
            <w:tcW w:w="1618" w:type="dxa"/>
            <w:vAlign w:val="center"/>
          </w:tcPr>
          <w:p w:rsidR="00BD5820" w:rsidRDefault="00F64314">
            <w:pPr>
              <w:pStyle w:val="SSEC201503230"/>
              <w:rPr>
                <w:rFonts w:ascii="Times New Roman" w:hAnsi="Times New Roman"/>
              </w:rPr>
            </w:pPr>
            <w:r>
              <w:rPr>
                <w:rFonts w:cs="宋体" w:hint="eastAsia"/>
              </w:rPr>
              <w:t>石油类</w:t>
            </w:r>
          </w:p>
        </w:tc>
        <w:tc>
          <w:tcPr>
            <w:tcW w:w="1826" w:type="dxa"/>
            <w:vAlign w:val="center"/>
          </w:tcPr>
          <w:p w:rsidR="00BD5820" w:rsidRDefault="00F64314">
            <w:pPr>
              <w:pStyle w:val="SSEC201503230"/>
              <w:rPr>
                <w:rFonts w:ascii="Times New Roman" w:hAnsi="Times New Roman"/>
              </w:rPr>
            </w:pPr>
            <w:r>
              <w:rPr>
                <w:rFonts w:ascii="Times New Roman" w:hAnsi="Times New Roman" w:hint="eastAsia"/>
              </w:rPr>
              <w:t>2</w:t>
            </w:r>
            <w:r>
              <w:rPr>
                <w:rFonts w:ascii="Times New Roman" w:hAnsi="Times New Roman"/>
              </w:rPr>
              <w:t>00</w:t>
            </w:r>
          </w:p>
        </w:tc>
        <w:tc>
          <w:tcPr>
            <w:tcW w:w="1757" w:type="dxa"/>
            <w:vAlign w:val="center"/>
          </w:tcPr>
          <w:p w:rsidR="00BD5820" w:rsidRDefault="00F64314">
            <w:pPr>
              <w:pStyle w:val="SSEC201503230"/>
              <w:rPr>
                <w:rFonts w:ascii="Times New Roman" w:hAnsi="Times New Roman"/>
              </w:rPr>
            </w:pPr>
            <w:r>
              <w:rPr>
                <w:rFonts w:ascii="Times New Roman" w:hAnsi="Times New Roman" w:hint="eastAsia"/>
              </w:rPr>
              <w:t>12.717</w:t>
            </w:r>
          </w:p>
        </w:tc>
      </w:tr>
    </w:tbl>
    <w:p w:rsidR="00BD5820" w:rsidRDefault="00F64314">
      <w:pPr>
        <w:pStyle w:val="affa"/>
        <w:ind w:firstLine="482"/>
        <w:rPr>
          <w:b/>
          <w:bCs/>
        </w:rPr>
      </w:pPr>
      <w:r>
        <w:rPr>
          <w:rFonts w:hint="eastAsia"/>
          <w:b/>
          <w:bCs/>
        </w:rPr>
        <w:t>（</w:t>
      </w:r>
      <w:r>
        <w:rPr>
          <w:b/>
          <w:bCs/>
        </w:rPr>
        <w:t>5</w:t>
      </w:r>
      <w:r>
        <w:rPr>
          <w:rFonts w:hint="eastAsia"/>
          <w:b/>
          <w:bCs/>
        </w:rPr>
        <w:t>）预测模型概化</w:t>
      </w:r>
    </w:p>
    <w:p w:rsidR="00BD5820" w:rsidRDefault="00F64314">
      <w:pPr>
        <w:pStyle w:val="affa"/>
        <w:ind w:firstLine="480"/>
      </w:pPr>
      <w:r>
        <w:rPr>
          <w:rFonts w:hint="eastAsia"/>
        </w:rPr>
        <w:t>当</w:t>
      </w:r>
      <w:r>
        <w:rPr>
          <w:rFonts w:ascii="宋体" w:cs="宋体" w:hint="eastAsia"/>
        </w:rPr>
        <w:t>污水罐</w:t>
      </w:r>
      <w:r>
        <w:rPr>
          <w:rFonts w:hint="eastAsia"/>
        </w:rPr>
        <w:t>发生泄漏后，首先在包气带中垂直向下迁移，并进入到含水层中。污染物进入地下水后，以对流和弥散作用为主。另外，污染物在含水层的迁移行为还包括吸附解析、挥发和生物降解。</w:t>
      </w:r>
    </w:p>
    <w:p w:rsidR="00BD5820" w:rsidRDefault="00F64314">
      <w:pPr>
        <w:pStyle w:val="affa"/>
        <w:ind w:firstLine="480"/>
      </w:pPr>
      <w:r>
        <w:rPr>
          <w:rFonts w:hint="eastAsia"/>
        </w:rPr>
        <w:t>a.</w:t>
      </w:r>
      <w:r>
        <w:rPr>
          <w:rFonts w:hint="eastAsia"/>
        </w:rPr>
        <w:t>预测模型</w:t>
      </w:r>
    </w:p>
    <w:p w:rsidR="00BD5820" w:rsidRDefault="00F64314">
      <w:pPr>
        <w:pStyle w:val="affa"/>
        <w:ind w:firstLine="480"/>
      </w:pPr>
      <w:r>
        <w:rPr>
          <w:rFonts w:hint="eastAsia"/>
        </w:rPr>
        <w:t>根据本项目污染物的理化特征，出于保守性考虑，本次地下水污染模拟过程中未考虑污染物在含水层中的挥发、吸附解析和生物化学反应。建设项目地下水流向呈一维流动，地下水位动态稳定，因此污染物在含水层中的迁移，可概化为瞬时注入示踪剂（平面瞬时点源）的一维稳定流动二维水动力弥散问题，本次评价选用《环境影响评价技术导则地下水环境》（</w:t>
      </w:r>
      <w:r>
        <w:t>HJ610-2016</w:t>
      </w:r>
      <w:r>
        <w:rPr>
          <w:rFonts w:hint="eastAsia"/>
        </w:rPr>
        <w:t>）附录</w:t>
      </w:r>
      <w:r>
        <w:t>D.1.2.2.1</w:t>
      </w:r>
      <w:r>
        <w:rPr>
          <w:rFonts w:hint="eastAsia"/>
        </w:rPr>
        <w:t>推荐的常用地下水评价预测模型中污染物瞬时源浓度的解析解预测模型，解析解模型如下所示：</w:t>
      </w:r>
    </w:p>
    <w:p w:rsidR="00BD5820" w:rsidRDefault="00F64314">
      <w:pPr>
        <w:pStyle w:val="affa"/>
        <w:ind w:firstLine="480"/>
      </w:pPr>
      <w:r>
        <w:rPr>
          <w:rFonts w:hint="eastAsia"/>
        </w:rPr>
        <w:t>附录</w:t>
      </w:r>
      <w:r>
        <w:t xml:space="preserve">D.1.2.2.1 </w:t>
      </w:r>
      <w:r>
        <w:rPr>
          <w:rFonts w:hint="eastAsia"/>
        </w:rPr>
        <w:t>瞬时注入示踪剂</w:t>
      </w:r>
      <w:r>
        <w:t>—</w:t>
      </w:r>
      <w:r>
        <w:rPr>
          <w:rFonts w:hint="eastAsia"/>
        </w:rPr>
        <w:t>平面瞬时点源</w:t>
      </w:r>
    </w:p>
    <w:p w:rsidR="00BD5820" w:rsidRDefault="00BD5820">
      <w:pPr>
        <w:pStyle w:val="affa"/>
        <w:ind w:firstLine="480"/>
      </w:pPr>
      <w:r>
        <w:object w:dxaOrig="3658" w:dyaOrig="860">
          <v:shape id="_x0000_i1027" type="#_x0000_t75" style="width:206.5pt;height:47.55pt" o:ole="">
            <v:imagedata r:id="rId78" o:title=""/>
          </v:shape>
          <o:OLEObject Type="Embed" ProgID="Equation.DSMT4" ShapeID="_x0000_i1027" DrawAspect="Content" ObjectID="_1753101008" r:id="rId79"/>
        </w:object>
      </w:r>
    </w:p>
    <w:p w:rsidR="00BD5820" w:rsidRDefault="00BD5820">
      <w:pPr>
        <w:pStyle w:val="affa"/>
        <w:ind w:firstLine="480"/>
      </w:pPr>
    </w:p>
    <w:p w:rsidR="00BD5820" w:rsidRDefault="00F64314">
      <w:pPr>
        <w:pStyle w:val="affa"/>
        <w:ind w:firstLine="480"/>
      </w:pPr>
      <w:r>
        <w:rPr>
          <w:rFonts w:hint="eastAsia"/>
        </w:rPr>
        <w:t>式中：</w:t>
      </w:r>
      <w:r w:rsidR="00BD5820">
        <w:object w:dxaOrig="419" w:dyaOrig="260">
          <v:shape id="_x0000_i1028" type="#_x0000_t75" style="width:21.05pt;height:10.2pt" o:ole="">
            <v:imagedata r:id="rId80" o:title=""/>
          </v:shape>
          <o:OLEObject Type="Embed" ProgID="Equation.DSMT4" ShapeID="_x0000_i1028" DrawAspect="Content" ObjectID="_1753101009" r:id="rId81"/>
        </w:object>
      </w:r>
      <w:r>
        <w:t>—</w:t>
      </w:r>
      <w:r>
        <w:rPr>
          <w:rFonts w:hint="eastAsia"/>
        </w:rPr>
        <w:t>计算点处的位置坐标；</w:t>
      </w:r>
    </w:p>
    <w:p w:rsidR="00BD5820" w:rsidRDefault="00F64314">
      <w:pPr>
        <w:pStyle w:val="affa"/>
        <w:ind w:firstLine="480"/>
      </w:pPr>
      <w:r>
        <w:t>t—</w:t>
      </w:r>
      <w:r>
        <w:rPr>
          <w:rFonts w:hint="eastAsia"/>
        </w:rPr>
        <w:t>时间，</w:t>
      </w:r>
      <w:r>
        <w:t>d</w:t>
      </w:r>
      <w:r>
        <w:rPr>
          <w:rFonts w:hint="eastAsia"/>
        </w:rPr>
        <w:t>；</w:t>
      </w:r>
    </w:p>
    <w:p w:rsidR="00BD5820" w:rsidRDefault="00BD5820">
      <w:pPr>
        <w:pStyle w:val="affa"/>
        <w:ind w:firstLine="480"/>
      </w:pPr>
      <w:r>
        <w:object w:dxaOrig="920" w:dyaOrig="320">
          <v:shape id="_x0000_i1029" type="#_x0000_t75" style="width:47.55pt;height:18.35pt" o:ole="">
            <v:imagedata r:id="rId82" o:title=""/>
          </v:shape>
          <o:OLEObject Type="Embed" ProgID="Equation.DSMT4" ShapeID="_x0000_i1029" DrawAspect="Content" ObjectID="_1753101010" r:id="rId83"/>
        </w:object>
      </w:r>
      <w:r w:rsidR="00F64314">
        <w:t>—t</w:t>
      </w:r>
      <w:r w:rsidR="00F64314">
        <w:rPr>
          <w:rFonts w:hint="eastAsia"/>
        </w:rPr>
        <w:t>时刻点</w:t>
      </w:r>
      <w:r w:rsidR="00F64314">
        <w:t>x</w:t>
      </w:r>
      <w:r w:rsidR="00F64314">
        <w:rPr>
          <w:rFonts w:hint="eastAsia"/>
        </w:rPr>
        <w:t>，</w:t>
      </w:r>
      <w:r w:rsidR="00F64314">
        <w:t>y</w:t>
      </w:r>
      <w:r w:rsidR="00F64314">
        <w:rPr>
          <w:rFonts w:hint="eastAsia"/>
        </w:rPr>
        <w:t>处的示踪剂质量浓度，</w:t>
      </w:r>
      <w:r w:rsidR="00F64314">
        <w:t>mg/L</w:t>
      </w:r>
      <w:r w:rsidR="00F64314">
        <w:rPr>
          <w:rFonts w:hint="eastAsia"/>
        </w:rPr>
        <w:t>；</w:t>
      </w:r>
    </w:p>
    <w:p w:rsidR="00BD5820" w:rsidRDefault="00BD5820">
      <w:pPr>
        <w:pStyle w:val="affa"/>
        <w:ind w:firstLine="480"/>
      </w:pPr>
      <w:r>
        <w:object w:dxaOrig="380" w:dyaOrig="360">
          <v:shape id="_x0000_i1030" type="#_x0000_t75" style="width:17pt;height:18.35pt" o:ole="">
            <v:imagedata r:id="rId84" o:title=""/>
          </v:shape>
          <o:OLEObject Type="Embed" ProgID="Equation.DSMT4" ShapeID="_x0000_i1030" DrawAspect="Content" ObjectID="_1753101011" r:id="rId85"/>
        </w:object>
      </w:r>
      <w:r w:rsidR="00F64314">
        <w:t>—</w:t>
      </w:r>
      <w:r w:rsidR="00F64314">
        <w:rPr>
          <w:rFonts w:hint="eastAsia"/>
        </w:rPr>
        <w:t>长度为</w:t>
      </w:r>
      <w:r w:rsidR="00F64314">
        <w:t>M</w:t>
      </w:r>
      <w:r w:rsidR="00F64314">
        <w:rPr>
          <w:rFonts w:hint="eastAsia"/>
        </w:rPr>
        <w:t>的线源瞬时注入的示踪剂质量，</w:t>
      </w:r>
      <w:r w:rsidR="00F64314">
        <w:t>kg</w:t>
      </w:r>
      <w:r w:rsidR="00F64314">
        <w:rPr>
          <w:rFonts w:hint="eastAsia"/>
        </w:rPr>
        <w:t>；</w:t>
      </w:r>
    </w:p>
    <w:p w:rsidR="00BD5820" w:rsidRDefault="00F64314">
      <w:pPr>
        <w:pStyle w:val="affa"/>
        <w:ind w:firstLine="480"/>
      </w:pPr>
      <w:r>
        <w:t>M—</w:t>
      </w:r>
      <w:r>
        <w:rPr>
          <w:rFonts w:hint="eastAsia"/>
        </w:rPr>
        <w:t>含水层厚度，</w:t>
      </w:r>
      <w:r>
        <w:t>m</w:t>
      </w:r>
      <w:r>
        <w:rPr>
          <w:rFonts w:hint="eastAsia"/>
        </w:rPr>
        <w:t>；</w:t>
      </w:r>
    </w:p>
    <w:p w:rsidR="00BD5820" w:rsidRDefault="00BD5820">
      <w:pPr>
        <w:pStyle w:val="affa"/>
        <w:ind w:firstLine="480"/>
      </w:pPr>
      <w:r>
        <w:object w:dxaOrig="200" w:dyaOrig="220">
          <v:shape id="_x0000_i1031" type="#_x0000_t75" style="width:10.2pt;height:10.2pt" o:ole="">
            <v:imagedata r:id="rId86" o:title=""/>
          </v:shape>
          <o:OLEObject Type="Embed" ProgID="Equation.DSMT4" ShapeID="_x0000_i1031" DrawAspect="Content" ObjectID="_1753101012" r:id="rId87"/>
        </w:object>
      </w:r>
      <w:r w:rsidR="00F64314">
        <w:t>—</w:t>
      </w:r>
      <w:r w:rsidR="00F64314">
        <w:rPr>
          <w:rFonts w:hint="eastAsia"/>
        </w:rPr>
        <w:t>水流速度，</w:t>
      </w:r>
      <w:r w:rsidR="00F64314">
        <w:t>m/d</w:t>
      </w:r>
      <w:r w:rsidR="00F64314">
        <w:rPr>
          <w:rFonts w:hint="eastAsia"/>
        </w:rPr>
        <w:t>；</w:t>
      </w:r>
    </w:p>
    <w:p w:rsidR="00BD5820" w:rsidRDefault="00BD5820">
      <w:pPr>
        <w:pStyle w:val="affa"/>
        <w:ind w:firstLine="480"/>
      </w:pPr>
      <w:r>
        <w:object w:dxaOrig="200" w:dyaOrig="220">
          <v:shape id="_x0000_i1032" type="#_x0000_t75" style="width:10.2pt;height:10.2pt" o:ole="">
            <v:imagedata r:id="rId88" o:title=""/>
          </v:shape>
          <o:OLEObject Type="Embed" ProgID="Equation.DSMT4" ShapeID="_x0000_i1032" DrawAspect="Content" ObjectID="_1753101013" r:id="rId89"/>
        </w:object>
      </w:r>
      <w:r w:rsidR="00F64314">
        <w:t>—</w:t>
      </w:r>
      <w:r w:rsidR="00F64314">
        <w:rPr>
          <w:rFonts w:hint="eastAsia"/>
        </w:rPr>
        <w:t>有效孔隙度；</w:t>
      </w:r>
    </w:p>
    <w:p w:rsidR="00BD5820" w:rsidRDefault="00BD5820">
      <w:pPr>
        <w:pStyle w:val="affa"/>
        <w:ind w:firstLine="480"/>
      </w:pPr>
      <w:r>
        <w:object w:dxaOrig="340" w:dyaOrig="360">
          <v:shape id="_x0000_i1033" type="#_x0000_t75" style="width:18.35pt;height:18.35pt" o:ole="">
            <v:imagedata r:id="rId90" o:title=""/>
          </v:shape>
          <o:OLEObject Type="Embed" ProgID="Equation.DSMT4" ShapeID="_x0000_i1033" DrawAspect="Content" ObjectID="_1753101014" r:id="rId91"/>
        </w:object>
      </w:r>
      <w:r w:rsidR="00F64314">
        <w:t>—</w:t>
      </w:r>
      <w:r w:rsidR="00F64314">
        <w:rPr>
          <w:rFonts w:hint="eastAsia"/>
        </w:rPr>
        <w:t>纵向弥散系数，</w:t>
      </w:r>
      <w:r w:rsidR="00F64314">
        <w:t>m</w:t>
      </w:r>
      <w:r w:rsidR="00F64314">
        <w:rPr>
          <w:vertAlign w:val="superscript"/>
        </w:rPr>
        <w:t>2</w:t>
      </w:r>
      <w:r w:rsidR="00F64314">
        <w:t>/d</w:t>
      </w:r>
      <w:r w:rsidR="00F64314">
        <w:rPr>
          <w:rFonts w:hint="eastAsia"/>
        </w:rPr>
        <w:t>；</w:t>
      </w:r>
    </w:p>
    <w:p w:rsidR="00BD5820" w:rsidRDefault="00BD5820">
      <w:pPr>
        <w:pStyle w:val="affa"/>
        <w:ind w:firstLineChars="500" w:firstLine="1200"/>
      </w:pPr>
      <w:r>
        <w:object w:dxaOrig="340" w:dyaOrig="360">
          <v:shape id="_x0000_i1034" type="#_x0000_t75" style="width:18.35pt;height:18.35pt" o:ole="">
            <v:imagedata r:id="rId92" o:title=""/>
          </v:shape>
          <o:OLEObject Type="Embed" ProgID="Equation.DSMT4" ShapeID="_x0000_i1034" DrawAspect="Content" ObjectID="_1753101015" r:id="rId93"/>
        </w:object>
      </w:r>
      <w:r w:rsidR="00F64314">
        <w:t>—</w:t>
      </w:r>
      <w:r w:rsidR="00F64314">
        <w:rPr>
          <w:rFonts w:hint="eastAsia"/>
        </w:rPr>
        <w:t>纵向弥散系数，</w:t>
      </w:r>
      <w:r w:rsidR="00F64314">
        <w:t>m</w:t>
      </w:r>
      <w:r w:rsidR="00F64314">
        <w:rPr>
          <w:vertAlign w:val="superscript"/>
        </w:rPr>
        <w:t>2</w:t>
      </w:r>
      <w:r w:rsidR="00F64314">
        <w:t>/d</w:t>
      </w:r>
      <w:r w:rsidR="00F64314">
        <w:t>。</w:t>
      </w:r>
    </w:p>
    <w:p w:rsidR="00BD5820" w:rsidRDefault="00F64314">
      <w:pPr>
        <w:pStyle w:val="affa"/>
        <w:ind w:firstLine="480"/>
      </w:pPr>
      <w:r>
        <w:rPr>
          <w:rFonts w:hAnsi="Calibri" w:hint="eastAsia"/>
        </w:rPr>
        <w:t>b</w:t>
      </w:r>
      <w:r>
        <w:rPr>
          <w:rFonts w:hAnsi="Calibri"/>
        </w:rPr>
        <w:t>.</w:t>
      </w:r>
      <w:r>
        <w:rPr>
          <w:rFonts w:hint="eastAsia"/>
        </w:rPr>
        <w:t>水文地质参数</w:t>
      </w:r>
    </w:p>
    <w:p w:rsidR="00BD5820" w:rsidRDefault="00F64314">
      <w:pPr>
        <w:pStyle w:val="affa"/>
        <w:ind w:firstLine="480"/>
      </w:pPr>
      <w:r>
        <w:lastRenderedPageBreak/>
        <w:t>a</w:t>
      </w:r>
      <w:r>
        <w:t>）含水层厚度</w:t>
      </w:r>
      <w:r>
        <w:t>M</w:t>
      </w:r>
      <w:r>
        <w:t>：含水层主要为基岩裂隙水。根据水文地质资料，本地区含水层厚度约为</w:t>
      </w:r>
      <w:r>
        <w:rPr>
          <w:rFonts w:hint="eastAsia"/>
        </w:rPr>
        <w:t>4</w:t>
      </w:r>
      <w:r>
        <w:t>m</w:t>
      </w:r>
      <w:r>
        <w:t>。</w:t>
      </w:r>
    </w:p>
    <w:p w:rsidR="00BD5820" w:rsidRDefault="00F64314">
      <w:pPr>
        <w:pStyle w:val="affa"/>
        <w:ind w:firstLine="480"/>
      </w:pPr>
      <w:r>
        <w:t>b</w:t>
      </w:r>
      <w:r>
        <w:t>）瞬时注入的示踪剂质量</w:t>
      </w:r>
      <w:r w:rsidR="00BD5820">
        <w:object w:dxaOrig="380" w:dyaOrig="360">
          <v:shape id="_x0000_i1035" type="#_x0000_t75" style="width:17pt;height:18.35pt" o:ole="">
            <v:imagedata r:id="rId84" o:title=""/>
          </v:shape>
          <o:OLEObject Type="Embed" ProgID="Equation.DSMT4" ShapeID="_x0000_i1035" DrawAspect="Content" ObjectID="_1753101016" r:id="rId94"/>
        </w:object>
      </w:r>
      <w:r>
        <w:t>：进入地下水的污染物质量见</w:t>
      </w:r>
      <w:r>
        <w:rPr>
          <w:rFonts w:hint="eastAsia"/>
        </w:rPr>
        <w:t>表</w:t>
      </w:r>
      <w:r>
        <w:rPr>
          <w:rFonts w:hint="eastAsia"/>
        </w:rPr>
        <w:t>6</w:t>
      </w:r>
      <w:r>
        <w:t>.2-</w:t>
      </w:r>
      <w:r>
        <w:rPr>
          <w:rFonts w:hint="eastAsia"/>
        </w:rPr>
        <w:t>10</w:t>
      </w:r>
      <w:r>
        <w:t>。</w:t>
      </w:r>
    </w:p>
    <w:p w:rsidR="00BD5820" w:rsidRDefault="00F64314">
      <w:pPr>
        <w:pStyle w:val="affa"/>
        <w:ind w:firstLine="480"/>
      </w:pPr>
      <w:r>
        <w:t>c</w:t>
      </w:r>
      <w:r>
        <w:t>）含水层的平均有效孔隙度</w:t>
      </w:r>
      <w:r w:rsidR="00BD5820">
        <w:object w:dxaOrig="200" w:dyaOrig="220">
          <v:shape id="_x0000_i1036" type="#_x0000_t75" style="width:10.2pt;height:10.2pt" o:ole="">
            <v:imagedata r:id="rId88" o:title=""/>
          </v:shape>
          <o:OLEObject Type="Embed" ProgID="Equation.DSMT4" ShapeID="_x0000_i1036" DrawAspect="Content" ObjectID="_1753101017" r:id="rId95"/>
        </w:object>
      </w:r>
      <w:r>
        <w:t>：根据含水层岩性，参照《水文地质手册（第二版）》（中国地质调查局，</w:t>
      </w:r>
      <w:r>
        <w:t>2002</w:t>
      </w:r>
      <w:r>
        <w:t>年）经验数值，有效孔隙度取值</w:t>
      </w:r>
      <w:r>
        <w:t>0.042</w:t>
      </w:r>
      <w:r>
        <w:t>。</w:t>
      </w:r>
    </w:p>
    <w:p w:rsidR="00BD5820" w:rsidRDefault="00F64314">
      <w:pPr>
        <w:pStyle w:val="affa"/>
        <w:ind w:firstLine="480"/>
      </w:pPr>
      <w:r>
        <w:t>d</w:t>
      </w:r>
      <w:r>
        <w:t>）水流速度</w:t>
      </w:r>
      <w:r w:rsidR="00BD5820">
        <w:object w:dxaOrig="200" w:dyaOrig="220">
          <v:shape id="_x0000_i1037" type="#_x0000_t75" style="width:10.2pt;height:10.2pt" o:ole="">
            <v:imagedata r:id="rId86" o:title=""/>
          </v:shape>
          <o:OLEObject Type="Embed" ProgID="Equation.DSMT4" ShapeID="_x0000_i1037" DrawAspect="Content" ObjectID="_1753101018" r:id="rId96"/>
        </w:object>
      </w:r>
      <w:r>
        <w:t>：</w:t>
      </w:r>
      <w:r>
        <w:rPr>
          <w:i/>
        </w:rPr>
        <w:t>u=KI/n</w:t>
      </w:r>
      <w:r>
        <w:t>式中</w:t>
      </w:r>
      <w:r>
        <w:rPr>
          <w:i/>
        </w:rPr>
        <w:t>I</w:t>
      </w:r>
      <w:r>
        <w:t>为地下水水力梯度，根据地勘报告计算为</w:t>
      </w:r>
      <w:r>
        <w:t>1.14%</w:t>
      </w:r>
      <w:r>
        <w:t>；</w:t>
      </w:r>
    </w:p>
    <w:p w:rsidR="00BD5820" w:rsidRDefault="00F64314">
      <w:pPr>
        <w:pStyle w:val="affa"/>
        <w:ind w:firstLine="480"/>
      </w:pPr>
      <w:r>
        <w:t>含水层主要为基岩风化带裂隙水，渗透系数取经验值</w:t>
      </w:r>
      <w:r>
        <w:t>0.2m/d</w:t>
      </w:r>
      <w:r>
        <w:t>，因此地下水渗流速度</w:t>
      </w:r>
      <w:r>
        <w:rPr>
          <w:i/>
        </w:rPr>
        <w:t>u=</w:t>
      </w:r>
      <w:r>
        <w:t>0.02m/d</w:t>
      </w:r>
      <w:r>
        <w:t>。</w:t>
      </w:r>
    </w:p>
    <w:p w:rsidR="00BD5820" w:rsidRDefault="00F64314">
      <w:pPr>
        <w:pStyle w:val="affa"/>
        <w:ind w:firstLine="480"/>
      </w:pPr>
      <w:r>
        <w:t>纵向弥散系数</w:t>
      </w:r>
      <w:r>
        <w:t>DL</w:t>
      </w:r>
      <w:r>
        <w:t>：</w:t>
      </w:r>
      <w:r w:rsidR="00BD5820">
        <w:object w:dxaOrig="940" w:dyaOrig="360">
          <v:shape id="_x0000_i1038" type="#_x0000_t75" style="width:47.55pt;height:18.35pt" o:ole="">
            <v:imagedata r:id="rId97" o:title=""/>
          </v:shape>
          <o:OLEObject Type="Embed" ProgID="Equation.DSMT4" ShapeID="_x0000_i1038" DrawAspect="Content" ObjectID="_1753101019" r:id="rId98"/>
        </w:object>
      </w:r>
      <w:r>
        <w:t>，</w:t>
      </w:r>
      <w:r w:rsidR="00BD5820">
        <w:object w:dxaOrig="280" w:dyaOrig="360">
          <v:shape id="_x0000_i1039" type="#_x0000_t75" style="width:14.25pt;height:18.35pt" o:ole="">
            <v:imagedata r:id="rId99" o:title=""/>
          </v:shape>
          <o:OLEObject Type="Embed" ProgID="Equation.DSMT4" ShapeID="_x0000_i1039" DrawAspect="Content" ObjectID="_1753101020" r:id="rId100"/>
        </w:object>
      </w:r>
      <w:r>
        <w:t>取经验系数</w:t>
      </w:r>
      <w:r>
        <w:t>6.9m</w:t>
      </w:r>
      <w:r>
        <w:t>。</w:t>
      </w:r>
    </w:p>
    <w:p w:rsidR="00BD5820" w:rsidRDefault="00F64314">
      <w:pPr>
        <w:pStyle w:val="affa"/>
        <w:ind w:firstLine="480"/>
      </w:pPr>
      <w:r>
        <w:t>横向弥散系数</w:t>
      </w:r>
      <w:r>
        <w:t>DT</w:t>
      </w:r>
      <w:r>
        <w:t>：</w:t>
      </w:r>
      <w:r w:rsidR="00BD5820">
        <w:object w:dxaOrig="940" w:dyaOrig="360">
          <v:shape id="_x0000_i1040" type="#_x0000_t75" style="width:47.55pt;height:18.35pt" o:ole="">
            <v:imagedata r:id="rId101" o:title=""/>
          </v:shape>
          <o:OLEObject Type="Embed" ProgID="Equation.DSMT4" ShapeID="_x0000_i1040" DrawAspect="Content" ObjectID="_1753101021" r:id="rId102"/>
        </w:object>
      </w:r>
      <w:r>
        <w:t>，横</w:t>
      </w:r>
      <w:r>
        <w:t>/</w:t>
      </w:r>
      <w:r>
        <w:t>纵向弥散度</w:t>
      </w:r>
      <w:r w:rsidR="00BD5820">
        <w:object w:dxaOrig="660" w:dyaOrig="360">
          <v:shape id="_x0000_i1041" type="#_x0000_t75" style="width:31.9pt;height:18.35pt" o:ole="">
            <v:imagedata r:id="rId103" o:title=""/>
          </v:shape>
          <o:OLEObject Type="Embed" ProgID="Equation.DSMT4" ShapeID="_x0000_i1041" DrawAspect="Content" ObjectID="_1753101022" r:id="rId104"/>
        </w:object>
      </w:r>
      <w:r>
        <w:t>比一般为</w:t>
      </w:r>
      <w:r>
        <w:t>0.06</w:t>
      </w:r>
      <w:r>
        <w:t>。</w:t>
      </w:r>
    </w:p>
    <w:p w:rsidR="00BD5820" w:rsidRDefault="00F64314">
      <w:pPr>
        <w:pStyle w:val="affa"/>
        <w:ind w:firstLine="480"/>
      </w:pPr>
      <w:r>
        <w:rPr>
          <w:rFonts w:hint="eastAsia"/>
        </w:rPr>
        <w:t>站场区所在场地的水文地质参数取值表</w:t>
      </w:r>
      <w:r>
        <w:rPr>
          <w:rFonts w:hint="eastAsia"/>
        </w:rPr>
        <w:t>6</w:t>
      </w:r>
      <w:r>
        <w:t>.2-</w:t>
      </w:r>
      <w:r>
        <w:rPr>
          <w:rFonts w:hint="eastAsia"/>
        </w:rPr>
        <w:t>4</w:t>
      </w:r>
      <w:r>
        <w:rPr>
          <w:rFonts w:cs="宋体" w:hint="eastAsia"/>
        </w:rPr>
        <w:t>。</w:t>
      </w:r>
    </w:p>
    <w:p w:rsidR="00BD5820" w:rsidRDefault="00F64314">
      <w:pPr>
        <w:pStyle w:val="10"/>
      </w:pPr>
      <w:r>
        <w:rPr>
          <w:rFonts w:hint="eastAsia"/>
        </w:rPr>
        <w:t>表</w:t>
      </w:r>
      <w:r>
        <w:rPr>
          <w:rFonts w:cs="Times New Roman"/>
          <w:bCs/>
        </w:rPr>
        <w:t>6.2</w:t>
      </w:r>
      <w:r>
        <w:rPr>
          <w:rFonts w:cs="Times New Roman" w:hint="eastAsia"/>
          <w:bCs/>
        </w:rPr>
        <w:t>-4</w:t>
      </w:r>
      <w:r>
        <w:rPr>
          <w:rFonts w:cs="Times New Roman"/>
          <w:bCs/>
        </w:rPr>
        <w:t xml:space="preserve">  </w:t>
      </w:r>
      <w:r>
        <w:rPr>
          <w:rFonts w:hint="eastAsia"/>
        </w:rPr>
        <w:t>本项目所在地水文地质参数</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1049"/>
        <w:gridCol w:w="896"/>
        <w:gridCol w:w="866"/>
        <w:gridCol w:w="903"/>
        <w:gridCol w:w="1182"/>
        <w:gridCol w:w="1316"/>
        <w:gridCol w:w="1446"/>
        <w:gridCol w:w="864"/>
      </w:tblGrid>
      <w:tr w:rsidR="00BD5820">
        <w:trPr>
          <w:trHeight w:val="340"/>
          <w:tblHeader/>
          <w:jc w:val="center"/>
        </w:trPr>
        <w:tc>
          <w:tcPr>
            <w:tcW w:w="1115" w:type="dxa"/>
            <w:vAlign w:val="center"/>
          </w:tcPr>
          <w:p w:rsidR="00BD5820" w:rsidRDefault="00F64314">
            <w:pPr>
              <w:topLinePunct w:val="0"/>
              <w:snapToGrid w:val="0"/>
              <w:spacing w:line="240" w:lineRule="auto"/>
              <w:ind w:firstLineChars="0" w:firstLine="0"/>
              <w:jc w:val="center"/>
              <w:textAlignment w:val="center"/>
              <w:rPr>
                <w:rFonts w:ascii="Times New Roman" w:eastAsia="Times New Roman" w:cs="Times New Roman"/>
                <w:kern w:val="2"/>
                <w:sz w:val="21"/>
                <w:szCs w:val="21"/>
              </w:rPr>
            </w:pPr>
            <w:r>
              <w:rPr>
                <w:rFonts w:hAnsi="宋体" w:hint="eastAsia"/>
                <w:kern w:val="2"/>
                <w:sz w:val="21"/>
                <w:szCs w:val="21"/>
              </w:rPr>
              <w:t>泄漏事故</w:t>
            </w:r>
          </w:p>
        </w:tc>
        <w:tc>
          <w:tcPr>
            <w:tcW w:w="1866" w:type="dxa"/>
            <w:gridSpan w:val="2"/>
            <w:vAlign w:val="center"/>
          </w:tcPr>
          <w:p w:rsidR="00BD5820" w:rsidRDefault="00F64314">
            <w:pPr>
              <w:topLinePunct w:val="0"/>
              <w:snapToGrid w:val="0"/>
              <w:spacing w:line="240" w:lineRule="auto"/>
              <w:ind w:firstLineChars="0" w:firstLine="0"/>
              <w:jc w:val="center"/>
              <w:textAlignment w:val="center"/>
              <w:rPr>
                <w:rFonts w:ascii="Times New Roman" w:eastAsia="Times New Roman" w:cs="Times New Roman"/>
                <w:kern w:val="2"/>
                <w:sz w:val="21"/>
                <w:szCs w:val="21"/>
              </w:rPr>
            </w:pPr>
            <w:r>
              <w:rPr>
                <w:rFonts w:hAnsi="宋体" w:hint="eastAsia"/>
                <w:kern w:val="2"/>
                <w:sz w:val="21"/>
                <w:szCs w:val="21"/>
              </w:rPr>
              <w:t>外泄污染物质量（</w:t>
            </w:r>
            <w:r>
              <w:rPr>
                <w:rFonts w:ascii="Times New Roman" w:eastAsia="Times New Roman" w:cs="Times New Roman"/>
                <w:kern w:val="2"/>
                <w:sz w:val="21"/>
                <w:szCs w:val="21"/>
              </w:rPr>
              <w:t>kg</w:t>
            </w:r>
            <w:r>
              <w:rPr>
                <w:rFonts w:hAnsi="宋体" w:hint="eastAsia"/>
                <w:kern w:val="2"/>
                <w:sz w:val="21"/>
                <w:szCs w:val="21"/>
              </w:rPr>
              <w:t>）</w:t>
            </w:r>
          </w:p>
        </w:tc>
        <w:tc>
          <w:tcPr>
            <w:tcW w:w="957" w:type="dxa"/>
            <w:vAlign w:val="center"/>
          </w:tcPr>
          <w:p w:rsidR="00BD5820" w:rsidRDefault="00F64314">
            <w:pPr>
              <w:topLinePunct w:val="0"/>
              <w:snapToGrid w:val="0"/>
              <w:spacing w:line="240" w:lineRule="auto"/>
              <w:ind w:firstLineChars="0" w:firstLine="0"/>
              <w:jc w:val="center"/>
              <w:textAlignment w:val="center"/>
              <w:rPr>
                <w:rFonts w:ascii="Times New Roman" w:eastAsia="Times New Roman" w:cs="Times New Roman"/>
                <w:kern w:val="2"/>
                <w:sz w:val="21"/>
                <w:szCs w:val="21"/>
              </w:rPr>
            </w:pPr>
            <w:r>
              <w:rPr>
                <w:rFonts w:hAnsi="宋体" w:hint="eastAsia"/>
                <w:kern w:val="2"/>
                <w:sz w:val="21"/>
                <w:szCs w:val="21"/>
              </w:rPr>
              <w:t>含水层厚度</w:t>
            </w:r>
            <w:r>
              <w:rPr>
                <w:rFonts w:ascii="Times New Roman" w:eastAsia="Times New Roman" w:cs="Times New Roman"/>
                <w:kern w:val="2"/>
                <w:sz w:val="21"/>
                <w:szCs w:val="21"/>
              </w:rPr>
              <w:t>M</w:t>
            </w:r>
            <w:r>
              <w:rPr>
                <w:rFonts w:hAnsi="宋体" w:hint="eastAsia"/>
                <w:kern w:val="2"/>
                <w:sz w:val="21"/>
                <w:szCs w:val="21"/>
              </w:rPr>
              <w:t>（</w:t>
            </w:r>
            <w:r>
              <w:rPr>
                <w:rFonts w:ascii="Times New Roman" w:eastAsia="Times New Roman" w:cs="Times New Roman"/>
                <w:kern w:val="2"/>
                <w:sz w:val="21"/>
                <w:szCs w:val="21"/>
              </w:rPr>
              <w:t>m</w:t>
            </w:r>
            <w:r>
              <w:rPr>
                <w:rFonts w:hAnsi="宋体" w:hint="eastAsia"/>
                <w:kern w:val="2"/>
                <w:sz w:val="21"/>
                <w:szCs w:val="21"/>
              </w:rPr>
              <w:t>）</w:t>
            </w:r>
          </w:p>
        </w:tc>
        <w:tc>
          <w:tcPr>
            <w:tcW w:w="1259" w:type="dxa"/>
            <w:vAlign w:val="center"/>
          </w:tcPr>
          <w:p w:rsidR="00BD5820" w:rsidRDefault="00F64314">
            <w:pPr>
              <w:topLinePunct w:val="0"/>
              <w:snapToGrid w:val="0"/>
              <w:spacing w:line="240" w:lineRule="auto"/>
              <w:ind w:firstLineChars="0" w:firstLine="0"/>
              <w:jc w:val="center"/>
              <w:textAlignment w:val="center"/>
              <w:rPr>
                <w:rFonts w:ascii="Times New Roman" w:eastAsia="Times New Roman" w:cs="Times New Roman"/>
                <w:kern w:val="2"/>
                <w:sz w:val="21"/>
                <w:szCs w:val="21"/>
              </w:rPr>
            </w:pPr>
            <w:r>
              <w:rPr>
                <w:rFonts w:hAnsi="宋体" w:hint="eastAsia"/>
                <w:kern w:val="2"/>
                <w:sz w:val="21"/>
                <w:szCs w:val="21"/>
              </w:rPr>
              <w:t>地下水流速</w:t>
            </w:r>
            <w:r>
              <w:rPr>
                <w:rFonts w:ascii="Times New Roman" w:eastAsia="Times New Roman" w:cs="Times New Roman"/>
                <w:kern w:val="2"/>
                <w:sz w:val="21"/>
                <w:szCs w:val="21"/>
              </w:rPr>
              <w:t>u</w:t>
            </w:r>
            <w:r>
              <w:rPr>
                <w:rFonts w:hAnsi="宋体" w:hint="eastAsia"/>
                <w:kern w:val="2"/>
                <w:sz w:val="21"/>
                <w:szCs w:val="21"/>
              </w:rPr>
              <w:t>（</w:t>
            </w:r>
            <w:r>
              <w:rPr>
                <w:rFonts w:ascii="Times New Roman" w:eastAsia="Times New Roman" w:cs="Times New Roman"/>
                <w:kern w:val="2"/>
                <w:sz w:val="21"/>
                <w:szCs w:val="21"/>
              </w:rPr>
              <w:t>m/d</w:t>
            </w:r>
            <w:r>
              <w:rPr>
                <w:rFonts w:hAnsi="宋体" w:hint="eastAsia"/>
                <w:kern w:val="2"/>
                <w:sz w:val="21"/>
                <w:szCs w:val="21"/>
              </w:rPr>
              <w:t>）</w:t>
            </w:r>
          </w:p>
        </w:tc>
        <w:tc>
          <w:tcPr>
            <w:tcW w:w="1404" w:type="dxa"/>
            <w:vAlign w:val="center"/>
          </w:tcPr>
          <w:p w:rsidR="00BD5820" w:rsidRDefault="00F64314">
            <w:pPr>
              <w:topLinePunct w:val="0"/>
              <w:snapToGrid w:val="0"/>
              <w:spacing w:line="240" w:lineRule="auto"/>
              <w:ind w:firstLineChars="0" w:firstLine="0"/>
              <w:jc w:val="center"/>
              <w:textAlignment w:val="center"/>
              <w:rPr>
                <w:rFonts w:ascii="Times New Roman" w:eastAsia="Times New Roman" w:cs="Times New Roman"/>
                <w:kern w:val="2"/>
                <w:sz w:val="21"/>
                <w:szCs w:val="21"/>
              </w:rPr>
            </w:pPr>
            <w:r>
              <w:rPr>
                <w:rFonts w:hAnsi="宋体" w:hint="eastAsia"/>
                <w:kern w:val="2"/>
                <w:sz w:val="21"/>
                <w:szCs w:val="21"/>
              </w:rPr>
              <w:t>纵向弥散系数</w:t>
            </w:r>
            <w:r>
              <w:rPr>
                <w:rFonts w:ascii="Times New Roman" w:eastAsia="Times New Roman" w:cs="Times New Roman"/>
                <w:kern w:val="2"/>
                <w:sz w:val="21"/>
                <w:szCs w:val="21"/>
              </w:rPr>
              <w:t>DL</w:t>
            </w:r>
            <w:r>
              <w:rPr>
                <w:rFonts w:hAnsi="宋体" w:hint="eastAsia"/>
                <w:kern w:val="2"/>
                <w:sz w:val="21"/>
                <w:szCs w:val="21"/>
              </w:rPr>
              <w:t>（</w:t>
            </w:r>
            <w:r>
              <w:rPr>
                <w:rFonts w:ascii="Times New Roman" w:eastAsia="Times New Roman" w:cs="Times New Roman"/>
                <w:kern w:val="2"/>
                <w:sz w:val="21"/>
                <w:szCs w:val="21"/>
              </w:rPr>
              <w:t>m</w:t>
            </w:r>
            <w:r>
              <w:rPr>
                <w:rFonts w:ascii="Times New Roman" w:eastAsia="Times New Roman" w:cs="Times New Roman"/>
                <w:kern w:val="2"/>
                <w:sz w:val="21"/>
                <w:szCs w:val="21"/>
                <w:vertAlign w:val="superscript"/>
              </w:rPr>
              <w:t>2</w:t>
            </w:r>
            <w:r>
              <w:rPr>
                <w:rFonts w:ascii="Times New Roman" w:eastAsia="Times New Roman" w:cs="Times New Roman"/>
                <w:kern w:val="2"/>
                <w:sz w:val="21"/>
                <w:szCs w:val="21"/>
              </w:rPr>
              <w:t>/d</w:t>
            </w:r>
            <w:r>
              <w:rPr>
                <w:rFonts w:hAnsi="宋体" w:hint="eastAsia"/>
                <w:kern w:val="2"/>
                <w:sz w:val="21"/>
                <w:szCs w:val="21"/>
              </w:rPr>
              <w:t>）</w:t>
            </w:r>
          </w:p>
        </w:tc>
        <w:tc>
          <w:tcPr>
            <w:tcW w:w="1544" w:type="dxa"/>
            <w:vAlign w:val="center"/>
          </w:tcPr>
          <w:p w:rsidR="00BD5820" w:rsidRDefault="00F64314">
            <w:pPr>
              <w:topLinePunct w:val="0"/>
              <w:snapToGrid w:val="0"/>
              <w:spacing w:line="240" w:lineRule="auto"/>
              <w:ind w:firstLineChars="0" w:firstLine="0"/>
              <w:jc w:val="center"/>
              <w:textAlignment w:val="center"/>
              <w:rPr>
                <w:rFonts w:ascii="Times New Roman" w:eastAsia="Times New Roman" w:cs="Times New Roman"/>
                <w:kern w:val="2"/>
                <w:sz w:val="21"/>
                <w:szCs w:val="21"/>
              </w:rPr>
            </w:pPr>
            <w:r>
              <w:rPr>
                <w:rFonts w:hAnsi="宋体" w:hint="eastAsia"/>
                <w:kern w:val="2"/>
                <w:sz w:val="21"/>
                <w:szCs w:val="21"/>
              </w:rPr>
              <w:t>横向弥散系数</w:t>
            </w:r>
            <w:r>
              <w:rPr>
                <w:rFonts w:ascii="Times New Roman" w:eastAsia="Times New Roman" w:cs="Times New Roman"/>
                <w:kern w:val="2"/>
                <w:sz w:val="21"/>
                <w:szCs w:val="21"/>
              </w:rPr>
              <w:t>DT</w:t>
            </w:r>
            <w:r>
              <w:rPr>
                <w:rFonts w:hAnsi="宋体" w:hint="eastAsia"/>
                <w:kern w:val="2"/>
                <w:sz w:val="21"/>
                <w:szCs w:val="21"/>
              </w:rPr>
              <w:t>（</w:t>
            </w:r>
            <w:r>
              <w:rPr>
                <w:rFonts w:ascii="Times New Roman" w:eastAsia="Times New Roman" w:cs="Times New Roman"/>
                <w:kern w:val="2"/>
                <w:sz w:val="21"/>
                <w:szCs w:val="21"/>
              </w:rPr>
              <w:t>m</w:t>
            </w:r>
            <w:r>
              <w:rPr>
                <w:rFonts w:ascii="Times New Roman" w:eastAsia="Times New Roman" w:cs="Times New Roman"/>
                <w:kern w:val="2"/>
                <w:sz w:val="21"/>
                <w:szCs w:val="21"/>
                <w:vertAlign w:val="superscript"/>
              </w:rPr>
              <w:t>2</w:t>
            </w:r>
            <w:r>
              <w:rPr>
                <w:rFonts w:ascii="Times New Roman" w:eastAsia="Times New Roman" w:cs="Times New Roman"/>
                <w:kern w:val="2"/>
                <w:sz w:val="21"/>
                <w:szCs w:val="21"/>
              </w:rPr>
              <w:t>/d</w:t>
            </w:r>
            <w:r>
              <w:rPr>
                <w:rFonts w:hAnsi="宋体" w:hint="eastAsia"/>
                <w:kern w:val="2"/>
                <w:sz w:val="21"/>
                <w:szCs w:val="21"/>
              </w:rPr>
              <w:t>）</w:t>
            </w:r>
          </w:p>
        </w:tc>
        <w:tc>
          <w:tcPr>
            <w:tcW w:w="915" w:type="dxa"/>
            <w:vAlign w:val="center"/>
          </w:tcPr>
          <w:p w:rsidR="00BD5820" w:rsidRDefault="00F64314">
            <w:pPr>
              <w:topLinePunct w:val="0"/>
              <w:snapToGrid w:val="0"/>
              <w:spacing w:line="240" w:lineRule="auto"/>
              <w:ind w:firstLineChars="0" w:firstLine="0"/>
              <w:jc w:val="center"/>
              <w:textAlignment w:val="center"/>
              <w:rPr>
                <w:rFonts w:ascii="Times New Roman" w:eastAsia="Times New Roman" w:cs="Times New Roman"/>
                <w:kern w:val="2"/>
                <w:sz w:val="21"/>
                <w:szCs w:val="21"/>
              </w:rPr>
            </w:pPr>
            <w:r>
              <w:rPr>
                <w:rFonts w:hAnsi="宋体" w:hint="eastAsia"/>
                <w:kern w:val="2"/>
                <w:sz w:val="21"/>
                <w:szCs w:val="21"/>
              </w:rPr>
              <w:t>有效孔隙度</w:t>
            </w:r>
            <w:r>
              <w:rPr>
                <w:rFonts w:ascii="Times New Roman" w:eastAsia="Times New Roman" w:cs="Times New Roman"/>
                <w:kern w:val="2"/>
                <w:sz w:val="21"/>
                <w:szCs w:val="21"/>
              </w:rPr>
              <w:t>n</w:t>
            </w:r>
          </w:p>
        </w:tc>
      </w:tr>
      <w:tr w:rsidR="00BD5820">
        <w:trPr>
          <w:trHeight w:val="340"/>
          <w:jc w:val="center"/>
        </w:trPr>
        <w:tc>
          <w:tcPr>
            <w:tcW w:w="1115" w:type="dxa"/>
            <w:vAlign w:val="center"/>
          </w:tcPr>
          <w:p w:rsidR="00BD5820" w:rsidRDefault="00F64314">
            <w:pPr>
              <w:topLinePunct w:val="0"/>
              <w:snapToGrid w:val="0"/>
              <w:spacing w:line="240" w:lineRule="auto"/>
              <w:ind w:firstLineChars="0" w:firstLine="0"/>
              <w:jc w:val="center"/>
              <w:textAlignment w:val="center"/>
              <w:rPr>
                <w:rFonts w:ascii="Times New Roman" w:eastAsia="Times New Roman" w:cs="Times New Roman"/>
                <w:kern w:val="2"/>
                <w:sz w:val="21"/>
                <w:szCs w:val="21"/>
              </w:rPr>
            </w:pPr>
            <w:r>
              <w:rPr>
                <w:rFonts w:hAnsi="宋体" w:hint="eastAsia"/>
                <w:kern w:val="2"/>
                <w:sz w:val="21"/>
                <w:szCs w:val="21"/>
              </w:rPr>
              <w:t>污水泄漏</w:t>
            </w:r>
          </w:p>
        </w:tc>
        <w:tc>
          <w:tcPr>
            <w:tcW w:w="949" w:type="dxa"/>
            <w:vAlign w:val="center"/>
          </w:tcPr>
          <w:p w:rsidR="00BD5820" w:rsidRDefault="00F64314">
            <w:pPr>
              <w:topLinePunct w:val="0"/>
              <w:snapToGrid w:val="0"/>
              <w:spacing w:line="240" w:lineRule="auto"/>
              <w:ind w:firstLineChars="0" w:firstLine="0"/>
              <w:jc w:val="center"/>
              <w:textAlignment w:val="center"/>
              <w:rPr>
                <w:rFonts w:ascii="Times New Roman" w:eastAsia="Times New Roman" w:cs="Times New Roman"/>
                <w:kern w:val="2"/>
                <w:sz w:val="21"/>
                <w:szCs w:val="21"/>
              </w:rPr>
            </w:pPr>
            <w:r>
              <w:rPr>
                <w:rFonts w:hAnsi="宋体" w:hint="eastAsia"/>
                <w:kern w:val="2"/>
                <w:sz w:val="21"/>
                <w:szCs w:val="21"/>
              </w:rPr>
              <w:t>石油类</w:t>
            </w:r>
          </w:p>
        </w:tc>
        <w:tc>
          <w:tcPr>
            <w:tcW w:w="917" w:type="dxa"/>
            <w:vAlign w:val="center"/>
          </w:tcPr>
          <w:p w:rsidR="00BD5820" w:rsidRDefault="00F64314">
            <w:pPr>
              <w:topLinePunct w:val="0"/>
              <w:snapToGrid w:val="0"/>
              <w:spacing w:line="240" w:lineRule="auto"/>
              <w:ind w:firstLineChars="0" w:firstLine="0"/>
              <w:jc w:val="center"/>
              <w:textAlignment w:val="center"/>
              <w:rPr>
                <w:rFonts w:ascii="Times New Roman" w:cs="Times New Roman"/>
                <w:kern w:val="2"/>
                <w:sz w:val="21"/>
                <w:szCs w:val="21"/>
              </w:rPr>
            </w:pPr>
            <w:r>
              <w:rPr>
                <w:rFonts w:ascii="Times New Roman" w:cs="Times New Roman" w:hint="eastAsia"/>
                <w:kern w:val="2"/>
                <w:sz w:val="21"/>
                <w:szCs w:val="21"/>
              </w:rPr>
              <w:t>12.717</w:t>
            </w:r>
          </w:p>
        </w:tc>
        <w:tc>
          <w:tcPr>
            <w:tcW w:w="957" w:type="dxa"/>
            <w:vAlign w:val="center"/>
          </w:tcPr>
          <w:p w:rsidR="00BD5820" w:rsidRDefault="00F64314">
            <w:pPr>
              <w:topLinePunct w:val="0"/>
              <w:snapToGrid w:val="0"/>
              <w:spacing w:line="240" w:lineRule="auto"/>
              <w:ind w:firstLineChars="0" w:firstLine="0"/>
              <w:jc w:val="center"/>
              <w:textAlignment w:val="center"/>
              <w:rPr>
                <w:rFonts w:ascii="Times New Roman" w:cs="Times New Roman"/>
                <w:kern w:val="2"/>
                <w:sz w:val="21"/>
                <w:szCs w:val="21"/>
              </w:rPr>
            </w:pPr>
            <w:r>
              <w:rPr>
                <w:rFonts w:ascii="Times New Roman" w:cs="Times New Roman" w:hint="eastAsia"/>
                <w:kern w:val="2"/>
                <w:sz w:val="21"/>
                <w:szCs w:val="21"/>
              </w:rPr>
              <w:t>4</w:t>
            </w:r>
          </w:p>
        </w:tc>
        <w:tc>
          <w:tcPr>
            <w:tcW w:w="1259" w:type="dxa"/>
            <w:vAlign w:val="center"/>
          </w:tcPr>
          <w:p w:rsidR="00BD5820" w:rsidRDefault="00F64314">
            <w:pPr>
              <w:topLinePunct w:val="0"/>
              <w:snapToGrid w:val="0"/>
              <w:spacing w:line="240" w:lineRule="auto"/>
              <w:ind w:firstLineChars="0" w:firstLine="0"/>
              <w:jc w:val="center"/>
              <w:textAlignment w:val="center"/>
              <w:rPr>
                <w:rFonts w:ascii="Times New Roman" w:eastAsia="Times New Roman" w:cs="Times New Roman"/>
                <w:kern w:val="2"/>
                <w:sz w:val="21"/>
                <w:szCs w:val="21"/>
              </w:rPr>
            </w:pPr>
            <w:r>
              <w:rPr>
                <w:rFonts w:ascii="Times New Roman" w:eastAsia="Times New Roman" w:cs="Times New Roman"/>
                <w:kern w:val="2"/>
                <w:sz w:val="21"/>
                <w:szCs w:val="21"/>
              </w:rPr>
              <w:t>0.02</w:t>
            </w:r>
          </w:p>
        </w:tc>
        <w:tc>
          <w:tcPr>
            <w:tcW w:w="1404" w:type="dxa"/>
            <w:vAlign w:val="center"/>
          </w:tcPr>
          <w:p w:rsidR="00BD5820" w:rsidRDefault="00F64314">
            <w:pPr>
              <w:topLinePunct w:val="0"/>
              <w:snapToGrid w:val="0"/>
              <w:spacing w:line="240" w:lineRule="auto"/>
              <w:ind w:firstLineChars="0" w:firstLine="0"/>
              <w:jc w:val="center"/>
              <w:textAlignment w:val="center"/>
              <w:rPr>
                <w:rFonts w:ascii="Times New Roman" w:eastAsia="Times New Roman" w:cs="Times New Roman"/>
                <w:kern w:val="2"/>
                <w:sz w:val="21"/>
                <w:szCs w:val="21"/>
              </w:rPr>
            </w:pPr>
            <w:r>
              <w:rPr>
                <w:rFonts w:ascii="Times New Roman" w:eastAsia="Times New Roman" w:cs="Times New Roman"/>
                <w:kern w:val="2"/>
                <w:sz w:val="21"/>
                <w:szCs w:val="21"/>
              </w:rPr>
              <w:t>0.38</w:t>
            </w:r>
          </w:p>
        </w:tc>
        <w:tc>
          <w:tcPr>
            <w:tcW w:w="1544" w:type="dxa"/>
            <w:vAlign w:val="center"/>
          </w:tcPr>
          <w:p w:rsidR="00BD5820" w:rsidRDefault="00F64314">
            <w:pPr>
              <w:topLinePunct w:val="0"/>
              <w:snapToGrid w:val="0"/>
              <w:spacing w:line="240" w:lineRule="auto"/>
              <w:ind w:firstLineChars="0" w:firstLine="0"/>
              <w:jc w:val="center"/>
              <w:textAlignment w:val="center"/>
              <w:rPr>
                <w:rFonts w:ascii="Times New Roman" w:eastAsia="Times New Roman" w:cs="Times New Roman"/>
                <w:kern w:val="2"/>
                <w:sz w:val="21"/>
                <w:szCs w:val="21"/>
              </w:rPr>
            </w:pPr>
            <w:r>
              <w:rPr>
                <w:rFonts w:ascii="Times New Roman" w:eastAsia="Times New Roman" w:cs="Times New Roman"/>
                <w:kern w:val="2"/>
                <w:sz w:val="21"/>
                <w:szCs w:val="21"/>
              </w:rPr>
              <w:t>0.022</w:t>
            </w:r>
          </w:p>
        </w:tc>
        <w:tc>
          <w:tcPr>
            <w:tcW w:w="915" w:type="dxa"/>
            <w:vAlign w:val="center"/>
          </w:tcPr>
          <w:p w:rsidR="00BD5820" w:rsidRDefault="00F64314">
            <w:pPr>
              <w:topLinePunct w:val="0"/>
              <w:snapToGrid w:val="0"/>
              <w:spacing w:line="240" w:lineRule="auto"/>
              <w:ind w:firstLineChars="0" w:firstLine="0"/>
              <w:jc w:val="center"/>
              <w:textAlignment w:val="center"/>
              <w:rPr>
                <w:rFonts w:ascii="Times New Roman" w:eastAsia="Times New Roman" w:cs="Times New Roman"/>
                <w:kern w:val="2"/>
                <w:sz w:val="21"/>
                <w:szCs w:val="21"/>
              </w:rPr>
            </w:pPr>
            <w:r>
              <w:rPr>
                <w:rFonts w:ascii="Times New Roman" w:eastAsia="Times New Roman" w:cs="Times New Roman"/>
                <w:kern w:val="2"/>
                <w:sz w:val="21"/>
                <w:szCs w:val="21"/>
              </w:rPr>
              <w:t>0.042</w:t>
            </w:r>
          </w:p>
        </w:tc>
      </w:tr>
    </w:tbl>
    <w:p w:rsidR="00BD5820" w:rsidRDefault="00F64314">
      <w:pPr>
        <w:pStyle w:val="affa"/>
        <w:ind w:firstLine="482"/>
        <w:rPr>
          <w:b/>
          <w:bCs/>
        </w:rPr>
      </w:pPr>
      <w:r>
        <w:rPr>
          <w:rFonts w:hint="eastAsia"/>
          <w:b/>
          <w:bCs/>
        </w:rPr>
        <w:t>（</w:t>
      </w:r>
      <w:r>
        <w:rPr>
          <w:b/>
          <w:bCs/>
        </w:rPr>
        <w:t>6</w:t>
      </w:r>
      <w:r>
        <w:rPr>
          <w:rFonts w:hint="eastAsia"/>
          <w:b/>
          <w:bCs/>
        </w:rPr>
        <w:t>）预测结果</w:t>
      </w:r>
    </w:p>
    <w:p w:rsidR="00BD5820" w:rsidRDefault="00F64314">
      <w:pPr>
        <w:pStyle w:val="affa"/>
        <w:ind w:firstLine="480"/>
      </w:pPr>
      <w:r>
        <w:rPr>
          <w:rFonts w:hint="eastAsia"/>
        </w:rPr>
        <w:t>根据前文分析，将水文地质参数及污染源的源强，代入相应公式进行模型计算，对污染物石油类在地下水环境中的分布、程度进行分析，从而对污染事故对地下水的影响进行定量的评估，给出石油类的影响范围和程度。将石油类带入公式进行计算，得出预测结果，本次模型计算分别对</w:t>
      </w:r>
      <w:r>
        <w:t>100d</w:t>
      </w:r>
      <w:r>
        <w:rPr>
          <w:rFonts w:hint="eastAsia"/>
        </w:rPr>
        <w:t>、</w:t>
      </w:r>
      <w:r>
        <w:rPr>
          <w:rFonts w:hint="eastAsia"/>
        </w:rPr>
        <w:t>365</w:t>
      </w:r>
      <w:r>
        <w:t>d</w:t>
      </w:r>
      <w:r>
        <w:rPr>
          <w:rFonts w:hint="eastAsia"/>
        </w:rPr>
        <w:t>进行计算，主要成果见表</w:t>
      </w:r>
      <w:r>
        <w:rPr>
          <w:rFonts w:hint="eastAsia"/>
        </w:rPr>
        <w:t>6</w:t>
      </w:r>
      <w:r>
        <w:t>.2-</w:t>
      </w:r>
      <w:r>
        <w:rPr>
          <w:rFonts w:hint="eastAsia"/>
        </w:rPr>
        <w:t>5</w:t>
      </w:r>
      <w:r>
        <w:rPr>
          <w:rFonts w:hint="eastAsia"/>
        </w:rPr>
        <w:t>。</w:t>
      </w:r>
    </w:p>
    <w:p w:rsidR="00BD5820" w:rsidRDefault="00F64314">
      <w:pPr>
        <w:pStyle w:val="10"/>
        <w:ind w:firstLine="480"/>
      </w:pPr>
      <w:r>
        <w:rPr>
          <w:rFonts w:hint="eastAsia"/>
        </w:rPr>
        <w:t>表</w:t>
      </w:r>
      <w:r>
        <w:rPr>
          <w:rFonts w:cs="Times New Roman"/>
          <w:bCs/>
        </w:rPr>
        <w:t>6.2</w:t>
      </w:r>
      <w:r>
        <w:rPr>
          <w:rFonts w:cs="Times New Roman" w:hint="eastAsia"/>
          <w:bCs/>
        </w:rPr>
        <w:t>-5</w:t>
      </w:r>
      <w:r>
        <w:rPr>
          <w:rFonts w:cs="Times New Roman"/>
          <w:bCs/>
        </w:rPr>
        <w:t xml:space="preserve">  </w:t>
      </w:r>
      <w:r>
        <w:rPr>
          <w:rFonts w:hint="eastAsia"/>
        </w:rPr>
        <w:t>石油类非正常状况下含水层中运移情况结果汇总表</w:t>
      </w:r>
    </w:p>
    <w:tbl>
      <w:tblPr>
        <w:tblW w:w="5000" w:type="pct"/>
        <w:jc w:val="center"/>
        <w:tblBorders>
          <w:top w:val="single" w:sz="12" w:space="0" w:color="auto"/>
          <w:bottom w:val="single" w:sz="12"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1093"/>
        <w:gridCol w:w="961"/>
        <w:gridCol w:w="1613"/>
        <w:gridCol w:w="1174"/>
        <w:gridCol w:w="1227"/>
        <w:gridCol w:w="1094"/>
        <w:gridCol w:w="1174"/>
      </w:tblGrid>
      <w:tr w:rsidR="00BD5820">
        <w:trPr>
          <w:trHeight w:val="240"/>
          <w:jc w:val="center"/>
        </w:trPr>
        <w:tc>
          <w:tcPr>
            <w:tcW w:w="1194" w:type="dxa"/>
            <w:vAlign w:val="center"/>
          </w:tcPr>
          <w:p w:rsidR="00BD5820" w:rsidRDefault="00F64314">
            <w:pPr>
              <w:pStyle w:val="SSEC201503230"/>
              <w:jc w:val="both"/>
              <w:rPr>
                <w:rFonts w:ascii="Times New Roman" w:hAnsi="Times New Roman"/>
                <w:b/>
              </w:rPr>
            </w:pPr>
            <w:r>
              <w:rPr>
                <w:rFonts w:cs="宋体" w:hint="eastAsia"/>
                <w:b/>
              </w:rPr>
              <w:t>污染物种类</w:t>
            </w:r>
          </w:p>
        </w:tc>
        <w:tc>
          <w:tcPr>
            <w:tcW w:w="1048" w:type="dxa"/>
            <w:vAlign w:val="center"/>
          </w:tcPr>
          <w:p w:rsidR="00BD5820" w:rsidRDefault="00F64314">
            <w:pPr>
              <w:pStyle w:val="SSEC201503230"/>
              <w:rPr>
                <w:rFonts w:ascii="Times New Roman" w:hAnsi="Times New Roman"/>
                <w:b/>
              </w:rPr>
            </w:pPr>
            <w:r>
              <w:rPr>
                <w:rFonts w:cs="宋体" w:hint="eastAsia"/>
                <w:b/>
              </w:rPr>
              <w:t>时间（</w:t>
            </w:r>
            <w:r>
              <w:rPr>
                <w:rFonts w:ascii="Times New Roman" w:hAnsi="Times New Roman"/>
                <w:b/>
              </w:rPr>
              <w:t>d</w:t>
            </w:r>
            <w:r>
              <w:rPr>
                <w:rFonts w:cs="宋体" w:hint="eastAsia"/>
                <w:b/>
              </w:rPr>
              <w:t>）</w:t>
            </w:r>
          </w:p>
        </w:tc>
        <w:tc>
          <w:tcPr>
            <w:tcW w:w="1762" w:type="dxa"/>
            <w:vAlign w:val="center"/>
          </w:tcPr>
          <w:p w:rsidR="00BD5820" w:rsidRDefault="00F64314">
            <w:pPr>
              <w:pStyle w:val="SSEC201503230"/>
              <w:rPr>
                <w:rFonts w:ascii="Times New Roman" w:hAnsi="Times New Roman"/>
                <w:b/>
              </w:rPr>
            </w:pPr>
            <w:r>
              <w:rPr>
                <w:rFonts w:cs="宋体" w:hint="eastAsia"/>
                <w:b/>
              </w:rPr>
              <w:t>下游最大值（</w:t>
            </w:r>
            <w:r>
              <w:rPr>
                <w:rFonts w:ascii="Times New Roman" w:hAnsi="Times New Roman"/>
                <w:b/>
              </w:rPr>
              <w:t>mg/L</w:t>
            </w:r>
            <w:r>
              <w:rPr>
                <w:rFonts w:cs="宋体" w:hint="eastAsia"/>
                <w:b/>
              </w:rPr>
              <w:t>）</w:t>
            </w:r>
          </w:p>
        </w:tc>
        <w:tc>
          <w:tcPr>
            <w:tcW w:w="1281" w:type="dxa"/>
            <w:vAlign w:val="center"/>
          </w:tcPr>
          <w:p w:rsidR="00BD5820" w:rsidRDefault="00F64314">
            <w:pPr>
              <w:pStyle w:val="SSEC201503230"/>
              <w:rPr>
                <w:rFonts w:ascii="Times New Roman" w:hAnsi="Times New Roman"/>
                <w:b/>
              </w:rPr>
            </w:pPr>
            <w:r>
              <w:rPr>
                <w:rFonts w:cs="宋体" w:hint="eastAsia"/>
                <w:b/>
              </w:rPr>
              <w:t>超标距离（</w:t>
            </w:r>
            <w:r>
              <w:rPr>
                <w:rFonts w:ascii="Times New Roman" w:hAnsi="Times New Roman"/>
                <w:b/>
              </w:rPr>
              <w:t>m</w:t>
            </w:r>
            <w:r>
              <w:rPr>
                <w:rFonts w:cs="宋体" w:hint="eastAsia"/>
                <w:b/>
              </w:rPr>
              <w:t>）</w:t>
            </w:r>
          </w:p>
        </w:tc>
        <w:tc>
          <w:tcPr>
            <w:tcW w:w="1340" w:type="dxa"/>
            <w:vAlign w:val="center"/>
          </w:tcPr>
          <w:p w:rsidR="00BD5820" w:rsidRDefault="00F64314">
            <w:pPr>
              <w:pStyle w:val="SSEC201503230"/>
              <w:rPr>
                <w:rFonts w:ascii="Times New Roman" w:hAnsi="Times New Roman"/>
                <w:b/>
              </w:rPr>
            </w:pPr>
            <w:r>
              <w:rPr>
                <w:rFonts w:cs="宋体" w:hint="eastAsia"/>
                <w:b/>
              </w:rPr>
              <w:t>超标面积（</w:t>
            </w:r>
            <w:r>
              <w:rPr>
                <w:rFonts w:ascii="Times New Roman" w:hAnsi="Times New Roman"/>
                <w:b/>
              </w:rPr>
              <w:t>m</w:t>
            </w:r>
            <w:r>
              <w:rPr>
                <w:rFonts w:ascii="Times New Roman" w:hAnsi="Times New Roman"/>
                <w:b/>
                <w:vertAlign w:val="superscript"/>
              </w:rPr>
              <w:t>2</w:t>
            </w:r>
            <w:r>
              <w:rPr>
                <w:rFonts w:cs="宋体" w:hint="eastAsia"/>
                <w:b/>
              </w:rPr>
              <w:t>）</w:t>
            </w:r>
          </w:p>
        </w:tc>
        <w:tc>
          <w:tcPr>
            <w:tcW w:w="1194" w:type="dxa"/>
            <w:vAlign w:val="center"/>
          </w:tcPr>
          <w:p w:rsidR="00BD5820" w:rsidRDefault="00F64314">
            <w:pPr>
              <w:pStyle w:val="SSEC201503230"/>
              <w:rPr>
                <w:rFonts w:ascii="Times New Roman" w:hAnsi="Times New Roman"/>
                <w:b/>
              </w:rPr>
            </w:pPr>
            <w:r>
              <w:rPr>
                <w:rFonts w:cs="宋体" w:hint="eastAsia"/>
                <w:b/>
              </w:rPr>
              <w:t>影响距离（</w:t>
            </w:r>
            <w:r>
              <w:rPr>
                <w:rFonts w:ascii="Times New Roman" w:hAnsi="Times New Roman"/>
                <w:b/>
              </w:rPr>
              <w:t>m</w:t>
            </w:r>
            <w:r>
              <w:rPr>
                <w:rFonts w:cs="宋体" w:hint="eastAsia"/>
                <w:b/>
              </w:rPr>
              <w:t>）</w:t>
            </w:r>
          </w:p>
        </w:tc>
        <w:tc>
          <w:tcPr>
            <w:tcW w:w="1281" w:type="dxa"/>
            <w:vAlign w:val="center"/>
          </w:tcPr>
          <w:p w:rsidR="00BD5820" w:rsidRDefault="00F64314">
            <w:pPr>
              <w:pStyle w:val="SSEC201503230"/>
              <w:rPr>
                <w:rFonts w:ascii="Times New Roman" w:hAnsi="Times New Roman"/>
                <w:b/>
              </w:rPr>
            </w:pPr>
            <w:r>
              <w:rPr>
                <w:rFonts w:cs="宋体" w:hint="eastAsia"/>
                <w:b/>
              </w:rPr>
              <w:t>影响面积（</w:t>
            </w:r>
            <w:r>
              <w:rPr>
                <w:rFonts w:ascii="Times New Roman" w:hAnsi="Times New Roman"/>
                <w:b/>
              </w:rPr>
              <w:t>m</w:t>
            </w:r>
            <w:r>
              <w:rPr>
                <w:rFonts w:ascii="Times New Roman" w:hAnsi="Times New Roman"/>
                <w:b/>
                <w:vertAlign w:val="superscript"/>
              </w:rPr>
              <w:t>2</w:t>
            </w:r>
            <w:r>
              <w:rPr>
                <w:rFonts w:cs="宋体" w:hint="eastAsia"/>
                <w:b/>
              </w:rPr>
              <w:t>）</w:t>
            </w:r>
          </w:p>
        </w:tc>
      </w:tr>
      <w:tr w:rsidR="00BD5820">
        <w:trPr>
          <w:trHeight w:val="285"/>
          <w:jc w:val="center"/>
        </w:trPr>
        <w:tc>
          <w:tcPr>
            <w:tcW w:w="1194" w:type="dxa"/>
            <w:vMerge w:val="restart"/>
            <w:vAlign w:val="center"/>
          </w:tcPr>
          <w:p w:rsidR="00BD5820" w:rsidRDefault="00F64314">
            <w:pPr>
              <w:pStyle w:val="SSEC201503230"/>
              <w:rPr>
                <w:rFonts w:ascii="Times New Roman" w:hAnsi="Times New Roman"/>
              </w:rPr>
            </w:pPr>
            <w:r>
              <w:rPr>
                <w:rFonts w:cs="宋体" w:hint="eastAsia"/>
              </w:rPr>
              <w:t>石油类</w:t>
            </w:r>
          </w:p>
        </w:tc>
        <w:tc>
          <w:tcPr>
            <w:tcW w:w="1048" w:type="dxa"/>
            <w:vAlign w:val="center"/>
          </w:tcPr>
          <w:p w:rsidR="00BD5820" w:rsidRDefault="00F64314">
            <w:pPr>
              <w:pStyle w:val="SSEC201503230"/>
              <w:rPr>
                <w:rFonts w:ascii="Times New Roman" w:hAnsi="Times New Roman"/>
              </w:rPr>
            </w:pPr>
            <w:r>
              <w:rPr>
                <w:rFonts w:ascii="Times New Roman" w:hAnsi="Times New Roman"/>
              </w:rPr>
              <w:t>100</w:t>
            </w:r>
          </w:p>
        </w:tc>
        <w:tc>
          <w:tcPr>
            <w:tcW w:w="1762" w:type="dxa"/>
            <w:vAlign w:val="center"/>
          </w:tcPr>
          <w:p w:rsidR="00BD5820" w:rsidRDefault="00F64314">
            <w:pPr>
              <w:pStyle w:val="SSEC201503230"/>
              <w:rPr>
                <w:rFonts w:ascii="Times New Roman" w:hAnsi="Times New Roman"/>
              </w:rPr>
            </w:pPr>
            <w:r>
              <w:rPr>
                <w:rFonts w:ascii="Times New Roman" w:hAnsi="Times New Roman" w:hint="eastAsia"/>
              </w:rPr>
              <w:t>6.23</w:t>
            </w:r>
          </w:p>
        </w:tc>
        <w:tc>
          <w:tcPr>
            <w:tcW w:w="1281" w:type="dxa"/>
            <w:vAlign w:val="center"/>
          </w:tcPr>
          <w:p w:rsidR="00BD5820" w:rsidRDefault="00F64314">
            <w:pPr>
              <w:pStyle w:val="SSEC201503230"/>
              <w:rPr>
                <w:rFonts w:ascii="Times New Roman" w:hAnsi="Times New Roman"/>
              </w:rPr>
            </w:pPr>
            <w:r>
              <w:rPr>
                <w:rFonts w:ascii="Times New Roman" w:hAnsi="Times New Roman" w:hint="eastAsia"/>
              </w:rPr>
              <w:t>9.36</w:t>
            </w:r>
          </w:p>
        </w:tc>
        <w:tc>
          <w:tcPr>
            <w:tcW w:w="1340" w:type="dxa"/>
            <w:vAlign w:val="center"/>
          </w:tcPr>
          <w:p w:rsidR="00BD5820" w:rsidRDefault="00F64314">
            <w:pPr>
              <w:pStyle w:val="SSEC201503230"/>
              <w:rPr>
                <w:rFonts w:ascii="Times New Roman" w:hAnsi="Times New Roman"/>
              </w:rPr>
            </w:pPr>
            <w:r>
              <w:rPr>
                <w:rFonts w:ascii="Times New Roman" w:hAnsi="Times New Roman" w:hint="eastAsia"/>
              </w:rPr>
              <w:t>226</w:t>
            </w:r>
          </w:p>
        </w:tc>
        <w:tc>
          <w:tcPr>
            <w:tcW w:w="1194" w:type="dxa"/>
            <w:vAlign w:val="center"/>
          </w:tcPr>
          <w:p w:rsidR="00BD5820" w:rsidRDefault="00F64314">
            <w:pPr>
              <w:pStyle w:val="SSEC201503230"/>
              <w:rPr>
                <w:rFonts w:ascii="Times New Roman" w:hAnsi="Times New Roman"/>
              </w:rPr>
            </w:pPr>
            <w:r>
              <w:rPr>
                <w:rFonts w:ascii="Times New Roman" w:hAnsi="Times New Roman" w:hint="eastAsia"/>
              </w:rPr>
              <w:t>32.5</w:t>
            </w:r>
          </w:p>
        </w:tc>
        <w:tc>
          <w:tcPr>
            <w:tcW w:w="1281" w:type="dxa"/>
            <w:vAlign w:val="center"/>
          </w:tcPr>
          <w:p w:rsidR="00BD5820" w:rsidRDefault="00F64314">
            <w:pPr>
              <w:pStyle w:val="SSEC201503230"/>
              <w:rPr>
                <w:rFonts w:ascii="Times New Roman" w:hAnsi="Times New Roman"/>
              </w:rPr>
            </w:pPr>
            <w:r>
              <w:rPr>
                <w:rFonts w:ascii="Times New Roman" w:hAnsi="Times New Roman" w:hint="eastAsia"/>
              </w:rPr>
              <w:t>216</w:t>
            </w:r>
          </w:p>
        </w:tc>
      </w:tr>
      <w:tr w:rsidR="00BD5820">
        <w:trPr>
          <w:trHeight w:val="285"/>
          <w:jc w:val="center"/>
        </w:trPr>
        <w:tc>
          <w:tcPr>
            <w:tcW w:w="1194" w:type="dxa"/>
            <w:vMerge/>
            <w:vAlign w:val="center"/>
          </w:tcPr>
          <w:p w:rsidR="00BD5820" w:rsidRDefault="00BD5820">
            <w:pPr>
              <w:pStyle w:val="SSEC201503230"/>
              <w:rPr>
                <w:rFonts w:ascii="Times New Roman" w:hAnsi="Times New Roman"/>
              </w:rPr>
            </w:pPr>
          </w:p>
        </w:tc>
        <w:tc>
          <w:tcPr>
            <w:tcW w:w="1048" w:type="dxa"/>
            <w:vAlign w:val="center"/>
          </w:tcPr>
          <w:p w:rsidR="00BD5820" w:rsidRDefault="00F64314">
            <w:pPr>
              <w:pStyle w:val="SSEC201503230"/>
              <w:rPr>
                <w:rFonts w:ascii="Times New Roman" w:hAnsi="Times New Roman"/>
              </w:rPr>
            </w:pPr>
            <w:r>
              <w:rPr>
                <w:rFonts w:ascii="Times New Roman" w:hAnsi="Times New Roman"/>
              </w:rPr>
              <w:t>365</w:t>
            </w:r>
          </w:p>
        </w:tc>
        <w:tc>
          <w:tcPr>
            <w:tcW w:w="1762" w:type="dxa"/>
            <w:vAlign w:val="center"/>
          </w:tcPr>
          <w:p w:rsidR="00BD5820" w:rsidRDefault="00F64314">
            <w:pPr>
              <w:pStyle w:val="SSEC201503230"/>
              <w:rPr>
                <w:rFonts w:ascii="Times New Roman" w:hAnsi="Times New Roman"/>
              </w:rPr>
            </w:pPr>
            <w:r>
              <w:rPr>
                <w:rFonts w:ascii="Times New Roman" w:hAnsi="Times New Roman" w:hint="eastAsia"/>
              </w:rPr>
              <w:t>2.21</w:t>
            </w:r>
          </w:p>
        </w:tc>
        <w:tc>
          <w:tcPr>
            <w:tcW w:w="1281" w:type="dxa"/>
            <w:vAlign w:val="center"/>
          </w:tcPr>
          <w:p w:rsidR="00BD5820" w:rsidRDefault="00F64314">
            <w:pPr>
              <w:pStyle w:val="SSEC201503230"/>
              <w:rPr>
                <w:rFonts w:ascii="Times New Roman" w:hAnsi="Times New Roman"/>
              </w:rPr>
            </w:pPr>
            <w:r>
              <w:rPr>
                <w:rFonts w:ascii="Times New Roman" w:hAnsi="Times New Roman" w:hint="eastAsia"/>
              </w:rPr>
              <w:t>16.61</w:t>
            </w:r>
          </w:p>
        </w:tc>
        <w:tc>
          <w:tcPr>
            <w:tcW w:w="1340" w:type="dxa"/>
            <w:vAlign w:val="center"/>
          </w:tcPr>
          <w:p w:rsidR="00BD5820" w:rsidRDefault="00F64314">
            <w:pPr>
              <w:pStyle w:val="SSEC201503230"/>
              <w:rPr>
                <w:rFonts w:ascii="Times New Roman" w:hAnsi="Times New Roman"/>
              </w:rPr>
            </w:pPr>
            <w:r>
              <w:rPr>
                <w:rFonts w:ascii="Times New Roman" w:hAnsi="Times New Roman" w:hint="eastAsia"/>
              </w:rPr>
              <w:t>317</w:t>
            </w:r>
          </w:p>
        </w:tc>
        <w:tc>
          <w:tcPr>
            <w:tcW w:w="1194" w:type="dxa"/>
            <w:vAlign w:val="center"/>
          </w:tcPr>
          <w:p w:rsidR="00BD5820" w:rsidRDefault="00F64314">
            <w:pPr>
              <w:pStyle w:val="SSEC201503230"/>
              <w:rPr>
                <w:rFonts w:ascii="Times New Roman" w:hAnsi="Times New Roman"/>
              </w:rPr>
            </w:pPr>
            <w:r>
              <w:rPr>
                <w:rFonts w:ascii="Times New Roman" w:hAnsi="Times New Roman" w:hint="eastAsia"/>
              </w:rPr>
              <w:t>67.01</w:t>
            </w:r>
          </w:p>
        </w:tc>
        <w:tc>
          <w:tcPr>
            <w:tcW w:w="1281" w:type="dxa"/>
            <w:vAlign w:val="center"/>
          </w:tcPr>
          <w:p w:rsidR="00BD5820" w:rsidRDefault="00F64314">
            <w:pPr>
              <w:pStyle w:val="SSEC201503230"/>
              <w:rPr>
                <w:rFonts w:ascii="Times New Roman" w:hAnsi="Times New Roman"/>
              </w:rPr>
            </w:pPr>
            <w:r>
              <w:rPr>
                <w:rFonts w:ascii="Times New Roman" w:hAnsi="Times New Roman" w:hint="eastAsia"/>
              </w:rPr>
              <w:t>396</w:t>
            </w:r>
          </w:p>
        </w:tc>
      </w:tr>
    </w:tbl>
    <w:p w:rsidR="00BD5820" w:rsidRDefault="00F64314">
      <w:pPr>
        <w:pStyle w:val="affa"/>
        <w:ind w:firstLineChars="0" w:firstLine="0"/>
        <w:jc w:val="center"/>
      </w:pPr>
      <w:r>
        <w:rPr>
          <w:noProof/>
        </w:rPr>
        <w:lastRenderedPageBreak/>
        <w:drawing>
          <wp:inline distT="0" distB="0" distL="114300" distR="114300">
            <wp:extent cx="5269230" cy="2820035"/>
            <wp:effectExtent l="0" t="0" r="7620" b="18415"/>
            <wp:docPr id="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0"/>
                    <pic:cNvPicPr>
                      <a:picLocks noChangeAspect="1"/>
                    </pic:cNvPicPr>
                  </pic:nvPicPr>
                  <pic:blipFill>
                    <a:blip r:embed="rId105" cstate="print"/>
                    <a:stretch>
                      <a:fillRect/>
                    </a:stretch>
                  </pic:blipFill>
                  <pic:spPr>
                    <a:xfrm>
                      <a:off x="0" y="0"/>
                      <a:ext cx="5269230" cy="2820035"/>
                    </a:xfrm>
                    <a:prstGeom prst="rect">
                      <a:avLst/>
                    </a:prstGeom>
                    <a:noFill/>
                    <a:ln>
                      <a:noFill/>
                    </a:ln>
                  </pic:spPr>
                </pic:pic>
              </a:graphicData>
            </a:graphic>
          </wp:inline>
        </w:drawing>
      </w:r>
    </w:p>
    <w:p w:rsidR="00BD5820" w:rsidRDefault="00F64314">
      <w:pPr>
        <w:pStyle w:val="affa"/>
        <w:ind w:firstLineChars="0" w:firstLine="0"/>
        <w:jc w:val="center"/>
      </w:pPr>
      <w:r>
        <w:t>图</w:t>
      </w:r>
      <w:r>
        <w:t>6.</w:t>
      </w:r>
      <w:r>
        <w:rPr>
          <w:rFonts w:hint="eastAsia"/>
        </w:rPr>
        <w:t>2</w:t>
      </w:r>
      <w:r>
        <w:t xml:space="preserve">-1  </w:t>
      </w:r>
      <w:r>
        <w:rPr>
          <w:rFonts w:hint="eastAsia"/>
        </w:rPr>
        <w:t>污水罐</w:t>
      </w:r>
      <w:r>
        <w:t>泄漏</w:t>
      </w:r>
      <w:r>
        <w:t>100d</w:t>
      </w:r>
      <w:r>
        <w:t>水流下游轴向</w:t>
      </w:r>
      <w:r>
        <w:rPr>
          <w:rFonts w:hint="eastAsia"/>
        </w:rPr>
        <w:t>石油类</w:t>
      </w:r>
      <w:r>
        <w:t>浓度变化趋势图</w:t>
      </w:r>
    </w:p>
    <w:p w:rsidR="00BD5820" w:rsidRDefault="00F64314">
      <w:pPr>
        <w:pStyle w:val="affa"/>
        <w:ind w:firstLineChars="0" w:firstLine="0"/>
        <w:jc w:val="center"/>
      </w:pPr>
      <w:r>
        <w:rPr>
          <w:noProof/>
        </w:rPr>
        <w:drawing>
          <wp:inline distT="0" distB="0" distL="114300" distR="114300">
            <wp:extent cx="5274310" cy="2849245"/>
            <wp:effectExtent l="0" t="0" r="2540" b="8255"/>
            <wp:docPr id="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pic:cNvPicPr>
                      <a:picLocks noChangeAspect="1"/>
                    </pic:cNvPicPr>
                  </pic:nvPicPr>
                  <pic:blipFill>
                    <a:blip r:embed="rId106" cstate="print"/>
                    <a:stretch>
                      <a:fillRect/>
                    </a:stretch>
                  </pic:blipFill>
                  <pic:spPr>
                    <a:xfrm>
                      <a:off x="0" y="0"/>
                      <a:ext cx="5274310" cy="2849245"/>
                    </a:xfrm>
                    <a:prstGeom prst="rect">
                      <a:avLst/>
                    </a:prstGeom>
                    <a:noFill/>
                    <a:ln>
                      <a:noFill/>
                    </a:ln>
                  </pic:spPr>
                </pic:pic>
              </a:graphicData>
            </a:graphic>
          </wp:inline>
        </w:drawing>
      </w:r>
    </w:p>
    <w:p w:rsidR="00BD5820" w:rsidRDefault="00F64314">
      <w:pPr>
        <w:pStyle w:val="affa"/>
        <w:ind w:firstLineChars="0" w:firstLine="0"/>
        <w:jc w:val="center"/>
      </w:pPr>
      <w:r>
        <w:t>图</w:t>
      </w:r>
      <w:r>
        <w:t>6.</w:t>
      </w:r>
      <w:r>
        <w:rPr>
          <w:rFonts w:hint="eastAsia"/>
        </w:rPr>
        <w:t>2</w:t>
      </w:r>
      <w:r>
        <w:t>-</w:t>
      </w:r>
      <w:r>
        <w:rPr>
          <w:rFonts w:hint="eastAsia"/>
        </w:rPr>
        <w:t>2</w:t>
      </w:r>
      <w:r>
        <w:t xml:space="preserve">  </w:t>
      </w:r>
      <w:r>
        <w:rPr>
          <w:rFonts w:hint="eastAsia"/>
        </w:rPr>
        <w:t>污水罐</w:t>
      </w:r>
      <w:r>
        <w:t>泄漏</w:t>
      </w:r>
      <w:r>
        <w:rPr>
          <w:rFonts w:hint="eastAsia"/>
        </w:rPr>
        <w:t>365</w:t>
      </w:r>
      <w:r>
        <w:t>d</w:t>
      </w:r>
      <w:r>
        <w:t>水流下游轴向</w:t>
      </w:r>
      <w:r>
        <w:rPr>
          <w:rFonts w:hint="eastAsia"/>
        </w:rPr>
        <w:t>石油类</w:t>
      </w:r>
      <w:r>
        <w:t>浓度变化趋势图</w:t>
      </w:r>
    </w:p>
    <w:p w:rsidR="00BD5820" w:rsidRDefault="00F64314">
      <w:pPr>
        <w:pStyle w:val="affa"/>
        <w:ind w:firstLine="480"/>
      </w:pPr>
      <w:r>
        <w:rPr>
          <w:rFonts w:hint="eastAsia"/>
        </w:rPr>
        <w:t>由上述分析可知，在非正常工况下，不考虑污染物在含水层的吸附、挥发、生物化学反应等情况，气田水泄漏情况下地下水石油类预测结果：泄漏</w:t>
      </w:r>
      <w:r>
        <w:t>100</w:t>
      </w:r>
      <w:r>
        <w:rPr>
          <w:rFonts w:hint="eastAsia"/>
        </w:rPr>
        <w:t>天后，石油类在下游最大浓度为</w:t>
      </w:r>
      <w:r>
        <w:rPr>
          <w:rFonts w:hint="eastAsia"/>
        </w:rPr>
        <w:t>6.23</w:t>
      </w:r>
      <w:r>
        <w:t>mg/L</w:t>
      </w:r>
      <w:r>
        <w:rPr>
          <w:rFonts w:hint="eastAsia"/>
        </w:rPr>
        <w:t>，超标距离最远为</w:t>
      </w:r>
      <w:r>
        <w:rPr>
          <w:rFonts w:hint="eastAsia"/>
        </w:rPr>
        <w:t>9.36</w:t>
      </w:r>
      <w:r>
        <w:t>m</w:t>
      </w:r>
      <w:r>
        <w:rPr>
          <w:rFonts w:hint="eastAsia"/>
        </w:rPr>
        <w:t>，超标面积</w:t>
      </w:r>
      <w:r>
        <w:rPr>
          <w:rFonts w:hint="eastAsia"/>
        </w:rPr>
        <w:t>226</w:t>
      </w:r>
      <w:r>
        <w:t>m</w:t>
      </w:r>
      <w:r>
        <w:rPr>
          <w:vertAlign w:val="superscript"/>
        </w:rPr>
        <w:t>2</w:t>
      </w:r>
      <w:r>
        <w:rPr>
          <w:rFonts w:hint="eastAsia"/>
        </w:rPr>
        <w:t>，影响距离最远为下游</w:t>
      </w:r>
      <w:r>
        <w:rPr>
          <w:rFonts w:hint="eastAsia"/>
        </w:rPr>
        <w:t>32.5</w:t>
      </w:r>
      <w:r>
        <w:t>m</w:t>
      </w:r>
      <w:r>
        <w:rPr>
          <w:rFonts w:hint="eastAsia"/>
        </w:rPr>
        <w:t>，影响面积为</w:t>
      </w:r>
      <w:r>
        <w:rPr>
          <w:rFonts w:hint="eastAsia"/>
        </w:rPr>
        <w:t>216</w:t>
      </w:r>
      <w:r>
        <w:t>m</w:t>
      </w:r>
      <w:r>
        <w:rPr>
          <w:vertAlign w:val="superscript"/>
        </w:rPr>
        <w:t>2</w:t>
      </w:r>
      <w:r>
        <w:rPr>
          <w:rFonts w:hint="eastAsia"/>
        </w:rPr>
        <w:t>。泄漏</w:t>
      </w:r>
      <w:r>
        <w:t>365</w:t>
      </w:r>
      <w:r>
        <w:rPr>
          <w:rFonts w:hint="eastAsia"/>
        </w:rPr>
        <w:t>天后，下游最大浓度为</w:t>
      </w:r>
      <w:r>
        <w:rPr>
          <w:rFonts w:hint="eastAsia"/>
        </w:rPr>
        <w:t>2.21</w:t>
      </w:r>
      <w:r>
        <w:t>mg/L</w:t>
      </w:r>
      <w:r>
        <w:rPr>
          <w:rFonts w:hint="eastAsia"/>
        </w:rPr>
        <w:t>，超标距离最远为</w:t>
      </w:r>
      <w:r>
        <w:rPr>
          <w:rFonts w:hint="eastAsia"/>
        </w:rPr>
        <w:t>16.61</w:t>
      </w:r>
      <w:r>
        <w:t>m</w:t>
      </w:r>
      <w:r>
        <w:rPr>
          <w:rFonts w:hint="eastAsia"/>
        </w:rPr>
        <w:t>，超标面积</w:t>
      </w:r>
      <w:r>
        <w:rPr>
          <w:rFonts w:hint="eastAsia"/>
        </w:rPr>
        <w:t>317</w:t>
      </w:r>
      <w:r>
        <w:t>m</w:t>
      </w:r>
      <w:r>
        <w:rPr>
          <w:vertAlign w:val="superscript"/>
        </w:rPr>
        <w:t>2</w:t>
      </w:r>
      <w:r>
        <w:rPr>
          <w:rFonts w:hint="eastAsia"/>
        </w:rPr>
        <w:t>，影响距离最远为下游</w:t>
      </w:r>
      <w:r>
        <w:rPr>
          <w:rFonts w:hint="eastAsia"/>
        </w:rPr>
        <w:t>67.01</w:t>
      </w:r>
      <w:r>
        <w:t>m</w:t>
      </w:r>
      <w:r>
        <w:rPr>
          <w:rFonts w:hint="eastAsia"/>
        </w:rPr>
        <w:t>，影响面积为</w:t>
      </w:r>
      <w:r>
        <w:rPr>
          <w:rFonts w:hint="eastAsia"/>
        </w:rPr>
        <w:t>396</w:t>
      </w:r>
      <w:r>
        <w:t>m</w:t>
      </w:r>
      <w:r>
        <w:rPr>
          <w:vertAlign w:val="superscript"/>
        </w:rPr>
        <w:t>2</w:t>
      </w:r>
      <w:r>
        <w:rPr>
          <w:rFonts w:hint="eastAsia"/>
        </w:rPr>
        <w:t>。本项目普光气田</w:t>
      </w:r>
      <w:r>
        <w:rPr>
          <w:rFonts w:hint="eastAsia"/>
        </w:rPr>
        <w:t>2#</w:t>
      </w:r>
      <w:r>
        <w:rPr>
          <w:rFonts w:hint="eastAsia"/>
        </w:rPr>
        <w:t>增压站周边最近地下水敏感点为东北侧</w:t>
      </w:r>
      <w:r>
        <w:rPr>
          <w:rFonts w:hint="eastAsia"/>
        </w:rPr>
        <w:t>600m</w:t>
      </w:r>
      <w:r>
        <w:rPr>
          <w:rFonts w:hint="eastAsia"/>
        </w:rPr>
        <w:t>（铜坎村水井），因此污染物扩散影响范围内不涉及地下水环境</w:t>
      </w:r>
      <w:r>
        <w:rPr>
          <w:rFonts w:hint="eastAsia"/>
        </w:rPr>
        <w:lastRenderedPageBreak/>
        <w:t>敏感点。</w:t>
      </w:r>
    </w:p>
    <w:p w:rsidR="00BD5820" w:rsidRDefault="00F64314">
      <w:pPr>
        <w:pStyle w:val="affa"/>
        <w:ind w:firstLine="482"/>
        <w:rPr>
          <w:b/>
          <w:bCs/>
        </w:rPr>
      </w:pPr>
      <w:r>
        <w:rPr>
          <w:b/>
          <w:bCs/>
        </w:rPr>
        <w:t>5</w:t>
      </w:r>
      <w:r>
        <w:rPr>
          <w:b/>
          <w:bCs/>
        </w:rPr>
        <w:t>、</w:t>
      </w:r>
      <w:r>
        <w:rPr>
          <w:rFonts w:hint="eastAsia"/>
          <w:b/>
          <w:bCs/>
        </w:rPr>
        <w:t>地下水环境保护措施与对策</w:t>
      </w:r>
    </w:p>
    <w:p w:rsidR="00BD5820" w:rsidRDefault="00F64314">
      <w:pPr>
        <w:pStyle w:val="affa"/>
        <w:ind w:firstLine="480"/>
      </w:pPr>
      <w:r>
        <w:rPr>
          <w:rFonts w:hint="eastAsia"/>
        </w:rPr>
        <w:t>根据本项目建设对地下水环境影响的特点，建议本项目地下水环境保护措施按照</w:t>
      </w:r>
      <w:r>
        <w:t>“</w:t>
      </w:r>
      <w:r>
        <w:rPr>
          <w:rFonts w:hint="eastAsia"/>
        </w:rPr>
        <w:t>源头控制、分区防控、污染监控、应急响应</w:t>
      </w:r>
      <w:r>
        <w:t>”</w:t>
      </w:r>
      <w:r>
        <w:rPr>
          <w:rFonts w:hint="eastAsia"/>
        </w:rPr>
        <w:t>相结合的原则，从污染物的产生、入渗、扩散、应急响应等方面进行控制。</w:t>
      </w:r>
    </w:p>
    <w:p w:rsidR="00BD5820" w:rsidRDefault="00F64314">
      <w:pPr>
        <w:pStyle w:val="affa"/>
        <w:ind w:firstLine="480"/>
      </w:pPr>
      <w:r>
        <w:t>（</w:t>
      </w:r>
      <w:r>
        <w:rPr>
          <w:rFonts w:hint="eastAsia"/>
        </w:rPr>
        <w:t>1</w:t>
      </w:r>
      <w:r>
        <w:t>）</w:t>
      </w:r>
      <w:r>
        <w:rPr>
          <w:rFonts w:hint="eastAsia"/>
        </w:rPr>
        <w:t>源头控制措施</w:t>
      </w:r>
    </w:p>
    <w:p w:rsidR="00BD5820" w:rsidRDefault="00F64314">
      <w:pPr>
        <w:pStyle w:val="affa"/>
        <w:ind w:firstLine="480"/>
      </w:pPr>
      <w:r>
        <w:rPr>
          <w:rFonts w:hint="eastAsia"/>
        </w:rPr>
        <w:t>源头控制主要包括实施清洁生产及各类废物循环利用，减少污染物的排放量；在工艺、管道、设备、污水储存及处理构筑物采取相应措施，防止和降低污染物跑、冒、滴、漏，将污染物泄漏的环境风险事故降到最低限度。项目采用质量合格的</w:t>
      </w:r>
      <w:r>
        <w:rPr>
          <w:rFonts w:ascii="宋体" w:cs="宋体" w:hint="eastAsia"/>
        </w:rPr>
        <w:t>污水罐</w:t>
      </w:r>
      <w:r>
        <w:rPr>
          <w:rFonts w:hint="eastAsia"/>
        </w:rPr>
        <w:t>，加强对储罐的检修维护，防止和降低气田水的跑、冒、滴、漏。</w:t>
      </w:r>
    </w:p>
    <w:p w:rsidR="00BD5820" w:rsidRDefault="00F64314">
      <w:pPr>
        <w:pStyle w:val="affa"/>
        <w:ind w:firstLine="480"/>
      </w:pPr>
      <w:r>
        <w:rPr>
          <w:rFonts w:hint="eastAsia"/>
        </w:rPr>
        <w:t>（</w:t>
      </w:r>
      <w:r>
        <w:rPr>
          <w:rFonts w:hint="eastAsia"/>
        </w:rPr>
        <w:t>2</w:t>
      </w:r>
      <w:r>
        <w:rPr>
          <w:rFonts w:hint="eastAsia"/>
        </w:rPr>
        <w:t>）分区防渗措施</w:t>
      </w:r>
    </w:p>
    <w:p w:rsidR="00BD5820" w:rsidRDefault="00F64314">
      <w:pPr>
        <w:pStyle w:val="affa"/>
        <w:ind w:firstLine="480"/>
      </w:pPr>
      <w:r>
        <w:rPr>
          <w:rFonts w:hint="eastAsia"/>
        </w:rPr>
        <w:t>对本项目可能泄漏污染物的地面进行防渗处理，可有效防治污染物渗入地下，并及时地将泄漏、渗漏的污染物收集并进行集中处理。本项目通过将加强站场防渗等级，避免污染物入渗，采取了分区防渗措施。根据工程各功能单元可能产生污染的地区，划分为重点污染防治区、一般污染防治区。重点防渗区为对地下水环境有污染的物料或污染物泄漏后，不能及时发现和处理的区域或部位：包括井口区、污水罐区等区域，防渗等效黏土防渗层</w:t>
      </w:r>
      <w:r>
        <w:t>Mb</w:t>
      </w:r>
      <w:r>
        <w:rPr>
          <w:rFonts w:hint="eastAsia"/>
        </w:rPr>
        <w:t>≧</w:t>
      </w:r>
      <w:r>
        <w:t>6.0m</w:t>
      </w:r>
      <w:r>
        <w:rPr>
          <w:rFonts w:hint="eastAsia"/>
        </w:rPr>
        <w:t>，</w:t>
      </w:r>
      <w:r>
        <w:t>K≤1×10</w:t>
      </w:r>
      <w:r>
        <w:rPr>
          <w:vertAlign w:val="superscript"/>
        </w:rPr>
        <w:t>-7</w:t>
      </w:r>
      <w:r>
        <w:t>cm/s</w:t>
      </w:r>
      <w:r>
        <w:rPr>
          <w:rFonts w:hint="eastAsia"/>
        </w:rPr>
        <w:t>。一般防渗区为工艺装置区等区域，防渗应满足等效黏土防渗层</w:t>
      </w:r>
      <w:r>
        <w:t>Mb</w:t>
      </w:r>
      <w:r>
        <w:rPr>
          <w:rFonts w:hint="eastAsia"/>
        </w:rPr>
        <w:t>≧</w:t>
      </w:r>
      <w:r>
        <w:t>1.5m</w:t>
      </w:r>
      <w:r>
        <w:rPr>
          <w:rFonts w:hint="eastAsia"/>
        </w:rPr>
        <w:t>，</w:t>
      </w:r>
      <w:r>
        <w:t>K≤1×10</w:t>
      </w:r>
      <w:r>
        <w:rPr>
          <w:vertAlign w:val="superscript"/>
        </w:rPr>
        <w:t>-7</w:t>
      </w:r>
      <w:r>
        <w:t>cm/s</w:t>
      </w:r>
      <w:r>
        <w:rPr>
          <w:rFonts w:hint="eastAsia"/>
        </w:rPr>
        <w:t>；其他区域为非防渗区。</w:t>
      </w:r>
    </w:p>
    <w:p w:rsidR="00BD5820" w:rsidRDefault="00F64314">
      <w:pPr>
        <w:pStyle w:val="affa"/>
        <w:ind w:firstLine="480"/>
      </w:pPr>
      <w:r>
        <w:rPr>
          <w:rFonts w:hint="eastAsia"/>
        </w:rPr>
        <w:t>以上防渗措施均按相关要求和规定执行。</w:t>
      </w:r>
      <w:r>
        <w:rPr>
          <w:rFonts w:ascii="宋体" w:cs="宋体" w:hint="eastAsia"/>
        </w:rPr>
        <w:t>污水罐区</w:t>
      </w:r>
      <w:r>
        <w:rPr>
          <w:rFonts w:hint="eastAsia"/>
        </w:rPr>
        <w:t>围堰建设完毕后，用清水进行试漏，在无渗漏的前提下方可投入使用。工程采取以上措施后，在一定程度上可以切断地下水的污染途径，措施有效可行。</w:t>
      </w:r>
    </w:p>
    <w:p w:rsidR="00BD5820" w:rsidRDefault="00F64314">
      <w:pPr>
        <w:pStyle w:val="affa"/>
        <w:ind w:firstLine="480"/>
      </w:pPr>
      <w:r>
        <w:rPr>
          <w:rFonts w:hint="eastAsia"/>
        </w:rPr>
        <w:t>（</w:t>
      </w:r>
      <w:r>
        <w:rPr>
          <w:rFonts w:hint="eastAsia"/>
        </w:rPr>
        <w:t>3</w:t>
      </w:r>
      <w:r>
        <w:rPr>
          <w:rFonts w:hint="eastAsia"/>
        </w:rPr>
        <w:t>）地下水环境管理与监测措施</w:t>
      </w:r>
    </w:p>
    <w:p w:rsidR="00BD5820" w:rsidRDefault="00F64314">
      <w:pPr>
        <w:pStyle w:val="affa"/>
        <w:ind w:firstLine="480"/>
      </w:pPr>
      <w:r>
        <w:rPr>
          <w:rFonts w:hint="eastAsia"/>
        </w:rPr>
        <w:t>1</w:t>
      </w:r>
      <w:r>
        <w:rPr>
          <w:rFonts w:hint="eastAsia"/>
        </w:rPr>
        <w:t>）地下水环境管理</w:t>
      </w:r>
    </w:p>
    <w:p w:rsidR="00BD5820" w:rsidRDefault="00F64314">
      <w:pPr>
        <w:pStyle w:val="affa"/>
        <w:ind w:firstLine="480"/>
      </w:pPr>
      <w:r>
        <w:rPr>
          <w:rFonts w:hint="eastAsia"/>
        </w:rPr>
        <w:t>①污水罐四周设置围堰，并进行防渗处理，避免泄漏物料进入环境。</w:t>
      </w:r>
    </w:p>
    <w:p w:rsidR="00BD5820" w:rsidRDefault="00F64314">
      <w:pPr>
        <w:pStyle w:val="affa"/>
        <w:ind w:firstLine="480"/>
      </w:pPr>
      <w:r>
        <w:rPr>
          <w:rFonts w:hint="eastAsia"/>
        </w:rPr>
        <w:t>②做好日常安全检查，定期检测罐体的完好情况，避免气田水泄漏导致环境风险事故。定期检查污水罐安全保护系统（如截断阀、安全阀等），使管道在超压时能够得到安全处理。</w:t>
      </w:r>
    </w:p>
    <w:p w:rsidR="00BD5820" w:rsidRDefault="00F64314">
      <w:pPr>
        <w:pStyle w:val="affa"/>
        <w:ind w:firstLine="480"/>
      </w:pPr>
      <w:r>
        <w:rPr>
          <w:rFonts w:hint="eastAsia"/>
        </w:rPr>
        <w:t>③站场内按要求储备灭火毯、干沙等消防用品，可用作泄漏时吸收之用。</w:t>
      </w:r>
    </w:p>
    <w:p w:rsidR="00BD5820" w:rsidRDefault="00F64314">
      <w:pPr>
        <w:pStyle w:val="affa"/>
        <w:ind w:firstLine="480"/>
      </w:pPr>
      <w:r>
        <w:rPr>
          <w:rFonts w:hint="eastAsia"/>
        </w:rPr>
        <w:lastRenderedPageBreak/>
        <w:t>④在发现污水管道泄漏时立即进行截断，减小对地下水和土壤环境影响。</w:t>
      </w:r>
    </w:p>
    <w:p w:rsidR="00BD5820" w:rsidRDefault="00F64314">
      <w:pPr>
        <w:pStyle w:val="affa"/>
        <w:ind w:firstLine="480"/>
      </w:pPr>
      <w:r>
        <w:rPr>
          <w:rFonts w:hint="eastAsia"/>
        </w:rPr>
        <w:t>2</w:t>
      </w:r>
      <w:r>
        <w:rPr>
          <w:rFonts w:hint="eastAsia"/>
        </w:rPr>
        <w:t>）地下水跟踪监测</w:t>
      </w:r>
    </w:p>
    <w:p w:rsidR="00BD5820" w:rsidRDefault="00F64314">
      <w:pPr>
        <w:pStyle w:val="affa"/>
        <w:ind w:firstLine="480"/>
      </w:pPr>
      <w:r>
        <w:rPr>
          <w:rFonts w:hint="eastAsia"/>
        </w:rPr>
        <w:t>为能及时了解、掌握区内地下水可能被污染的情况，建议对工程区定期进行地下水监测，以及时了解该区地下水状况，一旦发生污染，及时采取应急、补救措施，避免造成大范围的污染以至于达到无法补救的程度。</w:t>
      </w:r>
    </w:p>
    <w:p w:rsidR="00BD5820" w:rsidRDefault="00F64314">
      <w:pPr>
        <w:pStyle w:val="affa"/>
        <w:ind w:firstLine="480"/>
        <w:rPr>
          <w:rFonts w:ascii="宋体" w:cs="宋体"/>
        </w:rPr>
      </w:pPr>
      <w:r>
        <w:rPr>
          <w:rFonts w:ascii="宋体" w:cs="宋体" w:hint="eastAsia"/>
        </w:rPr>
        <w:t>按照《环境影响评价技术导则 地下水环境》（</w:t>
      </w:r>
      <w:r>
        <w:t>HJ 610-2016</w:t>
      </w:r>
      <w:r>
        <w:rPr>
          <w:rFonts w:ascii="宋体" w:cs="宋体" w:hint="eastAsia"/>
        </w:rPr>
        <w:t>）及《地下水环境监测技术规范》（</w:t>
      </w:r>
      <w:r>
        <w:t>HJ 164-20</w:t>
      </w:r>
      <w:r>
        <w:rPr>
          <w:rFonts w:hint="eastAsia"/>
        </w:rPr>
        <w:t>20</w:t>
      </w:r>
      <w:r>
        <w:rPr>
          <w:rFonts w:ascii="宋体" w:cs="宋体" w:hint="eastAsia"/>
        </w:rPr>
        <w:t>）的要求，本项目设置</w:t>
      </w:r>
      <w:r>
        <w:rPr>
          <w:rFonts w:hint="eastAsia"/>
        </w:rPr>
        <w:t>6</w:t>
      </w:r>
      <w:r>
        <w:rPr>
          <w:rFonts w:ascii="宋体" w:cs="宋体" w:hint="eastAsia"/>
        </w:rPr>
        <w:t>个地下水跟踪监测井，具体监测方案见下表。</w:t>
      </w:r>
    </w:p>
    <w:p w:rsidR="00BD5820" w:rsidRDefault="00F64314">
      <w:pPr>
        <w:pStyle w:val="10"/>
        <w:rPr>
          <w:rFonts w:ascii="宋体"/>
        </w:rPr>
      </w:pPr>
      <w:r>
        <w:rPr>
          <w:rFonts w:hint="eastAsia"/>
        </w:rPr>
        <w:t>表</w:t>
      </w:r>
      <w:r>
        <w:rPr>
          <w:rFonts w:cs="Times New Roman"/>
          <w:bCs/>
        </w:rPr>
        <w:t>6.2-</w:t>
      </w:r>
      <w:r>
        <w:rPr>
          <w:rFonts w:cs="Times New Roman" w:hint="eastAsia"/>
          <w:bCs/>
        </w:rPr>
        <w:t>6</w:t>
      </w:r>
      <w:r>
        <w:rPr>
          <w:rFonts w:cs="Times New Roman"/>
          <w:bCs/>
        </w:rPr>
        <w:t xml:space="preserve">  </w:t>
      </w:r>
      <w:r>
        <w:rPr>
          <w:rFonts w:hint="eastAsia"/>
        </w:rPr>
        <w:t>地下水跟踪监测计划</w:t>
      </w:r>
    </w:p>
    <w:tbl>
      <w:tblPr>
        <w:tblW w:w="8853" w:type="dxa"/>
        <w:jc w:val="center"/>
        <w:tblBorders>
          <w:top w:val="single" w:sz="12" w:space="0" w:color="000000"/>
          <w:bottom w:val="single" w:sz="12" w:space="0" w:color="000000"/>
          <w:insideH w:val="single" w:sz="4" w:space="0" w:color="000000"/>
          <w:insideV w:val="single" w:sz="4" w:space="0" w:color="000000"/>
        </w:tblBorders>
        <w:tblLook w:val="04A0"/>
      </w:tblPr>
      <w:tblGrid>
        <w:gridCol w:w="1134"/>
        <w:gridCol w:w="2826"/>
        <w:gridCol w:w="1134"/>
        <w:gridCol w:w="1417"/>
        <w:gridCol w:w="2342"/>
      </w:tblGrid>
      <w:tr w:rsidR="00BD5820">
        <w:trPr>
          <w:trHeight w:val="251"/>
          <w:jc w:val="center"/>
        </w:trPr>
        <w:tc>
          <w:tcPr>
            <w:tcW w:w="1134" w:type="dxa"/>
            <w:vAlign w:val="center"/>
          </w:tcPr>
          <w:p w:rsidR="00BD5820" w:rsidRDefault="00F64314">
            <w:pPr>
              <w:pStyle w:val="Default"/>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监测项目</w:t>
            </w:r>
          </w:p>
        </w:tc>
        <w:tc>
          <w:tcPr>
            <w:tcW w:w="2826" w:type="dxa"/>
            <w:vAlign w:val="center"/>
          </w:tcPr>
          <w:p w:rsidR="00BD5820" w:rsidRDefault="00F64314">
            <w:pPr>
              <w:pStyle w:val="Default"/>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监测点位</w:t>
            </w:r>
          </w:p>
        </w:tc>
        <w:tc>
          <w:tcPr>
            <w:tcW w:w="1134" w:type="dxa"/>
            <w:vAlign w:val="center"/>
          </w:tcPr>
          <w:p w:rsidR="00BD5820" w:rsidRDefault="00F64314">
            <w:pPr>
              <w:pStyle w:val="Default"/>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监测因子</w:t>
            </w:r>
          </w:p>
        </w:tc>
        <w:tc>
          <w:tcPr>
            <w:tcW w:w="1417" w:type="dxa"/>
            <w:vAlign w:val="center"/>
          </w:tcPr>
          <w:p w:rsidR="00BD5820" w:rsidRDefault="00F64314">
            <w:pPr>
              <w:pStyle w:val="Default"/>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监测频率</w:t>
            </w:r>
          </w:p>
        </w:tc>
        <w:tc>
          <w:tcPr>
            <w:tcW w:w="2342" w:type="dxa"/>
            <w:vAlign w:val="center"/>
          </w:tcPr>
          <w:p w:rsidR="00BD5820" w:rsidRDefault="00F64314">
            <w:pPr>
              <w:pStyle w:val="Default"/>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执行标准</w:t>
            </w:r>
          </w:p>
        </w:tc>
      </w:tr>
      <w:tr w:rsidR="00BD5820">
        <w:trPr>
          <w:trHeight w:val="251"/>
          <w:jc w:val="center"/>
        </w:trPr>
        <w:tc>
          <w:tcPr>
            <w:tcW w:w="1134" w:type="dxa"/>
            <w:vMerge w:val="restart"/>
            <w:vAlign w:val="center"/>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color w:val="auto"/>
                <w:sz w:val="21"/>
                <w:szCs w:val="21"/>
              </w:rPr>
              <w:t>地下水</w:t>
            </w:r>
          </w:p>
        </w:tc>
        <w:tc>
          <w:tcPr>
            <w:tcW w:w="2826" w:type="dxa"/>
            <w:vAlign w:val="center"/>
          </w:tcPr>
          <w:p w:rsidR="00BD5820" w:rsidRDefault="00F64314">
            <w:pPr>
              <w:pStyle w:val="Default"/>
              <w:jc w:val="center"/>
              <w:rPr>
                <w:rFonts w:ascii="Times New Roman" w:hAnsi="Times New Roman" w:cs="Times New Roman"/>
                <w:color w:val="auto"/>
                <w:sz w:val="21"/>
                <w:szCs w:val="21"/>
              </w:rPr>
            </w:pPr>
            <w:r>
              <w:rPr>
                <w:rFonts w:ascii="Times New Roman" w:cs="Times New Roman" w:hint="eastAsia"/>
                <w:color w:val="auto"/>
                <w:kern w:val="2"/>
                <w:sz w:val="21"/>
                <w:szCs w:val="21"/>
              </w:rPr>
              <w:t>普光气田</w:t>
            </w:r>
            <w:r>
              <w:rPr>
                <w:rFonts w:ascii="Times New Roman" w:cs="Times New Roman" w:hint="eastAsia"/>
                <w:color w:val="auto"/>
                <w:kern w:val="2"/>
                <w:sz w:val="21"/>
                <w:szCs w:val="21"/>
              </w:rPr>
              <w:t>1#</w:t>
            </w:r>
            <w:r>
              <w:rPr>
                <w:rFonts w:ascii="Times New Roman" w:cs="Times New Roman" w:hint="eastAsia"/>
                <w:color w:val="auto"/>
                <w:kern w:val="2"/>
                <w:sz w:val="21"/>
                <w:szCs w:val="21"/>
              </w:rPr>
              <w:t>增压站侧向</w:t>
            </w:r>
            <w:r>
              <w:rPr>
                <w:rFonts w:ascii="Times New Roman" w:cs="Times New Roman"/>
                <w:color w:val="auto"/>
                <w:kern w:val="2"/>
                <w:sz w:val="21"/>
                <w:szCs w:val="21"/>
              </w:rPr>
              <w:t>水井</w:t>
            </w:r>
            <w:r>
              <w:rPr>
                <w:rFonts w:ascii="Times New Roman" w:cs="Times New Roman" w:hint="eastAsia"/>
                <w:color w:val="auto"/>
                <w:kern w:val="2"/>
                <w:sz w:val="21"/>
                <w:szCs w:val="21"/>
              </w:rPr>
              <w:t>（</w:t>
            </w:r>
            <w:r>
              <w:rPr>
                <w:rFonts w:ascii="Times New Roman" w:cs="Times New Roman" w:hint="eastAsia"/>
                <w:color w:val="auto"/>
                <w:kern w:val="2"/>
                <w:sz w:val="21"/>
                <w:szCs w:val="21"/>
              </w:rPr>
              <w:t>E</w:t>
            </w:r>
            <w:r>
              <w:rPr>
                <w:rFonts w:ascii="Times New Roman" w:cs="Times New Roman" w:hint="eastAsia"/>
                <w:color w:val="auto"/>
                <w:kern w:val="2"/>
                <w:sz w:val="21"/>
                <w:szCs w:val="21"/>
              </w:rPr>
              <w:t>：</w:t>
            </w:r>
            <w:r>
              <w:rPr>
                <w:rFonts w:ascii="Times New Roman" w:cs="Times New Roman" w:hint="eastAsia"/>
                <w:color w:val="auto"/>
                <w:sz w:val="21"/>
                <w:szCs w:val="21"/>
              </w:rPr>
              <w:t>107.806821</w:t>
            </w:r>
            <w:r>
              <w:rPr>
                <w:rFonts w:ascii="Times New Roman" w:cs="Times New Roman" w:hint="eastAsia"/>
                <w:color w:val="auto"/>
                <w:kern w:val="2"/>
                <w:sz w:val="21"/>
                <w:szCs w:val="21"/>
              </w:rPr>
              <w:t>N</w:t>
            </w:r>
            <w:r>
              <w:rPr>
                <w:rFonts w:ascii="Times New Roman" w:cs="Times New Roman" w:hint="eastAsia"/>
                <w:color w:val="auto"/>
                <w:kern w:val="2"/>
                <w:sz w:val="21"/>
                <w:szCs w:val="21"/>
              </w:rPr>
              <w:t>：</w:t>
            </w:r>
            <w:r>
              <w:rPr>
                <w:rFonts w:ascii="Times New Roman" w:cs="Times New Roman" w:hint="eastAsia"/>
                <w:color w:val="auto"/>
                <w:sz w:val="21"/>
                <w:szCs w:val="21"/>
              </w:rPr>
              <w:t>31.536993</w:t>
            </w:r>
            <w:r>
              <w:rPr>
                <w:rFonts w:ascii="Times New Roman" w:cs="Times New Roman" w:hint="eastAsia"/>
                <w:color w:val="auto"/>
                <w:kern w:val="2"/>
                <w:sz w:val="21"/>
                <w:szCs w:val="21"/>
              </w:rPr>
              <w:t>）</w:t>
            </w:r>
            <w:r>
              <w:rPr>
                <w:rFonts w:ascii="Times New Roman" w:cs="Times New Roman"/>
                <w:color w:val="auto"/>
                <w:kern w:val="2"/>
                <w:sz w:val="21"/>
                <w:szCs w:val="21"/>
              </w:rPr>
              <w:t>、</w:t>
            </w:r>
            <w:r>
              <w:rPr>
                <w:rFonts w:ascii="Times New Roman" w:cs="Times New Roman" w:hint="eastAsia"/>
                <w:color w:val="auto"/>
                <w:kern w:val="2"/>
                <w:sz w:val="21"/>
                <w:szCs w:val="21"/>
              </w:rPr>
              <w:t>下游</w:t>
            </w:r>
            <w:r>
              <w:rPr>
                <w:rFonts w:ascii="Times New Roman" w:cs="Times New Roman"/>
                <w:color w:val="auto"/>
                <w:kern w:val="2"/>
                <w:sz w:val="21"/>
                <w:szCs w:val="21"/>
              </w:rPr>
              <w:t>水井</w:t>
            </w:r>
            <w:r>
              <w:rPr>
                <w:rFonts w:ascii="Times New Roman" w:cs="Times New Roman" w:hint="eastAsia"/>
                <w:color w:val="auto"/>
                <w:kern w:val="2"/>
                <w:sz w:val="21"/>
                <w:szCs w:val="21"/>
              </w:rPr>
              <w:t>（</w:t>
            </w:r>
            <w:r>
              <w:rPr>
                <w:rFonts w:ascii="Times New Roman" w:cs="Times New Roman" w:hint="eastAsia"/>
                <w:color w:val="auto"/>
                <w:kern w:val="2"/>
                <w:sz w:val="21"/>
                <w:szCs w:val="21"/>
              </w:rPr>
              <w:t>E</w:t>
            </w:r>
            <w:r>
              <w:rPr>
                <w:rFonts w:ascii="Times New Roman" w:cs="Times New Roman" w:hint="eastAsia"/>
                <w:color w:val="auto"/>
                <w:kern w:val="2"/>
                <w:sz w:val="21"/>
                <w:szCs w:val="21"/>
              </w:rPr>
              <w:t>：</w:t>
            </w:r>
            <w:r>
              <w:rPr>
                <w:rFonts w:ascii="Times New Roman" w:cs="Times New Roman" w:hint="eastAsia"/>
                <w:color w:val="auto"/>
                <w:sz w:val="21"/>
                <w:szCs w:val="21"/>
              </w:rPr>
              <w:t>107.789483</w:t>
            </w:r>
            <w:r>
              <w:rPr>
                <w:rFonts w:ascii="Times New Roman" w:cs="Times New Roman" w:hint="eastAsia"/>
                <w:color w:val="auto"/>
                <w:kern w:val="2"/>
                <w:sz w:val="21"/>
                <w:szCs w:val="21"/>
              </w:rPr>
              <w:t>N</w:t>
            </w:r>
            <w:r>
              <w:rPr>
                <w:rFonts w:ascii="Times New Roman" w:cs="Times New Roman" w:hint="eastAsia"/>
                <w:color w:val="auto"/>
                <w:kern w:val="2"/>
                <w:sz w:val="21"/>
                <w:szCs w:val="21"/>
              </w:rPr>
              <w:t>：</w:t>
            </w:r>
            <w:r>
              <w:rPr>
                <w:rFonts w:ascii="Times New Roman" w:cs="Times New Roman" w:hint="eastAsia"/>
                <w:color w:val="auto"/>
                <w:sz w:val="21"/>
                <w:szCs w:val="21"/>
              </w:rPr>
              <w:t>31.533335</w:t>
            </w:r>
            <w:r>
              <w:rPr>
                <w:rFonts w:ascii="Times New Roman" w:cs="Times New Roman" w:hint="eastAsia"/>
                <w:color w:val="auto"/>
                <w:kern w:val="2"/>
                <w:sz w:val="21"/>
                <w:szCs w:val="21"/>
              </w:rPr>
              <w:t>）</w:t>
            </w:r>
            <w:r>
              <w:rPr>
                <w:rFonts w:ascii="Times New Roman" w:cs="Times New Roman"/>
                <w:color w:val="auto"/>
                <w:kern w:val="2"/>
                <w:sz w:val="21"/>
                <w:szCs w:val="21"/>
              </w:rPr>
              <w:t>、下游水井</w:t>
            </w:r>
            <w:r>
              <w:rPr>
                <w:rFonts w:ascii="Times New Roman" w:cs="Times New Roman" w:hint="eastAsia"/>
                <w:color w:val="auto"/>
                <w:kern w:val="2"/>
                <w:sz w:val="21"/>
                <w:szCs w:val="21"/>
              </w:rPr>
              <w:t>（</w:t>
            </w:r>
            <w:r>
              <w:rPr>
                <w:rFonts w:ascii="Times New Roman" w:cs="Times New Roman" w:hint="eastAsia"/>
                <w:color w:val="auto"/>
                <w:kern w:val="2"/>
                <w:sz w:val="21"/>
                <w:szCs w:val="21"/>
              </w:rPr>
              <w:t>E</w:t>
            </w:r>
            <w:r>
              <w:rPr>
                <w:rFonts w:ascii="Times New Roman" w:cs="Times New Roman" w:hint="eastAsia"/>
                <w:color w:val="auto"/>
                <w:kern w:val="2"/>
                <w:sz w:val="21"/>
                <w:szCs w:val="21"/>
              </w:rPr>
              <w:t>：</w:t>
            </w:r>
            <w:r>
              <w:rPr>
                <w:rFonts w:ascii="Times New Roman" w:cs="Times New Roman" w:hint="eastAsia"/>
                <w:color w:val="auto"/>
                <w:sz w:val="21"/>
                <w:szCs w:val="21"/>
              </w:rPr>
              <w:t>107.777424</w:t>
            </w:r>
            <w:r>
              <w:rPr>
                <w:rFonts w:ascii="Times New Roman" w:cs="Times New Roman" w:hint="eastAsia"/>
                <w:color w:val="auto"/>
                <w:kern w:val="2"/>
                <w:sz w:val="21"/>
                <w:szCs w:val="21"/>
              </w:rPr>
              <w:t>N</w:t>
            </w:r>
            <w:r>
              <w:rPr>
                <w:rFonts w:ascii="Times New Roman" w:cs="Times New Roman" w:hint="eastAsia"/>
                <w:color w:val="auto"/>
                <w:kern w:val="2"/>
                <w:sz w:val="21"/>
                <w:szCs w:val="21"/>
              </w:rPr>
              <w:t>：</w:t>
            </w:r>
            <w:r>
              <w:rPr>
                <w:rFonts w:ascii="Times New Roman" w:cs="Times New Roman" w:hint="eastAsia"/>
                <w:color w:val="auto"/>
                <w:sz w:val="21"/>
                <w:szCs w:val="21"/>
              </w:rPr>
              <w:t>31.536902</w:t>
            </w:r>
            <w:r>
              <w:rPr>
                <w:rFonts w:ascii="Times New Roman" w:cs="Times New Roman" w:hint="eastAsia"/>
                <w:color w:val="auto"/>
                <w:kern w:val="2"/>
                <w:sz w:val="21"/>
                <w:szCs w:val="21"/>
              </w:rPr>
              <w:t>）</w:t>
            </w:r>
          </w:p>
        </w:tc>
        <w:tc>
          <w:tcPr>
            <w:tcW w:w="1134" w:type="dxa"/>
            <w:vAlign w:val="center"/>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color w:val="auto"/>
                <w:sz w:val="21"/>
                <w:szCs w:val="21"/>
              </w:rPr>
              <w:t>石油类</w:t>
            </w:r>
          </w:p>
        </w:tc>
        <w:tc>
          <w:tcPr>
            <w:tcW w:w="1417" w:type="dxa"/>
            <w:vAlign w:val="center"/>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color w:val="auto"/>
                <w:sz w:val="21"/>
                <w:szCs w:val="21"/>
              </w:rPr>
              <w:t>1</w:t>
            </w:r>
            <w:r>
              <w:rPr>
                <w:rFonts w:ascii="Times New Roman" w:hAnsi="Times New Roman" w:cs="Times New Roman"/>
                <w:color w:val="auto"/>
                <w:sz w:val="21"/>
                <w:szCs w:val="21"/>
              </w:rPr>
              <w:t>次</w:t>
            </w:r>
            <w:r>
              <w:rPr>
                <w:rFonts w:ascii="Times New Roman" w:hAnsi="Times New Roman" w:cs="Times New Roman"/>
                <w:color w:val="auto"/>
                <w:sz w:val="21"/>
                <w:szCs w:val="21"/>
              </w:rPr>
              <w:t>/</w:t>
            </w:r>
            <w:r>
              <w:rPr>
                <w:rFonts w:ascii="Times New Roman" w:hAnsi="Times New Roman" w:cs="Times New Roman"/>
                <w:color w:val="auto"/>
                <w:sz w:val="21"/>
                <w:szCs w:val="21"/>
              </w:rPr>
              <w:t>年</w:t>
            </w:r>
          </w:p>
        </w:tc>
        <w:tc>
          <w:tcPr>
            <w:tcW w:w="2342" w:type="dxa"/>
            <w:vAlign w:val="center"/>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color w:val="auto"/>
                <w:sz w:val="21"/>
                <w:szCs w:val="21"/>
              </w:rPr>
              <w:t>《地下水质量标准》（</w:t>
            </w:r>
            <w:r>
              <w:rPr>
                <w:rFonts w:ascii="Times New Roman" w:hAnsi="Times New Roman" w:cs="Times New Roman"/>
                <w:color w:val="auto"/>
                <w:sz w:val="21"/>
                <w:szCs w:val="21"/>
              </w:rPr>
              <w:t>GB/T14848-2017</w:t>
            </w:r>
            <w:r>
              <w:rPr>
                <w:rFonts w:ascii="Times New Roman" w:hAnsi="Times New Roman" w:cs="Times New Roman"/>
                <w:color w:val="auto"/>
                <w:sz w:val="21"/>
                <w:szCs w:val="21"/>
              </w:rPr>
              <w:t>）中的</w:t>
            </w:r>
            <w:r>
              <w:rPr>
                <w:rFonts w:ascii="Times New Roman" w:hAnsi="Times New Roman" w:cs="Times New Roman"/>
                <w:color w:val="auto"/>
                <w:sz w:val="21"/>
                <w:szCs w:val="21"/>
              </w:rPr>
              <w:t>Ⅲ</w:t>
            </w:r>
            <w:r>
              <w:rPr>
                <w:rFonts w:ascii="Times New Roman" w:hAnsi="Times New Roman" w:cs="Times New Roman"/>
                <w:color w:val="auto"/>
                <w:sz w:val="21"/>
                <w:szCs w:val="21"/>
              </w:rPr>
              <w:t>类质量标准</w:t>
            </w:r>
          </w:p>
        </w:tc>
      </w:tr>
      <w:tr w:rsidR="00BD5820">
        <w:trPr>
          <w:trHeight w:val="251"/>
          <w:jc w:val="center"/>
        </w:trPr>
        <w:tc>
          <w:tcPr>
            <w:tcW w:w="1134" w:type="dxa"/>
            <w:vMerge/>
            <w:vAlign w:val="center"/>
          </w:tcPr>
          <w:p w:rsidR="00BD5820" w:rsidRDefault="00BD5820">
            <w:pPr>
              <w:pStyle w:val="Default"/>
              <w:jc w:val="center"/>
              <w:rPr>
                <w:rFonts w:ascii="Times New Roman" w:hAnsi="Times New Roman" w:cs="Times New Roman"/>
                <w:color w:val="auto"/>
                <w:sz w:val="21"/>
                <w:szCs w:val="21"/>
              </w:rPr>
            </w:pPr>
          </w:p>
        </w:tc>
        <w:tc>
          <w:tcPr>
            <w:tcW w:w="2826" w:type="dxa"/>
            <w:vAlign w:val="center"/>
          </w:tcPr>
          <w:p w:rsidR="00BD5820" w:rsidRDefault="00F64314">
            <w:pPr>
              <w:pStyle w:val="Default"/>
              <w:jc w:val="center"/>
              <w:rPr>
                <w:rFonts w:ascii="Times New Roman" w:hAnsi="Times New Roman" w:cs="Times New Roman"/>
                <w:color w:val="auto"/>
                <w:sz w:val="21"/>
                <w:szCs w:val="21"/>
              </w:rPr>
            </w:pPr>
            <w:r>
              <w:rPr>
                <w:rFonts w:ascii="Times New Roman" w:cs="Times New Roman" w:hint="eastAsia"/>
                <w:color w:val="auto"/>
                <w:kern w:val="2"/>
                <w:sz w:val="21"/>
                <w:szCs w:val="21"/>
              </w:rPr>
              <w:t>普光气田</w:t>
            </w:r>
            <w:r>
              <w:rPr>
                <w:rFonts w:ascii="Times New Roman" w:cs="Times New Roman" w:hint="eastAsia"/>
                <w:color w:val="auto"/>
                <w:kern w:val="2"/>
                <w:sz w:val="21"/>
                <w:szCs w:val="21"/>
              </w:rPr>
              <w:t>2#</w:t>
            </w:r>
            <w:r>
              <w:rPr>
                <w:rFonts w:ascii="Times New Roman" w:cs="Times New Roman" w:hint="eastAsia"/>
                <w:color w:val="auto"/>
                <w:kern w:val="2"/>
                <w:sz w:val="21"/>
                <w:szCs w:val="21"/>
              </w:rPr>
              <w:t>增压站侧向</w:t>
            </w:r>
            <w:r>
              <w:rPr>
                <w:rFonts w:ascii="Times New Roman" w:cs="Times New Roman"/>
                <w:color w:val="auto"/>
                <w:kern w:val="2"/>
                <w:sz w:val="21"/>
                <w:szCs w:val="21"/>
              </w:rPr>
              <w:t>水井</w:t>
            </w:r>
            <w:r>
              <w:rPr>
                <w:rFonts w:ascii="Times New Roman" w:cs="Times New Roman" w:hint="eastAsia"/>
                <w:color w:val="auto"/>
                <w:kern w:val="2"/>
                <w:sz w:val="21"/>
                <w:szCs w:val="21"/>
              </w:rPr>
              <w:t>（</w:t>
            </w:r>
            <w:r>
              <w:rPr>
                <w:rFonts w:ascii="Times New Roman" w:cs="Times New Roman" w:hint="eastAsia"/>
                <w:color w:val="auto"/>
                <w:kern w:val="2"/>
                <w:sz w:val="21"/>
                <w:szCs w:val="21"/>
              </w:rPr>
              <w:t>E</w:t>
            </w:r>
            <w:r>
              <w:rPr>
                <w:rFonts w:ascii="Times New Roman" w:cs="Times New Roman" w:hint="eastAsia"/>
                <w:color w:val="auto"/>
                <w:kern w:val="2"/>
                <w:sz w:val="21"/>
                <w:szCs w:val="21"/>
              </w:rPr>
              <w:t>：</w:t>
            </w:r>
            <w:r>
              <w:rPr>
                <w:rFonts w:ascii="Times New Roman" w:cs="Times New Roman" w:hint="eastAsia"/>
                <w:color w:val="auto"/>
                <w:sz w:val="21"/>
                <w:szCs w:val="21"/>
              </w:rPr>
              <w:t>107.718887</w:t>
            </w:r>
            <w:r>
              <w:rPr>
                <w:rFonts w:ascii="Times New Roman" w:cs="Times New Roman" w:hint="eastAsia"/>
                <w:color w:val="auto"/>
                <w:kern w:val="2"/>
                <w:sz w:val="21"/>
                <w:szCs w:val="21"/>
              </w:rPr>
              <w:t>N</w:t>
            </w:r>
            <w:r>
              <w:rPr>
                <w:rFonts w:ascii="Times New Roman" w:cs="Times New Roman" w:hint="eastAsia"/>
                <w:color w:val="auto"/>
                <w:kern w:val="2"/>
                <w:sz w:val="21"/>
                <w:szCs w:val="21"/>
              </w:rPr>
              <w:t>：</w:t>
            </w:r>
            <w:r>
              <w:rPr>
                <w:rFonts w:ascii="Times New Roman" w:cs="Times New Roman" w:hint="eastAsia"/>
                <w:color w:val="auto"/>
                <w:sz w:val="21"/>
                <w:szCs w:val="21"/>
              </w:rPr>
              <w:t>31.546539</w:t>
            </w:r>
            <w:r>
              <w:rPr>
                <w:rFonts w:ascii="Times New Roman" w:cs="Times New Roman" w:hint="eastAsia"/>
                <w:color w:val="auto"/>
                <w:kern w:val="2"/>
                <w:sz w:val="21"/>
                <w:szCs w:val="21"/>
              </w:rPr>
              <w:t>）</w:t>
            </w:r>
            <w:r>
              <w:rPr>
                <w:rFonts w:ascii="Times New Roman" w:cs="Times New Roman"/>
                <w:color w:val="auto"/>
                <w:kern w:val="2"/>
                <w:sz w:val="21"/>
                <w:szCs w:val="21"/>
              </w:rPr>
              <w:t>、</w:t>
            </w:r>
            <w:r>
              <w:rPr>
                <w:rFonts w:ascii="Times New Roman" w:cs="Times New Roman" w:hint="eastAsia"/>
                <w:color w:val="auto"/>
                <w:kern w:val="2"/>
                <w:sz w:val="21"/>
                <w:szCs w:val="21"/>
              </w:rPr>
              <w:t>下游</w:t>
            </w:r>
            <w:r>
              <w:rPr>
                <w:rFonts w:ascii="Times New Roman" w:cs="Times New Roman"/>
                <w:color w:val="auto"/>
                <w:kern w:val="2"/>
                <w:sz w:val="21"/>
                <w:szCs w:val="21"/>
              </w:rPr>
              <w:t>水井</w:t>
            </w:r>
            <w:r>
              <w:rPr>
                <w:rFonts w:ascii="Times New Roman" w:cs="Times New Roman" w:hint="eastAsia"/>
                <w:color w:val="auto"/>
                <w:kern w:val="2"/>
                <w:sz w:val="21"/>
                <w:szCs w:val="21"/>
              </w:rPr>
              <w:t>（</w:t>
            </w:r>
            <w:r>
              <w:rPr>
                <w:rFonts w:ascii="Times New Roman" w:cs="Times New Roman" w:hint="eastAsia"/>
                <w:color w:val="auto"/>
                <w:kern w:val="2"/>
                <w:sz w:val="21"/>
                <w:szCs w:val="21"/>
              </w:rPr>
              <w:t>E</w:t>
            </w:r>
            <w:r>
              <w:rPr>
                <w:rFonts w:ascii="Times New Roman" w:cs="Times New Roman" w:hint="eastAsia"/>
                <w:color w:val="auto"/>
                <w:kern w:val="2"/>
                <w:sz w:val="21"/>
                <w:szCs w:val="21"/>
              </w:rPr>
              <w:t>：</w:t>
            </w:r>
            <w:r>
              <w:rPr>
                <w:rFonts w:ascii="Times New Roman" w:cs="Times New Roman" w:hint="eastAsia"/>
                <w:color w:val="auto"/>
                <w:sz w:val="21"/>
                <w:szCs w:val="21"/>
              </w:rPr>
              <w:t>107.728372</w:t>
            </w:r>
            <w:r>
              <w:rPr>
                <w:rFonts w:ascii="Times New Roman" w:cs="Times New Roman" w:hint="eastAsia"/>
                <w:color w:val="auto"/>
                <w:kern w:val="2"/>
                <w:sz w:val="21"/>
                <w:szCs w:val="21"/>
              </w:rPr>
              <w:t>N</w:t>
            </w:r>
            <w:r>
              <w:rPr>
                <w:rFonts w:ascii="Times New Roman" w:cs="Times New Roman" w:hint="eastAsia"/>
                <w:color w:val="auto"/>
                <w:kern w:val="2"/>
                <w:sz w:val="21"/>
                <w:szCs w:val="21"/>
              </w:rPr>
              <w:t>：</w:t>
            </w:r>
            <w:r>
              <w:rPr>
                <w:rFonts w:ascii="Times New Roman" w:cs="Times New Roman" w:hint="eastAsia"/>
                <w:color w:val="auto"/>
                <w:sz w:val="21"/>
                <w:szCs w:val="21"/>
              </w:rPr>
              <w:t>31.549346</w:t>
            </w:r>
            <w:r>
              <w:rPr>
                <w:rFonts w:ascii="Times New Roman" w:cs="Times New Roman" w:hint="eastAsia"/>
                <w:color w:val="auto"/>
                <w:kern w:val="2"/>
                <w:sz w:val="21"/>
                <w:szCs w:val="21"/>
              </w:rPr>
              <w:t>）</w:t>
            </w:r>
            <w:r>
              <w:rPr>
                <w:rFonts w:ascii="Times New Roman" w:cs="Times New Roman"/>
                <w:color w:val="auto"/>
                <w:kern w:val="2"/>
                <w:sz w:val="21"/>
                <w:szCs w:val="21"/>
              </w:rPr>
              <w:t>、下游水井</w:t>
            </w:r>
            <w:r>
              <w:rPr>
                <w:rFonts w:ascii="Times New Roman" w:cs="Times New Roman" w:hint="eastAsia"/>
                <w:color w:val="auto"/>
                <w:kern w:val="2"/>
                <w:sz w:val="21"/>
                <w:szCs w:val="21"/>
              </w:rPr>
              <w:t>（</w:t>
            </w:r>
            <w:r>
              <w:rPr>
                <w:rFonts w:ascii="Times New Roman" w:cs="Times New Roman" w:hint="eastAsia"/>
                <w:color w:val="auto"/>
                <w:kern w:val="2"/>
                <w:sz w:val="21"/>
                <w:szCs w:val="21"/>
              </w:rPr>
              <w:t>E</w:t>
            </w:r>
            <w:r>
              <w:rPr>
                <w:rFonts w:ascii="Times New Roman" w:cs="Times New Roman" w:hint="eastAsia"/>
                <w:color w:val="auto"/>
                <w:kern w:val="2"/>
                <w:sz w:val="21"/>
                <w:szCs w:val="21"/>
              </w:rPr>
              <w:t>：</w:t>
            </w:r>
            <w:r>
              <w:rPr>
                <w:rFonts w:ascii="Times New Roman" w:cs="Times New Roman" w:hint="eastAsia"/>
                <w:color w:val="auto"/>
                <w:sz w:val="21"/>
                <w:szCs w:val="21"/>
              </w:rPr>
              <w:t>107.746224</w:t>
            </w:r>
            <w:r>
              <w:rPr>
                <w:rFonts w:ascii="Times New Roman" w:cs="Times New Roman" w:hint="eastAsia"/>
                <w:color w:val="auto"/>
                <w:kern w:val="2"/>
                <w:sz w:val="21"/>
                <w:szCs w:val="21"/>
              </w:rPr>
              <w:t>N</w:t>
            </w:r>
            <w:r>
              <w:rPr>
                <w:rFonts w:ascii="Times New Roman" w:cs="Times New Roman" w:hint="eastAsia"/>
                <w:color w:val="auto"/>
                <w:kern w:val="2"/>
                <w:sz w:val="21"/>
                <w:szCs w:val="21"/>
              </w:rPr>
              <w:t>：</w:t>
            </w:r>
            <w:r>
              <w:rPr>
                <w:rFonts w:ascii="Times New Roman" w:cs="Times New Roman" w:hint="eastAsia"/>
                <w:color w:val="auto"/>
                <w:sz w:val="21"/>
                <w:szCs w:val="21"/>
              </w:rPr>
              <w:t>31.530665</w:t>
            </w:r>
            <w:r>
              <w:rPr>
                <w:rFonts w:ascii="Times New Roman" w:cs="Times New Roman" w:hint="eastAsia"/>
                <w:color w:val="auto"/>
                <w:kern w:val="2"/>
                <w:sz w:val="21"/>
                <w:szCs w:val="21"/>
              </w:rPr>
              <w:t>）</w:t>
            </w:r>
          </w:p>
        </w:tc>
        <w:tc>
          <w:tcPr>
            <w:tcW w:w="1134" w:type="dxa"/>
            <w:vAlign w:val="center"/>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color w:val="auto"/>
                <w:sz w:val="21"/>
                <w:szCs w:val="21"/>
              </w:rPr>
              <w:t>石油类</w:t>
            </w:r>
          </w:p>
        </w:tc>
        <w:tc>
          <w:tcPr>
            <w:tcW w:w="1417" w:type="dxa"/>
            <w:vAlign w:val="center"/>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color w:val="auto"/>
                <w:sz w:val="21"/>
                <w:szCs w:val="21"/>
              </w:rPr>
              <w:t>1</w:t>
            </w:r>
            <w:r>
              <w:rPr>
                <w:rFonts w:ascii="Times New Roman" w:hAnsi="Times New Roman" w:cs="Times New Roman"/>
                <w:color w:val="auto"/>
                <w:sz w:val="21"/>
                <w:szCs w:val="21"/>
              </w:rPr>
              <w:t>次</w:t>
            </w:r>
            <w:r>
              <w:rPr>
                <w:rFonts w:ascii="Times New Roman" w:hAnsi="Times New Roman" w:cs="Times New Roman"/>
                <w:color w:val="auto"/>
                <w:sz w:val="21"/>
                <w:szCs w:val="21"/>
              </w:rPr>
              <w:t>/</w:t>
            </w:r>
            <w:r>
              <w:rPr>
                <w:rFonts w:ascii="Times New Roman" w:hAnsi="Times New Roman" w:cs="Times New Roman"/>
                <w:color w:val="auto"/>
                <w:sz w:val="21"/>
                <w:szCs w:val="21"/>
              </w:rPr>
              <w:t>年</w:t>
            </w:r>
          </w:p>
        </w:tc>
        <w:tc>
          <w:tcPr>
            <w:tcW w:w="2342" w:type="dxa"/>
            <w:vAlign w:val="center"/>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color w:val="auto"/>
                <w:sz w:val="21"/>
                <w:szCs w:val="21"/>
              </w:rPr>
              <w:t>《地下水质量标准》（</w:t>
            </w:r>
            <w:r>
              <w:rPr>
                <w:rFonts w:ascii="Times New Roman" w:hAnsi="Times New Roman" w:cs="Times New Roman"/>
                <w:color w:val="auto"/>
                <w:sz w:val="21"/>
                <w:szCs w:val="21"/>
              </w:rPr>
              <w:t>GB/T14848-2017</w:t>
            </w:r>
            <w:r>
              <w:rPr>
                <w:rFonts w:ascii="Times New Roman" w:hAnsi="Times New Roman" w:cs="Times New Roman"/>
                <w:color w:val="auto"/>
                <w:sz w:val="21"/>
                <w:szCs w:val="21"/>
              </w:rPr>
              <w:t>）中的</w:t>
            </w:r>
            <w:r>
              <w:rPr>
                <w:rFonts w:ascii="Times New Roman" w:hAnsi="Times New Roman" w:cs="Times New Roman"/>
                <w:color w:val="auto"/>
                <w:sz w:val="21"/>
                <w:szCs w:val="21"/>
              </w:rPr>
              <w:t>Ⅲ</w:t>
            </w:r>
            <w:r>
              <w:rPr>
                <w:rFonts w:ascii="Times New Roman" w:hAnsi="Times New Roman" w:cs="Times New Roman"/>
                <w:color w:val="auto"/>
                <w:sz w:val="21"/>
                <w:szCs w:val="21"/>
              </w:rPr>
              <w:t>类质量标准</w:t>
            </w:r>
          </w:p>
        </w:tc>
      </w:tr>
    </w:tbl>
    <w:p w:rsidR="00BD5820" w:rsidRDefault="00F64314">
      <w:pPr>
        <w:pStyle w:val="affa"/>
        <w:ind w:firstLine="482"/>
        <w:rPr>
          <w:b/>
          <w:bCs/>
        </w:rPr>
      </w:pPr>
      <w:r>
        <w:rPr>
          <w:b/>
          <w:bCs/>
        </w:rPr>
        <w:t>6</w:t>
      </w:r>
      <w:r>
        <w:rPr>
          <w:b/>
          <w:bCs/>
        </w:rPr>
        <w:t>、</w:t>
      </w:r>
      <w:r>
        <w:rPr>
          <w:rFonts w:hint="eastAsia"/>
          <w:b/>
          <w:bCs/>
        </w:rPr>
        <w:t>小结</w:t>
      </w:r>
    </w:p>
    <w:p w:rsidR="00BD5820" w:rsidRDefault="00F64314">
      <w:pPr>
        <w:pStyle w:val="affa"/>
        <w:ind w:firstLine="480"/>
        <w:rPr>
          <w:highlight w:val="yellow"/>
        </w:rPr>
      </w:pPr>
      <w:r>
        <w:rPr>
          <w:rFonts w:hint="eastAsia"/>
        </w:rPr>
        <w:t>污水罐四周设防渗围堰，并采取防渗措施，一旦储罐发生破损泄漏，可将废水收集在围堰内，再统一清理，不会对地下水造成影响。井站在采取相应防渗措施后，确保不对周边地下水造成污染。加强各项措施落实情况的监督和管理，防止造成地下水水质污染。项目运营期间不会对区域地下水环境造成影响。</w:t>
      </w:r>
    </w:p>
    <w:p w:rsidR="00BD5820" w:rsidRDefault="00F64314">
      <w:pPr>
        <w:pStyle w:val="3"/>
        <w:rPr>
          <w:rFonts w:eastAsia="宋体"/>
        </w:rPr>
      </w:pPr>
      <w:r>
        <w:rPr>
          <w:rFonts w:eastAsia="宋体"/>
        </w:rPr>
        <w:t xml:space="preserve">6.2.5 </w:t>
      </w:r>
      <w:r>
        <w:rPr>
          <w:rFonts w:eastAsia="宋体" w:hint="eastAsia"/>
        </w:rPr>
        <w:t>声环境影响分析</w:t>
      </w:r>
    </w:p>
    <w:p w:rsidR="00BD5820" w:rsidRDefault="00F64314">
      <w:pPr>
        <w:pStyle w:val="affa"/>
        <w:ind w:firstLine="482"/>
        <w:rPr>
          <w:b/>
          <w:bCs/>
        </w:rPr>
      </w:pPr>
      <w:r>
        <w:rPr>
          <w:rFonts w:hint="eastAsia"/>
          <w:b/>
          <w:bCs/>
        </w:rPr>
        <w:t>1</w:t>
      </w:r>
      <w:r>
        <w:rPr>
          <w:rFonts w:hint="eastAsia"/>
          <w:b/>
          <w:bCs/>
        </w:rPr>
        <w:t>、站场正常生产噪声</w:t>
      </w:r>
    </w:p>
    <w:p w:rsidR="00874F25" w:rsidRDefault="00F64314">
      <w:pPr>
        <w:pStyle w:val="affa"/>
        <w:ind w:firstLine="480"/>
      </w:pPr>
      <w:r>
        <w:rPr>
          <w:rFonts w:hint="eastAsia"/>
        </w:rPr>
        <w:t>本项目正常生产时站场内设备（分离器、增压机、空压机等）运行产生连续噪声，设备主要置于站场工艺装置区内，其噪声值约</w:t>
      </w:r>
      <w:r>
        <w:t>6</w:t>
      </w:r>
      <w:r>
        <w:rPr>
          <w:rFonts w:hint="eastAsia"/>
        </w:rPr>
        <w:t>2~85</w:t>
      </w:r>
      <w:r>
        <w:t>dB</w:t>
      </w:r>
      <w:r>
        <w:rPr>
          <w:rFonts w:hint="eastAsia"/>
        </w:rPr>
        <w:t>（</w:t>
      </w:r>
      <w:r>
        <w:t>A</w:t>
      </w:r>
      <w:r>
        <w:rPr>
          <w:rFonts w:hint="eastAsia"/>
        </w:rPr>
        <w:t>）</w:t>
      </w:r>
      <w:r w:rsidR="00874F25">
        <w:rPr>
          <w:rFonts w:hint="eastAsia"/>
        </w:rPr>
        <w:t>。</w:t>
      </w:r>
    </w:p>
    <w:p w:rsidR="00874F25" w:rsidRPr="002C0EDB" w:rsidRDefault="00874F25">
      <w:pPr>
        <w:pStyle w:val="affa"/>
        <w:ind w:firstLine="480"/>
        <w:rPr>
          <w:color w:val="FF0000"/>
        </w:rPr>
      </w:pPr>
      <w:r w:rsidRPr="002C0EDB">
        <w:rPr>
          <w:rFonts w:hint="eastAsia"/>
          <w:color w:val="FF0000"/>
        </w:rPr>
        <w:t>降噪措施：</w:t>
      </w:r>
    </w:p>
    <w:p w:rsidR="00874F25" w:rsidRPr="002C0EDB" w:rsidRDefault="00874F25" w:rsidP="00874F25">
      <w:pPr>
        <w:pStyle w:val="affa"/>
        <w:ind w:firstLine="480"/>
        <w:rPr>
          <w:color w:val="FF0000"/>
        </w:rPr>
      </w:pPr>
      <w:r w:rsidRPr="002C0EDB">
        <w:rPr>
          <w:rFonts w:hint="eastAsia"/>
          <w:color w:val="FF0000"/>
        </w:rPr>
        <w:t>①启动装置</w:t>
      </w:r>
    </w:p>
    <w:p w:rsidR="00874F25" w:rsidRPr="002C0EDB" w:rsidRDefault="00874F25" w:rsidP="00874F25">
      <w:pPr>
        <w:pStyle w:val="affa"/>
        <w:ind w:firstLine="480"/>
        <w:rPr>
          <w:color w:val="FF0000"/>
        </w:rPr>
      </w:pPr>
      <w:r w:rsidRPr="002C0EDB">
        <w:rPr>
          <w:rFonts w:hint="eastAsia"/>
          <w:color w:val="FF0000"/>
        </w:rPr>
        <w:t>在压缩机进气和排气口安装消声器，减少压缩机的进气、排气噪声；</w:t>
      </w:r>
    </w:p>
    <w:p w:rsidR="00874F25" w:rsidRPr="002C0EDB" w:rsidRDefault="00874F25" w:rsidP="00874F25">
      <w:pPr>
        <w:pStyle w:val="affa"/>
        <w:ind w:firstLine="480"/>
        <w:rPr>
          <w:color w:val="FF0000"/>
        </w:rPr>
      </w:pPr>
      <w:r w:rsidRPr="002C0EDB">
        <w:rPr>
          <w:rFonts w:hint="eastAsia"/>
          <w:color w:val="FF0000"/>
        </w:rPr>
        <w:lastRenderedPageBreak/>
        <w:t>项目修建单独的压缩机房，将压缩机组全部放置在压缩机房内，并对机房采取隔声和吸声综合治理，机房的门窗使用隔声门窗；将管道等固定，减少震动噪声；在压缩机机器底座下设置减振器或设计制作隔振基础，控制压缩机机体的振动。</w:t>
      </w:r>
    </w:p>
    <w:p w:rsidR="002C0EDB" w:rsidRPr="002C0EDB" w:rsidRDefault="002C0EDB" w:rsidP="002C0EDB">
      <w:pPr>
        <w:pStyle w:val="affa"/>
        <w:ind w:firstLine="480"/>
        <w:rPr>
          <w:color w:val="FF0000"/>
        </w:rPr>
      </w:pPr>
      <w:r w:rsidRPr="002C0EDB">
        <w:rPr>
          <w:rFonts w:hint="eastAsia"/>
          <w:color w:val="FF0000"/>
        </w:rPr>
        <w:t>本次经采取上述消声、隔声、吸声和减震等噪声治理措施后，单台压缩机噪声源声级值约</w:t>
      </w:r>
      <w:r w:rsidRPr="002C0EDB">
        <w:rPr>
          <w:rFonts w:hint="eastAsia"/>
          <w:color w:val="FF0000"/>
        </w:rPr>
        <w:t>60dB</w:t>
      </w:r>
      <w:r w:rsidRPr="002C0EDB">
        <w:rPr>
          <w:rFonts w:hint="eastAsia"/>
          <w:color w:val="FF0000"/>
        </w:rPr>
        <w:t>（</w:t>
      </w:r>
      <w:r w:rsidRPr="002C0EDB">
        <w:rPr>
          <w:rFonts w:hint="eastAsia"/>
          <w:color w:val="FF0000"/>
        </w:rPr>
        <w:t>A</w:t>
      </w:r>
      <w:r w:rsidRPr="002C0EDB">
        <w:rPr>
          <w:rFonts w:hint="eastAsia"/>
          <w:color w:val="FF0000"/>
        </w:rPr>
        <w:t>）。</w:t>
      </w:r>
    </w:p>
    <w:p w:rsidR="00874F25" w:rsidRPr="002C0EDB" w:rsidRDefault="00874F25" w:rsidP="00874F25">
      <w:pPr>
        <w:pStyle w:val="affa"/>
        <w:ind w:firstLine="480"/>
        <w:rPr>
          <w:color w:val="FF0000"/>
        </w:rPr>
      </w:pPr>
      <w:r w:rsidRPr="002C0EDB">
        <w:rPr>
          <w:rFonts w:hint="eastAsia"/>
          <w:color w:val="FF0000"/>
        </w:rPr>
        <w:t>②增压机组噪声防治措施</w:t>
      </w:r>
    </w:p>
    <w:p w:rsidR="00874F25" w:rsidRPr="002C0EDB" w:rsidRDefault="00874F25" w:rsidP="00874F25">
      <w:pPr>
        <w:pStyle w:val="affa"/>
        <w:ind w:firstLine="480"/>
        <w:rPr>
          <w:color w:val="FF0000"/>
        </w:rPr>
      </w:pPr>
      <w:r w:rsidRPr="002C0EDB">
        <w:rPr>
          <w:rFonts w:hint="eastAsia"/>
          <w:color w:val="FF0000"/>
        </w:rPr>
        <w:t>根据分析，增压机组噪声为宽频，基本集中在</w:t>
      </w:r>
      <w:r w:rsidRPr="002C0EDB">
        <w:rPr>
          <w:rFonts w:hint="eastAsia"/>
          <w:color w:val="FF0000"/>
        </w:rPr>
        <w:t>125~2k</w:t>
      </w:r>
      <w:r w:rsidRPr="002C0EDB">
        <w:rPr>
          <w:rFonts w:hint="eastAsia"/>
          <w:color w:val="FF0000"/>
        </w:rPr>
        <w:t>的中低频范围，而低频噪声治理相对难度较大，要有效控制噪声，必须根据噪声特性，利用隔声、吸声、减振等声学原理，采用外隔、内吸以及消声、减振等方法进行综合治理，才能确保项目噪声对声学环境不造成影响。根据项目设计资料本项目拟采取修建增压厂房对噪声进行降噪处理。评价根据设计资料相关内容以及类比相同增压设备降噪措施建议建设单位采取的降噪措施具体如下：</w:t>
      </w:r>
    </w:p>
    <w:p w:rsidR="00874F25" w:rsidRPr="002C0EDB" w:rsidRDefault="00874F25" w:rsidP="00874F25">
      <w:pPr>
        <w:pStyle w:val="affa"/>
        <w:ind w:firstLine="480"/>
        <w:rPr>
          <w:color w:val="FF0000"/>
        </w:rPr>
      </w:pPr>
      <w:r w:rsidRPr="002C0EDB">
        <w:rPr>
          <w:rFonts w:hint="eastAsia"/>
          <w:color w:val="FF0000"/>
        </w:rPr>
        <w:t>a</w:t>
      </w:r>
      <w:r w:rsidRPr="002C0EDB">
        <w:rPr>
          <w:rFonts w:hint="eastAsia"/>
          <w:color w:val="FF0000"/>
        </w:rPr>
        <w:t>、噪声源头治理</w:t>
      </w:r>
    </w:p>
    <w:p w:rsidR="00874F25" w:rsidRPr="002C0EDB" w:rsidRDefault="00874F25" w:rsidP="00874F25">
      <w:pPr>
        <w:pStyle w:val="affa"/>
        <w:ind w:firstLine="480"/>
        <w:rPr>
          <w:color w:val="FF0000"/>
        </w:rPr>
      </w:pPr>
      <w:r w:rsidRPr="002C0EDB">
        <w:rPr>
          <w:rFonts w:hint="eastAsia"/>
          <w:color w:val="FF0000"/>
        </w:rPr>
        <w:t>具体主要措施包括</w:t>
      </w:r>
      <w:r w:rsidRPr="002C0EDB">
        <w:rPr>
          <w:rFonts w:hint="eastAsia"/>
          <w:color w:val="FF0000"/>
        </w:rPr>
        <w:t>:</w:t>
      </w:r>
      <w:r w:rsidRPr="002C0EDB">
        <w:rPr>
          <w:rFonts w:hint="eastAsia"/>
          <w:color w:val="FF0000"/>
        </w:rPr>
        <w:t>发动机消声器隔声墙、发动机排气水平管隔声隔热罩体、空冷器导风消声弯头、空冷器导风消声叶片、屋面防爆轴流风机安装消声弯头。</w:t>
      </w:r>
    </w:p>
    <w:p w:rsidR="00874F25" w:rsidRPr="002C0EDB" w:rsidRDefault="00874F25" w:rsidP="00874F25">
      <w:pPr>
        <w:pStyle w:val="affa"/>
        <w:ind w:firstLine="480"/>
        <w:rPr>
          <w:color w:val="FF0000"/>
        </w:rPr>
      </w:pPr>
      <w:r w:rsidRPr="002C0EDB">
        <w:rPr>
          <w:rFonts w:hint="eastAsia"/>
          <w:color w:val="FF0000"/>
        </w:rPr>
        <w:t>I</w:t>
      </w:r>
      <w:r w:rsidRPr="002C0EDB">
        <w:rPr>
          <w:rFonts w:hint="eastAsia"/>
          <w:color w:val="FF0000"/>
        </w:rPr>
        <w:t>、发动机排气水平管隔声隔热罩体在发动机排气管安装消声器；并在排气水平管安装隔声罩体。隔声隔热罩体采用组装式结构。隔声隔热罩体两侧设置钢台阶。隔声隔热罩宽</w:t>
      </w:r>
      <w:r w:rsidRPr="002C0EDB">
        <w:rPr>
          <w:rFonts w:hint="eastAsia"/>
          <w:color w:val="FF0000"/>
        </w:rPr>
        <w:t>1.5m</w:t>
      </w:r>
      <w:r w:rsidRPr="002C0EDB">
        <w:rPr>
          <w:rFonts w:hint="eastAsia"/>
          <w:color w:val="FF0000"/>
        </w:rPr>
        <w:t>，高</w:t>
      </w:r>
      <w:r w:rsidRPr="002C0EDB">
        <w:rPr>
          <w:rFonts w:hint="eastAsia"/>
          <w:color w:val="FF0000"/>
        </w:rPr>
        <w:t>1.0m</w:t>
      </w:r>
      <w:r w:rsidRPr="002C0EDB">
        <w:rPr>
          <w:rFonts w:hint="eastAsia"/>
          <w:color w:val="FF0000"/>
        </w:rPr>
        <w:t>。</w:t>
      </w:r>
    </w:p>
    <w:p w:rsidR="00874F25" w:rsidRPr="002C0EDB" w:rsidRDefault="00874F25" w:rsidP="00874F25">
      <w:pPr>
        <w:pStyle w:val="affa"/>
        <w:ind w:firstLine="480"/>
        <w:rPr>
          <w:color w:val="FF0000"/>
        </w:rPr>
      </w:pPr>
      <w:r w:rsidRPr="002C0EDB">
        <w:rPr>
          <w:rFonts w:hint="eastAsia"/>
          <w:color w:val="FF0000"/>
        </w:rPr>
        <w:t>隔声隔热罩体结构（</w:t>
      </w:r>
      <w:r w:rsidR="00D630FD" w:rsidRPr="002C0EDB">
        <w:rPr>
          <w:rFonts w:hint="eastAsia"/>
          <w:color w:val="FF0000"/>
        </w:rPr>
        <w:t>从外向内</w:t>
      </w:r>
      <w:r w:rsidRPr="002C0EDB">
        <w:rPr>
          <w:rFonts w:hint="eastAsia"/>
          <w:color w:val="FF0000"/>
        </w:rPr>
        <w:t>）</w:t>
      </w:r>
      <w:r w:rsidR="00D630FD" w:rsidRPr="002C0EDB">
        <w:rPr>
          <w:rFonts w:hint="eastAsia"/>
          <w:color w:val="FF0000"/>
        </w:rPr>
        <w:t>：</w:t>
      </w:r>
      <w:r w:rsidRPr="002C0EDB">
        <w:rPr>
          <w:rFonts w:hint="eastAsia"/>
          <w:color w:val="FF0000"/>
        </w:rPr>
        <w:t xml:space="preserve">3mm </w:t>
      </w:r>
      <w:r w:rsidRPr="002C0EDB">
        <w:rPr>
          <w:rFonts w:hint="eastAsia"/>
          <w:color w:val="FF0000"/>
        </w:rPr>
        <w:t>钢板</w:t>
      </w:r>
      <w:r w:rsidR="00D630FD" w:rsidRPr="002C0EDB">
        <w:rPr>
          <w:rFonts w:hint="eastAsia"/>
          <w:color w:val="FF0000"/>
        </w:rPr>
        <w:t>（贴阻尼层）——</w:t>
      </w:r>
      <w:r w:rsidRPr="002C0EDB">
        <w:rPr>
          <w:rFonts w:hint="eastAsia"/>
          <w:color w:val="FF0000"/>
        </w:rPr>
        <w:t>100mm120kg/m</w:t>
      </w:r>
      <w:r w:rsidRPr="002C0EDB">
        <w:rPr>
          <w:rFonts w:hint="eastAsia"/>
          <w:color w:val="FF0000"/>
          <w:vertAlign w:val="superscript"/>
        </w:rPr>
        <w:t>3</w:t>
      </w:r>
      <w:r w:rsidRPr="002C0EDB">
        <w:rPr>
          <w:rFonts w:hint="eastAsia"/>
          <w:color w:val="FF0000"/>
        </w:rPr>
        <w:t xml:space="preserve"> </w:t>
      </w:r>
      <w:r w:rsidRPr="002C0EDB">
        <w:rPr>
          <w:rFonts w:hint="eastAsia"/>
          <w:color w:val="FF0000"/>
        </w:rPr>
        <w:t>硅酸铝纤维棉板</w:t>
      </w:r>
      <w:r w:rsidR="00D630FD" w:rsidRPr="002C0EDB">
        <w:rPr>
          <w:rFonts w:hint="eastAsia"/>
          <w:color w:val="FF0000"/>
        </w:rPr>
        <w:t>（玻纤布密封）——</w:t>
      </w:r>
      <w:r w:rsidRPr="002C0EDB">
        <w:rPr>
          <w:rFonts w:hint="eastAsia"/>
          <w:color w:val="FF0000"/>
        </w:rPr>
        <w:t>1mm</w:t>
      </w:r>
      <w:r w:rsidRPr="002C0EDB">
        <w:rPr>
          <w:rFonts w:hint="eastAsia"/>
          <w:color w:val="FF0000"/>
        </w:rPr>
        <w:t>镀锌穿孔钢板。通过隔声罩体，可使噪声降低</w:t>
      </w:r>
      <w:r w:rsidRPr="002C0EDB">
        <w:rPr>
          <w:rFonts w:hint="eastAsia"/>
          <w:color w:val="FF0000"/>
        </w:rPr>
        <w:t>15~25dB</w:t>
      </w:r>
      <w:r w:rsidR="00D630FD" w:rsidRPr="002C0EDB">
        <w:rPr>
          <w:rFonts w:hint="eastAsia"/>
          <w:color w:val="FF0000"/>
        </w:rPr>
        <w:t>（</w:t>
      </w:r>
      <w:r w:rsidR="00D630FD" w:rsidRPr="002C0EDB">
        <w:rPr>
          <w:rFonts w:hint="eastAsia"/>
          <w:color w:val="FF0000"/>
        </w:rPr>
        <w:t>A</w:t>
      </w:r>
      <w:r w:rsidR="00D630FD" w:rsidRPr="002C0EDB">
        <w:rPr>
          <w:rFonts w:hint="eastAsia"/>
          <w:color w:val="FF0000"/>
        </w:rPr>
        <w:t>）</w:t>
      </w:r>
      <w:r w:rsidR="00D630FD" w:rsidRPr="002C0EDB">
        <w:rPr>
          <w:rFonts w:hint="eastAsia"/>
          <w:color w:val="FF0000"/>
        </w:rPr>
        <w:t xml:space="preserve"> </w:t>
      </w:r>
      <w:r w:rsidRPr="002C0EDB">
        <w:rPr>
          <w:rFonts w:hint="eastAsia"/>
          <w:color w:val="FF0000"/>
        </w:rPr>
        <w:t>。</w:t>
      </w:r>
    </w:p>
    <w:p w:rsidR="00874F25" w:rsidRPr="002C0EDB" w:rsidRDefault="00874F25" w:rsidP="00874F25">
      <w:pPr>
        <w:pStyle w:val="affa"/>
        <w:ind w:firstLine="480"/>
        <w:rPr>
          <w:color w:val="FF0000"/>
        </w:rPr>
      </w:pPr>
      <w:r w:rsidRPr="002C0EDB">
        <w:rPr>
          <w:rFonts w:hint="eastAsia"/>
          <w:color w:val="FF0000"/>
        </w:rPr>
        <w:t>II</w:t>
      </w:r>
      <w:r w:rsidRPr="002C0EDB">
        <w:rPr>
          <w:rFonts w:hint="eastAsia"/>
          <w:color w:val="FF0000"/>
        </w:rPr>
        <w:t>、空冷器导风消声弯头及出口罩体空冷器导风消声弯头采用组装式结构，安装于专用支架上。过流通道截面尺寸为</w:t>
      </w:r>
      <w:r w:rsidRPr="002C0EDB">
        <w:rPr>
          <w:rFonts w:hint="eastAsia"/>
          <w:color w:val="FF0000"/>
        </w:rPr>
        <w:t>2.4mx0.9m</w:t>
      </w:r>
      <w:r w:rsidRPr="002C0EDB">
        <w:rPr>
          <w:rFonts w:hint="eastAsia"/>
          <w:color w:val="FF0000"/>
        </w:rPr>
        <w:t>。消声弯头腔体厚</w:t>
      </w:r>
      <w:r w:rsidRPr="002C0EDB">
        <w:rPr>
          <w:rFonts w:hint="eastAsia"/>
          <w:color w:val="FF0000"/>
        </w:rPr>
        <w:t>50mm</w:t>
      </w:r>
      <w:r w:rsidRPr="002C0EDB">
        <w:rPr>
          <w:rFonts w:hint="eastAsia"/>
          <w:color w:val="FF0000"/>
        </w:rPr>
        <w:t>，腔体外层采用</w:t>
      </w:r>
      <w:r w:rsidRPr="002C0EDB">
        <w:rPr>
          <w:rFonts w:hint="eastAsia"/>
          <w:color w:val="FF0000"/>
        </w:rPr>
        <w:t>1mm</w:t>
      </w:r>
      <w:r w:rsidRPr="002C0EDB">
        <w:rPr>
          <w:rFonts w:hint="eastAsia"/>
          <w:color w:val="FF0000"/>
        </w:rPr>
        <w:t>钢板，内腔采用</w:t>
      </w:r>
      <w:r w:rsidRPr="002C0EDB">
        <w:rPr>
          <w:rFonts w:hint="eastAsia"/>
          <w:color w:val="FF0000"/>
        </w:rPr>
        <w:t>0.6mm</w:t>
      </w:r>
      <w:r w:rsidRPr="002C0EDB">
        <w:rPr>
          <w:rFonts w:hint="eastAsia"/>
          <w:color w:val="FF0000"/>
        </w:rPr>
        <w:t>镀锌穿孔钢板。墙体内设置导流片，厚</w:t>
      </w:r>
      <w:r w:rsidRPr="002C0EDB">
        <w:rPr>
          <w:rFonts w:hint="eastAsia"/>
          <w:color w:val="FF0000"/>
        </w:rPr>
        <w:t>50mm</w:t>
      </w:r>
      <w:r w:rsidRPr="002C0EDB">
        <w:rPr>
          <w:rFonts w:hint="eastAsia"/>
          <w:color w:val="FF0000"/>
        </w:rPr>
        <w:t>，采用</w:t>
      </w:r>
      <w:r w:rsidRPr="002C0EDB">
        <w:rPr>
          <w:rFonts w:hint="eastAsia"/>
          <w:color w:val="FF0000"/>
        </w:rPr>
        <w:t>0.6mm</w:t>
      </w:r>
      <w:r w:rsidRPr="002C0EDB">
        <w:rPr>
          <w:rFonts w:hint="eastAsia"/>
          <w:color w:val="FF0000"/>
        </w:rPr>
        <w:t>镀锌穿孔钢板。腔体和导流片内填充</w:t>
      </w:r>
      <w:r w:rsidRPr="002C0EDB">
        <w:rPr>
          <w:rFonts w:hint="eastAsia"/>
          <w:color w:val="FF0000"/>
        </w:rPr>
        <w:t>24kg/m</w:t>
      </w:r>
      <w:r w:rsidRPr="002C0EDB">
        <w:rPr>
          <w:rFonts w:hint="eastAsia"/>
          <w:color w:val="FF0000"/>
          <w:vertAlign w:val="superscript"/>
        </w:rPr>
        <w:t>3</w:t>
      </w:r>
      <w:r w:rsidRPr="002C0EDB">
        <w:rPr>
          <w:rFonts w:hint="eastAsia"/>
          <w:color w:val="FF0000"/>
        </w:rPr>
        <w:t>吸声棉板</w:t>
      </w:r>
      <w:r w:rsidR="00D630FD" w:rsidRPr="002C0EDB">
        <w:rPr>
          <w:rFonts w:hint="eastAsia"/>
          <w:color w:val="FF0000"/>
        </w:rPr>
        <w:t>（玻纤布密封）</w:t>
      </w:r>
      <w:r w:rsidRPr="002C0EDB">
        <w:rPr>
          <w:rFonts w:hint="eastAsia"/>
          <w:color w:val="FF0000"/>
        </w:rPr>
        <w:t>。弯头出口朝向不敏感区域。通过消声弯头，可使噪声降低</w:t>
      </w:r>
      <w:r w:rsidR="00D630FD" w:rsidRPr="002C0EDB">
        <w:rPr>
          <w:rFonts w:hint="eastAsia"/>
          <w:color w:val="FF0000"/>
        </w:rPr>
        <w:t>12~</w:t>
      </w:r>
      <w:r w:rsidRPr="002C0EDB">
        <w:rPr>
          <w:rFonts w:hint="eastAsia"/>
          <w:color w:val="FF0000"/>
        </w:rPr>
        <w:t xml:space="preserve">17dB </w:t>
      </w:r>
      <w:r w:rsidR="00D630FD" w:rsidRPr="002C0EDB">
        <w:rPr>
          <w:rFonts w:hint="eastAsia"/>
          <w:color w:val="FF0000"/>
        </w:rPr>
        <w:t>（</w:t>
      </w:r>
      <w:r w:rsidR="00D630FD" w:rsidRPr="002C0EDB">
        <w:rPr>
          <w:rFonts w:hint="eastAsia"/>
          <w:color w:val="FF0000"/>
        </w:rPr>
        <w:t>A</w:t>
      </w:r>
      <w:r w:rsidR="00D630FD" w:rsidRPr="002C0EDB">
        <w:rPr>
          <w:rFonts w:hint="eastAsia"/>
          <w:color w:val="FF0000"/>
        </w:rPr>
        <w:t>）</w:t>
      </w:r>
      <w:r w:rsidRPr="002C0EDB">
        <w:rPr>
          <w:rFonts w:hint="eastAsia"/>
          <w:color w:val="FF0000"/>
        </w:rPr>
        <w:t>。同时，在空冷器导风消声弯头出口设置隔声罩，罩体与弯头出口保持一定距离，不得将出口堵死。隔声罩可采用铅板、钢板、铝板，壁薄、密度大的板</w:t>
      </w:r>
      <w:r w:rsidRPr="002C0EDB">
        <w:rPr>
          <w:rFonts w:hint="eastAsia"/>
          <w:color w:val="FF0000"/>
        </w:rPr>
        <w:lastRenderedPageBreak/>
        <w:t>材，</w:t>
      </w:r>
      <w:r w:rsidR="00D630FD" w:rsidRPr="002C0EDB">
        <w:rPr>
          <w:rFonts w:hint="eastAsia"/>
          <w:color w:val="FF0000"/>
        </w:rPr>
        <w:t>一</w:t>
      </w:r>
      <w:r w:rsidRPr="002C0EDB">
        <w:rPr>
          <w:rFonts w:hint="eastAsia"/>
          <w:color w:val="FF0000"/>
        </w:rPr>
        <w:t>般采用</w:t>
      </w:r>
      <w:r w:rsidRPr="002C0EDB">
        <w:rPr>
          <w:rFonts w:hint="eastAsia"/>
          <w:color w:val="FF0000"/>
        </w:rPr>
        <w:t>2~3mm</w:t>
      </w:r>
      <w:r w:rsidRPr="002C0EDB">
        <w:rPr>
          <w:rFonts w:hint="eastAsia"/>
          <w:color w:val="FF0000"/>
        </w:rPr>
        <w:t>钢板。罩内用</w:t>
      </w:r>
      <w:r w:rsidRPr="002C0EDB">
        <w:rPr>
          <w:rFonts w:hint="eastAsia"/>
          <w:color w:val="FF0000"/>
        </w:rPr>
        <w:t>50mm</w:t>
      </w:r>
      <w:r w:rsidRPr="002C0EDB">
        <w:rPr>
          <w:rFonts w:hint="eastAsia"/>
          <w:color w:val="FF0000"/>
        </w:rPr>
        <w:t>厚的多孔吸声材料进行处理，吸声系数</w:t>
      </w:r>
      <w:r w:rsidR="00D630FD" w:rsidRPr="002C0EDB">
        <w:rPr>
          <w:rFonts w:hint="eastAsia"/>
          <w:color w:val="FF0000"/>
        </w:rPr>
        <w:t>一</w:t>
      </w:r>
      <w:r w:rsidRPr="002C0EDB">
        <w:rPr>
          <w:rFonts w:hint="eastAsia"/>
          <w:color w:val="FF0000"/>
        </w:rPr>
        <w:t>般不应低于</w:t>
      </w:r>
      <w:r w:rsidRPr="002C0EDB">
        <w:rPr>
          <w:rFonts w:hint="eastAsia"/>
          <w:color w:val="FF0000"/>
        </w:rPr>
        <w:t>0.5</w:t>
      </w:r>
      <w:r w:rsidRPr="002C0EDB">
        <w:rPr>
          <w:rFonts w:hint="eastAsia"/>
          <w:color w:val="FF0000"/>
        </w:rPr>
        <w:t>。在</w:t>
      </w:r>
      <w:r w:rsidRPr="002C0EDB">
        <w:rPr>
          <w:rFonts w:hint="eastAsia"/>
          <w:color w:val="FF0000"/>
        </w:rPr>
        <w:t>3mm</w:t>
      </w:r>
      <w:r w:rsidRPr="002C0EDB">
        <w:rPr>
          <w:rFonts w:hint="eastAsia"/>
          <w:color w:val="FF0000"/>
        </w:rPr>
        <w:t>厚的钢板上，牢固涂贴一层厚</w:t>
      </w:r>
      <w:r w:rsidRPr="002C0EDB">
        <w:rPr>
          <w:rFonts w:hint="eastAsia"/>
          <w:color w:val="FF0000"/>
        </w:rPr>
        <w:t>7mm</w:t>
      </w:r>
      <w:r w:rsidRPr="002C0EDB">
        <w:rPr>
          <w:rFonts w:hint="eastAsia"/>
          <w:color w:val="FF0000"/>
        </w:rPr>
        <w:t>的沥青石棉绒作阻尼层，内衬</w:t>
      </w:r>
      <w:r w:rsidRPr="002C0EDB">
        <w:rPr>
          <w:rFonts w:hint="eastAsia"/>
          <w:color w:val="FF0000"/>
        </w:rPr>
        <w:t>50mm</w:t>
      </w:r>
      <w:r w:rsidRPr="002C0EDB">
        <w:rPr>
          <w:rFonts w:hint="eastAsia"/>
          <w:color w:val="FF0000"/>
        </w:rPr>
        <w:t>厚的超细玻璃棉</w:t>
      </w:r>
      <w:r w:rsidR="00D630FD" w:rsidRPr="002C0EDB">
        <w:rPr>
          <w:rFonts w:hint="eastAsia"/>
          <w:color w:val="FF0000"/>
        </w:rPr>
        <w:t>（容重</w:t>
      </w:r>
      <w:r w:rsidR="00D630FD" w:rsidRPr="002C0EDB">
        <w:rPr>
          <w:rFonts w:hint="eastAsia"/>
          <w:color w:val="FF0000"/>
        </w:rPr>
        <w:t>25kg/m</w:t>
      </w:r>
      <w:r w:rsidR="00D630FD" w:rsidRPr="002C0EDB">
        <w:rPr>
          <w:rFonts w:hint="eastAsia"/>
          <w:color w:val="FF0000"/>
          <w:vertAlign w:val="superscript"/>
        </w:rPr>
        <w:t>3</w:t>
      </w:r>
      <w:r w:rsidR="00D630FD" w:rsidRPr="002C0EDB">
        <w:rPr>
          <w:rFonts w:hint="eastAsia"/>
          <w:color w:val="FF0000"/>
        </w:rPr>
        <w:t>）</w:t>
      </w:r>
      <w:r w:rsidRPr="002C0EDB">
        <w:rPr>
          <w:rFonts w:hint="eastAsia"/>
          <w:color w:val="FF0000"/>
        </w:rPr>
        <w:t>作吸声层，玻璃棉护面层由一层玻璃布和一层穿孔率为</w:t>
      </w:r>
      <w:r w:rsidRPr="002C0EDB">
        <w:rPr>
          <w:rFonts w:hint="eastAsia"/>
          <w:color w:val="FF0000"/>
        </w:rPr>
        <w:t>25%</w:t>
      </w:r>
      <w:r w:rsidRPr="002C0EDB">
        <w:rPr>
          <w:rFonts w:hint="eastAsia"/>
          <w:color w:val="FF0000"/>
        </w:rPr>
        <w:t>的穿孔钢板构成。罩体可以降低噪声约</w:t>
      </w:r>
      <w:r w:rsidRPr="002C0EDB">
        <w:rPr>
          <w:rFonts w:hint="eastAsia"/>
          <w:color w:val="FF0000"/>
        </w:rPr>
        <w:t>20dB</w:t>
      </w:r>
      <w:r w:rsidR="00D630FD" w:rsidRPr="002C0EDB">
        <w:rPr>
          <w:rFonts w:hint="eastAsia"/>
          <w:color w:val="FF0000"/>
        </w:rPr>
        <w:t>（</w:t>
      </w:r>
      <w:r w:rsidR="00D630FD" w:rsidRPr="002C0EDB">
        <w:rPr>
          <w:rFonts w:hint="eastAsia"/>
          <w:color w:val="FF0000"/>
        </w:rPr>
        <w:t>A</w:t>
      </w:r>
      <w:r w:rsidR="00D630FD" w:rsidRPr="002C0EDB">
        <w:rPr>
          <w:rFonts w:hint="eastAsia"/>
          <w:color w:val="FF0000"/>
        </w:rPr>
        <w:t>）</w:t>
      </w:r>
      <w:r w:rsidR="00D630FD" w:rsidRPr="002C0EDB">
        <w:rPr>
          <w:rFonts w:hint="eastAsia"/>
          <w:color w:val="FF0000"/>
        </w:rPr>
        <w:t xml:space="preserve"> </w:t>
      </w:r>
      <w:r w:rsidRPr="002C0EDB">
        <w:rPr>
          <w:rFonts w:hint="eastAsia"/>
          <w:color w:val="FF0000"/>
        </w:rPr>
        <w:t>。</w:t>
      </w:r>
    </w:p>
    <w:p w:rsidR="00874F25" w:rsidRPr="002C0EDB" w:rsidRDefault="00D630FD" w:rsidP="00874F25">
      <w:pPr>
        <w:pStyle w:val="affa"/>
        <w:ind w:firstLine="480"/>
        <w:rPr>
          <w:color w:val="FF0000"/>
        </w:rPr>
      </w:pPr>
      <w:r w:rsidRPr="002C0EDB">
        <w:rPr>
          <w:rFonts w:hint="eastAsia"/>
          <w:color w:val="FF0000"/>
        </w:rPr>
        <w:t>III</w:t>
      </w:r>
      <w:r w:rsidRPr="002C0EDB">
        <w:rPr>
          <w:rFonts w:hint="eastAsia"/>
          <w:color w:val="FF0000"/>
        </w:rPr>
        <w:t>、空冷器导风消声叶片</w:t>
      </w:r>
    </w:p>
    <w:p w:rsidR="00D630FD" w:rsidRPr="002C0EDB" w:rsidRDefault="00D630FD" w:rsidP="00874F25">
      <w:pPr>
        <w:pStyle w:val="affa"/>
        <w:ind w:firstLine="480"/>
        <w:rPr>
          <w:color w:val="FF0000"/>
        </w:rPr>
      </w:pPr>
      <w:r w:rsidRPr="002C0EDB">
        <w:rPr>
          <w:rFonts w:hint="eastAsia"/>
          <w:color w:val="FF0000"/>
        </w:rPr>
        <w:t>消声叶片尺寸为</w:t>
      </w:r>
      <w:r w:rsidRPr="002C0EDB">
        <w:rPr>
          <w:rFonts w:hint="eastAsia"/>
          <w:color w:val="FF0000"/>
        </w:rPr>
        <w:t>2.5mx1.0m</w:t>
      </w:r>
      <w:r w:rsidRPr="002C0EDB">
        <w:rPr>
          <w:rFonts w:hint="eastAsia"/>
          <w:color w:val="FF0000"/>
        </w:rPr>
        <w:t>，厚度为</w:t>
      </w:r>
      <w:r w:rsidRPr="002C0EDB">
        <w:rPr>
          <w:rFonts w:hint="eastAsia"/>
          <w:color w:val="FF0000"/>
        </w:rPr>
        <w:t>120mm</w:t>
      </w:r>
      <w:r w:rsidRPr="002C0EDB">
        <w:rPr>
          <w:rFonts w:hint="eastAsia"/>
          <w:color w:val="FF0000"/>
        </w:rPr>
        <w:t>，采用</w:t>
      </w:r>
      <w:r w:rsidRPr="002C0EDB">
        <w:rPr>
          <w:rFonts w:hint="eastAsia"/>
          <w:color w:val="FF0000"/>
        </w:rPr>
        <w:t>0.6mm</w:t>
      </w:r>
      <w:r w:rsidRPr="002C0EDB">
        <w:rPr>
          <w:rFonts w:hint="eastAsia"/>
          <w:color w:val="FF0000"/>
        </w:rPr>
        <w:t>镀锌穿孔钢板，消声片内填充</w:t>
      </w:r>
      <w:r w:rsidRPr="002C0EDB">
        <w:rPr>
          <w:rFonts w:hint="eastAsia"/>
          <w:color w:val="FF0000"/>
        </w:rPr>
        <w:t>24kg/m</w:t>
      </w:r>
      <w:r w:rsidRPr="002C0EDB">
        <w:rPr>
          <w:rFonts w:hint="eastAsia"/>
          <w:color w:val="FF0000"/>
          <w:vertAlign w:val="superscript"/>
        </w:rPr>
        <w:t>3</w:t>
      </w:r>
      <w:r w:rsidRPr="002C0EDB">
        <w:rPr>
          <w:rFonts w:hint="eastAsia"/>
          <w:color w:val="FF0000"/>
        </w:rPr>
        <w:t>吸声棉板（玻纤布密封）。该消声叶片可使噪声降低</w:t>
      </w:r>
      <w:r w:rsidRPr="002C0EDB">
        <w:rPr>
          <w:rFonts w:hint="eastAsia"/>
          <w:color w:val="FF0000"/>
        </w:rPr>
        <w:t xml:space="preserve">8~15dB </w:t>
      </w:r>
      <w:r w:rsidRPr="002C0EDB">
        <w:rPr>
          <w:rFonts w:hint="eastAsia"/>
          <w:color w:val="FF0000"/>
        </w:rPr>
        <w:t>（</w:t>
      </w:r>
      <w:r w:rsidRPr="002C0EDB">
        <w:rPr>
          <w:rFonts w:hint="eastAsia"/>
          <w:color w:val="FF0000"/>
        </w:rPr>
        <w:t>A</w:t>
      </w:r>
      <w:r w:rsidRPr="002C0EDB">
        <w:rPr>
          <w:rFonts w:hint="eastAsia"/>
          <w:color w:val="FF0000"/>
        </w:rPr>
        <w:t>）。</w:t>
      </w:r>
    </w:p>
    <w:p w:rsidR="00D630FD" w:rsidRPr="002C0EDB" w:rsidRDefault="00D630FD" w:rsidP="00874F25">
      <w:pPr>
        <w:pStyle w:val="affa"/>
        <w:ind w:firstLine="480"/>
        <w:rPr>
          <w:color w:val="FF0000"/>
        </w:rPr>
      </w:pPr>
      <w:r w:rsidRPr="002C0EDB">
        <w:rPr>
          <w:rFonts w:hint="eastAsia"/>
          <w:color w:val="FF0000"/>
        </w:rPr>
        <w:t>IV</w:t>
      </w:r>
      <w:r w:rsidRPr="002C0EDB">
        <w:rPr>
          <w:rFonts w:hint="eastAsia"/>
          <w:color w:val="FF0000"/>
        </w:rPr>
        <w:t>、屋面防爆轴流风机安装消声弯头</w:t>
      </w:r>
    </w:p>
    <w:p w:rsidR="00D630FD" w:rsidRPr="002C0EDB" w:rsidRDefault="00D630FD" w:rsidP="00874F25">
      <w:pPr>
        <w:pStyle w:val="affa"/>
        <w:ind w:firstLine="480"/>
        <w:rPr>
          <w:color w:val="FF0000"/>
        </w:rPr>
      </w:pPr>
      <w:r w:rsidRPr="002C0EDB">
        <w:rPr>
          <w:rFonts w:hint="eastAsia"/>
          <w:color w:val="FF0000"/>
        </w:rPr>
        <w:t>屋面防爆轴流风机消声弯头主要是防止屋面风机孔漏声和减小风机在运行情况产生的噪声。同时，消声弯头采用两段式结构便于检修风机。消声弯头过流通道截面尺寸约</w:t>
      </w:r>
      <w:r w:rsidRPr="002C0EDB">
        <w:rPr>
          <w:rFonts w:hint="eastAsia"/>
          <w:color w:val="FF0000"/>
        </w:rPr>
        <w:t>0.68*0.68m</w:t>
      </w:r>
      <w:r w:rsidRPr="002C0EDB">
        <w:rPr>
          <w:rFonts w:hint="eastAsia"/>
          <w:color w:val="FF0000"/>
        </w:rPr>
        <w:t>，过流长度约为</w:t>
      </w:r>
      <w:r w:rsidRPr="002C0EDB">
        <w:rPr>
          <w:rFonts w:hint="eastAsia"/>
          <w:color w:val="FF0000"/>
        </w:rPr>
        <w:t>2.1m</w:t>
      </w:r>
      <w:r w:rsidRPr="002C0EDB">
        <w:rPr>
          <w:rFonts w:hint="eastAsia"/>
          <w:color w:val="FF0000"/>
        </w:rPr>
        <w:t>。消声弯头腔体厚</w:t>
      </w:r>
      <w:r w:rsidRPr="002C0EDB">
        <w:rPr>
          <w:rFonts w:hint="eastAsia"/>
          <w:color w:val="FF0000"/>
        </w:rPr>
        <w:t>80mm</w:t>
      </w:r>
      <w:r w:rsidRPr="002C0EDB">
        <w:rPr>
          <w:rFonts w:hint="eastAsia"/>
          <w:color w:val="FF0000"/>
        </w:rPr>
        <w:t>，腔体外层采用</w:t>
      </w:r>
      <w:r w:rsidRPr="002C0EDB">
        <w:rPr>
          <w:rFonts w:hint="eastAsia"/>
          <w:color w:val="FF0000"/>
        </w:rPr>
        <w:t>1mm</w:t>
      </w:r>
      <w:r w:rsidRPr="002C0EDB">
        <w:rPr>
          <w:rFonts w:hint="eastAsia"/>
          <w:color w:val="FF0000"/>
        </w:rPr>
        <w:t>钢板，内腔采用</w:t>
      </w:r>
      <w:r w:rsidRPr="002C0EDB">
        <w:rPr>
          <w:rFonts w:hint="eastAsia"/>
          <w:color w:val="FF0000"/>
        </w:rPr>
        <w:t>0.6mm</w:t>
      </w:r>
      <w:r w:rsidRPr="002C0EDB">
        <w:rPr>
          <w:rFonts w:hint="eastAsia"/>
          <w:color w:val="FF0000"/>
        </w:rPr>
        <w:t>镀锌穿孔钢板。腔体内设置导流片，导流片厚度</w:t>
      </w:r>
      <w:r w:rsidRPr="002C0EDB">
        <w:rPr>
          <w:rFonts w:hint="eastAsia"/>
          <w:color w:val="FF0000"/>
        </w:rPr>
        <w:t>80mm</w:t>
      </w:r>
      <w:r w:rsidRPr="002C0EDB">
        <w:rPr>
          <w:rFonts w:hint="eastAsia"/>
          <w:color w:val="FF0000"/>
        </w:rPr>
        <w:t>，采用</w:t>
      </w:r>
      <w:r w:rsidRPr="002C0EDB">
        <w:rPr>
          <w:rFonts w:hint="eastAsia"/>
          <w:color w:val="FF0000"/>
        </w:rPr>
        <w:t>0.6mm</w:t>
      </w:r>
      <w:r w:rsidRPr="002C0EDB">
        <w:rPr>
          <w:rFonts w:hint="eastAsia"/>
          <w:color w:val="FF0000"/>
        </w:rPr>
        <w:t>镀锌穿孔钢板。腔体和导流片内填充</w:t>
      </w:r>
      <w:r w:rsidRPr="002C0EDB">
        <w:rPr>
          <w:rFonts w:hint="eastAsia"/>
          <w:color w:val="FF0000"/>
        </w:rPr>
        <w:t>24kg/m3</w:t>
      </w:r>
      <w:r w:rsidRPr="002C0EDB">
        <w:rPr>
          <w:rFonts w:hint="eastAsia"/>
          <w:color w:val="FF0000"/>
        </w:rPr>
        <w:t>吸声棉板</w:t>
      </w:r>
      <w:r w:rsidRPr="002C0EDB">
        <w:rPr>
          <w:rFonts w:hint="eastAsia"/>
          <w:color w:val="FF0000"/>
        </w:rPr>
        <w:t>(</w:t>
      </w:r>
      <w:r w:rsidRPr="002C0EDB">
        <w:rPr>
          <w:rFonts w:hint="eastAsia"/>
          <w:color w:val="FF0000"/>
        </w:rPr>
        <w:t>玻纤布密封</w:t>
      </w:r>
      <w:r w:rsidRPr="002C0EDB">
        <w:rPr>
          <w:rFonts w:hint="eastAsia"/>
          <w:color w:val="FF0000"/>
        </w:rPr>
        <w:t>)</w:t>
      </w:r>
      <w:r w:rsidRPr="002C0EDB">
        <w:rPr>
          <w:rFonts w:hint="eastAsia"/>
          <w:color w:val="FF0000"/>
        </w:rPr>
        <w:t>。弯头出口朝向东北面。可使噪声降低</w:t>
      </w:r>
      <w:r w:rsidRPr="002C0EDB">
        <w:rPr>
          <w:rFonts w:hint="eastAsia"/>
          <w:color w:val="FF0000"/>
        </w:rPr>
        <w:t>15~20dB</w:t>
      </w:r>
      <w:r w:rsidRPr="002C0EDB">
        <w:rPr>
          <w:rFonts w:hint="eastAsia"/>
          <w:color w:val="FF0000"/>
        </w:rPr>
        <w:t>（</w:t>
      </w:r>
      <w:r w:rsidRPr="002C0EDB">
        <w:rPr>
          <w:rFonts w:hint="eastAsia"/>
          <w:color w:val="FF0000"/>
        </w:rPr>
        <w:t>A</w:t>
      </w:r>
      <w:r w:rsidRPr="002C0EDB">
        <w:rPr>
          <w:rFonts w:hint="eastAsia"/>
          <w:color w:val="FF0000"/>
        </w:rPr>
        <w:t>）。</w:t>
      </w:r>
    </w:p>
    <w:p w:rsidR="00D630FD" w:rsidRPr="002C0EDB" w:rsidRDefault="00D630FD" w:rsidP="00874F25">
      <w:pPr>
        <w:pStyle w:val="affa"/>
        <w:ind w:firstLine="480"/>
        <w:rPr>
          <w:color w:val="FF0000"/>
        </w:rPr>
      </w:pPr>
      <w:r w:rsidRPr="002C0EDB">
        <w:rPr>
          <w:rFonts w:hint="eastAsia"/>
          <w:color w:val="FF0000"/>
        </w:rPr>
        <w:t>b</w:t>
      </w:r>
      <w:r w:rsidRPr="002C0EDB">
        <w:rPr>
          <w:rFonts w:hint="eastAsia"/>
          <w:color w:val="FF0000"/>
        </w:rPr>
        <w:t>根据项目设计资料，噪声传播途径降噪措施主要包括</w:t>
      </w:r>
      <w:r w:rsidRPr="002C0EDB">
        <w:rPr>
          <w:rFonts w:hint="eastAsia"/>
          <w:color w:val="FF0000"/>
        </w:rPr>
        <w:t>:</w:t>
      </w:r>
      <w:r w:rsidRPr="002C0EDB">
        <w:rPr>
          <w:rFonts w:hint="eastAsia"/>
          <w:color w:val="FF0000"/>
        </w:rPr>
        <w:t>厂房墙面吸隔声体及吸声墙面、厂房隔声门、厂房进风消声器。</w:t>
      </w:r>
    </w:p>
    <w:p w:rsidR="00D630FD" w:rsidRPr="002C0EDB" w:rsidRDefault="00D630FD" w:rsidP="00874F25">
      <w:pPr>
        <w:pStyle w:val="affa"/>
        <w:ind w:firstLine="480"/>
        <w:rPr>
          <w:color w:val="FF0000"/>
        </w:rPr>
      </w:pPr>
      <w:r w:rsidRPr="002C0EDB">
        <w:rPr>
          <w:rFonts w:hint="eastAsia"/>
          <w:color w:val="FF0000"/>
        </w:rPr>
        <w:t>减缓措施：</w:t>
      </w:r>
    </w:p>
    <w:p w:rsidR="00D630FD" w:rsidRPr="002C0EDB" w:rsidRDefault="00D630FD" w:rsidP="00874F25">
      <w:pPr>
        <w:pStyle w:val="affa"/>
        <w:ind w:firstLine="480"/>
        <w:rPr>
          <w:color w:val="FF0000"/>
        </w:rPr>
      </w:pPr>
      <w:r w:rsidRPr="002C0EDB">
        <w:rPr>
          <w:rFonts w:hint="eastAsia"/>
          <w:color w:val="FF0000"/>
        </w:rPr>
        <w:t>1</w:t>
      </w:r>
      <w:r w:rsidRPr="002C0EDB">
        <w:rPr>
          <w:rFonts w:hint="eastAsia"/>
          <w:color w:val="FF0000"/>
        </w:rPr>
        <w:t>、厂房墙面吸隔声体及吸声墙面</w:t>
      </w:r>
    </w:p>
    <w:p w:rsidR="00D630FD" w:rsidRPr="002C0EDB" w:rsidRDefault="00D630FD" w:rsidP="00874F25">
      <w:pPr>
        <w:pStyle w:val="affa"/>
        <w:ind w:firstLine="480"/>
        <w:rPr>
          <w:color w:val="FF0000"/>
        </w:rPr>
      </w:pPr>
      <w:r w:rsidRPr="002C0EDB">
        <w:rPr>
          <w:rFonts w:hint="eastAsia"/>
          <w:color w:val="FF0000"/>
        </w:rPr>
        <w:t>厂房墙面吸隔声体采用模块式结构，安装于门式钢架主钢柱翼缘板上。吸声墙面安装于室内侧吸隔声体上。</w:t>
      </w:r>
    </w:p>
    <w:p w:rsidR="00D630FD" w:rsidRPr="002C0EDB" w:rsidRDefault="00D630FD" w:rsidP="00874F25">
      <w:pPr>
        <w:pStyle w:val="affa"/>
        <w:ind w:firstLine="480"/>
        <w:rPr>
          <w:color w:val="FF0000"/>
        </w:rPr>
      </w:pPr>
      <w:r w:rsidRPr="002C0EDB">
        <w:rPr>
          <w:rFonts w:hint="eastAsia"/>
          <w:color w:val="FF0000"/>
        </w:rPr>
        <w:t>室外侧吸隔声体结构</w:t>
      </w:r>
      <w:r w:rsidR="002C0EDB" w:rsidRPr="002C0EDB">
        <w:rPr>
          <w:rFonts w:hint="eastAsia"/>
          <w:color w:val="FF0000"/>
        </w:rPr>
        <w:t>（从室外到室内）：</w:t>
      </w:r>
      <w:r w:rsidRPr="002C0EDB">
        <w:rPr>
          <w:rFonts w:hint="eastAsia"/>
          <w:color w:val="FF0000"/>
        </w:rPr>
        <w:t>8mm</w:t>
      </w:r>
      <w:r w:rsidRPr="002C0EDB">
        <w:rPr>
          <w:rFonts w:hint="eastAsia"/>
          <w:color w:val="FF0000"/>
        </w:rPr>
        <w:t>硅酸钙板</w:t>
      </w:r>
      <w:r w:rsidR="002C0EDB" w:rsidRPr="002C0EDB">
        <w:rPr>
          <w:rFonts w:hint="eastAsia"/>
          <w:color w:val="FF0000"/>
        </w:rPr>
        <w:t>（贴阻尼层）——</w:t>
      </w:r>
      <w:r w:rsidRPr="002C0EDB">
        <w:rPr>
          <w:rFonts w:hint="eastAsia"/>
          <w:color w:val="FF0000"/>
        </w:rPr>
        <w:t>80mm32kg/m</w:t>
      </w:r>
      <w:r w:rsidRPr="002C0EDB">
        <w:rPr>
          <w:rFonts w:hint="eastAsia"/>
          <w:color w:val="FF0000"/>
          <w:vertAlign w:val="superscript"/>
        </w:rPr>
        <w:t>2</w:t>
      </w:r>
      <w:r w:rsidRPr="002C0EDB">
        <w:rPr>
          <w:rFonts w:hint="eastAsia"/>
          <w:color w:val="FF0000"/>
        </w:rPr>
        <w:t>吸声棉板</w:t>
      </w:r>
      <w:r w:rsidR="002C0EDB" w:rsidRPr="002C0EDB">
        <w:rPr>
          <w:rFonts w:hint="eastAsia"/>
          <w:color w:val="FF0000"/>
        </w:rPr>
        <w:t>（玻纤布密封）——</w:t>
      </w:r>
      <w:r w:rsidRPr="002C0EDB">
        <w:rPr>
          <w:rFonts w:hint="eastAsia"/>
          <w:color w:val="FF0000"/>
        </w:rPr>
        <w:t>8mm</w:t>
      </w:r>
      <w:r w:rsidRPr="002C0EDB">
        <w:rPr>
          <w:rFonts w:hint="eastAsia"/>
          <w:color w:val="FF0000"/>
        </w:rPr>
        <w:t>硅酸钙板</w:t>
      </w:r>
      <w:r w:rsidR="002C0EDB" w:rsidRPr="002C0EDB">
        <w:rPr>
          <w:rFonts w:hint="eastAsia"/>
          <w:color w:val="FF0000"/>
        </w:rPr>
        <w:t>（贴阻尼层），</w:t>
      </w:r>
      <w:r w:rsidRPr="002C0EDB">
        <w:rPr>
          <w:rFonts w:hint="eastAsia"/>
          <w:color w:val="FF0000"/>
        </w:rPr>
        <w:t>总厚度</w:t>
      </w:r>
      <w:r w:rsidRPr="002C0EDB">
        <w:rPr>
          <w:rFonts w:hint="eastAsia"/>
          <w:color w:val="FF0000"/>
        </w:rPr>
        <w:t>100mm</w:t>
      </w:r>
      <w:r w:rsidR="002C0EDB" w:rsidRPr="002C0EDB">
        <w:rPr>
          <w:rFonts w:hint="eastAsia"/>
          <w:color w:val="FF0000"/>
        </w:rPr>
        <w:t>，</w:t>
      </w:r>
      <w:r w:rsidRPr="002C0EDB">
        <w:rPr>
          <w:rFonts w:hint="eastAsia"/>
          <w:color w:val="FF0000"/>
        </w:rPr>
        <w:t>吸隔声体龙骨按照</w:t>
      </w:r>
      <w:r w:rsidRPr="002C0EDB">
        <w:rPr>
          <w:rFonts w:hint="eastAsia"/>
          <w:color w:val="FF0000"/>
        </w:rPr>
        <w:t>0.5mm</w:t>
      </w:r>
      <w:r w:rsidRPr="002C0EDB">
        <w:rPr>
          <w:rFonts w:hint="eastAsia"/>
          <w:color w:val="FF0000"/>
        </w:rPr>
        <w:t>间距设置。</w:t>
      </w:r>
    </w:p>
    <w:p w:rsidR="00D630FD" w:rsidRPr="002C0EDB" w:rsidRDefault="00D630FD" w:rsidP="00874F25">
      <w:pPr>
        <w:pStyle w:val="affa"/>
        <w:ind w:firstLine="480"/>
        <w:rPr>
          <w:color w:val="FF0000"/>
        </w:rPr>
      </w:pPr>
      <w:r w:rsidRPr="002C0EDB">
        <w:rPr>
          <w:rFonts w:hint="eastAsia"/>
          <w:color w:val="FF0000"/>
        </w:rPr>
        <w:t>室内侧吸隔声体结构</w:t>
      </w:r>
      <w:r w:rsidR="002C0EDB" w:rsidRPr="002C0EDB">
        <w:rPr>
          <w:rFonts w:hint="eastAsia"/>
          <w:color w:val="FF0000"/>
        </w:rPr>
        <w:t>（从室外到室内）：</w:t>
      </w:r>
      <w:r w:rsidRPr="002C0EDB">
        <w:rPr>
          <w:rFonts w:hint="eastAsia"/>
          <w:color w:val="FF0000"/>
        </w:rPr>
        <w:t>9.5mm</w:t>
      </w:r>
      <w:r w:rsidRPr="002C0EDB">
        <w:rPr>
          <w:rFonts w:hint="eastAsia"/>
          <w:color w:val="FF0000"/>
        </w:rPr>
        <w:t>硅酸钙板</w:t>
      </w:r>
      <w:r w:rsidR="002C0EDB" w:rsidRPr="002C0EDB">
        <w:rPr>
          <w:rFonts w:hint="eastAsia"/>
          <w:color w:val="FF0000"/>
        </w:rPr>
        <w:t>（贴阻尼层）——</w:t>
      </w:r>
      <w:r w:rsidRPr="002C0EDB">
        <w:rPr>
          <w:rFonts w:hint="eastAsia"/>
          <w:color w:val="FF0000"/>
        </w:rPr>
        <w:t>80mm24kg/m</w:t>
      </w:r>
      <w:r w:rsidRPr="002C0EDB">
        <w:rPr>
          <w:rFonts w:hint="eastAsia"/>
          <w:color w:val="FF0000"/>
          <w:vertAlign w:val="superscript"/>
        </w:rPr>
        <w:t>2</w:t>
      </w:r>
      <w:r w:rsidRPr="002C0EDB">
        <w:rPr>
          <w:rFonts w:hint="eastAsia"/>
          <w:color w:val="FF0000"/>
        </w:rPr>
        <w:t>吸声棉板</w:t>
      </w:r>
      <w:r w:rsidR="002C0EDB" w:rsidRPr="002C0EDB">
        <w:rPr>
          <w:rFonts w:hint="eastAsia"/>
          <w:color w:val="FF0000"/>
        </w:rPr>
        <w:t>（玻纤布密封）——</w:t>
      </w:r>
      <w:r w:rsidRPr="002C0EDB">
        <w:rPr>
          <w:rFonts w:hint="eastAsia"/>
          <w:color w:val="FF0000"/>
        </w:rPr>
        <w:t>9.5mm</w:t>
      </w:r>
      <w:r w:rsidRPr="002C0EDB">
        <w:rPr>
          <w:rFonts w:hint="eastAsia"/>
          <w:color w:val="FF0000"/>
        </w:rPr>
        <w:t>硅酸钙板</w:t>
      </w:r>
      <w:r w:rsidR="002C0EDB" w:rsidRPr="002C0EDB">
        <w:rPr>
          <w:rFonts w:hint="eastAsia"/>
          <w:color w:val="FF0000"/>
        </w:rPr>
        <w:t>（贴阻尼层）</w:t>
      </w:r>
      <w:r w:rsidRPr="002C0EDB">
        <w:rPr>
          <w:rFonts w:hint="eastAsia"/>
          <w:color w:val="FF0000"/>
        </w:rPr>
        <w:t>，总厚度</w:t>
      </w:r>
      <w:r w:rsidRPr="002C0EDB">
        <w:rPr>
          <w:rFonts w:hint="eastAsia"/>
          <w:color w:val="FF0000"/>
        </w:rPr>
        <w:t>140mm</w:t>
      </w:r>
      <w:r w:rsidR="002C0EDB" w:rsidRPr="002C0EDB">
        <w:rPr>
          <w:rFonts w:hint="eastAsia"/>
          <w:color w:val="FF0000"/>
        </w:rPr>
        <w:t>，</w:t>
      </w:r>
      <w:r w:rsidRPr="002C0EDB">
        <w:rPr>
          <w:rFonts w:hint="eastAsia"/>
          <w:color w:val="FF0000"/>
        </w:rPr>
        <w:t>吸隔声体龙骨按照</w:t>
      </w:r>
      <w:r w:rsidRPr="002C0EDB">
        <w:rPr>
          <w:rFonts w:hint="eastAsia"/>
          <w:color w:val="FF0000"/>
        </w:rPr>
        <w:t>0.5mm</w:t>
      </w:r>
      <w:r w:rsidRPr="002C0EDB">
        <w:rPr>
          <w:rFonts w:hint="eastAsia"/>
          <w:color w:val="FF0000"/>
        </w:rPr>
        <w:t>间距设置。</w:t>
      </w:r>
    </w:p>
    <w:p w:rsidR="00D630FD" w:rsidRPr="002C0EDB" w:rsidRDefault="00D630FD" w:rsidP="00874F25">
      <w:pPr>
        <w:pStyle w:val="affa"/>
        <w:ind w:firstLine="480"/>
        <w:rPr>
          <w:color w:val="FF0000"/>
        </w:rPr>
      </w:pPr>
      <w:r w:rsidRPr="002C0EDB">
        <w:rPr>
          <w:rFonts w:hint="eastAsia"/>
          <w:color w:val="FF0000"/>
        </w:rPr>
        <w:t>吸声墙面</w:t>
      </w:r>
      <w:r w:rsidRPr="002C0EDB">
        <w:rPr>
          <w:rFonts w:hint="eastAsia"/>
          <w:color w:val="FF0000"/>
        </w:rPr>
        <w:t>(</w:t>
      </w:r>
      <w:r w:rsidRPr="002C0EDB">
        <w:rPr>
          <w:rFonts w:hint="eastAsia"/>
          <w:color w:val="FF0000"/>
        </w:rPr>
        <w:t>从室外到室内</w:t>
      </w:r>
      <w:r w:rsidRPr="002C0EDB">
        <w:rPr>
          <w:rFonts w:hint="eastAsia"/>
          <w:color w:val="FF0000"/>
        </w:rPr>
        <w:t>): 30mm24kg/m</w:t>
      </w:r>
      <w:r w:rsidR="002C0EDB" w:rsidRPr="002C0EDB">
        <w:rPr>
          <w:rFonts w:hint="eastAsia"/>
          <w:color w:val="FF0000"/>
          <w:vertAlign w:val="superscript"/>
        </w:rPr>
        <w:t>3</w:t>
      </w:r>
      <w:r w:rsidRPr="002C0EDB">
        <w:rPr>
          <w:rFonts w:hint="eastAsia"/>
          <w:color w:val="FF0000"/>
        </w:rPr>
        <w:t>吸声棉板</w:t>
      </w:r>
      <w:r w:rsidR="002C0EDB" w:rsidRPr="002C0EDB">
        <w:rPr>
          <w:rFonts w:hint="eastAsia"/>
          <w:color w:val="FF0000"/>
        </w:rPr>
        <w:t>（玻纤布密封）——</w:t>
      </w:r>
      <w:r w:rsidRPr="002C0EDB">
        <w:rPr>
          <w:rFonts w:hint="eastAsia"/>
          <w:color w:val="FF0000"/>
        </w:rPr>
        <w:t>0.6mm</w:t>
      </w:r>
      <w:r w:rsidRPr="002C0EDB">
        <w:rPr>
          <w:rFonts w:hint="eastAsia"/>
          <w:color w:val="FF0000"/>
        </w:rPr>
        <w:lastRenderedPageBreak/>
        <w:t>穿孔铝扣板，总厚度</w:t>
      </w:r>
      <w:r w:rsidRPr="002C0EDB">
        <w:rPr>
          <w:rFonts w:hint="eastAsia"/>
          <w:color w:val="FF0000"/>
        </w:rPr>
        <w:t>30mm</w:t>
      </w:r>
      <w:r w:rsidR="002C0EDB" w:rsidRPr="002C0EDB">
        <w:rPr>
          <w:rFonts w:hint="eastAsia"/>
          <w:color w:val="FF0000"/>
        </w:rPr>
        <w:t>，</w:t>
      </w:r>
      <w:r w:rsidRPr="002C0EDB">
        <w:rPr>
          <w:rFonts w:hint="eastAsia"/>
          <w:color w:val="FF0000"/>
        </w:rPr>
        <w:t>吸隔声体龙骨按照</w:t>
      </w:r>
      <w:r w:rsidRPr="002C0EDB">
        <w:rPr>
          <w:rFonts w:hint="eastAsia"/>
          <w:color w:val="FF0000"/>
        </w:rPr>
        <w:t>0.6mm</w:t>
      </w:r>
      <w:r w:rsidRPr="002C0EDB">
        <w:rPr>
          <w:rFonts w:hint="eastAsia"/>
          <w:color w:val="FF0000"/>
        </w:rPr>
        <w:t>间距设置。</w:t>
      </w:r>
    </w:p>
    <w:p w:rsidR="00D630FD" w:rsidRPr="002C0EDB" w:rsidRDefault="00D630FD" w:rsidP="00874F25">
      <w:pPr>
        <w:pStyle w:val="affa"/>
        <w:ind w:firstLine="480"/>
        <w:rPr>
          <w:color w:val="FF0000"/>
        </w:rPr>
      </w:pPr>
      <w:r w:rsidRPr="002C0EDB">
        <w:rPr>
          <w:rFonts w:hint="eastAsia"/>
          <w:color w:val="FF0000"/>
        </w:rPr>
        <w:t>II</w:t>
      </w:r>
      <w:r w:rsidRPr="002C0EDB">
        <w:rPr>
          <w:rFonts w:hint="eastAsia"/>
          <w:color w:val="FF0000"/>
        </w:rPr>
        <w:t>、厂房隔声门</w:t>
      </w:r>
    </w:p>
    <w:p w:rsidR="00D630FD" w:rsidRPr="002C0EDB" w:rsidRDefault="00D630FD" w:rsidP="00874F25">
      <w:pPr>
        <w:pStyle w:val="affa"/>
        <w:ind w:firstLine="480"/>
        <w:rPr>
          <w:color w:val="FF0000"/>
        </w:rPr>
      </w:pPr>
      <w:r w:rsidRPr="002C0EDB">
        <w:rPr>
          <w:rFonts w:hint="eastAsia"/>
          <w:color w:val="FF0000"/>
        </w:rPr>
        <w:t>厂房外侧设置厂房进风消声器，采用组装式结构，安装于厂房砖砌体上。过流通道截面宽为</w:t>
      </w:r>
      <w:r w:rsidRPr="002C0EDB">
        <w:rPr>
          <w:rFonts w:hint="eastAsia"/>
          <w:color w:val="FF0000"/>
        </w:rPr>
        <w:t>0.8m</w:t>
      </w:r>
      <w:r w:rsidRPr="002C0EDB">
        <w:rPr>
          <w:rFonts w:hint="eastAsia"/>
          <w:color w:val="FF0000"/>
        </w:rPr>
        <w:t>，过流长度为</w:t>
      </w:r>
      <w:r w:rsidRPr="002C0EDB">
        <w:rPr>
          <w:rFonts w:hint="eastAsia"/>
          <w:color w:val="FF0000"/>
        </w:rPr>
        <w:t>2m</w:t>
      </w:r>
      <w:r w:rsidR="002C0EDB" w:rsidRPr="002C0EDB">
        <w:rPr>
          <w:rFonts w:hint="eastAsia"/>
          <w:color w:val="FF0000"/>
        </w:rPr>
        <w:t>。</w:t>
      </w:r>
      <w:r w:rsidRPr="002C0EDB">
        <w:rPr>
          <w:rFonts w:hint="eastAsia"/>
          <w:color w:val="FF0000"/>
        </w:rPr>
        <w:t>消声器腔体厚</w:t>
      </w:r>
      <w:r w:rsidRPr="002C0EDB">
        <w:rPr>
          <w:rFonts w:hint="eastAsia"/>
          <w:color w:val="FF0000"/>
        </w:rPr>
        <w:t>120mm,</w:t>
      </w:r>
      <w:r w:rsidRPr="002C0EDB">
        <w:rPr>
          <w:rFonts w:hint="eastAsia"/>
          <w:color w:val="FF0000"/>
        </w:rPr>
        <w:t>腔体外层采用</w:t>
      </w:r>
      <w:r w:rsidRPr="002C0EDB">
        <w:rPr>
          <w:rFonts w:hint="eastAsia"/>
          <w:color w:val="FF0000"/>
        </w:rPr>
        <w:t>1mm</w:t>
      </w:r>
      <w:r w:rsidRPr="002C0EDB">
        <w:rPr>
          <w:rFonts w:hint="eastAsia"/>
          <w:color w:val="FF0000"/>
        </w:rPr>
        <w:t>钢板，内腔采用</w:t>
      </w:r>
      <w:r w:rsidRPr="002C0EDB">
        <w:rPr>
          <w:rFonts w:hint="eastAsia"/>
          <w:color w:val="FF0000"/>
        </w:rPr>
        <w:t>0.6mm</w:t>
      </w:r>
      <w:r w:rsidRPr="002C0EDB">
        <w:rPr>
          <w:rFonts w:hint="eastAsia"/>
          <w:color w:val="FF0000"/>
        </w:rPr>
        <w:t>镀锌穿孔钢板。墙体内设置导流片，导流片厚</w:t>
      </w:r>
      <w:r w:rsidRPr="002C0EDB">
        <w:rPr>
          <w:rFonts w:hint="eastAsia"/>
          <w:color w:val="FF0000"/>
        </w:rPr>
        <w:t>120mm</w:t>
      </w:r>
      <w:r w:rsidRPr="002C0EDB">
        <w:rPr>
          <w:rFonts w:hint="eastAsia"/>
          <w:color w:val="FF0000"/>
        </w:rPr>
        <w:t>，采用</w:t>
      </w:r>
      <w:r w:rsidRPr="002C0EDB">
        <w:rPr>
          <w:rFonts w:hint="eastAsia"/>
          <w:color w:val="FF0000"/>
        </w:rPr>
        <w:t>0.6mm</w:t>
      </w:r>
      <w:r w:rsidRPr="002C0EDB">
        <w:rPr>
          <w:rFonts w:hint="eastAsia"/>
          <w:color w:val="FF0000"/>
        </w:rPr>
        <w:t>镀锌穿孔钢板。腔体和导流片内填</w:t>
      </w:r>
      <w:r w:rsidRPr="002C0EDB">
        <w:rPr>
          <w:rFonts w:hint="eastAsia"/>
          <w:color w:val="FF0000"/>
        </w:rPr>
        <w:t>24kg/m</w:t>
      </w:r>
      <w:r w:rsidRPr="002C0EDB">
        <w:rPr>
          <w:rFonts w:hint="eastAsia"/>
          <w:color w:val="FF0000"/>
          <w:vertAlign w:val="superscript"/>
        </w:rPr>
        <w:t>3</w:t>
      </w:r>
      <w:r w:rsidRPr="002C0EDB">
        <w:rPr>
          <w:rFonts w:hint="eastAsia"/>
          <w:color w:val="FF0000"/>
        </w:rPr>
        <w:t>吸声棉板</w:t>
      </w:r>
      <w:r w:rsidR="002C0EDB" w:rsidRPr="002C0EDB">
        <w:rPr>
          <w:rFonts w:hint="eastAsia"/>
          <w:color w:val="FF0000"/>
        </w:rPr>
        <w:t>（玻纤布密封）</w:t>
      </w:r>
      <w:r w:rsidRPr="002C0EDB">
        <w:rPr>
          <w:rFonts w:hint="eastAsia"/>
          <w:color w:val="FF0000"/>
        </w:rPr>
        <w:t>。</w:t>
      </w:r>
    </w:p>
    <w:p w:rsidR="00D630FD" w:rsidRPr="002C0EDB" w:rsidRDefault="00D630FD" w:rsidP="00874F25">
      <w:pPr>
        <w:pStyle w:val="affa"/>
        <w:ind w:firstLine="480"/>
        <w:rPr>
          <w:color w:val="FF0000"/>
        </w:rPr>
      </w:pPr>
      <w:r w:rsidRPr="002C0EDB">
        <w:rPr>
          <w:rFonts w:hint="eastAsia"/>
          <w:color w:val="FF0000"/>
        </w:rPr>
        <w:t>IV</w:t>
      </w:r>
      <w:r w:rsidRPr="002C0EDB">
        <w:rPr>
          <w:rFonts w:hint="eastAsia"/>
          <w:color w:val="FF0000"/>
        </w:rPr>
        <w:t>、场界隔声围墙</w:t>
      </w:r>
    </w:p>
    <w:p w:rsidR="00D630FD" w:rsidRPr="002C0EDB" w:rsidRDefault="00D630FD" w:rsidP="00874F25">
      <w:pPr>
        <w:pStyle w:val="affa"/>
        <w:ind w:firstLine="480"/>
        <w:rPr>
          <w:color w:val="FF0000"/>
        </w:rPr>
      </w:pPr>
      <w:r w:rsidRPr="002C0EDB">
        <w:rPr>
          <w:rFonts w:hint="eastAsia"/>
          <w:color w:val="FF0000"/>
        </w:rPr>
        <w:t>为满足《工业企业厂界环境噪声排放标准》</w:t>
      </w:r>
      <w:r w:rsidR="002C0EDB" w:rsidRPr="002C0EDB">
        <w:rPr>
          <w:rFonts w:hint="eastAsia"/>
          <w:color w:val="FF0000"/>
        </w:rPr>
        <w:t>（</w:t>
      </w:r>
      <w:r w:rsidR="002C0EDB" w:rsidRPr="002C0EDB">
        <w:rPr>
          <w:rFonts w:hint="eastAsia"/>
          <w:color w:val="FF0000"/>
        </w:rPr>
        <w:t>GB12348-2008</w:t>
      </w:r>
      <w:r w:rsidR="002C0EDB" w:rsidRPr="002C0EDB">
        <w:rPr>
          <w:rFonts w:hint="eastAsia"/>
          <w:color w:val="FF0000"/>
        </w:rPr>
        <w:t>）</w:t>
      </w:r>
      <w:r w:rsidRPr="002C0EDB">
        <w:rPr>
          <w:rFonts w:hint="eastAsia"/>
          <w:color w:val="FF0000"/>
        </w:rPr>
        <w:t>2</w:t>
      </w:r>
      <w:r w:rsidRPr="002C0EDB">
        <w:rPr>
          <w:rFonts w:hint="eastAsia"/>
          <w:color w:val="FF0000"/>
        </w:rPr>
        <w:t>类标准限值要求，可建设隔声墙。</w:t>
      </w:r>
    </w:p>
    <w:p w:rsidR="00D630FD" w:rsidRPr="002C0EDB" w:rsidRDefault="00D630FD" w:rsidP="00874F25">
      <w:pPr>
        <w:pStyle w:val="affa"/>
        <w:ind w:firstLine="480"/>
        <w:rPr>
          <w:color w:val="FF0000"/>
        </w:rPr>
      </w:pPr>
      <w:r w:rsidRPr="002C0EDB">
        <w:rPr>
          <w:rFonts w:hint="eastAsia"/>
          <w:color w:val="FF0000"/>
        </w:rPr>
        <w:t>降噪效果：</w:t>
      </w:r>
    </w:p>
    <w:p w:rsidR="00D630FD" w:rsidRPr="002C0EDB" w:rsidRDefault="00D630FD" w:rsidP="00874F25">
      <w:pPr>
        <w:pStyle w:val="affa"/>
        <w:ind w:firstLine="480"/>
        <w:rPr>
          <w:color w:val="FF0000"/>
        </w:rPr>
      </w:pPr>
      <w:r w:rsidRPr="002C0EDB">
        <w:rPr>
          <w:rFonts w:hint="eastAsia"/>
          <w:color w:val="FF0000"/>
        </w:rPr>
        <w:t>1</w:t>
      </w:r>
      <w:r w:rsidRPr="002C0EDB">
        <w:rPr>
          <w:rFonts w:hint="eastAsia"/>
          <w:color w:val="FF0000"/>
        </w:rPr>
        <w:t>、降噪厂房降噪效果降噪厂房墙体为双层吸隔声模块式结构，该双层模块式吸隔声体围护结构采用内外双层模块式吸隔声体组合结构，该结构中间有空气层相隔的分离墙板。通过经验公式计算出，隔声量为</w:t>
      </w:r>
      <w:r w:rsidRPr="002C0EDB">
        <w:rPr>
          <w:rFonts w:hint="eastAsia"/>
          <w:color w:val="FF0000"/>
        </w:rPr>
        <w:t>5SdB</w:t>
      </w:r>
      <w:r w:rsidRPr="002C0EDB">
        <w:rPr>
          <w:rFonts w:hint="eastAsia"/>
          <w:color w:val="FF0000"/>
        </w:rPr>
        <w:t>。</w:t>
      </w:r>
    </w:p>
    <w:p w:rsidR="00D630FD" w:rsidRPr="002C0EDB" w:rsidRDefault="00D630FD" w:rsidP="00874F25">
      <w:pPr>
        <w:pStyle w:val="affa"/>
        <w:ind w:firstLine="480"/>
        <w:rPr>
          <w:color w:val="FF0000"/>
        </w:rPr>
      </w:pPr>
      <w:r w:rsidRPr="002C0EDB">
        <w:rPr>
          <w:rFonts w:hint="eastAsia"/>
          <w:color w:val="FF0000"/>
        </w:rPr>
        <w:t>II</w:t>
      </w:r>
      <w:r w:rsidRPr="002C0EDB">
        <w:rPr>
          <w:rFonts w:hint="eastAsia"/>
          <w:color w:val="FF0000"/>
        </w:rPr>
        <w:t>、用墙降噪效果场界隔声围墙，砌筑</w:t>
      </w:r>
      <w:r w:rsidRPr="002C0EDB">
        <w:rPr>
          <w:rFonts w:hint="eastAsia"/>
          <w:color w:val="FF0000"/>
        </w:rPr>
        <w:t>180mm</w:t>
      </w:r>
      <w:r w:rsidRPr="002C0EDB">
        <w:rPr>
          <w:rFonts w:hint="eastAsia"/>
          <w:color w:val="FF0000"/>
        </w:rPr>
        <w:t>厚</w:t>
      </w:r>
      <w:r w:rsidRPr="002C0EDB">
        <w:rPr>
          <w:rFonts w:hint="eastAsia"/>
          <w:color w:val="FF0000"/>
        </w:rPr>
        <w:t>M7.5</w:t>
      </w:r>
      <w:r w:rsidRPr="002C0EDB">
        <w:rPr>
          <w:rFonts w:hint="eastAsia"/>
          <w:color w:val="FF0000"/>
        </w:rPr>
        <w:t>水泥砂浆</w:t>
      </w:r>
      <w:r w:rsidRPr="002C0EDB">
        <w:rPr>
          <w:rFonts w:hint="eastAsia"/>
          <w:color w:val="FF0000"/>
        </w:rPr>
        <w:t>MU10</w:t>
      </w:r>
      <w:r w:rsidRPr="002C0EDB">
        <w:rPr>
          <w:rFonts w:hint="eastAsia"/>
          <w:color w:val="FF0000"/>
        </w:rPr>
        <w:t>页岩砖墙</w:t>
      </w:r>
      <w:r w:rsidRPr="002C0EDB">
        <w:rPr>
          <w:rFonts w:hint="eastAsia"/>
          <w:color w:val="FF0000"/>
        </w:rPr>
        <w:t>:</w:t>
      </w:r>
      <w:r w:rsidRPr="002C0EDB">
        <w:rPr>
          <w:rFonts w:hint="eastAsia"/>
          <w:color w:val="FF0000"/>
        </w:rPr>
        <w:t>隔声墙基础为</w:t>
      </w:r>
      <w:r w:rsidRPr="002C0EDB">
        <w:rPr>
          <w:rFonts w:hint="eastAsia"/>
          <w:color w:val="FF0000"/>
        </w:rPr>
        <w:t>C25</w:t>
      </w:r>
      <w:r w:rsidRPr="002C0EDB">
        <w:rPr>
          <w:rFonts w:hint="eastAsia"/>
          <w:color w:val="FF0000"/>
        </w:rPr>
        <w:t>地梁，被面尺寸为</w:t>
      </w:r>
      <w:r w:rsidRPr="002C0EDB">
        <w:rPr>
          <w:rFonts w:hint="eastAsia"/>
          <w:color w:val="FF0000"/>
        </w:rPr>
        <w:t xml:space="preserve">300x400mm. </w:t>
      </w:r>
      <w:r w:rsidRPr="002C0EDB">
        <w:rPr>
          <w:rFonts w:hint="eastAsia"/>
          <w:color w:val="FF0000"/>
        </w:rPr>
        <w:t>围墙长约</w:t>
      </w:r>
      <w:r w:rsidRPr="002C0EDB">
        <w:rPr>
          <w:rFonts w:hint="eastAsia"/>
          <w:color w:val="FF0000"/>
        </w:rPr>
        <w:t>80m</w:t>
      </w:r>
      <w:r w:rsidR="002C0EDB" w:rsidRPr="002C0EDB">
        <w:rPr>
          <w:rFonts w:hint="eastAsia"/>
          <w:color w:val="FF0000"/>
        </w:rPr>
        <w:t>，</w:t>
      </w:r>
      <w:r w:rsidRPr="002C0EDB">
        <w:rPr>
          <w:rFonts w:hint="eastAsia"/>
          <w:color w:val="FF0000"/>
        </w:rPr>
        <w:t>高度大于增压机组消声器等噪声出口水平高度，并在围墙上安装吸声材料。降噪围墙可降低噪声值约</w:t>
      </w:r>
      <w:r w:rsidRPr="002C0EDB">
        <w:rPr>
          <w:rFonts w:hint="eastAsia"/>
          <w:color w:val="FF0000"/>
        </w:rPr>
        <w:t>8-12dB</w:t>
      </w:r>
      <w:r w:rsidR="002C0EDB" w:rsidRPr="002C0EDB">
        <w:rPr>
          <w:rFonts w:hint="eastAsia"/>
          <w:color w:val="FF0000"/>
        </w:rPr>
        <w:t>（</w:t>
      </w:r>
      <w:r w:rsidR="002C0EDB" w:rsidRPr="002C0EDB">
        <w:rPr>
          <w:rFonts w:hint="eastAsia"/>
          <w:color w:val="FF0000"/>
        </w:rPr>
        <w:t>A</w:t>
      </w:r>
      <w:r w:rsidR="002C0EDB" w:rsidRPr="002C0EDB">
        <w:rPr>
          <w:rFonts w:hint="eastAsia"/>
          <w:color w:val="FF0000"/>
        </w:rPr>
        <w:t>）</w:t>
      </w:r>
      <w:r w:rsidR="002C0EDB" w:rsidRPr="002C0EDB">
        <w:rPr>
          <w:rFonts w:hint="eastAsia"/>
          <w:color w:val="FF0000"/>
        </w:rPr>
        <w:t xml:space="preserve"> </w:t>
      </w:r>
      <w:r w:rsidRPr="002C0EDB">
        <w:rPr>
          <w:rFonts w:hint="eastAsia"/>
          <w:color w:val="FF0000"/>
        </w:rPr>
        <w:t>。</w:t>
      </w:r>
    </w:p>
    <w:p w:rsidR="00D630FD" w:rsidRPr="002C0EDB" w:rsidRDefault="00D630FD" w:rsidP="00874F25">
      <w:pPr>
        <w:pStyle w:val="affa"/>
        <w:ind w:firstLine="480"/>
        <w:rPr>
          <w:color w:val="FF0000"/>
        </w:rPr>
      </w:pPr>
      <w:r w:rsidRPr="002C0EDB">
        <w:rPr>
          <w:rFonts w:hint="eastAsia"/>
          <w:color w:val="FF0000"/>
        </w:rPr>
        <w:t>III.</w:t>
      </w:r>
      <w:r w:rsidRPr="002C0EDB">
        <w:rPr>
          <w:rFonts w:hint="eastAsia"/>
          <w:color w:val="FF0000"/>
        </w:rPr>
        <w:t>减振减震措施主要采用在基础四周砌筑减振沟</w:t>
      </w:r>
      <w:r w:rsidR="002C0EDB" w:rsidRPr="002C0EDB">
        <w:rPr>
          <w:rFonts w:hint="eastAsia"/>
          <w:color w:val="FF0000"/>
        </w:rPr>
        <w:t>，</w:t>
      </w:r>
      <w:r w:rsidRPr="002C0EDB">
        <w:rPr>
          <w:rFonts w:hint="eastAsia"/>
          <w:color w:val="FF0000"/>
        </w:rPr>
        <w:t>减振沟深度与增压机组基础深度</w:t>
      </w:r>
      <w:r w:rsidR="002C0EDB" w:rsidRPr="002C0EDB">
        <w:rPr>
          <w:rFonts w:hint="eastAsia"/>
          <w:color w:val="FF0000"/>
        </w:rPr>
        <w:t>一</w:t>
      </w:r>
      <w:r w:rsidRPr="002C0EDB">
        <w:rPr>
          <w:rFonts w:hint="eastAsia"/>
          <w:color w:val="FF0000"/>
        </w:rPr>
        <w:t>致，宽</w:t>
      </w:r>
      <w:r w:rsidRPr="002C0EDB">
        <w:rPr>
          <w:rFonts w:hint="eastAsia"/>
          <w:color w:val="FF0000"/>
        </w:rPr>
        <w:t>0.3m</w:t>
      </w:r>
      <w:r w:rsidR="002C0EDB" w:rsidRPr="002C0EDB">
        <w:rPr>
          <w:rFonts w:hint="eastAsia"/>
          <w:color w:val="FF0000"/>
        </w:rPr>
        <w:t>，</w:t>
      </w:r>
      <w:r w:rsidRPr="002C0EDB">
        <w:rPr>
          <w:rFonts w:hint="eastAsia"/>
          <w:color w:val="FF0000"/>
        </w:rPr>
        <w:t>用</w:t>
      </w:r>
      <w:r w:rsidRPr="002C0EDB">
        <w:rPr>
          <w:rFonts w:hint="eastAsia"/>
          <w:color w:val="FF0000"/>
        </w:rPr>
        <w:t>M5</w:t>
      </w:r>
      <w:r w:rsidRPr="002C0EDB">
        <w:rPr>
          <w:rFonts w:hint="eastAsia"/>
          <w:color w:val="FF0000"/>
        </w:rPr>
        <w:t>水泥砂浆砌筑条石，减振沟垫层采用</w:t>
      </w:r>
      <w:r w:rsidRPr="002C0EDB">
        <w:rPr>
          <w:rFonts w:hint="eastAsia"/>
          <w:color w:val="FF0000"/>
        </w:rPr>
        <w:t>900mm</w:t>
      </w:r>
      <w:r w:rsidRPr="002C0EDB">
        <w:rPr>
          <w:rFonts w:hint="eastAsia"/>
          <w:color w:val="FF0000"/>
        </w:rPr>
        <w:t>宽，</w:t>
      </w:r>
      <w:r w:rsidRPr="002C0EDB">
        <w:rPr>
          <w:rFonts w:hint="eastAsia"/>
          <w:color w:val="FF0000"/>
        </w:rPr>
        <w:t xml:space="preserve">100mm </w:t>
      </w:r>
      <w:r w:rsidRPr="002C0EDB">
        <w:rPr>
          <w:rFonts w:hint="eastAsia"/>
          <w:color w:val="FF0000"/>
        </w:rPr>
        <w:t>厚，</w:t>
      </w:r>
      <w:r w:rsidRPr="002C0EDB">
        <w:rPr>
          <w:rFonts w:hint="eastAsia"/>
          <w:color w:val="FF0000"/>
        </w:rPr>
        <w:t>C15</w:t>
      </w:r>
      <w:r w:rsidRPr="002C0EDB">
        <w:rPr>
          <w:rFonts w:hint="eastAsia"/>
          <w:color w:val="FF0000"/>
        </w:rPr>
        <w:t>素混凝土垫层。减振沟内采用阻燃聚乙烯泡沫材料填充。并加固机房内振动较大的管道。通过该减振措施可降噪约</w:t>
      </w:r>
      <w:r w:rsidRPr="002C0EDB">
        <w:rPr>
          <w:rFonts w:hint="eastAsia"/>
          <w:color w:val="FF0000"/>
        </w:rPr>
        <w:t>8dB</w:t>
      </w:r>
      <w:r w:rsidR="002C0EDB" w:rsidRPr="002C0EDB">
        <w:rPr>
          <w:rFonts w:hint="eastAsia"/>
          <w:color w:val="FF0000"/>
        </w:rPr>
        <w:t>（</w:t>
      </w:r>
      <w:r w:rsidR="002C0EDB" w:rsidRPr="002C0EDB">
        <w:rPr>
          <w:rFonts w:hint="eastAsia"/>
          <w:color w:val="FF0000"/>
        </w:rPr>
        <w:t>A</w:t>
      </w:r>
      <w:r w:rsidR="002C0EDB" w:rsidRPr="002C0EDB">
        <w:rPr>
          <w:rFonts w:hint="eastAsia"/>
          <w:color w:val="FF0000"/>
        </w:rPr>
        <w:t>）</w:t>
      </w:r>
      <w:r w:rsidRPr="002C0EDB">
        <w:rPr>
          <w:rFonts w:hint="eastAsia"/>
          <w:color w:val="FF0000"/>
        </w:rPr>
        <w:t>。</w:t>
      </w:r>
    </w:p>
    <w:p w:rsidR="00D630FD" w:rsidRPr="002C0EDB" w:rsidRDefault="00D630FD" w:rsidP="00874F25">
      <w:pPr>
        <w:pStyle w:val="affa"/>
        <w:ind w:firstLine="480"/>
        <w:rPr>
          <w:color w:val="FF0000"/>
        </w:rPr>
      </w:pPr>
      <w:r w:rsidRPr="002C0EDB">
        <w:rPr>
          <w:rFonts w:hint="eastAsia"/>
          <w:color w:val="FF0000"/>
        </w:rPr>
        <w:t>IV</w:t>
      </w:r>
      <w:r w:rsidR="002C0EDB" w:rsidRPr="002C0EDB">
        <w:rPr>
          <w:rFonts w:hint="eastAsia"/>
          <w:color w:val="FF0000"/>
        </w:rPr>
        <w:t>、厂</w:t>
      </w:r>
      <w:r w:rsidRPr="002C0EDB">
        <w:rPr>
          <w:rFonts w:hint="eastAsia"/>
          <w:color w:val="FF0000"/>
        </w:rPr>
        <w:t>房进、出风采取下进上出形式</w:t>
      </w:r>
      <w:r w:rsidR="002C0EDB" w:rsidRPr="002C0EDB">
        <w:rPr>
          <w:rFonts w:hint="eastAsia"/>
          <w:color w:val="FF0000"/>
        </w:rPr>
        <w:t>；</w:t>
      </w:r>
      <w:r w:rsidRPr="002C0EDB">
        <w:rPr>
          <w:rFonts w:hint="eastAsia"/>
          <w:color w:val="FF0000"/>
        </w:rPr>
        <w:t>进风口安装有进风消声器和</w:t>
      </w:r>
      <w:r w:rsidRPr="002C0EDB">
        <w:rPr>
          <w:rFonts w:hint="eastAsia"/>
          <w:color w:val="FF0000"/>
        </w:rPr>
        <w:t>240mm</w:t>
      </w:r>
      <w:r w:rsidRPr="002C0EDB">
        <w:rPr>
          <w:rFonts w:hint="eastAsia"/>
          <w:color w:val="FF0000"/>
        </w:rPr>
        <w:t>砖砌体。冷却器导风消声弯头处设置隔声罩体，并安装有空冷器出风清声片。消声器和消声弯头至于降噪厂房外，出口朝向远离农户方向。</w:t>
      </w:r>
    </w:p>
    <w:p w:rsidR="00BD5820" w:rsidRDefault="002C0EDB">
      <w:pPr>
        <w:pStyle w:val="affa"/>
        <w:ind w:firstLine="480"/>
      </w:pPr>
      <w:r w:rsidRPr="002C0EDB">
        <w:rPr>
          <w:rFonts w:hint="eastAsia"/>
        </w:rPr>
        <w:t>本项目可根据以上降噪方案结合经济性合理选用降噪方案，类比同</w:t>
      </w:r>
      <w:r>
        <w:rPr>
          <w:rFonts w:hint="eastAsia"/>
        </w:rPr>
        <w:t>类项目，经过噪声治理后</w:t>
      </w:r>
      <w:r w:rsidR="00F64314">
        <w:rPr>
          <w:rFonts w:hint="eastAsia"/>
        </w:rPr>
        <w:t>，其噪声值降至</w:t>
      </w:r>
      <w:r w:rsidR="00F64314">
        <w:rPr>
          <w:rFonts w:hint="eastAsia"/>
        </w:rPr>
        <w:t>65</w:t>
      </w:r>
      <w:r w:rsidR="00F64314">
        <w:t>dB</w:t>
      </w:r>
      <w:r w:rsidR="00F64314">
        <w:rPr>
          <w:rFonts w:hint="eastAsia"/>
        </w:rPr>
        <w:t>（</w:t>
      </w:r>
      <w:r w:rsidR="00F64314">
        <w:t>A</w:t>
      </w:r>
      <w:r w:rsidR="00F64314">
        <w:rPr>
          <w:rFonts w:hint="eastAsia"/>
        </w:rPr>
        <w:t>）以下。在不考虑空气吸收、声波反射，而只考虑声能随距离衰减的情况下，其噪声衰减公式如下：</w:t>
      </w:r>
    </w:p>
    <w:p w:rsidR="00BD5820" w:rsidRDefault="00EA3750">
      <w:pPr>
        <w:pStyle w:val="affa"/>
        <w:ind w:firstLine="480"/>
      </w:pPr>
      <m:oMathPara>
        <m:oMath>
          <m:sSub>
            <m:sSubPr>
              <m:ctrlPr>
                <w:rPr>
                  <w:rFonts w:ascii="Cambria Math" w:hAnsi="Cambria Math"/>
                </w:rPr>
              </m:ctrlPr>
            </m:sSubPr>
            <m:e>
              <m:r>
                <w:rPr>
                  <w:rFonts w:ascii="Cambria Math" w:hAnsi="Cambria Math"/>
                </w:rPr>
                <m:t>L</m:t>
              </m:r>
            </m:e>
            <m:sub>
              <m:r>
                <w:rPr>
                  <w:rFonts w:ascii="Cambria Math" w:hAnsi="Cambria Math" w:hint="eastAsia"/>
                </w:rPr>
                <m:t>m</m:t>
              </m:r>
            </m:sub>
          </m:sSub>
          <m:r>
            <m:rPr>
              <m:sty m:val="p"/>
            </m:rPr>
            <w:rPr>
              <w:rFonts w:ascii="Cambria Math" w:hAnsi="Cambria Math"/>
            </w:rPr>
            <m:t>=</m:t>
          </m:r>
          <m:sSub>
            <m:sSubPr>
              <m:ctrlPr>
                <w:rPr>
                  <w:rFonts w:ascii="Cambria Math" w:hAnsi="Cambria Math"/>
                </w:rPr>
              </m:ctrlPr>
            </m:sSubPr>
            <m:e>
              <m:r>
                <w:rPr>
                  <w:rFonts w:ascii="Cambria Math" w:hAnsi="Cambria Math"/>
                </w:rPr>
                <m:t>L</m:t>
              </m:r>
            </m:e>
            <m:sub>
              <m:r>
                <m:rPr>
                  <m:sty m:val="p"/>
                </m:rPr>
                <w:rPr>
                  <w:rFonts w:ascii="Cambria Math" w:hAnsi="Cambria Math"/>
                </w:rPr>
                <m:t>0</m:t>
              </m:r>
            </m:sub>
          </m:sSub>
          <m:r>
            <m:rPr>
              <m:sty m:val="p"/>
            </m:rPr>
            <w:rPr>
              <w:rFonts w:ascii="Cambria Math" w:hAnsi="Cambria Math"/>
            </w:rPr>
            <m:t>-20</m:t>
          </m:r>
          <m:func>
            <m:funcPr>
              <m:ctrlPr>
                <w:rPr>
                  <w:rFonts w:ascii="Cambria Math" w:hAnsi="Cambria Math"/>
                </w:rPr>
              </m:ctrlPr>
            </m:funcPr>
            <m:fName>
              <m:r>
                <m:rPr>
                  <m:sty m:val="p"/>
                </m:rPr>
                <w:rPr>
                  <w:rFonts w:ascii="Cambria Math" w:hAnsi="Cambria Math"/>
                </w:rPr>
                <m:t>lg</m:t>
              </m:r>
            </m:fName>
            <m:e>
              <m:d>
                <m:dPr>
                  <m:ctrlPr>
                    <w:rPr>
                      <w:rFonts w:ascii="Cambria Math" w:hAnsi="Cambria Math"/>
                    </w:rPr>
                  </m:ctrlPr>
                </m:dPr>
                <m:e>
                  <m:f>
                    <m:fPr>
                      <m:type m:val="lin"/>
                      <m:ctrlPr>
                        <w:rPr>
                          <w:rFonts w:ascii="Cambria Math" w:hAnsi="Cambria Math"/>
                        </w:rPr>
                      </m:ctrlPr>
                    </m:fPr>
                    <m:num>
                      <m:r>
                        <w:rPr>
                          <w:rFonts w:ascii="Cambria Math" w:hAnsi="Cambria Math"/>
                        </w:rPr>
                        <m:t>r</m:t>
                      </m:r>
                    </m:num>
                    <m:den>
                      <m:sSub>
                        <m:sSubPr>
                          <m:ctrlPr>
                            <w:rPr>
                              <w:rFonts w:ascii="Cambria Math" w:hAnsi="Cambria Math"/>
                            </w:rPr>
                          </m:ctrlPr>
                        </m:sSubPr>
                        <m:e>
                          <m:r>
                            <w:rPr>
                              <w:rFonts w:ascii="Cambria Math" w:hAnsi="Cambria Math"/>
                            </w:rPr>
                            <m:t>r</m:t>
                          </m:r>
                        </m:e>
                        <m:sub>
                          <m:r>
                            <m:rPr>
                              <m:sty m:val="p"/>
                            </m:rPr>
                            <w:rPr>
                              <w:rFonts w:ascii="Cambria Math" w:hAnsi="Cambria Math"/>
                            </w:rPr>
                            <m:t>0</m:t>
                          </m:r>
                        </m:sub>
                      </m:sSub>
                    </m:den>
                  </m:f>
                </m:e>
              </m:d>
            </m:e>
          </m:func>
        </m:oMath>
      </m:oMathPara>
    </w:p>
    <w:p w:rsidR="00BD5820" w:rsidRDefault="00EA3750">
      <w:pPr>
        <w:pStyle w:val="affa"/>
        <w:ind w:firstLine="480"/>
      </w:pPr>
      <m:oMath>
        <m:sSub>
          <m:sSubPr>
            <m:ctrlPr>
              <w:rPr>
                <w:rFonts w:ascii="Cambria Math" w:hAnsi="Cambria Math"/>
              </w:rPr>
            </m:ctrlPr>
          </m:sSubPr>
          <m:e>
            <m:r>
              <w:rPr>
                <w:rFonts w:ascii="Cambria Math" w:hAnsi="Cambria Math"/>
              </w:rPr>
              <m:t>L</m:t>
            </m:r>
          </m:e>
          <m:sub>
            <m:r>
              <w:rPr>
                <w:rFonts w:ascii="Cambria Math" w:hAnsi="Cambria Math" w:hint="eastAsia"/>
              </w:rPr>
              <m:t>m</m:t>
            </m:r>
          </m:sub>
        </m:sSub>
      </m:oMath>
      <w:r w:rsidR="00F64314">
        <w:t>——</w:t>
      </w:r>
      <w:r w:rsidR="00F64314">
        <w:rPr>
          <w:rFonts w:hint="eastAsia"/>
        </w:rPr>
        <w:t>距离声源为</w:t>
      </w:r>
      <w:r w:rsidR="00F64314">
        <w:rPr>
          <w:rFonts w:hint="eastAsia"/>
        </w:rPr>
        <w:t>r</w:t>
      </w:r>
      <w:r w:rsidR="00F64314">
        <w:rPr>
          <w:rFonts w:hint="eastAsia"/>
        </w:rPr>
        <w:t>米处预测受声点噪声预测值，</w:t>
      </w:r>
      <w:r w:rsidR="00F64314">
        <w:t>dB</w:t>
      </w:r>
      <w:r w:rsidR="00F64314">
        <w:rPr>
          <w:rFonts w:hint="eastAsia"/>
        </w:rPr>
        <w:t>（</w:t>
      </w:r>
      <w:r w:rsidR="00F64314">
        <w:t>A</w:t>
      </w:r>
      <w:r w:rsidR="00F64314">
        <w:rPr>
          <w:rFonts w:hint="eastAsia"/>
        </w:rPr>
        <w:t>）</w:t>
      </w:r>
      <w:r w:rsidR="00F64314">
        <w:t>；</w:t>
      </w:r>
    </w:p>
    <w:p w:rsidR="00BD5820" w:rsidRDefault="00EA3750">
      <w:pPr>
        <w:pStyle w:val="affa"/>
        <w:ind w:firstLine="480"/>
      </w:pPr>
      <m:oMath>
        <m:sSub>
          <m:sSubPr>
            <m:ctrlPr>
              <w:rPr>
                <w:rFonts w:ascii="Cambria Math" w:hAnsi="Cambria Math"/>
              </w:rPr>
            </m:ctrlPr>
          </m:sSubPr>
          <m:e>
            <m:r>
              <w:rPr>
                <w:rFonts w:ascii="Cambria Math" w:hAnsi="Cambria Math"/>
              </w:rPr>
              <m:t>L</m:t>
            </m:r>
          </m:e>
          <m:sub>
            <m:r>
              <m:rPr>
                <m:sty m:val="p"/>
              </m:rPr>
              <w:rPr>
                <w:rFonts w:ascii="Cambria Math" w:hAnsi="Cambria Math"/>
              </w:rPr>
              <m:t>0</m:t>
            </m:r>
          </m:sub>
        </m:sSub>
      </m:oMath>
      <w:r w:rsidR="00F64314">
        <w:t>——</w:t>
      </w:r>
      <w:r w:rsidR="00F64314">
        <w:rPr>
          <w:rFonts w:hint="eastAsia"/>
        </w:rPr>
        <w:t>距离声源为</w:t>
      </w:r>
      <w:r w:rsidR="00F64314">
        <w:rPr>
          <w:rFonts w:hint="eastAsia"/>
        </w:rPr>
        <w:t>r</w:t>
      </w:r>
      <w:r w:rsidR="00F64314">
        <w:rPr>
          <w:rFonts w:hint="eastAsia"/>
          <w:vertAlign w:val="subscript"/>
        </w:rPr>
        <w:t>0</w:t>
      </w:r>
      <w:r w:rsidR="00F64314">
        <w:rPr>
          <w:rFonts w:hint="eastAsia"/>
        </w:rPr>
        <w:t>米处声源的总声级值，</w:t>
      </w:r>
      <w:r w:rsidR="00F64314">
        <w:t>dB</w:t>
      </w:r>
      <w:r w:rsidR="00F64314">
        <w:rPr>
          <w:rFonts w:hint="eastAsia"/>
        </w:rPr>
        <w:t>（</w:t>
      </w:r>
      <w:r w:rsidR="00F64314">
        <w:t>A</w:t>
      </w:r>
      <w:r w:rsidR="00F64314">
        <w:rPr>
          <w:rFonts w:hint="eastAsia"/>
        </w:rPr>
        <w:t>）；</w:t>
      </w:r>
    </w:p>
    <w:p w:rsidR="00BD5820" w:rsidRDefault="00F64314">
      <w:pPr>
        <w:pStyle w:val="affa"/>
        <w:ind w:firstLine="480"/>
      </w:pPr>
      <m:oMath>
        <m:r>
          <w:rPr>
            <w:rFonts w:ascii="Cambria Math" w:hAnsi="Cambria Math"/>
          </w:rPr>
          <m:t>r</m:t>
        </m:r>
      </m:oMath>
      <w:r>
        <w:t>——</w:t>
      </w:r>
      <w:r>
        <w:rPr>
          <w:rFonts w:hint="eastAsia"/>
        </w:rPr>
        <w:t>预测受声点距离声源的预测距离，</w:t>
      </w:r>
      <w:r>
        <w:t>m</w:t>
      </w:r>
      <w:r>
        <w:rPr>
          <w:rFonts w:hint="eastAsia"/>
        </w:rPr>
        <w:t>；</w:t>
      </w:r>
    </w:p>
    <w:p w:rsidR="00BD5820" w:rsidRDefault="00EA3750">
      <w:pPr>
        <w:pStyle w:val="affa"/>
        <w:ind w:firstLine="480"/>
      </w:pPr>
      <m:oMath>
        <m:sSub>
          <m:sSubPr>
            <m:ctrlPr>
              <w:rPr>
                <w:rFonts w:ascii="Cambria Math" w:hAnsi="Cambria Math"/>
              </w:rPr>
            </m:ctrlPr>
          </m:sSubPr>
          <m:e>
            <m:r>
              <w:rPr>
                <w:rFonts w:ascii="Cambria Math" w:hAnsi="Cambria Math"/>
              </w:rPr>
              <m:t>r</m:t>
            </m:r>
          </m:e>
          <m:sub>
            <m:r>
              <m:rPr>
                <m:sty m:val="p"/>
              </m:rPr>
              <w:rPr>
                <w:rFonts w:ascii="Cambria Math" w:hAnsi="Cambria Math"/>
              </w:rPr>
              <m:t>0</m:t>
            </m:r>
          </m:sub>
        </m:sSub>
      </m:oMath>
      <w:r w:rsidR="00F64314">
        <w:t>——</w:t>
      </w:r>
      <w:r w:rsidR="00F64314">
        <w:rPr>
          <w:rFonts w:hint="eastAsia"/>
        </w:rPr>
        <w:t>噪声受点</w:t>
      </w:r>
      <w:r w:rsidR="00F64314">
        <w:t>r</w:t>
      </w:r>
      <w:r w:rsidR="00F64314">
        <w:rPr>
          <w:vertAlign w:val="subscript"/>
        </w:rPr>
        <w:t>0</w:t>
      </w:r>
      <w:r w:rsidR="00F64314">
        <w:rPr>
          <w:rFonts w:hint="eastAsia"/>
        </w:rPr>
        <w:t>处与噪声源的距离，</w:t>
      </w:r>
      <w:r w:rsidR="00F64314">
        <w:t>m</w:t>
      </w:r>
      <w:r w:rsidR="00F64314">
        <w:rPr>
          <w:rFonts w:hint="eastAsia"/>
        </w:rPr>
        <w:t>。</w:t>
      </w:r>
    </w:p>
    <w:p w:rsidR="00BD5820" w:rsidRDefault="00F64314">
      <w:pPr>
        <w:pStyle w:val="affa"/>
        <w:ind w:firstLine="480"/>
      </w:pPr>
      <w:r>
        <w:rPr>
          <w:rFonts w:hint="eastAsia"/>
        </w:rPr>
        <w:t>本项目普光气田</w:t>
      </w:r>
      <w:r>
        <w:rPr>
          <w:rFonts w:hint="eastAsia"/>
        </w:rPr>
        <w:t>1#</w:t>
      </w:r>
      <w:r>
        <w:rPr>
          <w:rFonts w:hint="eastAsia"/>
        </w:rPr>
        <w:t>增压站厂界噪声预测情况见表</w:t>
      </w:r>
      <w:r>
        <w:rPr>
          <w:rFonts w:hint="eastAsia"/>
        </w:rPr>
        <w:t>6.2-7</w:t>
      </w:r>
      <w:r>
        <w:rPr>
          <w:rFonts w:hint="eastAsia"/>
        </w:rPr>
        <w:t>。</w:t>
      </w:r>
    </w:p>
    <w:p w:rsidR="00BD5820" w:rsidRDefault="00F64314">
      <w:pPr>
        <w:pStyle w:val="10"/>
      </w:pPr>
      <w:r>
        <w:rPr>
          <w:rFonts w:hint="eastAsia"/>
        </w:rPr>
        <w:t>表</w:t>
      </w:r>
      <w:r>
        <w:t>6.2-</w:t>
      </w:r>
      <w:r>
        <w:rPr>
          <w:rFonts w:hint="eastAsia"/>
        </w:rPr>
        <w:t>7</w:t>
      </w:r>
      <w:r>
        <w:t xml:space="preserve"> </w:t>
      </w:r>
      <w:r>
        <w:rPr>
          <w:rFonts w:hint="eastAsia"/>
        </w:rPr>
        <w:t>普光气田</w:t>
      </w:r>
      <w:r>
        <w:rPr>
          <w:rFonts w:hint="eastAsia"/>
        </w:rPr>
        <w:t>1#</w:t>
      </w:r>
      <w:r>
        <w:rPr>
          <w:rFonts w:hint="eastAsia"/>
        </w:rPr>
        <w:t>增压站厂界噪声预测情况</w:t>
      </w:r>
      <w:r>
        <w:rPr>
          <w:rFonts w:hint="eastAsia"/>
        </w:rPr>
        <w:t xml:space="preserve"> </w:t>
      </w:r>
      <w:r>
        <w:t xml:space="preserve">  </w:t>
      </w:r>
      <w:r>
        <w:rPr>
          <w:rFonts w:hint="eastAsia"/>
        </w:rPr>
        <w:t>单位：</w:t>
      </w:r>
      <w:r>
        <w:t>dB</w:t>
      </w:r>
      <w:r>
        <w:rPr>
          <w:rFonts w:hint="eastAsia"/>
        </w:rPr>
        <w:t>（</w:t>
      </w:r>
      <w:r>
        <w:t>A</w:t>
      </w:r>
      <w:r>
        <w:rPr>
          <w:rFonts w:hint="eastAsia"/>
        </w:rPr>
        <w:t>）</w:t>
      </w:r>
    </w:p>
    <w:tbl>
      <w:tblPr>
        <w:tblW w:w="8777" w:type="dxa"/>
        <w:jc w:val="center"/>
        <w:tblBorders>
          <w:top w:val="single" w:sz="12" w:space="0" w:color="000000"/>
          <w:bottom w:val="single" w:sz="12" w:space="0" w:color="000000"/>
          <w:insideH w:val="single" w:sz="2" w:space="0" w:color="000000"/>
          <w:insideV w:val="single" w:sz="2" w:space="0" w:color="000000"/>
        </w:tblBorders>
        <w:tblLook w:val="04A0"/>
      </w:tblPr>
      <w:tblGrid>
        <w:gridCol w:w="1319"/>
        <w:gridCol w:w="897"/>
        <w:gridCol w:w="794"/>
        <w:gridCol w:w="959"/>
        <w:gridCol w:w="960"/>
        <w:gridCol w:w="964"/>
        <w:gridCol w:w="965"/>
        <w:gridCol w:w="959"/>
        <w:gridCol w:w="960"/>
      </w:tblGrid>
      <w:tr w:rsidR="00BD5820">
        <w:trPr>
          <w:trHeight w:val="258"/>
          <w:jc w:val="center"/>
        </w:trPr>
        <w:tc>
          <w:tcPr>
            <w:tcW w:w="1319" w:type="dxa"/>
            <w:vMerge w:val="restart"/>
            <w:vAlign w:val="center"/>
          </w:tcPr>
          <w:p w:rsidR="00BD5820" w:rsidRDefault="00F64314">
            <w:pPr>
              <w:pStyle w:val="affa"/>
              <w:spacing w:line="240" w:lineRule="auto"/>
              <w:ind w:firstLineChars="0" w:firstLine="0"/>
              <w:jc w:val="center"/>
              <w:rPr>
                <w:b/>
                <w:bCs/>
                <w:sz w:val="21"/>
                <w:szCs w:val="21"/>
              </w:rPr>
            </w:pPr>
            <w:r>
              <w:rPr>
                <w:rFonts w:hint="eastAsia"/>
                <w:b/>
                <w:bCs/>
                <w:sz w:val="21"/>
                <w:szCs w:val="21"/>
              </w:rPr>
              <w:t>预测点位</w:t>
            </w:r>
          </w:p>
        </w:tc>
        <w:tc>
          <w:tcPr>
            <w:tcW w:w="897" w:type="dxa"/>
            <w:vMerge w:val="restart"/>
            <w:vAlign w:val="center"/>
          </w:tcPr>
          <w:p w:rsidR="00BD5820" w:rsidRDefault="00F64314">
            <w:pPr>
              <w:pStyle w:val="affa"/>
              <w:spacing w:line="240" w:lineRule="auto"/>
              <w:ind w:firstLineChars="0" w:firstLine="0"/>
              <w:jc w:val="center"/>
              <w:rPr>
                <w:b/>
                <w:bCs/>
                <w:sz w:val="21"/>
                <w:szCs w:val="21"/>
              </w:rPr>
            </w:pPr>
            <w:r>
              <w:rPr>
                <w:rFonts w:hint="eastAsia"/>
                <w:b/>
                <w:bCs/>
                <w:sz w:val="21"/>
                <w:szCs w:val="21"/>
              </w:rPr>
              <w:t>距离（</w:t>
            </w:r>
            <w:r>
              <w:rPr>
                <w:rFonts w:hint="eastAsia"/>
                <w:b/>
                <w:bCs/>
                <w:sz w:val="21"/>
                <w:szCs w:val="21"/>
              </w:rPr>
              <w:t>m</w:t>
            </w:r>
            <w:r>
              <w:rPr>
                <w:rFonts w:hint="eastAsia"/>
                <w:b/>
                <w:bCs/>
                <w:sz w:val="21"/>
                <w:szCs w:val="21"/>
              </w:rPr>
              <w:t>）</w:t>
            </w:r>
          </w:p>
        </w:tc>
        <w:tc>
          <w:tcPr>
            <w:tcW w:w="794" w:type="dxa"/>
            <w:vMerge w:val="restart"/>
            <w:vAlign w:val="center"/>
          </w:tcPr>
          <w:p w:rsidR="00BD5820" w:rsidRDefault="00F64314">
            <w:pPr>
              <w:pStyle w:val="affa"/>
              <w:spacing w:line="240" w:lineRule="auto"/>
              <w:ind w:firstLineChars="0" w:firstLine="0"/>
              <w:jc w:val="center"/>
              <w:rPr>
                <w:b/>
                <w:bCs/>
                <w:sz w:val="21"/>
                <w:szCs w:val="21"/>
              </w:rPr>
            </w:pPr>
            <w:r>
              <w:rPr>
                <w:rFonts w:hint="eastAsia"/>
                <w:b/>
                <w:bCs/>
                <w:sz w:val="21"/>
                <w:szCs w:val="21"/>
              </w:rPr>
              <w:t>贡献值</w:t>
            </w:r>
          </w:p>
        </w:tc>
        <w:tc>
          <w:tcPr>
            <w:tcW w:w="1919" w:type="dxa"/>
            <w:gridSpan w:val="2"/>
            <w:vAlign w:val="center"/>
          </w:tcPr>
          <w:p w:rsidR="00BD5820" w:rsidRDefault="00F64314">
            <w:pPr>
              <w:pStyle w:val="affa"/>
              <w:spacing w:line="240" w:lineRule="auto"/>
              <w:ind w:firstLineChars="0" w:firstLine="0"/>
              <w:jc w:val="center"/>
              <w:rPr>
                <w:b/>
                <w:bCs/>
                <w:sz w:val="21"/>
                <w:szCs w:val="21"/>
              </w:rPr>
            </w:pPr>
            <w:r>
              <w:rPr>
                <w:rFonts w:hint="eastAsia"/>
                <w:b/>
                <w:bCs/>
                <w:sz w:val="21"/>
                <w:szCs w:val="21"/>
              </w:rPr>
              <w:t>背景值</w:t>
            </w:r>
          </w:p>
        </w:tc>
        <w:tc>
          <w:tcPr>
            <w:tcW w:w="1929" w:type="dxa"/>
            <w:gridSpan w:val="2"/>
            <w:vAlign w:val="center"/>
          </w:tcPr>
          <w:p w:rsidR="00BD5820" w:rsidRDefault="00F64314">
            <w:pPr>
              <w:pStyle w:val="affa"/>
              <w:spacing w:line="240" w:lineRule="auto"/>
              <w:ind w:firstLineChars="0" w:firstLine="0"/>
              <w:jc w:val="center"/>
              <w:rPr>
                <w:b/>
                <w:bCs/>
                <w:sz w:val="21"/>
                <w:szCs w:val="21"/>
              </w:rPr>
            </w:pPr>
            <w:r>
              <w:rPr>
                <w:rFonts w:hint="eastAsia"/>
                <w:b/>
                <w:bCs/>
                <w:sz w:val="21"/>
                <w:szCs w:val="21"/>
              </w:rPr>
              <w:t>预测值</w:t>
            </w:r>
          </w:p>
        </w:tc>
        <w:tc>
          <w:tcPr>
            <w:tcW w:w="1919" w:type="dxa"/>
            <w:gridSpan w:val="2"/>
            <w:vAlign w:val="center"/>
          </w:tcPr>
          <w:p w:rsidR="00BD5820" w:rsidRDefault="00F64314">
            <w:pPr>
              <w:pStyle w:val="affa"/>
              <w:spacing w:line="240" w:lineRule="auto"/>
              <w:ind w:firstLineChars="0" w:firstLine="0"/>
              <w:jc w:val="center"/>
              <w:rPr>
                <w:b/>
                <w:bCs/>
                <w:sz w:val="21"/>
                <w:szCs w:val="21"/>
              </w:rPr>
            </w:pPr>
            <w:r>
              <w:rPr>
                <w:rFonts w:hint="eastAsia"/>
                <w:b/>
                <w:bCs/>
                <w:sz w:val="21"/>
                <w:szCs w:val="21"/>
              </w:rPr>
              <w:t>评价结果</w:t>
            </w:r>
          </w:p>
        </w:tc>
      </w:tr>
      <w:tr w:rsidR="00BD5820">
        <w:trPr>
          <w:trHeight w:val="268"/>
          <w:jc w:val="center"/>
        </w:trPr>
        <w:tc>
          <w:tcPr>
            <w:tcW w:w="1319" w:type="dxa"/>
            <w:vMerge/>
            <w:vAlign w:val="center"/>
          </w:tcPr>
          <w:p w:rsidR="00BD5820" w:rsidRDefault="00BD5820">
            <w:pPr>
              <w:pStyle w:val="affa"/>
              <w:spacing w:line="240" w:lineRule="auto"/>
              <w:ind w:firstLineChars="0" w:firstLine="0"/>
              <w:jc w:val="center"/>
              <w:rPr>
                <w:b/>
                <w:bCs/>
                <w:sz w:val="21"/>
                <w:szCs w:val="21"/>
              </w:rPr>
            </w:pPr>
          </w:p>
        </w:tc>
        <w:tc>
          <w:tcPr>
            <w:tcW w:w="897" w:type="dxa"/>
            <w:vMerge/>
            <w:vAlign w:val="center"/>
          </w:tcPr>
          <w:p w:rsidR="00BD5820" w:rsidRDefault="00BD5820">
            <w:pPr>
              <w:pStyle w:val="affa"/>
              <w:spacing w:line="240" w:lineRule="auto"/>
              <w:ind w:firstLineChars="0" w:firstLine="0"/>
              <w:jc w:val="center"/>
              <w:rPr>
                <w:b/>
                <w:bCs/>
                <w:sz w:val="21"/>
                <w:szCs w:val="21"/>
              </w:rPr>
            </w:pPr>
          </w:p>
        </w:tc>
        <w:tc>
          <w:tcPr>
            <w:tcW w:w="794" w:type="dxa"/>
            <w:vMerge/>
            <w:vAlign w:val="center"/>
          </w:tcPr>
          <w:p w:rsidR="00BD5820" w:rsidRDefault="00BD5820">
            <w:pPr>
              <w:pStyle w:val="affa"/>
              <w:spacing w:line="240" w:lineRule="auto"/>
              <w:ind w:firstLineChars="0" w:firstLine="0"/>
              <w:jc w:val="center"/>
              <w:rPr>
                <w:b/>
                <w:bCs/>
                <w:sz w:val="21"/>
                <w:szCs w:val="21"/>
              </w:rPr>
            </w:pPr>
          </w:p>
        </w:tc>
        <w:tc>
          <w:tcPr>
            <w:tcW w:w="959" w:type="dxa"/>
            <w:vAlign w:val="center"/>
          </w:tcPr>
          <w:p w:rsidR="00BD5820" w:rsidRDefault="00F64314">
            <w:pPr>
              <w:pStyle w:val="affa"/>
              <w:spacing w:line="240" w:lineRule="auto"/>
              <w:ind w:firstLineChars="0" w:firstLine="0"/>
              <w:jc w:val="center"/>
              <w:rPr>
                <w:b/>
                <w:bCs/>
                <w:sz w:val="21"/>
                <w:szCs w:val="21"/>
              </w:rPr>
            </w:pPr>
            <w:r>
              <w:rPr>
                <w:rFonts w:hint="eastAsia"/>
                <w:b/>
                <w:bCs/>
                <w:sz w:val="21"/>
                <w:szCs w:val="21"/>
              </w:rPr>
              <w:t>昼间</w:t>
            </w:r>
          </w:p>
        </w:tc>
        <w:tc>
          <w:tcPr>
            <w:tcW w:w="960" w:type="dxa"/>
            <w:vAlign w:val="center"/>
          </w:tcPr>
          <w:p w:rsidR="00BD5820" w:rsidRDefault="00F64314">
            <w:pPr>
              <w:pStyle w:val="affa"/>
              <w:spacing w:line="240" w:lineRule="auto"/>
              <w:ind w:firstLineChars="0" w:firstLine="0"/>
              <w:jc w:val="center"/>
              <w:rPr>
                <w:b/>
                <w:bCs/>
                <w:sz w:val="21"/>
                <w:szCs w:val="21"/>
              </w:rPr>
            </w:pPr>
            <w:r>
              <w:rPr>
                <w:rFonts w:hint="eastAsia"/>
                <w:b/>
                <w:bCs/>
                <w:sz w:val="21"/>
                <w:szCs w:val="21"/>
              </w:rPr>
              <w:t>夜间</w:t>
            </w:r>
          </w:p>
        </w:tc>
        <w:tc>
          <w:tcPr>
            <w:tcW w:w="964" w:type="dxa"/>
            <w:vAlign w:val="center"/>
          </w:tcPr>
          <w:p w:rsidR="00BD5820" w:rsidRDefault="00F64314">
            <w:pPr>
              <w:pStyle w:val="affa"/>
              <w:spacing w:line="240" w:lineRule="auto"/>
              <w:ind w:firstLineChars="0" w:firstLine="0"/>
              <w:jc w:val="center"/>
              <w:rPr>
                <w:b/>
                <w:bCs/>
                <w:sz w:val="21"/>
                <w:szCs w:val="21"/>
              </w:rPr>
            </w:pPr>
            <w:r>
              <w:rPr>
                <w:rFonts w:hint="eastAsia"/>
                <w:b/>
                <w:bCs/>
                <w:sz w:val="21"/>
                <w:szCs w:val="21"/>
              </w:rPr>
              <w:t>昼间</w:t>
            </w:r>
          </w:p>
        </w:tc>
        <w:tc>
          <w:tcPr>
            <w:tcW w:w="965" w:type="dxa"/>
            <w:vAlign w:val="center"/>
          </w:tcPr>
          <w:p w:rsidR="00BD5820" w:rsidRDefault="00F64314">
            <w:pPr>
              <w:pStyle w:val="affa"/>
              <w:spacing w:line="240" w:lineRule="auto"/>
              <w:ind w:firstLineChars="0" w:firstLine="0"/>
              <w:jc w:val="center"/>
              <w:rPr>
                <w:b/>
                <w:bCs/>
                <w:sz w:val="21"/>
                <w:szCs w:val="21"/>
              </w:rPr>
            </w:pPr>
            <w:r>
              <w:rPr>
                <w:rFonts w:hint="eastAsia"/>
                <w:b/>
                <w:bCs/>
                <w:sz w:val="21"/>
                <w:szCs w:val="21"/>
              </w:rPr>
              <w:t>夜间</w:t>
            </w:r>
          </w:p>
        </w:tc>
        <w:tc>
          <w:tcPr>
            <w:tcW w:w="959" w:type="dxa"/>
            <w:vAlign w:val="center"/>
          </w:tcPr>
          <w:p w:rsidR="00BD5820" w:rsidRDefault="00F64314">
            <w:pPr>
              <w:pStyle w:val="affa"/>
              <w:spacing w:line="240" w:lineRule="auto"/>
              <w:ind w:firstLineChars="0" w:firstLine="0"/>
              <w:jc w:val="center"/>
              <w:rPr>
                <w:b/>
                <w:bCs/>
                <w:sz w:val="21"/>
                <w:szCs w:val="21"/>
              </w:rPr>
            </w:pPr>
            <w:r>
              <w:rPr>
                <w:rFonts w:hint="eastAsia"/>
                <w:b/>
                <w:bCs/>
                <w:sz w:val="21"/>
                <w:szCs w:val="21"/>
              </w:rPr>
              <w:t>昼间</w:t>
            </w:r>
          </w:p>
        </w:tc>
        <w:tc>
          <w:tcPr>
            <w:tcW w:w="960" w:type="dxa"/>
            <w:vAlign w:val="center"/>
          </w:tcPr>
          <w:p w:rsidR="00BD5820" w:rsidRDefault="00F64314">
            <w:pPr>
              <w:pStyle w:val="affa"/>
              <w:spacing w:line="240" w:lineRule="auto"/>
              <w:ind w:firstLineChars="0" w:firstLine="0"/>
              <w:jc w:val="center"/>
              <w:rPr>
                <w:b/>
                <w:bCs/>
                <w:sz w:val="21"/>
                <w:szCs w:val="21"/>
              </w:rPr>
            </w:pPr>
            <w:r>
              <w:rPr>
                <w:rFonts w:hint="eastAsia"/>
                <w:b/>
                <w:bCs/>
                <w:sz w:val="21"/>
                <w:szCs w:val="21"/>
              </w:rPr>
              <w:t>夜间</w:t>
            </w:r>
          </w:p>
        </w:tc>
      </w:tr>
      <w:tr w:rsidR="00BD5820">
        <w:trPr>
          <w:trHeight w:val="259"/>
          <w:jc w:val="center"/>
        </w:trPr>
        <w:tc>
          <w:tcPr>
            <w:tcW w:w="1319" w:type="dxa"/>
            <w:vAlign w:val="center"/>
          </w:tcPr>
          <w:p w:rsidR="00BD5820" w:rsidRDefault="00F64314">
            <w:pPr>
              <w:pStyle w:val="affa"/>
              <w:spacing w:line="240" w:lineRule="auto"/>
              <w:ind w:firstLineChars="0" w:firstLine="0"/>
              <w:jc w:val="center"/>
              <w:rPr>
                <w:sz w:val="21"/>
                <w:szCs w:val="21"/>
              </w:rPr>
            </w:pPr>
            <w:r>
              <w:rPr>
                <w:rFonts w:hint="eastAsia"/>
                <w:sz w:val="21"/>
                <w:szCs w:val="21"/>
              </w:rPr>
              <w:t>东侧</w:t>
            </w:r>
          </w:p>
        </w:tc>
        <w:tc>
          <w:tcPr>
            <w:tcW w:w="897" w:type="dxa"/>
            <w:vAlign w:val="center"/>
          </w:tcPr>
          <w:p w:rsidR="00BD5820" w:rsidRDefault="00F64314">
            <w:pPr>
              <w:pStyle w:val="affa"/>
              <w:spacing w:line="240" w:lineRule="auto"/>
              <w:ind w:firstLineChars="0" w:firstLine="0"/>
              <w:jc w:val="center"/>
              <w:rPr>
                <w:sz w:val="21"/>
                <w:szCs w:val="21"/>
              </w:rPr>
            </w:pPr>
            <w:r>
              <w:rPr>
                <w:rFonts w:hint="eastAsia"/>
                <w:sz w:val="21"/>
                <w:szCs w:val="21"/>
              </w:rPr>
              <w:t>40</w:t>
            </w:r>
          </w:p>
        </w:tc>
        <w:tc>
          <w:tcPr>
            <w:tcW w:w="794" w:type="dxa"/>
            <w:vAlign w:val="center"/>
          </w:tcPr>
          <w:p w:rsidR="00BD5820" w:rsidRDefault="00F64314">
            <w:pPr>
              <w:pStyle w:val="affa"/>
              <w:spacing w:line="240" w:lineRule="auto"/>
              <w:ind w:firstLineChars="0" w:firstLine="0"/>
              <w:jc w:val="center"/>
              <w:rPr>
                <w:sz w:val="21"/>
                <w:szCs w:val="21"/>
              </w:rPr>
            </w:pPr>
            <w:r>
              <w:rPr>
                <w:rFonts w:hint="eastAsia"/>
                <w:sz w:val="21"/>
                <w:szCs w:val="21"/>
              </w:rPr>
              <w:t>37</w:t>
            </w:r>
          </w:p>
        </w:tc>
        <w:tc>
          <w:tcPr>
            <w:tcW w:w="959" w:type="dxa"/>
            <w:vAlign w:val="center"/>
          </w:tcPr>
          <w:p w:rsidR="00BD5820" w:rsidRDefault="00F64314">
            <w:pPr>
              <w:pStyle w:val="affa"/>
              <w:spacing w:line="240" w:lineRule="auto"/>
              <w:ind w:firstLineChars="0" w:firstLine="0"/>
              <w:jc w:val="center"/>
              <w:rPr>
                <w:sz w:val="21"/>
                <w:szCs w:val="21"/>
              </w:rPr>
            </w:pPr>
            <w:r>
              <w:rPr>
                <w:rFonts w:hint="eastAsia"/>
                <w:sz w:val="21"/>
                <w:szCs w:val="21"/>
              </w:rPr>
              <w:t>/</w:t>
            </w:r>
          </w:p>
        </w:tc>
        <w:tc>
          <w:tcPr>
            <w:tcW w:w="960" w:type="dxa"/>
            <w:vAlign w:val="center"/>
          </w:tcPr>
          <w:p w:rsidR="00BD5820" w:rsidRDefault="00F64314">
            <w:pPr>
              <w:pStyle w:val="affa"/>
              <w:spacing w:line="240" w:lineRule="auto"/>
              <w:ind w:firstLineChars="0" w:firstLine="0"/>
              <w:jc w:val="center"/>
              <w:rPr>
                <w:sz w:val="21"/>
                <w:szCs w:val="21"/>
              </w:rPr>
            </w:pPr>
            <w:r>
              <w:rPr>
                <w:rFonts w:hint="eastAsia"/>
                <w:sz w:val="21"/>
                <w:szCs w:val="21"/>
              </w:rPr>
              <w:t>/</w:t>
            </w:r>
          </w:p>
        </w:tc>
        <w:tc>
          <w:tcPr>
            <w:tcW w:w="964" w:type="dxa"/>
            <w:vAlign w:val="center"/>
          </w:tcPr>
          <w:p w:rsidR="00BD5820" w:rsidRDefault="00F64314">
            <w:pPr>
              <w:pStyle w:val="affa"/>
              <w:spacing w:line="240" w:lineRule="auto"/>
              <w:ind w:firstLineChars="0" w:firstLine="0"/>
              <w:jc w:val="center"/>
              <w:rPr>
                <w:sz w:val="21"/>
                <w:szCs w:val="21"/>
              </w:rPr>
            </w:pPr>
            <w:r>
              <w:rPr>
                <w:rFonts w:hint="eastAsia"/>
                <w:sz w:val="21"/>
                <w:szCs w:val="21"/>
              </w:rPr>
              <w:t>37</w:t>
            </w:r>
          </w:p>
        </w:tc>
        <w:tc>
          <w:tcPr>
            <w:tcW w:w="965" w:type="dxa"/>
            <w:vAlign w:val="center"/>
          </w:tcPr>
          <w:p w:rsidR="00BD5820" w:rsidRDefault="00F64314">
            <w:pPr>
              <w:pStyle w:val="affa"/>
              <w:spacing w:line="240" w:lineRule="auto"/>
              <w:ind w:firstLineChars="0" w:firstLine="0"/>
              <w:jc w:val="center"/>
              <w:rPr>
                <w:sz w:val="21"/>
                <w:szCs w:val="21"/>
              </w:rPr>
            </w:pPr>
            <w:r>
              <w:rPr>
                <w:rFonts w:hint="eastAsia"/>
                <w:sz w:val="21"/>
                <w:szCs w:val="21"/>
              </w:rPr>
              <w:t>37</w:t>
            </w:r>
          </w:p>
        </w:tc>
        <w:tc>
          <w:tcPr>
            <w:tcW w:w="959" w:type="dxa"/>
            <w:vAlign w:val="center"/>
          </w:tcPr>
          <w:p w:rsidR="00BD5820" w:rsidRDefault="00F64314">
            <w:pPr>
              <w:pStyle w:val="affa"/>
              <w:spacing w:line="240" w:lineRule="auto"/>
              <w:ind w:firstLineChars="0" w:firstLine="0"/>
              <w:jc w:val="center"/>
              <w:rPr>
                <w:sz w:val="21"/>
                <w:szCs w:val="21"/>
              </w:rPr>
            </w:pPr>
            <w:r>
              <w:rPr>
                <w:sz w:val="21"/>
                <w:szCs w:val="21"/>
              </w:rPr>
              <w:t>达标</w:t>
            </w:r>
          </w:p>
        </w:tc>
        <w:tc>
          <w:tcPr>
            <w:tcW w:w="960" w:type="dxa"/>
          </w:tcPr>
          <w:p w:rsidR="00BD5820" w:rsidRDefault="00F64314">
            <w:pPr>
              <w:pStyle w:val="affa"/>
              <w:spacing w:line="240" w:lineRule="auto"/>
              <w:ind w:firstLineChars="0" w:firstLine="0"/>
              <w:jc w:val="center"/>
              <w:rPr>
                <w:sz w:val="21"/>
                <w:szCs w:val="21"/>
              </w:rPr>
            </w:pPr>
            <w:r>
              <w:rPr>
                <w:sz w:val="21"/>
                <w:szCs w:val="21"/>
              </w:rPr>
              <w:t>达标</w:t>
            </w:r>
          </w:p>
        </w:tc>
      </w:tr>
      <w:tr w:rsidR="00BD5820">
        <w:trPr>
          <w:trHeight w:val="259"/>
          <w:jc w:val="center"/>
        </w:trPr>
        <w:tc>
          <w:tcPr>
            <w:tcW w:w="1319" w:type="dxa"/>
            <w:vAlign w:val="center"/>
          </w:tcPr>
          <w:p w:rsidR="00BD5820" w:rsidRDefault="00F64314">
            <w:pPr>
              <w:pStyle w:val="affa"/>
              <w:spacing w:line="240" w:lineRule="auto"/>
              <w:ind w:firstLineChars="0" w:firstLine="0"/>
              <w:jc w:val="center"/>
              <w:rPr>
                <w:sz w:val="21"/>
                <w:szCs w:val="21"/>
              </w:rPr>
            </w:pPr>
            <w:r>
              <w:rPr>
                <w:rFonts w:hint="eastAsia"/>
                <w:sz w:val="21"/>
                <w:szCs w:val="21"/>
              </w:rPr>
              <w:t>南侧</w:t>
            </w:r>
          </w:p>
        </w:tc>
        <w:tc>
          <w:tcPr>
            <w:tcW w:w="897" w:type="dxa"/>
            <w:vAlign w:val="center"/>
          </w:tcPr>
          <w:p w:rsidR="00BD5820" w:rsidRDefault="00F64314">
            <w:pPr>
              <w:pStyle w:val="affa"/>
              <w:spacing w:line="240" w:lineRule="auto"/>
              <w:ind w:firstLineChars="0" w:firstLine="0"/>
              <w:jc w:val="center"/>
              <w:rPr>
                <w:sz w:val="21"/>
                <w:szCs w:val="21"/>
              </w:rPr>
            </w:pPr>
            <w:r>
              <w:rPr>
                <w:rFonts w:hint="eastAsia"/>
                <w:sz w:val="21"/>
                <w:szCs w:val="21"/>
              </w:rPr>
              <w:t>35</w:t>
            </w:r>
          </w:p>
        </w:tc>
        <w:tc>
          <w:tcPr>
            <w:tcW w:w="794" w:type="dxa"/>
            <w:vAlign w:val="center"/>
          </w:tcPr>
          <w:p w:rsidR="00BD5820" w:rsidRDefault="00F64314">
            <w:pPr>
              <w:pStyle w:val="affa"/>
              <w:spacing w:line="240" w:lineRule="auto"/>
              <w:ind w:firstLineChars="0" w:firstLine="0"/>
              <w:jc w:val="center"/>
              <w:rPr>
                <w:sz w:val="21"/>
                <w:szCs w:val="21"/>
              </w:rPr>
            </w:pPr>
            <w:r>
              <w:rPr>
                <w:rFonts w:hint="eastAsia"/>
                <w:sz w:val="21"/>
                <w:szCs w:val="21"/>
              </w:rPr>
              <w:t>37.6</w:t>
            </w:r>
          </w:p>
        </w:tc>
        <w:tc>
          <w:tcPr>
            <w:tcW w:w="959" w:type="dxa"/>
            <w:vAlign w:val="center"/>
          </w:tcPr>
          <w:p w:rsidR="00BD5820" w:rsidRDefault="00F64314">
            <w:pPr>
              <w:pStyle w:val="affa"/>
              <w:spacing w:line="240" w:lineRule="auto"/>
              <w:ind w:firstLineChars="0" w:firstLine="0"/>
              <w:jc w:val="center"/>
              <w:rPr>
                <w:sz w:val="21"/>
                <w:szCs w:val="21"/>
              </w:rPr>
            </w:pPr>
            <w:r>
              <w:rPr>
                <w:rFonts w:hint="eastAsia"/>
                <w:sz w:val="21"/>
                <w:szCs w:val="21"/>
              </w:rPr>
              <w:t>/</w:t>
            </w:r>
          </w:p>
        </w:tc>
        <w:tc>
          <w:tcPr>
            <w:tcW w:w="960" w:type="dxa"/>
            <w:vAlign w:val="center"/>
          </w:tcPr>
          <w:p w:rsidR="00BD5820" w:rsidRDefault="00F64314">
            <w:pPr>
              <w:pStyle w:val="affa"/>
              <w:spacing w:line="240" w:lineRule="auto"/>
              <w:ind w:firstLineChars="0" w:firstLine="0"/>
              <w:jc w:val="center"/>
              <w:rPr>
                <w:sz w:val="21"/>
                <w:szCs w:val="21"/>
              </w:rPr>
            </w:pPr>
            <w:r>
              <w:rPr>
                <w:rFonts w:hint="eastAsia"/>
                <w:sz w:val="21"/>
                <w:szCs w:val="21"/>
              </w:rPr>
              <w:t>/</w:t>
            </w:r>
          </w:p>
        </w:tc>
        <w:tc>
          <w:tcPr>
            <w:tcW w:w="964" w:type="dxa"/>
            <w:vAlign w:val="center"/>
          </w:tcPr>
          <w:p w:rsidR="00BD5820" w:rsidRDefault="00F64314">
            <w:pPr>
              <w:pStyle w:val="affa"/>
              <w:spacing w:line="240" w:lineRule="auto"/>
              <w:ind w:firstLineChars="0" w:firstLine="0"/>
              <w:jc w:val="center"/>
              <w:rPr>
                <w:sz w:val="21"/>
                <w:szCs w:val="21"/>
              </w:rPr>
            </w:pPr>
            <w:r>
              <w:rPr>
                <w:rFonts w:hint="eastAsia"/>
                <w:sz w:val="21"/>
                <w:szCs w:val="21"/>
              </w:rPr>
              <w:t>37.6</w:t>
            </w:r>
          </w:p>
        </w:tc>
        <w:tc>
          <w:tcPr>
            <w:tcW w:w="965" w:type="dxa"/>
            <w:vAlign w:val="center"/>
          </w:tcPr>
          <w:p w:rsidR="00BD5820" w:rsidRDefault="00F64314">
            <w:pPr>
              <w:pStyle w:val="affa"/>
              <w:spacing w:line="240" w:lineRule="auto"/>
              <w:ind w:firstLineChars="0" w:firstLine="0"/>
              <w:jc w:val="center"/>
              <w:rPr>
                <w:sz w:val="21"/>
                <w:szCs w:val="21"/>
              </w:rPr>
            </w:pPr>
            <w:r>
              <w:rPr>
                <w:rFonts w:hint="eastAsia"/>
                <w:sz w:val="21"/>
                <w:szCs w:val="21"/>
              </w:rPr>
              <w:t>37.6</w:t>
            </w:r>
          </w:p>
        </w:tc>
        <w:tc>
          <w:tcPr>
            <w:tcW w:w="959" w:type="dxa"/>
          </w:tcPr>
          <w:p w:rsidR="00BD5820" w:rsidRDefault="00F64314">
            <w:pPr>
              <w:pStyle w:val="affa"/>
              <w:spacing w:line="240" w:lineRule="auto"/>
              <w:ind w:firstLineChars="0" w:firstLine="0"/>
              <w:jc w:val="center"/>
              <w:rPr>
                <w:sz w:val="21"/>
                <w:szCs w:val="21"/>
              </w:rPr>
            </w:pPr>
            <w:r>
              <w:rPr>
                <w:sz w:val="21"/>
                <w:szCs w:val="21"/>
              </w:rPr>
              <w:t>达标</w:t>
            </w:r>
          </w:p>
        </w:tc>
        <w:tc>
          <w:tcPr>
            <w:tcW w:w="960" w:type="dxa"/>
          </w:tcPr>
          <w:p w:rsidR="00BD5820" w:rsidRDefault="00F64314">
            <w:pPr>
              <w:pStyle w:val="affa"/>
              <w:spacing w:line="240" w:lineRule="auto"/>
              <w:ind w:firstLineChars="0" w:firstLine="0"/>
              <w:jc w:val="center"/>
              <w:rPr>
                <w:sz w:val="21"/>
                <w:szCs w:val="21"/>
              </w:rPr>
            </w:pPr>
            <w:r>
              <w:rPr>
                <w:sz w:val="21"/>
                <w:szCs w:val="21"/>
              </w:rPr>
              <w:t>达标</w:t>
            </w:r>
          </w:p>
        </w:tc>
      </w:tr>
      <w:tr w:rsidR="00BD5820">
        <w:trPr>
          <w:trHeight w:val="259"/>
          <w:jc w:val="center"/>
        </w:trPr>
        <w:tc>
          <w:tcPr>
            <w:tcW w:w="1319" w:type="dxa"/>
            <w:vAlign w:val="center"/>
          </w:tcPr>
          <w:p w:rsidR="00BD5820" w:rsidRDefault="00F64314">
            <w:pPr>
              <w:pStyle w:val="affa"/>
              <w:spacing w:line="240" w:lineRule="auto"/>
              <w:ind w:firstLineChars="0" w:firstLine="0"/>
              <w:jc w:val="center"/>
              <w:rPr>
                <w:sz w:val="21"/>
                <w:szCs w:val="21"/>
              </w:rPr>
            </w:pPr>
            <w:r>
              <w:rPr>
                <w:rFonts w:hint="eastAsia"/>
                <w:sz w:val="21"/>
                <w:szCs w:val="21"/>
              </w:rPr>
              <w:t>西侧</w:t>
            </w:r>
          </w:p>
        </w:tc>
        <w:tc>
          <w:tcPr>
            <w:tcW w:w="897" w:type="dxa"/>
            <w:vAlign w:val="center"/>
          </w:tcPr>
          <w:p w:rsidR="00BD5820" w:rsidRDefault="00F64314">
            <w:pPr>
              <w:pStyle w:val="affa"/>
              <w:spacing w:line="240" w:lineRule="auto"/>
              <w:ind w:firstLineChars="0" w:firstLine="0"/>
              <w:jc w:val="center"/>
              <w:rPr>
                <w:sz w:val="21"/>
                <w:szCs w:val="21"/>
              </w:rPr>
            </w:pPr>
            <w:r>
              <w:rPr>
                <w:rFonts w:hint="eastAsia"/>
                <w:sz w:val="21"/>
                <w:szCs w:val="21"/>
              </w:rPr>
              <w:t>40</w:t>
            </w:r>
          </w:p>
        </w:tc>
        <w:tc>
          <w:tcPr>
            <w:tcW w:w="794" w:type="dxa"/>
            <w:vAlign w:val="center"/>
          </w:tcPr>
          <w:p w:rsidR="00BD5820" w:rsidRDefault="00F64314">
            <w:pPr>
              <w:pStyle w:val="affa"/>
              <w:spacing w:line="240" w:lineRule="auto"/>
              <w:ind w:firstLineChars="0" w:firstLine="0"/>
              <w:jc w:val="center"/>
              <w:rPr>
                <w:sz w:val="21"/>
                <w:szCs w:val="21"/>
              </w:rPr>
            </w:pPr>
            <w:r>
              <w:rPr>
                <w:rFonts w:hint="eastAsia"/>
                <w:sz w:val="21"/>
                <w:szCs w:val="21"/>
              </w:rPr>
              <w:t>37</w:t>
            </w:r>
          </w:p>
        </w:tc>
        <w:tc>
          <w:tcPr>
            <w:tcW w:w="959" w:type="dxa"/>
            <w:vAlign w:val="center"/>
          </w:tcPr>
          <w:p w:rsidR="00BD5820" w:rsidRDefault="00F64314">
            <w:pPr>
              <w:pStyle w:val="affa"/>
              <w:spacing w:line="240" w:lineRule="auto"/>
              <w:ind w:firstLineChars="0" w:firstLine="0"/>
              <w:jc w:val="center"/>
              <w:rPr>
                <w:sz w:val="21"/>
                <w:szCs w:val="21"/>
              </w:rPr>
            </w:pPr>
            <w:r>
              <w:rPr>
                <w:rFonts w:hint="eastAsia"/>
                <w:sz w:val="21"/>
                <w:szCs w:val="21"/>
              </w:rPr>
              <w:t>/</w:t>
            </w:r>
          </w:p>
        </w:tc>
        <w:tc>
          <w:tcPr>
            <w:tcW w:w="960" w:type="dxa"/>
            <w:vAlign w:val="center"/>
          </w:tcPr>
          <w:p w:rsidR="00BD5820" w:rsidRDefault="00F64314">
            <w:pPr>
              <w:pStyle w:val="affa"/>
              <w:spacing w:line="240" w:lineRule="auto"/>
              <w:ind w:firstLineChars="0" w:firstLine="0"/>
              <w:jc w:val="center"/>
              <w:rPr>
                <w:sz w:val="21"/>
                <w:szCs w:val="21"/>
              </w:rPr>
            </w:pPr>
            <w:r>
              <w:rPr>
                <w:rFonts w:hint="eastAsia"/>
                <w:sz w:val="21"/>
                <w:szCs w:val="21"/>
              </w:rPr>
              <w:t>/</w:t>
            </w:r>
          </w:p>
        </w:tc>
        <w:tc>
          <w:tcPr>
            <w:tcW w:w="964" w:type="dxa"/>
            <w:vAlign w:val="center"/>
          </w:tcPr>
          <w:p w:rsidR="00BD5820" w:rsidRDefault="00F64314">
            <w:pPr>
              <w:pStyle w:val="affa"/>
              <w:spacing w:line="240" w:lineRule="auto"/>
              <w:ind w:firstLineChars="0" w:firstLine="0"/>
              <w:jc w:val="center"/>
              <w:rPr>
                <w:sz w:val="21"/>
                <w:szCs w:val="21"/>
              </w:rPr>
            </w:pPr>
            <w:r>
              <w:rPr>
                <w:rFonts w:hint="eastAsia"/>
                <w:sz w:val="21"/>
                <w:szCs w:val="21"/>
              </w:rPr>
              <w:t>37</w:t>
            </w:r>
          </w:p>
        </w:tc>
        <w:tc>
          <w:tcPr>
            <w:tcW w:w="965" w:type="dxa"/>
            <w:vAlign w:val="center"/>
          </w:tcPr>
          <w:p w:rsidR="00BD5820" w:rsidRDefault="00F64314">
            <w:pPr>
              <w:pStyle w:val="affa"/>
              <w:spacing w:line="240" w:lineRule="auto"/>
              <w:ind w:firstLineChars="0" w:firstLine="0"/>
              <w:jc w:val="center"/>
              <w:rPr>
                <w:sz w:val="21"/>
                <w:szCs w:val="21"/>
              </w:rPr>
            </w:pPr>
            <w:r>
              <w:rPr>
                <w:rFonts w:hint="eastAsia"/>
                <w:sz w:val="21"/>
                <w:szCs w:val="21"/>
              </w:rPr>
              <w:t>37</w:t>
            </w:r>
          </w:p>
        </w:tc>
        <w:tc>
          <w:tcPr>
            <w:tcW w:w="959" w:type="dxa"/>
          </w:tcPr>
          <w:p w:rsidR="00BD5820" w:rsidRDefault="00F64314">
            <w:pPr>
              <w:pStyle w:val="affa"/>
              <w:spacing w:line="240" w:lineRule="auto"/>
              <w:ind w:firstLineChars="0" w:firstLine="0"/>
              <w:jc w:val="center"/>
              <w:rPr>
                <w:sz w:val="21"/>
                <w:szCs w:val="21"/>
              </w:rPr>
            </w:pPr>
            <w:r>
              <w:rPr>
                <w:sz w:val="21"/>
                <w:szCs w:val="21"/>
              </w:rPr>
              <w:t>达标</w:t>
            </w:r>
          </w:p>
        </w:tc>
        <w:tc>
          <w:tcPr>
            <w:tcW w:w="960" w:type="dxa"/>
          </w:tcPr>
          <w:p w:rsidR="00BD5820" w:rsidRDefault="00F64314">
            <w:pPr>
              <w:pStyle w:val="affa"/>
              <w:spacing w:line="240" w:lineRule="auto"/>
              <w:ind w:firstLineChars="0" w:firstLine="0"/>
              <w:jc w:val="center"/>
              <w:rPr>
                <w:sz w:val="21"/>
                <w:szCs w:val="21"/>
              </w:rPr>
            </w:pPr>
            <w:r>
              <w:rPr>
                <w:sz w:val="21"/>
                <w:szCs w:val="21"/>
              </w:rPr>
              <w:t>达标</w:t>
            </w:r>
          </w:p>
        </w:tc>
      </w:tr>
      <w:tr w:rsidR="00BD5820">
        <w:trPr>
          <w:trHeight w:val="207"/>
          <w:jc w:val="center"/>
        </w:trPr>
        <w:tc>
          <w:tcPr>
            <w:tcW w:w="1319" w:type="dxa"/>
            <w:vAlign w:val="center"/>
          </w:tcPr>
          <w:p w:rsidR="00BD5820" w:rsidRDefault="00F64314">
            <w:pPr>
              <w:pStyle w:val="affa"/>
              <w:spacing w:line="240" w:lineRule="auto"/>
              <w:ind w:firstLineChars="0" w:firstLine="0"/>
              <w:jc w:val="center"/>
              <w:rPr>
                <w:sz w:val="21"/>
                <w:szCs w:val="21"/>
              </w:rPr>
            </w:pPr>
            <w:r>
              <w:rPr>
                <w:rFonts w:hint="eastAsia"/>
                <w:sz w:val="21"/>
                <w:szCs w:val="21"/>
              </w:rPr>
              <w:t>北侧</w:t>
            </w:r>
          </w:p>
        </w:tc>
        <w:tc>
          <w:tcPr>
            <w:tcW w:w="897" w:type="dxa"/>
            <w:vAlign w:val="center"/>
          </w:tcPr>
          <w:p w:rsidR="00BD5820" w:rsidRDefault="00F64314">
            <w:pPr>
              <w:pStyle w:val="affa"/>
              <w:spacing w:line="240" w:lineRule="auto"/>
              <w:ind w:firstLineChars="0" w:firstLine="0"/>
              <w:jc w:val="center"/>
              <w:rPr>
                <w:sz w:val="21"/>
                <w:szCs w:val="21"/>
              </w:rPr>
            </w:pPr>
            <w:r>
              <w:rPr>
                <w:rFonts w:hint="eastAsia"/>
                <w:sz w:val="21"/>
                <w:szCs w:val="21"/>
              </w:rPr>
              <w:t>50</w:t>
            </w:r>
          </w:p>
        </w:tc>
        <w:tc>
          <w:tcPr>
            <w:tcW w:w="794" w:type="dxa"/>
            <w:vAlign w:val="center"/>
          </w:tcPr>
          <w:p w:rsidR="00BD5820" w:rsidRDefault="00F64314">
            <w:pPr>
              <w:pStyle w:val="affa"/>
              <w:spacing w:line="240" w:lineRule="auto"/>
              <w:ind w:firstLineChars="0" w:firstLine="0"/>
              <w:jc w:val="center"/>
              <w:rPr>
                <w:sz w:val="21"/>
                <w:szCs w:val="21"/>
              </w:rPr>
            </w:pPr>
            <w:r>
              <w:rPr>
                <w:rFonts w:hint="eastAsia"/>
                <w:sz w:val="21"/>
                <w:szCs w:val="21"/>
              </w:rPr>
              <w:t>34.2</w:t>
            </w:r>
          </w:p>
        </w:tc>
        <w:tc>
          <w:tcPr>
            <w:tcW w:w="959" w:type="dxa"/>
            <w:vAlign w:val="center"/>
          </w:tcPr>
          <w:p w:rsidR="00BD5820" w:rsidRDefault="00F64314">
            <w:pPr>
              <w:pStyle w:val="affa"/>
              <w:spacing w:line="240" w:lineRule="auto"/>
              <w:ind w:firstLineChars="0" w:firstLine="0"/>
              <w:jc w:val="center"/>
              <w:rPr>
                <w:sz w:val="21"/>
                <w:szCs w:val="21"/>
              </w:rPr>
            </w:pPr>
            <w:r>
              <w:rPr>
                <w:rFonts w:hint="eastAsia"/>
                <w:sz w:val="21"/>
                <w:szCs w:val="21"/>
              </w:rPr>
              <w:t>/</w:t>
            </w:r>
          </w:p>
        </w:tc>
        <w:tc>
          <w:tcPr>
            <w:tcW w:w="960" w:type="dxa"/>
            <w:vAlign w:val="center"/>
          </w:tcPr>
          <w:p w:rsidR="00BD5820" w:rsidRDefault="00F64314">
            <w:pPr>
              <w:pStyle w:val="affa"/>
              <w:spacing w:line="240" w:lineRule="auto"/>
              <w:ind w:firstLineChars="0" w:firstLine="0"/>
              <w:jc w:val="center"/>
              <w:rPr>
                <w:sz w:val="21"/>
                <w:szCs w:val="21"/>
              </w:rPr>
            </w:pPr>
            <w:r>
              <w:rPr>
                <w:rFonts w:hint="eastAsia"/>
                <w:sz w:val="21"/>
                <w:szCs w:val="21"/>
              </w:rPr>
              <w:t>/</w:t>
            </w:r>
          </w:p>
        </w:tc>
        <w:tc>
          <w:tcPr>
            <w:tcW w:w="964" w:type="dxa"/>
            <w:vAlign w:val="center"/>
          </w:tcPr>
          <w:p w:rsidR="00BD5820" w:rsidRDefault="00F64314">
            <w:pPr>
              <w:pStyle w:val="affa"/>
              <w:spacing w:line="240" w:lineRule="auto"/>
              <w:ind w:firstLineChars="0" w:firstLine="0"/>
              <w:jc w:val="center"/>
              <w:rPr>
                <w:sz w:val="21"/>
                <w:szCs w:val="21"/>
              </w:rPr>
            </w:pPr>
            <w:r>
              <w:rPr>
                <w:rFonts w:hint="eastAsia"/>
                <w:sz w:val="21"/>
                <w:szCs w:val="21"/>
              </w:rPr>
              <w:t>34.2</w:t>
            </w:r>
          </w:p>
        </w:tc>
        <w:tc>
          <w:tcPr>
            <w:tcW w:w="965" w:type="dxa"/>
            <w:vAlign w:val="center"/>
          </w:tcPr>
          <w:p w:rsidR="00BD5820" w:rsidRDefault="00F64314">
            <w:pPr>
              <w:pStyle w:val="affa"/>
              <w:spacing w:line="240" w:lineRule="auto"/>
              <w:ind w:firstLineChars="0" w:firstLine="0"/>
              <w:jc w:val="center"/>
              <w:rPr>
                <w:sz w:val="21"/>
                <w:szCs w:val="21"/>
              </w:rPr>
            </w:pPr>
            <w:r>
              <w:rPr>
                <w:rFonts w:hint="eastAsia"/>
                <w:sz w:val="21"/>
                <w:szCs w:val="21"/>
              </w:rPr>
              <w:t>34.2</w:t>
            </w:r>
          </w:p>
        </w:tc>
        <w:tc>
          <w:tcPr>
            <w:tcW w:w="959" w:type="dxa"/>
          </w:tcPr>
          <w:p w:rsidR="00BD5820" w:rsidRDefault="00F64314">
            <w:pPr>
              <w:pStyle w:val="affa"/>
              <w:spacing w:line="240" w:lineRule="auto"/>
              <w:ind w:firstLineChars="0" w:firstLine="0"/>
              <w:jc w:val="center"/>
              <w:rPr>
                <w:sz w:val="21"/>
                <w:szCs w:val="21"/>
              </w:rPr>
            </w:pPr>
            <w:r>
              <w:rPr>
                <w:sz w:val="21"/>
                <w:szCs w:val="21"/>
              </w:rPr>
              <w:t>达标</w:t>
            </w:r>
          </w:p>
        </w:tc>
        <w:tc>
          <w:tcPr>
            <w:tcW w:w="960" w:type="dxa"/>
          </w:tcPr>
          <w:p w:rsidR="00BD5820" w:rsidRDefault="00F64314">
            <w:pPr>
              <w:pStyle w:val="affa"/>
              <w:spacing w:line="240" w:lineRule="auto"/>
              <w:ind w:firstLineChars="0" w:firstLine="0"/>
              <w:jc w:val="center"/>
              <w:rPr>
                <w:sz w:val="21"/>
                <w:szCs w:val="21"/>
              </w:rPr>
            </w:pPr>
            <w:r>
              <w:rPr>
                <w:sz w:val="21"/>
                <w:szCs w:val="21"/>
              </w:rPr>
              <w:t>达标</w:t>
            </w:r>
          </w:p>
        </w:tc>
      </w:tr>
    </w:tbl>
    <w:p w:rsidR="00BD5820" w:rsidRDefault="00F64314">
      <w:pPr>
        <w:pStyle w:val="affa"/>
        <w:ind w:firstLine="480"/>
      </w:pPr>
      <w:r>
        <w:rPr>
          <w:rFonts w:hint="eastAsia"/>
        </w:rPr>
        <w:t>由表</w:t>
      </w:r>
      <w:r>
        <w:rPr>
          <w:rFonts w:ascii="TimesNewRomanPSMT" w:eastAsia="TimesNewRomanPSMT" w:cs="TimesNewRomanPSMT"/>
        </w:rPr>
        <w:t>6.2-</w:t>
      </w:r>
      <w:r>
        <w:rPr>
          <w:rFonts w:ascii="TimesNewRomanPSMT" w:cs="TimesNewRomanPSMT" w:hint="eastAsia"/>
        </w:rPr>
        <w:t>7</w:t>
      </w:r>
      <w:r>
        <w:rPr>
          <w:rFonts w:hint="eastAsia"/>
        </w:rPr>
        <w:t>结果可见，普光气田</w:t>
      </w:r>
      <w:r>
        <w:rPr>
          <w:rFonts w:hint="eastAsia"/>
        </w:rPr>
        <w:t>1#</w:t>
      </w:r>
      <w:r>
        <w:rPr>
          <w:rFonts w:hint="eastAsia"/>
        </w:rPr>
        <w:t>增压站厂界噪声均能满足《工业企业厂界环境噪声排放标准》（</w:t>
      </w:r>
      <w:r>
        <w:rPr>
          <w:rFonts w:ascii="TimesNewRomanPSMT" w:eastAsia="TimesNewRomanPSMT" w:cs="TimesNewRomanPSMT"/>
        </w:rPr>
        <w:t>GB12348-2008</w:t>
      </w:r>
      <w:r>
        <w:rPr>
          <w:rFonts w:hint="eastAsia"/>
        </w:rPr>
        <w:t>）中</w:t>
      </w:r>
      <w:r>
        <w:rPr>
          <w:rFonts w:ascii="TimesNewRomanPSMT" w:eastAsia="TimesNewRomanPSMT" w:cs="TimesNewRomanPSMT"/>
        </w:rPr>
        <w:t>2</w:t>
      </w:r>
      <w:r>
        <w:rPr>
          <w:rFonts w:hint="eastAsia"/>
        </w:rPr>
        <w:t>类标准。</w:t>
      </w:r>
    </w:p>
    <w:p w:rsidR="00BD5820" w:rsidRDefault="00F64314">
      <w:pPr>
        <w:pStyle w:val="affa"/>
        <w:ind w:firstLine="480"/>
      </w:pPr>
      <w:r>
        <w:rPr>
          <w:rFonts w:hint="eastAsia"/>
        </w:rPr>
        <w:t>本项目普光气田</w:t>
      </w:r>
      <w:r>
        <w:rPr>
          <w:rFonts w:hint="eastAsia"/>
        </w:rPr>
        <w:t>2#</w:t>
      </w:r>
      <w:r>
        <w:rPr>
          <w:rFonts w:hint="eastAsia"/>
        </w:rPr>
        <w:t>增压站厂界噪声预测情况见表</w:t>
      </w:r>
      <w:r>
        <w:rPr>
          <w:rFonts w:hint="eastAsia"/>
        </w:rPr>
        <w:t>6.2-8</w:t>
      </w:r>
      <w:r>
        <w:rPr>
          <w:rFonts w:hint="eastAsia"/>
        </w:rPr>
        <w:t>。</w:t>
      </w:r>
    </w:p>
    <w:p w:rsidR="00BD5820" w:rsidRDefault="00F64314">
      <w:pPr>
        <w:pStyle w:val="10"/>
      </w:pPr>
      <w:r>
        <w:rPr>
          <w:rFonts w:hint="eastAsia"/>
        </w:rPr>
        <w:t>表</w:t>
      </w:r>
      <w:r>
        <w:t>6.2-</w:t>
      </w:r>
      <w:r>
        <w:rPr>
          <w:rFonts w:hint="eastAsia"/>
        </w:rPr>
        <w:t>8</w:t>
      </w:r>
      <w:r>
        <w:t xml:space="preserve"> </w:t>
      </w:r>
      <w:r>
        <w:rPr>
          <w:rFonts w:hint="eastAsia"/>
        </w:rPr>
        <w:t>普光气田</w:t>
      </w:r>
      <w:r>
        <w:rPr>
          <w:rFonts w:hint="eastAsia"/>
        </w:rPr>
        <w:t>2#</w:t>
      </w:r>
      <w:r>
        <w:rPr>
          <w:rFonts w:hint="eastAsia"/>
        </w:rPr>
        <w:t>增压站厂界噪声预测情况</w:t>
      </w:r>
      <w:r>
        <w:rPr>
          <w:rFonts w:hint="eastAsia"/>
        </w:rPr>
        <w:t xml:space="preserve"> </w:t>
      </w:r>
      <w:r>
        <w:t xml:space="preserve">  </w:t>
      </w:r>
      <w:r>
        <w:rPr>
          <w:rFonts w:hint="eastAsia"/>
        </w:rPr>
        <w:t>单位：</w:t>
      </w:r>
      <w:r>
        <w:t>dB</w:t>
      </w:r>
      <w:r>
        <w:rPr>
          <w:rFonts w:hint="eastAsia"/>
        </w:rPr>
        <w:t>（</w:t>
      </w:r>
      <w:r>
        <w:t>A</w:t>
      </w:r>
      <w:r>
        <w:rPr>
          <w:rFonts w:hint="eastAsia"/>
        </w:rPr>
        <w:t>）</w:t>
      </w:r>
    </w:p>
    <w:tbl>
      <w:tblPr>
        <w:tblW w:w="8777" w:type="dxa"/>
        <w:jc w:val="center"/>
        <w:tblBorders>
          <w:top w:val="single" w:sz="12" w:space="0" w:color="000000"/>
          <w:bottom w:val="single" w:sz="12" w:space="0" w:color="000000"/>
          <w:insideH w:val="single" w:sz="2" w:space="0" w:color="000000"/>
          <w:insideV w:val="single" w:sz="2" w:space="0" w:color="000000"/>
        </w:tblBorders>
        <w:tblLook w:val="04A0"/>
      </w:tblPr>
      <w:tblGrid>
        <w:gridCol w:w="1319"/>
        <w:gridCol w:w="897"/>
        <w:gridCol w:w="794"/>
        <w:gridCol w:w="959"/>
        <w:gridCol w:w="960"/>
        <w:gridCol w:w="964"/>
        <w:gridCol w:w="965"/>
        <w:gridCol w:w="959"/>
        <w:gridCol w:w="960"/>
      </w:tblGrid>
      <w:tr w:rsidR="00BD5820">
        <w:trPr>
          <w:trHeight w:val="258"/>
          <w:jc w:val="center"/>
        </w:trPr>
        <w:tc>
          <w:tcPr>
            <w:tcW w:w="1319" w:type="dxa"/>
            <w:vMerge w:val="restart"/>
            <w:vAlign w:val="center"/>
          </w:tcPr>
          <w:p w:rsidR="00BD5820" w:rsidRDefault="00F64314">
            <w:pPr>
              <w:pStyle w:val="affa"/>
              <w:spacing w:line="240" w:lineRule="auto"/>
              <w:ind w:firstLineChars="0" w:firstLine="0"/>
              <w:jc w:val="center"/>
              <w:rPr>
                <w:b/>
                <w:bCs/>
                <w:sz w:val="21"/>
                <w:szCs w:val="21"/>
              </w:rPr>
            </w:pPr>
            <w:r>
              <w:rPr>
                <w:rFonts w:hint="eastAsia"/>
                <w:b/>
                <w:bCs/>
                <w:sz w:val="21"/>
                <w:szCs w:val="21"/>
              </w:rPr>
              <w:t>预测点位</w:t>
            </w:r>
          </w:p>
        </w:tc>
        <w:tc>
          <w:tcPr>
            <w:tcW w:w="897" w:type="dxa"/>
            <w:vMerge w:val="restart"/>
            <w:vAlign w:val="center"/>
          </w:tcPr>
          <w:p w:rsidR="00BD5820" w:rsidRDefault="00F64314">
            <w:pPr>
              <w:pStyle w:val="affa"/>
              <w:spacing w:line="240" w:lineRule="auto"/>
              <w:ind w:firstLineChars="0" w:firstLine="0"/>
              <w:jc w:val="center"/>
              <w:rPr>
                <w:b/>
                <w:bCs/>
                <w:sz w:val="21"/>
                <w:szCs w:val="21"/>
              </w:rPr>
            </w:pPr>
            <w:r>
              <w:rPr>
                <w:rFonts w:hint="eastAsia"/>
                <w:b/>
                <w:bCs/>
                <w:sz w:val="21"/>
                <w:szCs w:val="21"/>
              </w:rPr>
              <w:t>距离（</w:t>
            </w:r>
            <w:r>
              <w:rPr>
                <w:rFonts w:hint="eastAsia"/>
                <w:b/>
                <w:bCs/>
                <w:sz w:val="21"/>
                <w:szCs w:val="21"/>
              </w:rPr>
              <w:t>m</w:t>
            </w:r>
            <w:r>
              <w:rPr>
                <w:rFonts w:hint="eastAsia"/>
                <w:b/>
                <w:bCs/>
                <w:sz w:val="21"/>
                <w:szCs w:val="21"/>
              </w:rPr>
              <w:t>）</w:t>
            </w:r>
          </w:p>
        </w:tc>
        <w:tc>
          <w:tcPr>
            <w:tcW w:w="794" w:type="dxa"/>
            <w:vMerge w:val="restart"/>
            <w:vAlign w:val="center"/>
          </w:tcPr>
          <w:p w:rsidR="00BD5820" w:rsidRDefault="00F64314">
            <w:pPr>
              <w:pStyle w:val="affa"/>
              <w:spacing w:line="240" w:lineRule="auto"/>
              <w:ind w:firstLineChars="0" w:firstLine="0"/>
              <w:jc w:val="center"/>
              <w:rPr>
                <w:b/>
                <w:bCs/>
                <w:sz w:val="21"/>
                <w:szCs w:val="21"/>
              </w:rPr>
            </w:pPr>
            <w:r>
              <w:rPr>
                <w:rFonts w:hint="eastAsia"/>
                <w:b/>
                <w:bCs/>
                <w:sz w:val="21"/>
                <w:szCs w:val="21"/>
              </w:rPr>
              <w:t>贡献值</w:t>
            </w:r>
          </w:p>
        </w:tc>
        <w:tc>
          <w:tcPr>
            <w:tcW w:w="1919" w:type="dxa"/>
            <w:gridSpan w:val="2"/>
            <w:vAlign w:val="center"/>
          </w:tcPr>
          <w:p w:rsidR="00BD5820" w:rsidRDefault="00F64314">
            <w:pPr>
              <w:pStyle w:val="affa"/>
              <w:spacing w:line="240" w:lineRule="auto"/>
              <w:ind w:firstLineChars="0" w:firstLine="0"/>
              <w:jc w:val="center"/>
              <w:rPr>
                <w:b/>
                <w:bCs/>
                <w:sz w:val="21"/>
                <w:szCs w:val="21"/>
              </w:rPr>
            </w:pPr>
            <w:r>
              <w:rPr>
                <w:rFonts w:hint="eastAsia"/>
                <w:b/>
                <w:bCs/>
                <w:sz w:val="21"/>
                <w:szCs w:val="21"/>
              </w:rPr>
              <w:t>背景值</w:t>
            </w:r>
          </w:p>
        </w:tc>
        <w:tc>
          <w:tcPr>
            <w:tcW w:w="1929" w:type="dxa"/>
            <w:gridSpan w:val="2"/>
            <w:vAlign w:val="center"/>
          </w:tcPr>
          <w:p w:rsidR="00BD5820" w:rsidRDefault="00F64314">
            <w:pPr>
              <w:pStyle w:val="affa"/>
              <w:spacing w:line="240" w:lineRule="auto"/>
              <w:ind w:firstLineChars="0" w:firstLine="0"/>
              <w:jc w:val="center"/>
              <w:rPr>
                <w:b/>
                <w:bCs/>
                <w:sz w:val="21"/>
                <w:szCs w:val="21"/>
              </w:rPr>
            </w:pPr>
            <w:r>
              <w:rPr>
                <w:rFonts w:hint="eastAsia"/>
                <w:b/>
                <w:bCs/>
                <w:sz w:val="21"/>
                <w:szCs w:val="21"/>
              </w:rPr>
              <w:t>预测值</w:t>
            </w:r>
          </w:p>
        </w:tc>
        <w:tc>
          <w:tcPr>
            <w:tcW w:w="1919" w:type="dxa"/>
            <w:gridSpan w:val="2"/>
            <w:vAlign w:val="center"/>
          </w:tcPr>
          <w:p w:rsidR="00BD5820" w:rsidRDefault="00F64314">
            <w:pPr>
              <w:pStyle w:val="affa"/>
              <w:spacing w:line="240" w:lineRule="auto"/>
              <w:ind w:firstLineChars="0" w:firstLine="0"/>
              <w:jc w:val="center"/>
              <w:rPr>
                <w:b/>
                <w:bCs/>
                <w:sz w:val="21"/>
                <w:szCs w:val="21"/>
              </w:rPr>
            </w:pPr>
            <w:r>
              <w:rPr>
                <w:rFonts w:hint="eastAsia"/>
                <w:b/>
                <w:bCs/>
                <w:sz w:val="21"/>
                <w:szCs w:val="21"/>
              </w:rPr>
              <w:t>评价结果</w:t>
            </w:r>
          </w:p>
        </w:tc>
      </w:tr>
      <w:tr w:rsidR="00BD5820">
        <w:trPr>
          <w:trHeight w:val="268"/>
          <w:jc w:val="center"/>
        </w:trPr>
        <w:tc>
          <w:tcPr>
            <w:tcW w:w="1319" w:type="dxa"/>
            <w:vMerge/>
            <w:vAlign w:val="center"/>
          </w:tcPr>
          <w:p w:rsidR="00BD5820" w:rsidRDefault="00BD5820">
            <w:pPr>
              <w:pStyle w:val="affa"/>
              <w:spacing w:line="240" w:lineRule="auto"/>
              <w:ind w:firstLineChars="0" w:firstLine="0"/>
              <w:jc w:val="center"/>
              <w:rPr>
                <w:b/>
                <w:bCs/>
                <w:sz w:val="21"/>
                <w:szCs w:val="21"/>
              </w:rPr>
            </w:pPr>
          </w:p>
        </w:tc>
        <w:tc>
          <w:tcPr>
            <w:tcW w:w="897" w:type="dxa"/>
            <w:vMerge/>
            <w:vAlign w:val="center"/>
          </w:tcPr>
          <w:p w:rsidR="00BD5820" w:rsidRDefault="00BD5820">
            <w:pPr>
              <w:pStyle w:val="affa"/>
              <w:spacing w:line="240" w:lineRule="auto"/>
              <w:ind w:firstLineChars="0" w:firstLine="0"/>
              <w:jc w:val="center"/>
              <w:rPr>
                <w:b/>
                <w:bCs/>
                <w:sz w:val="21"/>
                <w:szCs w:val="21"/>
              </w:rPr>
            </w:pPr>
          </w:p>
        </w:tc>
        <w:tc>
          <w:tcPr>
            <w:tcW w:w="794" w:type="dxa"/>
            <w:vMerge/>
            <w:vAlign w:val="center"/>
          </w:tcPr>
          <w:p w:rsidR="00BD5820" w:rsidRDefault="00BD5820">
            <w:pPr>
              <w:pStyle w:val="affa"/>
              <w:spacing w:line="240" w:lineRule="auto"/>
              <w:ind w:firstLineChars="0" w:firstLine="0"/>
              <w:jc w:val="center"/>
              <w:rPr>
                <w:b/>
                <w:bCs/>
                <w:sz w:val="21"/>
                <w:szCs w:val="21"/>
              </w:rPr>
            </w:pPr>
          </w:p>
        </w:tc>
        <w:tc>
          <w:tcPr>
            <w:tcW w:w="959" w:type="dxa"/>
            <w:vAlign w:val="center"/>
          </w:tcPr>
          <w:p w:rsidR="00BD5820" w:rsidRDefault="00F64314">
            <w:pPr>
              <w:pStyle w:val="affa"/>
              <w:spacing w:line="240" w:lineRule="auto"/>
              <w:ind w:firstLineChars="0" w:firstLine="0"/>
              <w:jc w:val="center"/>
              <w:rPr>
                <w:b/>
                <w:bCs/>
                <w:sz w:val="21"/>
                <w:szCs w:val="21"/>
              </w:rPr>
            </w:pPr>
            <w:r>
              <w:rPr>
                <w:rFonts w:hint="eastAsia"/>
                <w:b/>
                <w:bCs/>
                <w:sz w:val="21"/>
                <w:szCs w:val="21"/>
              </w:rPr>
              <w:t>昼间</w:t>
            </w:r>
          </w:p>
        </w:tc>
        <w:tc>
          <w:tcPr>
            <w:tcW w:w="960" w:type="dxa"/>
            <w:vAlign w:val="center"/>
          </w:tcPr>
          <w:p w:rsidR="00BD5820" w:rsidRDefault="00F64314">
            <w:pPr>
              <w:pStyle w:val="affa"/>
              <w:spacing w:line="240" w:lineRule="auto"/>
              <w:ind w:firstLineChars="0" w:firstLine="0"/>
              <w:jc w:val="center"/>
              <w:rPr>
                <w:b/>
                <w:bCs/>
                <w:sz w:val="21"/>
                <w:szCs w:val="21"/>
              </w:rPr>
            </w:pPr>
            <w:r>
              <w:rPr>
                <w:rFonts w:hint="eastAsia"/>
                <w:b/>
                <w:bCs/>
                <w:sz w:val="21"/>
                <w:szCs w:val="21"/>
              </w:rPr>
              <w:t>夜间</w:t>
            </w:r>
          </w:p>
        </w:tc>
        <w:tc>
          <w:tcPr>
            <w:tcW w:w="964" w:type="dxa"/>
            <w:vAlign w:val="center"/>
          </w:tcPr>
          <w:p w:rsidR="00BD5820" w:rsidRDefault="00F64314">
            <w:pPr>
              <w:pStyle w:val="affa"/>
              <w:spacing w:line="240" w:lineRule="auto"/>
              <w:ind w:firstLineChars="0" w:firstLine="0"/>
              <w:jc w:val="center"/>
              <w:rPr>
                <w:b/>
                <w:bCs/>
                <w:sz w:val="21"/>
                <w:szCs w:val="21"/>
              </w:rPr>
            </w:pPr>
            <w:r>
              <w:rPr>
                <w:rFonts w:hint="eastAsia"/>
                <w:b/>
                <w:bCs/>
                <w:sz w:val="21"/>
                <w:szCs w:val="21"/>
              </w:rPr>
              <w:t>昼间</w:t>
            </w:r>
          </w:p>
        </w:tc>
        <w:tc>
          <w:tcPr>
            <w:tcW w:w="965" w:type="dxa"/>
            <w:vAlign w:val="center"/>
          </w:tcPr>
          <w:p w:rsidR="00BD5820" w:rsidRDefault="00F64314">
            <w:pPr>
              <w:pStyle w:val="affa"/>
              <w:spacing w:line="240" w:lineRule="auto"/>
              <w:ind w:firstLineChars="0" w:firstLine="0"/>
              <w:jc w:val="center"/>
              <w:rPr>
                <w:b/>
                <w:bCs/>
                <w:sz w:val="21"/>
                <w:szCs w:val="21"/>
              </w:rPr>
            </w:pPr>
            <w:r>
              <w:rPr>
                <w:rFonts w:hint="eastAsia"/>
                <w:b/>
                <w:bCs/>
                <w:sz w:val="21"/>
                <w:szCs w:val="21"/>
              </w:rPr>
              <w:t>夜间</w:t>
            </w:r>
          </w:p>
        </w:tc>
        <w:tc>
          <w:tcPr>
            <w:tcW w:w="959" w:type="dxa"/>
            <w:vAlign w:val="center"/>
          </w:tcPr>
          <w:p w:rsidR="00BD5820" w:rsidRDefault="00F64314">
            <w:pPr>
              <w:pStyle w:val="affa"/>
              <w:spacing w:line="240" w:lineRule="auto"/>
              <w:ind w:firstLineChars="0" w:firstLine="0"/>
              <w:jc w:val="center"/>
              <w:rPr>
                <w:b/>
                <w:bCs/>
                <w:sz w:val="21"/>
                <w:szCs w:val="21"/>
              </w:rPr>
            </w:pPr>
            <w:r>
              <w:rPr>
                <w:rFonts w:hint="eastAsia"/>
                <w:b/>
                <w:bCs/>
                <w:sz w:val="21"/>
                <w:szCs w:val="21"/>
              </w:rPr>
              <w:t>昼间</w:t>
            </w:r>
          </w:p>
        </w:tc>
        <w:tc>
          <w:tcPr>
            <w:tcW w:w="960" w:type="dxa"/>
            <w:vAlign w:val="center"/>
          </w:tcPr>
          <w:p w:rsidR="00BD5820" w:rsidRDefault="00F64314">
            <w:pPr>
              <w:pStyle w:val="affa"/>
              <w:spacing w:line="240" w:lineRule="auto"/>
              <w:ind w:firstLineChars="0" w:firstLine="0"/>
              <w:jc w:val="center"/>
              <w:rPr>
                <w:b/>
                <w:bCs/>
                <w:sz w:val="21"/>
                <w:szCs w:val="21"/>
              </w:rPr>
            </w:pPr>
            <w:r>
              <w:rPr>
                <w:rFonts w:hint="eastAsia"/>
                <w:b/>
                <w:bCs/>
                <w:sz w:val="21"/>
                <w:szCs w:val="21"/>
              </w:rPr>
              <w:t>夜间</w:t>
            </w:r>
          </w:p>
        </w:tc>
      </w:tr>
      <w:tr w:rsidR="00BD5820">
        <w:trPr>
          <w:trHeight w:val="259"/>
          <w:jc w:val="center"/>
        </w:trPr>
        <w:tc>
          <w:tcPr>
            <w:tcW w:w="1319" w:type="dxa"/>
            <w:vAlign w:val="center"/>
          </w:tcPr>
          <w:p w:rsidR="00BD5820" w:rsidRDefault="00F64314">
            <w:pPr>
              <w:pStyle w:val="affa"/>
              <w:spacing w:line="240" w:lineRule="auto"/>
              <w:ind w:firstLineChars="0" w:firstLine="0"/>
              <w:jc w:val="center"/>
              <w:rPr>
                <w:sz w:val="21"/>
                <w:szCs w:val="21"/>
              </w:rPr>
            </w:pPr>
            <w:r>
              <w:rPr>
                <w:rFonts w:hint="eastAsia"/>
                <w:sz w:val="21"/>
                <w:szCs w:val="21"/>
              </w:rPr>
              <w:t>东侧</w:t>
            </w:r>
          </w:p>
        </w:tc>
        <w:tc>
          <w:tcPr>
            <w:tcW w:w="897" w:type="dxa"/>
            <w:vAlign w:val="center"/>
          </w:tcPr>
          <w:p w:rsidR="00BD5820" w:rsidRDefault="00F64314">
            <w:pPr>
              <w:pStyle w:val="affa"/>
              <w:spacing w:line="240" w:lineRule="auto"/>
              <w:ind w:firstLineChars="0" w:firstLine="0"/>
              <w:jc w:val="center"/>
              <w:rPr>
                <w:sz w:val="21"/>
                <w:szCs w:val="21"/>
              </w:rPr>
            </w:pPr>
            <w:r>
              <w:rPr>
                <w:rFonts w:hint="eastAsia"/>
                <w:sz w:val="21"/>
                <w:szCs w:val="21"/>
              </w:rPr>
              <w:t>15</w:t>
            </w:r>
          </w:p>
        </w:tc>
        <w:tc>
          <w:tcPr>
            <w:tcW w:w="794" w:type="dxa"/>
            <w:vAlign w:val="center"/>
          </w:tcPr>
          <w:p w:rsidR="00BD5820" w:rsidRDefault="00F64314">
            <w:pPr>
              <w:pStyle w:val="affa"/>
              <w:spacing w:line="240" w:lineRule="auto"/>
              <w:ind w:firstLineChars="0" w:firstLine="0"/>
              <w:jc w:val="center"/>
              <w:rPr>
                <w:sz w:val="21"/>
                <w:szCs w:val="21"/>
              </w:rPr>
            </w:pPr>
            <w:r>
              <w:rPr>
                <w:rFonts w:hint="eastAsia"/>
                <w:sz w:val="21"/>
                <w:szCs w:val="21"/>
              </w:rPr>
              <w:t>47.4</w:t>
            </w:r>
          </w:p>
        </w:tc>
        <w:tc>
          <w:tcPr>
            <w:tcW w:w="959" w:type="dxa"/>
            <w:vAlign w:val="center"/>
          </w:tcPr>
          <w:p w:rsidR="00BD5820" w:rsidRDefault="00F64314">
            <w:pPr>
              <w:pStyle w:val="affa"/>
              <w:spacing w:line="240" w:lineRule="auto"/>
              <w:ind w:firstLineChars="0" w:firstLine="0"/>
              <w:jc w:val="center"/>
              <w:rPr>
                <w:sz w:val="21"/>
                <w:szCs w:val="21"/>
              </w:rPr>
            </w:pPr>
            <w:r>
              <w:rPr>
                <w:rFonts w:hint="eastAsia"/>
                <w:sz w:val="21"/>
                <w:szCs w:val="21"/>
              </w:rPr>
              <w:t>/</w:t>
            </w:r>
          </w:p>
        </w:tc>
        <w:tc>
          <w:tcPr>
            <w:tcW w:w="960" w:type="dxa"/>
            <w:vAlign w:val="center"/>
          </w:tcPr>
          <w:p w:rsidR="00BD5820" w:rsidRDefault="00F64314">
            <w:pPr>
              <w:pStyle w:val="affa"/>
              <w:spacing w:line="240" w:lineRule="auto"/>
              <w:ind w:firstLineChars="0" w:firstLine="0"/>
              <w:jc w:val="center"/>
              <w:rPr>
                <w:sz w:val="21"/>
                <w:szCs w:val="21"/>
              </w:rPr>
            </w:pPr>
            <w:r>
              <w:rPr>
                <w:rFonts w:hint="eastAsia"/>
                <w:sz w:val="21"/>
                <w:szCs w:val="21"/>
              </w:rPr>
              <w:t>/</w:t>
            </w:r>
          </w:p>
        </w:tc>
        <w:tc>
          <w:tcPr>
            <w:tcW w:w="964" w:type="dxa"/>
            <w:vAlign w:val="center"/>
          </w:tcPr>
          <w:p w:rsidR="00BD5820" w:rsidRDefault="00F64314">
            <w:pPr>
              <w:pStyle w:val="affa"/>
              <w:spacing w:line="240" w:lineRule="auto"/>
              <w:ind w:firstLineChars="0" w:firstLine="0"/>
              <w:jc w:val="center"/>
              <w:rPr>
                <w:sz w:val="21"/>
                <w:szCs w:val="21"/>
              </w:rPr>
            </w:pPr>
            <w:r>
              <w:rPr>
                <w:rFonts w:hint="eastAsia"/>
                <w:sz w:val="21"/>
                <w:szCs w:val="21"/>
              </w:rPr>
              <w:t>47.4</w:t>
            </w:r>
          </w:p>
        </w:tc>
        <w:tc>
          <w:tcPr>
            <w:tcW w:w="965" w:type="dxa"/>
            <w:vAlign w:val="center"/>
          </w:tcPr>
          <w:p w:rsidR="00BD5820" w:rsidRDefault="00F64314">
            <w:pPr>
              <w:pStyle w:val="affa"/>
              <w:spacing w:line="240" w:lineRule="auto"/>
              <w:ind w:firstLineChars="0" w:firstLine="0"/>
              <w:jc w:val="center"/>
              <w:rPr>
                <w:sz w:val="21"/>
                <w:szCs w:val="21"/>
              </w:rPr>
            </w:pPr>
            <w:r>
              <w:rPr>
                <w:rFonts w:hint="eastAsia"/>
                <w:sz w:val="21"/>
                <w:szCs w:val="21"/>
              </w:rPr>
              <w:t>47.4</w:t>
            </w:r>
          </w:p>
        </w:tc>
        <w:tc>
          <w:tcPr>
            <w:tcW w:w="959" w:type="dxa"/>
            <w:vAlign w:val="center"/>
          </w:tcPr>
          <w:p w:rsidR="00BD5820" w:rsidRDefault="00F64314">
            <w:pPr>
              <w:pStyle w:val="affa"/>
              <w:spacing w:line="240" w:lineRule="auto"/>
              <w:ind w:firstLineChars="0" w:firstLine="0"/>
              <w:jc w:val="center"/>
              <w:rPr>
                <w:sz w:val="21"/>
                <w:szCs w:val="21"/>
              </w:rPr>
            </w:pPr>
            <w:r>
              <w:rPr>
                <w:sz w:val="21"/>
                <w:szCs w:val="21"/>
              </w:rPr>
              <w:t>达标</w:t>
            </w:r>
          </w:p>
        </w:tc>
        <w:tc>
          <w:tcPr>
            <w:tcW w:w="960" w:type="dxa"/>
          </w:tcPr>
          <w:p w:rsidR="00BD5820" w:rsidRDefault="00F64314">
            <w:pPr>
              <w:pStyle w:val="affa"/>
              <w:spacing w:line="240" w:lineRule="auto"/>
              <w:ind w:firstLineChars="0" w:firstLine="0"/>
              <w:jc w:val="center"/>
              <w:rPr>
                <w:sz w:val="21"/>
                <w:szCs w:val="21"/>
              </w:rPr>
            </w:pPr>
            <w:r>
              <w:rPr>
                <w:sz w:val="21"/>
                <w:szCs w:val="21"/>
              </w:rPr>
              <w:t>达标</w:t>
            </w:r>
          </w:p>
        </w:tc>
      </w:tr>
      <w:tr w:rsidR="00BD5820">
        <w:trPr>
          <w:trHeight w:val="259"/>
          <w:jc w:val="center"/>
        </w:trPr>
        <w:tc>
          <w:tcPr>
            <w:tcW w:w="1319" w:type="dxa"/>
            <w:vAlign w:val="center"/>
          </w:tcPr>
          <w:p w:rsidR="00BD5820" w:rsidRDefault="00F64314">
            <w:pPr>
              <w:pStyle w:val="affa"/>
              <w:spacing w:line="240" w:lineRule="auto"/>
              <w:ind w:firstLineChars="0" w:firstLine="0"/>
              <w:jc w:val="center"/>
              <w:rPr>
                <w:sz w:val="21"/>
                <w:szCs w:val="21"/>
              </w:rPr>
            </w:pPr>
            <w:r>
              <w:rPr>
                <w:rFonts w:hint="eastAsia"/>
                <w:sz w:val="21"/>
                <w:szCs w:val="21"/>
              </w:rPr>
              <w:t>南侧</w:t>
            </w:r>
          </w:p>
        </w:tc>
        <w:tc>
          <w:tcPr>
            <w:tcW w:w="897" w:type="dxa"/>
            <w:vAlign w:val="center"/>
          </w:tcPr>
          <w:p w:rsidR="00BD5820" w:rsidRDefault="00F64314">
            <w:pPr>
              <w:pStyle w:val="affa"/>
              <w:spacing w:line="240" w:lineRule="auto"/>
              <w:ind w:firstLineChars="0" w:firstLine="0"/>
              <w:jc w:val="center"/>
              <w:rPr>
                <w:sz w:val="21"/>
                <w:szCs w:val="21"/>
              </w:rPr>
            </w:pPr>
            <w:r>
              <w:rPr>
                <w:rFonts w:hint="eastAsia"/>
                <w:sz w:val="21"/>
                <w:szCs w:val="21"/>
              </w:rPr>
              <w:t>30</w:t>
            </w:r>
          </w:p>
        </w:tc>
        <w:tc>
          <w:tcPr>
            <w:tcW w:w="794" w:type="dxa"/>
            <w:vAlign w:val="center"/>
          </w:tcPr>
          <w:p w:rsidR="00BD5820" w:rsidRDefault="00F64314">
            <w:pPr>
              <w:pStyle w:val="affa"/>
              <w:spacing w:line="240" w:lineRule="auto"/>
              <w:ind w:firstLineChars="0" w:firstLine="0"/>
              <w:jc w:val="center"/>
              <w:rPr>
                <w:sz w:val="21"/>
                <w:szCs w:val="21"/>
              </w:rPr>
            </w:pPr>
            <w:r>
              <w:rPr>
                <w:rFonts w:hint="eastAsia"/>
                <w:sz w:val="21"/>
                <w:szCs w:val="21"/>
              </w:rPr>
              <w:t>41.4</w:t>
            </w:r>
          </w:p>
        </w:tc>
        <w:tc>
          <w:tcPr>
            <w:tcW w:w="959" w:type="dxa"/>
            <w:vAlign w:val="center"/>
          </w:tcPr>
          <w:p w:rsidR="00BD5820" w:rsidRDefault="00F64314">
            <w:pPr>
              <w:pStyle w:val="affa"/>
              <w:spacing w:line="240" w:lineRule="auto"/>
              <w:ind w:firstLineChars="0" w:firstLine="0"/>
              <w:jc w:val="center"/>
              <w:rPr>
                <w:sz w:val="21"/>
                <w:szCs w:val="21"/>
              </w:rPr>
            </w:pPr>
            <w:r>
              <w:rPr>
                <w:rFonts w:hint="eastAsia"/>
                <w:sz w:val="21"/>
                <w:szCs w:val="21"/>
              </w:rPr>
              <w:t>/</w:t>
            </w:r>
          </w:p>
        </w:tc>
        <w:tc>
          <w:tcPr>
            <w:tcW w:w="960" w:type="dxa"/>
            <w:vAlign w:val="center"/>
          </w:tcPr>
          <w:p w:rsidR="00BD5820" w:rsidRDefault="00F64314">
            <w:pPr>
              <w:pStyle w:val="affa"/>
              <w:spacing w:line="240" w:lineRule="auto"/>
              <w:ind w:firstLineChars="0" w:firstLine="0"/>
              <w:jc w:val="center"/>
              <w:rPr>
                <w:sz w:val="21"/>
                <w:szCs w:val="21"/>
              </w:rPr>
            </w:pPr>
            <w:r>
              <w:rPr>
                <w:rFonts w:hint="eastAsia"/>
                <w:sz w:val="21"/>
                <w:szCs w:val="21"/>
              </w:rPr>
              <w:t>/</w:t>
            </w:r>
          </w:p>
        </w:tc>
        <w:tc>
          <w:tcPr>
            <w:tcW w:w="964" w:type="dxa"/>
            <w:vAlign w:val="center"/>
          </w:tcPr>
          <w:p w:rsidR="00BD5820" w:rsidRDefault="00F64314">
            <w:pPr>
              <w:pStyle w:val="affa"/>
              <w:spacing w:line="240" w:lineRule="auto"/>
              <w:ind w:firstLineChars="0" w:firstLine="0"/>
              <w:jc w:val="center"/>
              <w:rPr>
                <w:sz w:val="21"/>
                <w:szCs w:val="21"/>
              </w:rPr>
            </w:pPr>
            <w:r>
              <w:rPr>
                <w:rFonts w:hint="eastAsia"/>
                <w:sz w:val="21"/>
                <w:szCs w:val="21"/>
              </w:rPr>
              <w:t>41.4</w:t>
            </w:r>
          </w:p>
        </w:tc>
        <w:tc>
          <w:tcPr>
            <w:tcW w:w="965" w:type="dxa"/>
            <w:vAlign w:val="center"/>
          </w:tcPr>
          <w:p w:rsidR="00BD5820" w:rsidRDefault="00F64314">
            <w:pPr>
              <w:pStyle w:val="affa"/>
              <w:spacing w:line="240" w:lineRule="auto"/>
              <w:ind w:firstLineChars="0" w:firstLine="0"/>
              <w:jc w:val="center"/>
              <w:rPr>
                <w:sz w:val="21"/>
                <w:szCs w:val="21"/>
              </w:rPr>
            </w:pPr>
            <w:r>
              <w:rPr>
                <w:rFonts w:hint="eastAsia"/>
                <w:sz w:val="21"/>
                <w:szCs w:val="21"/>
              </w:rPr>
              <w:t>41.4</w:t>
            </w:r>
          </w:p>
        </w:tc>
        <w:tc>
          <w:tcPr>
            <w:tcW w:w="959" w:type="dxa"/>
          </w:tcPr>
          <w:p w:rsidR="00BD5820" w:rsidRDefault="00F64314">
            <w:pPr>
              <w:pStyle w:val="affa"/>
              <w:spacing w:line="240" w:lineRule="auto"/>
              <w:ind w:firstLineChars="0" w:firstLine="0"/>
              <w:jc w:val="center"/>
              <w:rPr>
                <w:sz w:val="21"/>
                <w:szCs w:val="21"/>
              </w:rPr>
            </w:pPr>
            <w:r>
              <w:rPr>
                <w:sz w:val="21"/>
                <w:szCs w:val="21"/>
              </w:rPr>
              <w:t>达标</w:t>
            </w:r>
          </w:p>
        </w:tc>
        <w:tc>
          <w:tcPr>
            <w:tcW w:w="960" w:type="dxa"/>
          </w:tcPr>
          <w:p w:rsidR="00BD5820" w:rsidRDefault="00F64314">
            <w:pPr>
              <w:pStyle w:val="affa"/>
              <w:spacing w:line="240" w:lineRule="auto"/>
              <w:ind w:firstLineChars="0" w:firstLine="0"/>
              <w:jc w:val="center"/>
              <w:rPr>
                <w:sz w:val="21"/>
                <w:szCs w:val="21"/>
              </w:rPr>
            </w:pPr>
            <w:r>
              <w:rPr>
                <w:sz w:val="21"/>
                <w:szCs w:val="21"/>
              </w:rPr>
              <w:t>达标</w:t>
            </w:r>
          </w:p>
        </w:tc>
      </w:tr>
      <w:tr w:rsidR="00BD5820">
        <w:trPr>
          <w:trHeight w:val="259"/>
          <w:jc w:val="center"/>
        </w:trPr>
        <w:tc>
          <w:tcPr>
            <w:tcW w:w="1319" w:type="dxa"/>
            <w:vAlign w:val="center"/>
          </w:tcPr>
          <w:p w:rsidR="00BD5820" w:rsidRDefault="00F64314">
            <w:pPr>
              <w:pStyle w:val="affa"/>
              <w:spacing w:line="240" w:lineRule="auto"/>
              <w:ind w:firstLineChars="0" w:firstLine="0"/>
              <w:jc w:val="center"/>
              <w:rPr>
                <w:sz w:val="21"/>
                <w:szCs w:val="21"/>
              </w:rPr>
            </w:pPr>
            <w:r>
              <w:rPr>
                <w:rFonts w:hint="eastAsia"/>
                <w:sz w:val="21"/>
                <w:szCs w:val="21"/>
              </w:rPr>
              <w:t>西侧</w:t>
            </w:r>
          </w:p>
        </w:tc>
        <w:tc>
          <w:tcPr>
            <w:tcW w:w="897" w:type="dxa"/>
            <w:vAlign w:val="center"/>
          </w:tcPr>
          <w:p w:rsidR="00BD5820" w:rsidRDefault="00F64314">
            <w:pPr>
              <w:pStyle w:val="affa"/>
              <w:spacing w:line="240" w:lineRule="auto"/>
              <w:ind w:firstLineChars="0" w:firstLine="0"/>
              <w:jc w:val="center"/>
              <w:rPr>
                <w:sz w:val="21"/>
                <w:szCs w:val="21"/>
              </w:rPr>
            </w:pPr>
            <w:r>
              <w:rPr>
                <w:rFonts w:hint="eastAsia"/>
                <w:sz w:val="21"/>
                <w:szCs w:val="21"/>
              </w:rPr>
              <w:t>45</w:t>
            </w:r>
          </w:p>
        </w:tc>
        <w:tc>
          <w:tcPr>
            <w:tcW w:w="794" w:type="dxa"/>
            <w:vAlign w:val="center"/>
          </w:tcPr>
          <w:p w:rsidR="00BD5820" w:rsidRDefault="00F64314">
            <w:pPr>
              <w:pStyle w:val="affa"/>
              <w:spacing w:line="240" w:lineRule="auto"/>
              <w:ind w:firstLineChars="0" w:firstLine="0"/>
              <w:jc w:val="center"/>
              <w:rPr>
                <w:sz w:val="21"/>
                <w:szCs w:val="21"/>
              </w:rPr>
            </w:pPr>
            <w:r>
              <w:rPr>
                <w:rFonts w:hint="eastAsia"/>
                <w:sz w:val="21"/>
                <w:szCs w:val="21"/>
              </w:rPr>
              <w:t>38</w:t>
            </w:r>
          </w:p>
        </w:tc>
        <w:tc>
          <w:tcPr>
            <w:tcW w:w="959" w:type="dxa"/>
            <w:vAlign w:val="center"/>
          </w:tcPr>
          <w:p w:rsidR="00BD5820" w:rsidRDefault="00F64314">
            <w:pPr>
              <w:pStyle w:val="affa"/>
              <w:spacing w:line="240" w:lineRule="auto"/>
              <w:ind w:firstLineChars="0" w:firstLine="0"/>
              <w:jc w:val="center"/>
              <w:rPr>
                <w:sz w:val="21"/>
                <w:szCs w:val="21"/>
              </w:rPr>
            </w:pPr>
            <w:r>
              <w:rPr>
                <w:rFonts w:hint="eastAsia"/>
                <w:sz w:val="21"/>
                <w:szCs w:val="21"/>
              </w:rPr>
              <w:t>/</w:t>
            </w:r>
          </w:p>
        </w:tc>
        <w:tc>
          <w:tcPr>
            <w:tcW w:w="960" w:type="dxa"/>
            <w:vAlign w:val="center"/>
          </w:tcPr>
          <w:p w:rsidR="00BD5820" w:rsidRDefault="00F64314">
            <w:pPr>
              <w:pStyle w:val="affa"/>
              <w:spacing w:line="240" w:lineRule="auto"/>
              <w:ind w:firstLineChars="0" w:firstLine="0"/>
              <w:jc w:val="center"/>
              <w:rPr>
                <w:sz w:val="21"/>
                <w:szCs w:val="21"/>
              </w:rPr>
            </w:pPr>
            <w:r>
              <w:rPr>
                <w:rFonts w:hint="eastAsia"/>
                <w:sz w:val="21"/>
                <w:szCs w:val="21"/>
              </w:rPr>
              <w:t>/</w:t>
            </w:r>
          </w:p>
        </w:tc>
        <w:tc>
          <w:tcPr>
            <w:tcW w:w="964" w:type="dxa"/>
            <w:vAlign w:val="center"/>
          </w:tcPr>
          <w:p w:rsidR="00BD5820" w:rsidRDefault="00F64314">
            <w:pPr>
              <w:pStyle w:val="affa"/>
              <w:spacing w:line="240" w:lineRule="auto"/>
              <w:ind w:firstLineChars="0" w:firstLine="0"/>
              <w:jc w:val="center"/>
              <w:rPr>
                <w:sz w:val="21"/>
                <w:szCs w:val="21"/>
              </w:rPr>
            </w:pPr>
            <w:r>
              <w:rPr>
                <w:rFonts w:hint="eastAsia"/>
                <w:sz w:val="21"/>
                <w:szCs w:val="21"/>
              </w:rPr>
              <w:t>38</w:t>
            </w:r>
          </w:p>
        </w:tc>
        <w:tc>
          <w:tcPr>
            <w:tcW w:w="965" w:type="dxa"/>
            <w:vAlign w:val="center"/>
          </w:tcPr>
          <w:p w:rsidR="00BD5820" w:rsidRDefault="00F64314">
            <w:pPr>
              <w:pStyle w:val="affa"/>
              <w:spacing w:line="240" w:lineRule="auto"/>
              <w:ind w:firstLineChars="0" w:firstLine="0"/>
              <w:jc w:val="center"/>
              <w:rPr>
                <w:sz w:val="21"/>
                <w:szCs w:val="21"/>
              </w:rPr>
            </w:pPr>
            <w:r>
              <w:rPr>
                <w:rFonts w:hint="eastAsia"/>
                <w:sz w:val="21"/>
                <w:szCs w:val="21"/>
              </w:rPr>
              <w:t>38</w:t>
            </w:r>
          </w:p>
        </w:tc>
        <w:tc>
          <w:tcPr>
            <w:tcW w:w="959" w:type="dxa"/>
          </w:tcPr>
          <w:p w:rsidR="00BD5820" w:rsidRDefault="00F64314">
            <w:pPr>
              <w:pStyle w:val="affa"/>
              <w:spacing w:line="240" w:lineRule="auto"/>
              <w:ind w:firstLineChars="0" w:firstLine="0"/>
              <w:jc w:val="center"/>
              <w:rPr>
                <w:sz w:val="21"/>
                <w:szCs w:val="21"/>
              </w:rPr>
            </w:pPr>
            <w:r>
              <w:rPr>
                <w:sz w:val="21"/>
                <w:szCs w:val="21"/>
              </w:rPr>
              <w:t>达标</w:t>
            </w:r>
          </w:p>
        </w:tc>
        <w:tc>
          <w:tcPr>
            <w:tcW w:w="960" w:type="dxa"/>
          </w:tcPr>
          <w:p w:rsidR="00BD5820" w:rsidRDefault="00F64314">
            <w:pPr>
              <w:pStyle w:val="affa"/>
              <w:spacing w:line="240" w:lineRule="auto"/>
              <w:ind w:firstLineChars="0" w:firstLine="0"/>
              <w:jc w:val="center"/>
              <w:rPr>
                <w:sz w:val="21"/>
                <w:szCs w:val="21"/>
              </w:rPr>
            </w:pPr>
            <w:r>
              <w:rPr>
                <w:sz w:val="21"/>
                <w:szCs w:val="21"/>
              </w:rPr>
              <w:t>达标</w:t>
            </w:r>
          </w:p>
        </w:tc>
      </w:tr>
      <w:tr w:rsidR="00BD5820">
        <w:trPr>
          <w:trHeight w:val="207"/>
          <w:jc w:val="center"/>
        </w:trPr>
        <w:tc>
          <w:tcPr>
            <w:tcW w:w="1319" w:type="dxa"/>
            <w:vAlign w:val="center"/>
          </w:tcPr>
          <w:p w:rsidR="00BD5820" w:rsidRDefault="00F64314">
            <w:pPr>
              <w:pStyle w:val="affa"/>
              <w:spacing w:line="240" w:lineRule="auto"/>
              <w:ind w:firstLineChars="0" w:firstLine="0"/>
              <w:jc w:val="center"/>
              <w:rPr>
                <w:sz w:val="21"/>
                <w:szCs w:val="21"/>
              </w:rPr>
            </w:pPr>
            <w:r>
              <w:rPr>
                <w:rFonts w:hint="eastAsia"/>
                <w:sz w:val="21"/>
                <w:szCs w:val="21"/>
              </w:rPr>
              <w:t>北侧</w:t>
            </w:r>
          </w:p>
        </w:tc>
        <w:tc>
          <w:tcPr>
            <w:tcW w:w="897" w:type="dxa"/>
            <w:vAlign w:val="center"/>
          </w:tcPr>
          <w:p w:rsidR="00BD5820" w:rsidRDefault="00F64314">
            <w:pPr>
              <w:pStyle w:val="affa"/>
              <w:spacing w:line="240" w:lineRule="auto"/>
              <w:ind w:firstLineChars="0" w:firstLine="0"/>
              <w:jc w:val="center"/>
              <w:rPr>
                <w:sz w:val="21"/>
                <w:szCs w:val="21"/>
              </w:rPr>
            </w:pPr>
            <w:r>
              <w:rPr>
                <w:rFonts w:hint="eastAsia"/>
                <w:sz w:val="21"/>
                <w:szCs w:val="21"/>
              </w:rPr>
              <w:t>130</w:t>
            </w:r>
          </w:p>
        </w:tc>
        <w:tc>
          <w:tcPr>
            <w:tcW w:w="794" w:type="dxa"/>
            <w:vAlign w:val="center"/>
          </w:tcPr>
          <w:p w:rsidR="00BD5820" w:rsidRDefault="00F64314">
            <w:pPr>
              <w:pStyle w:val="affa"/>
              <w:spacing w:line="240" w:lineRule="auto"/>
              <w:ind w:firstLineChars="0" w:firstLine="0"/>
              <w:jc w:val="center"/>
              <w:rPr>
                <w:sz w:val="21"/>
                <w:szCs w:val="21"/>
              </w:rPr>
            </w:pPr>
            <w:r>
              <w:rPr>
                <w:rFonts w:hint="eastAsia"/>
                <w:sz w:val="21"/>
                <w:szCs w:val="21"/>
              </w:rPr>
              <w:t>28.8</w:t>
            </w:r>
          </w:p>
        </w:tc>
        <w:tc>
          <w:tcPr>
            <w:tcW w:w="959" w:type="dxa"/>
            <w:vAlign w:val="center"/>
          </w:tcPr>
          <w:p w:rsidR="00BD5820" w:rsidRDefault="00F64314">
            <w:pPr>
              <w:pStyle w:val="affa"/>
              <w:spacing w:line="240" w:lineRule="auto"/>
              <w:ind w:firstLineChars="0" w:firstLine="0"/>
              <w:jc w:val="center"/>
              <w:rPr>
                <w:sz w:val="21"/>
                <w:szCs w:val="21"/>
              </w:rPr>
            </w:pPr>
            <w:r>
              <w:rPr>
                <w:rFonts w:hint="eastAsia"/>
                <w:sz w:val="21"/>
                <w:szCs w:val="21"/>
              </w:rPr>
              <w:t>/</w:t>
            </w:r>
          </w:p>
        </w:tc>
        <w:tc>
          <w:tcPr>
            <w:tcW w:w="960" w:type="dxa"/>
            <w:vAlign w:val="center"/>
          </w:tcPr>
          <w:p w:rsidR="00BD5820" w:rsidRDefault="00F64314">
            <w:pPr>
              <w:pStyle w:val="affa"/>
              <w:spacing w:line="240" w:lineRule="auto"/>
              <w:ind w:firstLineChars="0" w:firstLine="0"/>
              <w:jc w:val="center"/>
              <w:rPr>
                <w:sz w:val="21"/>
                <w:szCs w:val="21"/>
              </w:rPr>
            </w:pPr>
            <w:r>
              <w:rPr>
                <w:rFonts w:hint="eastAsia"/>
                <w:sz w:val="21"/>
                <w:szCs w:val="21"/>
              </w:rPr>
              <w:t>/</w:t>
            </w:r>
          </w:p>
        </w:tc>
        <w:tc>
          <w:tcPr>
            <w:tcW w:w="964" w:type="dxa"/>
            <w:vAlign w:val="center"/>
          </w:tcPr>
          <w:p w:rsidR="00BD5820" w:rsidRDefault="00F64314">
            <w:pPr>
              <w:pStyle w:val="affa"/>
              <w:spacing w:line="240" w:lineRule="auto"/>
              <w:ind w:firstLineChars="0" w:firstLine="0"/>
              <w:jc w:val="center"/>
              <w:rPr>
                <w:sz w:val="21"/>
                <w:szCs w:val="21"/>
              </w:rPr>
            </w:pPr>
            <w:r>
              <w:rPr>
                <w:rFonts w:hint="eastAsia"/>
                <w:sz w:val="21"/>
                <w:szCs w:val="21"/>
              </w:rPr>
              <w:t>28.8</w:t>
            </w:r>
          </w:p>
        </w:tc>
        <w:tc>
          <w:tcPr>
            <w:tcW w:w="965" w:type="dxa"/>
            <w:vAlign w:val="center"/>
          </w:tcPr>
          <w:p w:rsidR="00BD5820" w:rsidRDefault="00F64314">
            <w:pPr>
              <w:pStyle w:val="affa"/>
              <w:spacing w:line="240" w:lineRule="auto"/>
              <w:ind w:firstLineChars="0" w:firstLine="0"/>
              <w:jc w:val="center"/>
              <w:rPr>
                <w:sz w:val="21"/>
                <w:szCs w:val="21"/>
              </w:rPr>
            </w:pPr>
            <w:r>
              <w:rPr>
                <w:rFonts w:hint="eastAsia"/>
                <w:sz w:val="21"/>
                <w:szCs w:val="21"/>
              </w:rPr>
              <w:t>28.8</w:t>
            </w:r>
          </w:p>
        </w:tc>
        <w:tc>
          <w:tcPr>
            <w:tcW w:w="959" w:type="dxa"/>
          </w:tcPr>
          <w:p w:rsidR="00BD5820" w:rsidRDefault="00F64314">
            <w:pPr>
              <w:pStyle w:val="affa"/>
              <w:spacing w:line="240" w:lineRule="auto"/>
              <w:ind w:firstLineChars="0" w:firstLine="0"/>
              <w:jc w:val="center"/>
              <w:rPr>
                <w:sz w:val="21"/>
                <w:szCs w:val="21"/>
              </w:rPr>
            </w:pPr>
            <w:r>
              <w:rPr>
                <w:sz w:val="21"/>
                <w:szCs w:val="21"/>
              </w:rPr>
              <w:t>达标</w:t>
            </w:r>
          </w:p>
        </w:tc>
        <w:tc>
          <w:tcPr>
            <w:tcW w:w="960" w:type="dxa"/>
          </w:tcPr>
          <w:p w:rsidR="00BD5820" w:rsidRDefault="00F64314">
            <w:pPr>
              <w:pStyle w:val="affa"/>
              <w:spacing w:line="240" w:lineRule="auto"/>
              <w:ind w:firstLineChars="0" w:firstLine="0"/>
              <w:jc w:val="center"/>
              <w:rPr>
                <w:sz w:val="21"/>
                <w:szCs w:val="21"/>
              </w:rPr>
            </w:pPr>
            <w:r>
              <w:rPr>
                <w:sz w:val="21"/>
                <w:szCs w:val="21"/>
              </w:rPr>
              <w:t>达标</w:t>
            </w:r>
          </w:p>
        </w:tc>
      </w:tr>
    </w:tbl>
    <w:p w:rsidR="00BD5820" w:rsidRDefault="00F64314">
      <w:pPr>
        <w:pStyle w:val="affa"/>
        <w:ind w:firstLine="480"/>
      </w:pPr>
      <w:r>
        <w:rPr>
          <w:rFonts w:hint="eastAsia"/>
        </w:rPr>
        <w:t>由表</w:t>
      </w:r>
      <w:r>
        <w:rPr>
          <w:rFonts w:ascii="TimesNewRomanPSMT" w:eastAsia="TimesNewRomanPSMT" w:cs="TimesNewRomanPSMT"/>
        </w:rPr>
        <w:t>6.2-</w:t>
      </w:r>
      <w:r>
        <w:rPr>
          <w:rFonts w:ascii="TimesNewRomanPSMT" w:cs="TimesNewRomanPSMT" w:hint="eastAsia"/>
        </w:rPr>
        <w:t>8</w:t>
      </w:r>
      <w:r>
        <w:rPr>
          <w:rFonts w:hint="eastAsia"/>
        </w:rPr>
        <w:t>结果可见，普光气田</w:t>
      </w:r>
      <w:r>
        <w:rPr>
          <w:rFonts w:hint="eastAsia"/>
        </w:rPr>
        <w:t>2#</w:t>
      </w:r>
      <w:r>
        <w:rPr>
          <w:rFonts w:hint="eastAsia"/>
        </w:rPr>
        <w:t>增压站厂界噪声均能满足《工业企业厂界环境噪声排放标准》（</w:t>
      </w:r>
      <w:r>
        <w:rPr>
          <w:rFonts w:ascii="TimesNewRomanPSMT" w:eastAsia="TimesNewRomanPSMT" w:cs="TimesNewRomanPSMT"/>
        </w:rPr>
        <w:t>GB12348-2008</w:t>
      </w:r>
      <w:r>
        <w:rPr>
          <w:rFonts w:hint="eastAsia"/>
        </w:rPr>
        <w:t>）中</w:t>
      </w:r>
      <w:r>
        <w:rPr>
          <w:rFonts w:ascii="TimesNewRomanPSMT" w:eastAsia="TimesNewRomanPSMT" w:cs="TimesNewRomanPSMT"/>
        </w:rPr>
        <w:t>2</w:t>
      </w:r>
      <w:r>
        <w:rPr>
          <w:rFonts w:hint="eastAsia"/>
        </w:rPr>
        <w:t>类标准。</w:t>
      </w:r>
    </w:p>
    <w:p w:rsidR="00BD5820" w:rsidRDefault="00F64314">
      <w:pPr>
        <w:pStyle w:val="affa"/>
        <w:ind w:firstLine="482"/>
        <w:rPr>
          <w:b/>
          <w:bCs/>
        </w:rPr>
      </w:pPr>
      <w:r>
        <w:rPr>
          <w:b/>
          <w:bCs/>
        </w:rPr>
        <w:t>2</w:t>
      </w:r>
      <w:r>
        <w:rPr>
          <w:b/>
          <w:bCs/>
        </w:rPr>
        <w:t>、</w:t>
      </w:r>
      <w:r>
        <w:rPr>
          <w:rFonts w:hint="eastAsia"/>
          <w:b/>
          <w:bCs/>
        </w:rPr>
        <w:t>放空噪声</w:t>
      </w:r>
    </w:p>
    <w:p w:rsidR="00BD5820" w:rsidRDefault="00F64314">
      <w:pPr>
        <w:pStyle w:val="affa"/>
        <w:ind w:firstLine="480"/>
      </w:pPr>
      <w:r>
        <w:rPr>
          <w:rFonts w:hint="eastAsia"/>
        </w:rPr>
        <w:t>此外，在事故或检修情况将对设备和管道内的天然气进行点火放空，此过程将产生放空噪声，放空噪声值约为</w:t>
      </w:r>
      <w:r>
        <w:t>90dB</w:t>
      </w:r>
      <w:r>
        <w:rPr>
          <w:rFonts w:hint="eastAsia"/>
        </w:rPr>
        <w:t>（</w:t>
      </w:r>
      <w:r>
        <w:t>A</w:t>
      </w:r>
      <w:r>
        <w:rPr>
          <w:rFonts w:hint="eastAsia"/>
        </w:rPr>
        <w:t>）；但放空噪声一年出现</w:t>
      </w:r>
      <w:r>
        <w:t>2~5</w:t>
      </w:r>
      <w:r>
        <w:rPr>
          <w:rFonts w:hint="eastAsia"/>
        </w:rPr>
        <w:t>次，属于偶发噪声，不属于正常工况下的噪声。</w:t>
      </w:r>
      <w:r>
        <w:rPr>
          <w:rFonts w:hint="eastAsia"/>
        </w:rPr>
        <w:t>P102</w:t>
      </w:r>
      <w:r>
        <w:rPr>
          <w:rFonts w:hint="eastAsia"/>
        </w:rPr>
        <w:t>集气站在检修和事故状态下，放空噪声对最近敏感点的预测结果见下表。</w:t>
      </w:r>
    </w:p>
    <w:p w:rsidR="00BD5820" w:rsidRDefault="00F64314">
      <w:pPr>
        <w:pStyle w:val="10"/>
      </w:pPr>
      <w:r>
        <w:rPr>
          <w:rFonts w:hint="eastAsia"/>
        </w:rPr>
        <w:t>表</w:t>
      </w:r>
      <w:r>
        <w:t>6.2-</w:t>
      </w:r>
      <w:r>
        <w:rPr>
          <w:rFonts w:hint="eastAsia"/>
        </w:rPr>
        <w:t>9</w:t>
      </w:r>
      <w:r>
        <w:t xml:space="preserve"> </w:t>
      </w:r>
      <w:r>
        <w:rPr>
          <w:rFonts w:hint="eastAsia"/>
          <w:szCs w:val="21"/>
        </w:rPr>
        <w:t>非正常工况下敏感目标噪声预测</w:t>
      </w:r>
    </w:p>
    <w:tbl>
      <w:tblPr>
        <w:tblW w:w="8777" w:type="dxa"/>
        <w:jc w:val="center"/>
        <w:tblBorders>
          <w:top w:val="single" w:sz="12" w:space="0" w:color="000000"/>
          <w:bottom w:val="single" w:sz="12" w:space="0" w:color="000000"/>
          <w:insideH w:val="single" w:sz="2" w:space="0" w:color="000000"/>
          <w:insideV w:val="single" w:sz="2" w:space="0" w:color="000000"/>
        </w:tblBorders>
        <w:tblLook w:val="04A0"/>
      </w:tblPr>
      <w:tblGrid>
        <w:gridCol w:w="1345"/>
        <w:gridCol w:w="900"/>
        <w:gridCol w:w="679"/>
        <w:gridCol w:w="975"/>
        <w:gridCol w:w="976"/>
        <w:gridCol w:w="975"/>
        <w:gridCol w:w="976"/>
        <w:gridCol w:w="975"/>
        <w:gridCol w:w="976"/>
      </w:tblGrid>
      <w:tr w:rsidR="00BD5820">
        <w:trPr>
          <w:trHeight w:val="258"/>
          <w:jc w:val="center"/>
        </w:trPr>
        <w:tc>
          <w:tcPr>
            <w:tcW w:w="1345" w:type="dxa"/>
            <w:vMerge w:val="restart"/>
            <w:vAlign w:val="center"/>
          </w:tcPr>
          <w:p w:rsidR="00BD5820" w:rsidRDefault="00F64314">
            <w:pPr>
              <w:pStyle w:val="affa"/>
              <w:spacing w:line="240" w:lineRule="auto"/>
              <w:ind w:firstLineChars="0" w:firstLine="0"/>
              <w:jc w:val="center"/>
              <w:rPr>
                <w:b/>
                <w:bCs/>
                <w:sz w:val="21"/>
                <w:szCs w:val="21"/>
              </w:rPr>
            </w:pPr>
            <w:r>
              <w:rPr>
                <w:rFonts w:hint="eastAsia"/>
                <w:b/>
                <w:bCs/>
                <w:sz w:val="21"/>
                <w:szCs w:val="21"/>
              </w:rPr>
              <w:t>敏感点</w:t>
            </w:r>
          </w:p>
        </w:tc>
        <w:tc>
          <w:tcPr>
            <w:tcW w:w="900" w:type="dxa"/>
            <w:vMerge w:val="restart"/>
            <w:vAlign w:val="center"/>
          </w:tcPr>
          <w:p w:rsidR="00BD5820" w:rsidRDefault="00F64314">
            <w:pPr>
              <w:pStyle w:val="affa"/>
              <w:spacing w:line="240" w:lineRule="auto"/>
              <w:ind w:firstLineChars="0" w:firstLine="0"/>
              <w:jc w:val="center"/>
              <w:rPr>
                <w:b/>
                <w:bCs/>
                <w:sz w:val="21"/>
                <w:szCs w:val="21"/>
              </w:rPr>
            </w:pPr>
            <w:r>
              <w:rPr>
                <w:rFonts w:hint="eastAsia"/>
                <w:b/>
                <w:bCs/>
                <w:sz w:val="21"/>
                <w:szCs w:val="21"/>
              </w:rPr>
              <w:t>距离放空系统距离</w:t>
            </w:r>
          </w:p>
        </w:tc>
        <w:tc>
          <w:tcPr>
            <w:tcW w:w="679" w:type="dxa"/>
            <w:vMerge w:val="restart"/>
            <w:vAlign w:val="center"/>
          </w:tcPr>
          <w:p w:rsidR="00BD5820" w:rsidRDefault="00F64314">
            <w:pPr>
              <w:pStyle w:val="affa"/>
              <w:spacing w:line="240" w:lineRule="auto"/>
              <w:ind w:firstLineChars="0" w:firstLine="0"/>
              <w:jc w:val="center"/>
              <w:rPr>
                <w:b/>
                <w:bCs/>
                <w:sz w:val="21"/>
                <w:szCs w:val="21"/>
              </w:rPr>
            </w:pPr>
            <w:r>
              <w:rPr>
                <w:rFonts w:hint="eastAsia"/>
                <w:b/>
                <w:bCs/>
                <w:sz w:val="21"/>
                <w:szCs w:val="21"/>
              </w:rPr>
              <w:t>贡献值</w:t>
            </w:r>
          </w:p>
        </w:tc>
        <w:tc>
          <w:tcPr>
            <w:tcW w:w="1951" w:type="dxa"/>
            <w:gridSpan w:val="2"/>
            <w:vAlign w:val="center"/>
          </w:tcPr>
          <w:p w:rsidR="00BD5820" w:rsidRDefault="00F64314">
            <w:pPr>
              <w:pStyle w:val="affa"/>
              <w:spacing w:line="240" w:lineRule="auto"/>
              <w:ind w:firstLineChars="0" w:firstLine="0"/>
              <w:jc w:val="center"/>
              <w:rPr>
                <w:b/>
                <w:bCs/>
                <w:sz w:val="21"/>
                <w:szCs w:val="21"/>
              </w:rPr>
            </w:pPr>
            <w:r>
              <w:rPr>
                <w:rFonts w:hint="eastAsia"/>
                <w:b/>
                <w:bCs/>
                <w:sz w:val="21"/>
                <w:szCs w:val="21"/>
              </w:rPr>
              <w:t>背景值</w:t>
            </w:r>
          </w:p>
        </w:tc>
        <w:tc>
          <w:tcPr>
            <w:tcW w:w="1951" w:type="dxa"/>
            <w:gridSpan w:val="2"/>
            <w:vAlign w:val="center"/>
          </w:tcPr>
          <w:p w:rsidR="00BD5820" w:rsidRDefault="00F64314">
            <w:pPr>
              <w:pStyle w:val="affa"/>
              <w:spacing w:line="240" w:lineRule="auto"/>
              <w:ind w:firstLineChars="0" w:firstLine="0"/>
              <w:jc w:val="center"/>
              <w:rPr>
                <w:b/>
                <w:bCs/>
                <w:sz w:val="21"/>
                <w:szCs w:val="21"/>
              </w:rPr>
            </w:pPr>
            <w:r>
              <w:rPr>
                <w:rFonts w:hint="eastAsia"/>
                <w:b/>
                <w:bCs/>
                <w:sz w:val="21"/>
                <w:szCs w:val="21"/>
              </w:rPr>
              <w:t>预测值</w:t>
            </w:r>
          </w:p>
        </w:tc>
        <w:tc>
          <w:tcPr>
            <w:tcW w:w="1951" w:type="dxa"/>
            <w:gridSpan w:val="2"/>
            <w:vAlign w:val="center"/>
          </w:tcPr>
          <w:p w:rsidR="00BD5820" w:rsidRDefault="00F64314">
            <w:pPr>
              <w:pStyle w:val="affa"/>
              <w:spacing w:line="240" w:lineRule="auto"/>
              <w:ind w:firstLineChars="0" w:firstLine="0"/>
              <w:jc w:val="center"/>
              <w:rPr>
                <w:b/>
                <w:bCs/>
                <w:sz w:val="21"/>
                <w:szCs w:val="21"/>
              </w:rPr>
            </w:pPr>
            <w:r>
              <w:rPr>
                <w:rFonts w:hint="eastAsia"/>
                <w:b/>
                <w:bCs/>
                <w:sz w:val="21"/>
                <w:szCs w:val="21"/>
              </w:rPr>
              <w:t>评价结果</w:t>
            </w:r>
          </w:p>
        </w:tc>
      </w:tr>
      <w:tr w:rsidR="00BD5820">
        <w:trPr>
          <w:trHeight w:val="268"/>
          <w:jc w:val="center"/>
        </w:trPr>
        <w:tc>
          <w:tcPr>
            <w:tcW w:w="1345" w:type="dxa"/>
            <w:vMerge/>
            <w:vAlign w:val="center"/>
          </w:tcPr>
          <w:p w:rsidR="00BD5820" w:rsidRDefault="00BD5820">
            <w:pPr>
              <w:pStyle w:val="affa"/>
              <w:spacing w:line="240" w:lineRule="auto"/>
              <w:ind w:firstLineChars="0" w:firstLine="0"/>
              <w:jc w:val="center"/>
              <w:rPr>
                <w:b/>
                <w:bCs/>
                <w:sz w:val="21"/>
                <w:szCs w:val="21"/>
              </w:rPr>
            </w:pPr>
          </w:p>
        </w:tc>
        <w:tc>
          <w:tcPr>
            <w:tcW w:w="900" w:type="dxa"/>
            <w:vMerge/>
            <w:vAlign w:val="center"/>
          </w:tcPr>
          <w:p w:rsidR="00BD5820" w:rsidRDefault="00BD5820">
            <w:pPr>
              <w:pStyle w:val="affa"/>
              <w:spacing w:line="240" w:lineRule="auto"/>
              <w:ind w:firstLineChars="0" w:firstLine="0"/>
              <w:jc w:val="center"/>
              <w:rPr>
                <w:b/>
                <w:bCs/>
                <w:sz w:val="21"/>
                <w:szCs w:val="21"/>
              </w:rPr>
            </w:pPr>
          </w:p>
        </w:tc>
        <w:tc>
          <w:tcPr>
            <w:tcW w:w="679" w:type="dxa"/>
            <w:vMerge/>
            <w:vAlign w:val="center"/>
          </w:tcPr>
          <w:p w:rsidR="00BD5820" w:rsidRDefault="00BD5820">
            <w:pPr>
              <w:pStyle w:val="affa"/>
              <w:spacing w:line="240" w:lineRule="auto"/>
              <w:ind w:firstLineChars="0" w:firstLine="0"/>
              <w:jc w:val="center"/>
              <w:rPr>
                <w:b/>
                <w:bCs/>
                <w:sz w:val="21"/>
                <w:szCs w:val="21"/>
              </w:rPr>
            </w:pPr>
          </w:p>
        </w:tc>
        <w:tc>
          <w:tcPr>
            <w:tcW w:w="975" w:type="dxa"/>
            <w:vAlign w:val="center"/>
          </w:tcPr>
          <w:p w:rsidR="00BD5820" w:rsidRDefault="00F64314">
            <w:pPr>
              <w:pStyle w:val="affa"/>
              <w:spacing w:line="240" w:lineRule="auto"/>
              <w:ind w:firstLineChars="0" w:firstLine="0"/>
              <w:jc w:val="center"/>
              <w:rPr>
                <w:b/>
                <w:bCs/>
                <w:sz w:val="21"/>
                <w:szCs w:val="21"/>
              </w:rPr>
            </w:pPr>
            <w:r>
              <w:rPr>
                <w:rFonts w:hint="eastAsia"/>
                <w:b/>
                <w:bCs/>
                <w:sz w:val="21"/>
                <w:szCs w:val="21"/>
              </w:rPr>
              <w:t>昼间</w:t>
            </w:r>
          </w:p>
        </w:tc>
        <w:tc>
          <w:tcPr>
            <w:tcW w:w="976" w:type="dxa"/>
            <w:vAlign w:val="center"/>
          </w:tcPr>
          <w:p w:rsidR="00BD5820" w:rsidRDefault="00F64314">
            <w:pPr>
              <w:pStyle w:val="affa"/>
              <w:spacing w:line="240" w:lineRule="auto"/>
              <w:ind w:firstLineChars="0" w:firstLine="0"/>
              <w:jc w:val="center"/>
              <w:rPr>
                <w:b/>
                <w:bCs/>
                <w:sz w:val="21"/>
                <w:szCs w:val="21"/>
              </w:rPr>
            </w:pPr>
            <w:r>
              <w:rPr>
                <w:rFonts w:hint="eastAsia"/>
                <w:b/>
                <w:bCs/>
                <w:sz w:val="21"/>
                <w:szCs w:val="21"/>
              </w:rPr>
              <w:t>夜间</w:t>
            </w:r>
          </w:p>
        </w:tc>
        <w:tc>
          <w:tcPr>
            <w:tcW w:w="975" w:type="dxa"/>
            <w:vAlign w:val="center"/>
          </w:tcPr>
          <w:p w:rsidR="00BD5820" w:rsidRDefault="00F64314">
            <w:pPr>
              <w:pStyle w:val="affa"/>
              <w:spacing w:line="240" w:lineRule="auto"/>
              <w:ind w:firstLineChars="0" w:firstLine="0"/>
              <w:jc w:val="center"/>
              <w:rPr>
                <w:b/>
                <w:bCs/>
                <w:sz w:val="21"/>
                <w:szCs w:val="21"/>
              </w:rPr>
            </w:pPr>
            <w:r>
              <w:rPr>
                <w:rFonts w:hint="eastAsia"/>
                <w:b/>
                <w:bCs/>
                <w:sz w:val="21"/>
                <w:szCs w:val="21"/>
              </w:rPr>
              <w:t>昼间</w:t>
            </w:r>
          </w:p>
        </w:tc>
        <w:tc>
          <w:tcPr>
            <w:tcW w:w="976" w:type="dxa"/>
            <w:vAlign w:val="center"/>
          </w:tcPr>
          <w:p w:rsidR="00BD5820" w:rsidRDefault="00F64314">
            <w:pPr>
              <w:pStyle w:val="affa"/>
              <w:spacing w:line="240" w:lineRule="auto"/>
              <w:ind w:firstLineChars="0" w:firstLine="0"/>
              <w:jc w:val="center"/>
              <w:rPr>
                <w:b/>
                <w:bCs/>
                <w:sz w:val="21"/>
                <w:szCs w:val="21"/>
              </w:rPr>
            </w:pPr>
            <w:r>
              <w:rPr>
                <w:rFonts w:hint="eastAsia"/>
                <w:b/>
                <w:bCs/>
                <w:sz w:val="21"/>
                <w:szCs w:val="21"/>
              </w:rPr>
              <w:t>夜间</w:t>
            </w:r>
          </w:p>
        </w:tc>
        <w:tc>
          <w:tcPr>
            <w:tcW w:w="975" w:type="dxa"/>
            <w:vAlign w:val="center"/>
          </w:tcPr>
          <w:p w:rsidR="00BD5820" w:rsidRDefault="00F64314">
            <w:pPr>
              <w:pStyle w:val="affa"/>
              <w:spacing w:line="240" w:lineRule="auto"/>
              <w:ind w:firstLineChars="0" w:firstLine="0"/>
              <w:jc w:val="center"/>
              <w:rPr>
                <w:b/>
                <w:bCs/>
                <w:sz w:val="21"/>
                <w:szCs w:val="21"/>
              </w:rPr>
            </w:pPr>
            <w:r>
              <w:rPr>
                <w:rFonts w:hint="eastAsia"/>
                <w:b/>
                <w:bCs/>
                <w:sz w:val="21"/>
                <w:szCs w:val="21"/>
              </w:rPr>
              <w:t>昼间</w:t>
            </w:r>
          </w:p>
        </w:tc>
        <w:tc>
          <w:tcPr>
            <w:tcW w:w="976" w:type="dxa"/>
            <w:vAlign w:val="center"/>
          </w:tcPr>
          <w:p w:rsidR="00BD5820" w:rsidRDefault="00F64314">
            <w:pPr>
              <w:pStyle w:val="affa"/>
              <w:spacing w:line="240" w:lineRule="auto"/>
              <w:ind w:firstLineChars="0" w:firstLine="0"/>
              <w:jc w:val="center"/>
              <w:rPr>
                <w:b/>
                <w:bCs/>
                <w:sz w:val="21"/>
                <w:szCs w:val="21"/>
              </w:rPr>
            </w:pPr>
            <w:r>
              <w:rPr>
                <w:rFonts w:hint="eastAsia"/>
                <w:b/>
                <w:bCs/>
                <w:sz w:val="21"/>
                <w:szCs w:val="21"/>
              </w:rPr>
              <w:t>夜间</w:t>
            </w:r>
          </w:p>
        </w:tc>
      </w:tr>
      <w:tr w:rsidR="00BD5820">
        <w:trPr>
          <w:trHeight w:val="259"/>
          <w:jc w:val="center"/>
        </w:trPr>
        <w:tc>
          <w:tcPr>
            <w:tcW w:w="1345" w:type="dxa"/>
            <w:vAlign w:val="center"/>
          </w:tcPr>
          <w:p w:rsidR="00BD5820" w:rsidRDefault="00F64314">
            <w:pPr>
              <w:pStyle w:val="affa"/>
              <w:spacing w:line="240" w:lineRule="auto"/>
              <w:ind w:firstLineChars="0" w:firstLine="0"/>
              <w:jc w:val="center"/>
              <w:rPr>
                <w:sz w:val="21"/>
                <w:szCs w:val="21"/>
              </w:rPr>
            </w:pPr>
            <w:r>
              <w:rPr>
                <w:rFonts w:hint="eastAsia"/>
                <w:sz w:val="21"/>
                <w:szCs w:val="21"/>
              </w:rPr>
              <w:t>放空系统西</w:t>
            </w:r>
            <w:r>
              <w:rPr>
                <w:rFonts w:hint="eastAsia"/>
                <w:sz w:val="21"/>
                <w:szCs w:val="21"/>
              </w:rPr>
              <w:lastRenderedPageBreak/>
              <w:t>南侧农户</w:t>
            </w:r>
          </w:p>
        </w:tc>
        <w:tc>
          <w:tcPr>
            <w:tcW w:w="900" w:type="dxa"/>
            <w:vAlign w:val="center"/>
          </w:tcPr>
          <w:p w:rsidR="00BD5820" w:rsidRDefault="00F64314">
            <w:pPr>
              <w:pStyle w:val="affa"/>
              <w:spacing w:line="240" w:lineRule="auto"/>
              <w:ind w:firstLineChars="0" w:firstLine="0"/>
              <w:jc w:val="center"/>
              <w:rPr>
                <w:sz w:val="21"/>
                <w:szCs w:val="21"/>
              </w:rPr>
            </w:pPr>
            <w:r>
              <w:rPr>
                <w:rFonts w:hint="eastAsia"/>
                <w:sz w:val="21"/>
                <w:szCs w:val="21"/>
              </w:rPr>
              <w:lastRenderedPageBreak/>
              <w:t>300</w:t>
            </w:r>
          </w:p>
        </w:tc>
        <w:tc>
          <w:tcPr>
            <w:tcW w:w="679" w:type="dxa"/>
            <w:vAlign w:val="center"/>
          </w:tcPr>
          <w:p w:rsidR="00BD5820" w:rsidRDefault="00F64314">
            <w:pPr>
              <w:pStyle w:val="affa"/>
              <w:spacing w:line="240" w:lineRule="auto"/>
              <w:ind w:firstLineChars="0" w:firstLine="0"/>
              <w:jc w:val="center"/>
              <w:rPr>
                <w:sz w:val="21"/>
                <w:szCs w:val="21"/>
              </w:rPr>
            </w:pPr>
            <w:r>
              <w:rPr>
                <w:rFonts w:hint="eastAsia"/>
                <w:sz w:val="21"/>
                <w:szCs w:val="21"/>
              </w:rPr>
              <w:t>40.4</w:t>
            </w:r>
          </w:p>
        </w:tc>
        <w:tc>
          <w:tcPr>
            <w:tcW w:w="975" w:type="dxa"/>
            <w:vAlign w:val="center"/>
          </w:tcPr>
          <w:p w:rsidR="00BD5820" w:rsidRDefault="00F64314">
            <w:pPr>
              <w:pStyle w:val="affa"/>
              <w:spacing w:line="240" w:lineRule="auto"/>
              <w:ind w:firstLineChars="0" w:firstLine="0"/>
              <w:jc w:val="center"/>
              <w:rPr>
                <w:sz w:val="21"/>
                <w:szCs w:val="21"/>
              </w:rPr>
            </w:pPr>
            <w:r>
              <w:rPr>
                <w:rFonts w:hint="eastAsia"/>
                <w:sz w:val="21"/>
                <w:szCs w:val="21"/>
              </w:rPr>
              <w:t>50</w:t>
            </w:r>
          </w:p>
        </w:tc>
        <w:tc>
          <w:tcPr>
            <w:tcW w:w="976" w:type="dxa"/>
            <w:vAlign w:val="center"/>
          </w:tcPr>
          <w:p w:rsidR="00BD5820" w:rsidRDefault="00F64314">
            <w:pPr>
              <w:pStyle w:val="affa"/>
              <w:spacing w:line="240" w:lineRule="auto"/>
              <w:ind w:firstLineChars="0" w:firstLine="0"/>
              <w:jc w:val="center"/>
              <w:rPr>
                <w:sz w:val="21"/>
                <w:szCs w:val="21"/>
              </w:rPr>
            </w:pPr>
            <w:r>
              <w:rPr>
                <w:rFonts w:hint="eastAsia"/>
                <w:sz w:val="21"/>
                <w:szCs w:val="21"/>
              </w:rPr>
              <w:t>47</w:t>
            </w:r>
          </w:p>
        </w:tc>
        <w:tc>
          <w:tcPr>
            <w:tcW w:w="975" w:type="dxa"/>
            <w:vAlign w:val="center"/>
          </w:tcPr>
          <w:p w:rsidR="00BD5820" w:rsidRDefault="00F64314">
            <w:pPr>
              <w:pStyle w:val="affa"/>
              <w:spacing w:line="240" w:lineRule="auto"/>
              <w:ind w:firstLineChars="0" w:firstLine="0"/>
              <w:jc w:val="center"/>
              <w:rPr>
                <w:sz w:val="21"/>
                <w:szCs w:val="21"/>
              </w:rPr>
            </w:pPr>
            <w:r>
              <w:rPr>
                <w:sz w:val="21"/>
                <w:szCs w:val="21"/>
              </w:rPr>
              <w:t>5</w:t>
            </w:r>
            <w:r>
              <w:rPr>
                <w:rFonts w:hint="eastAsia"/>
                <w:sz w:val="21"/>
                <w:szCs w:val="21"/>
              </w:rPr>
              <w:t>0</w:t>
            </w:r>
            <w:r>
              <w:rPr>
                <w:sz w:val="21"/>
                <w:szCs w:val="21"/>
              </w:rPr>
              <w:t>.</w:t>
            </w:r>
            <w:r>
              <w:rPr>
                <w:rFonts w:hint="eastAsia"/>
                <w:sz w:val="21"/>
                <w:szCs w:val="21"/>
              </w:rPr>
              <w:t>5</w:t>
            </w:r>
          </w:p>
        </w:tc>
        <w:tc>
          <w:tcPr>
            <w:tcW w:w="976" w:type="dxa"/>
            <w:vAlign w:val="center"/>
          </w:tcPr>
          <w:p w:rsidR="00BD5820" w:rsidRDefault="00F64314">
            <w:pPr>
              <w:pStyle w:val="affa"/>
              <w:spacing w:line="240" w:lineRule="auto"/>
              <w:ind w:firstLineChars="0" w:firstLine="0"/>
              <w:jc w:val="center"/>
              <w:rPr>
                <w:sz w:val="21"/>
                <w:szCs w:val="21"/>
              </w:rPr>
            </w:pPr>
            <w:r>
              <w:rPr>
                <w:sz w:val="21"/>
                <w:szCs w:val="21"/>
              </w:rPr>
              <w:t>4</w:t>
            </w:r>
            <w:r>
              <w:rPr>
                <w:rFonts w:hint="eastAsia"/>
                <w:sz w:val="21"/>
                <w:szCs w:val="21"/>
              </w:rPr>
              <w:t>7</w:t>
            </w:r>
            <w:r>
              <w:rPr>
                <w:sz w:val="21"/>
                <w:szCs w:val="21"/>
              </w:rPr>
              <w:t>.</w:t>
            </w:r>
            <w:r>
              <w:rPr>
                <w:rFonts w:hint="eastAsia"/>
                <w:sz w:val="21"/>
                <w:szCs w:val="21"/>
              </w:rPr>
              <w:t>9</w:t>
            </w:r>
          </w:p>
        </w:tc>
        <w:tc>
          <w:tcPr>
            <w:tcW w:w="975" w:type="dxa"/>
            <w:vAlign w:val="center"/>
          </w:tcPr>
          <w:p w:rsidR="00BD5820" w:rsidRDefault="00F64314">
            <w:pPr>
              <w:pStyle w:val="affa"/>
              <w:spacing w:line="240" w:lineRule="auto"/>
              <w:ind w:firstLineChars="0" w:firstLine="0"/>
              <w:jc w:val="center"/>
              <w:rPr>
                <w:sz w:val="21"/>
                <w:szCs w:val="21"/>
              </w:rPr>
            </w:pPr>
            <w:r>
              <w:rPr>
                <w:sz w:val="21"/>
                <w:szCs w:val="21"/>
              </w:rPr>
              <w:t>达标</w:t>
            </w:r>
          </w:p>
        </w:tc>
        <w:tc>
          <w:tcPr>
            <w:tcW w:w="976" w:type="dxa"/>
            <w:vAlign w:val="center"/>
          </w:tcPr>
          <w:p w:rsidR="00BD5820" w:rsidRDefault="00F64314">
            <w:pPr>
              <w:pStyle w:val="affa"/>
              <w:spacing w:line="240" w:lineRule="auto"/>
              <w:ind w:firstLineChars="0" w:firstLine="0"/>
              <w:jc w:val="center"/>
              <w:rPr>
                <w:sz w:val="21"/>
                <w:szCs w:val="21"/>
              </w:rPr>
            </w:pPr>
            <w:r>
              <w:rPr>
                <w:sz w:val="21"/>
                <w:szCs w:val="21"/>
              </w:rPr>
              <w:t>达标</w:t>
            </w:r>
          </w:p>
        </w:tc>
      </w:tr>
    </w:tbl>
    <w:p w:rsidR="00BD5820" w:rsidRDefault="00F64314">
      <w:pPr>
        <w:pStyle w:val="affa"/>
        <w:ind w:firstLine="480"/>
      </w:pPr>
      <w:r>
        <w:rPr>
          <w:rFonts w:hint="eastAsia"/>
        </w:rPr>
        <w:lastRenderedPageBreak/>
        <w:t>由表</w:t>
      </w:r>
      <w:r>
        <w:rPr>
          <w:rFonts w:hint="eastAsia"/>
        </w:rPr>
        <w:t>6.2-9</w:t>
      </w:r>
      <w:r>
        <w:rPr>
          <w:rFonts w:hint="eastAsia"/>
        </w:rPr>
        <w:t>预测结果可知，放空期间最近敏感点处噪声能够达标，放空噪声在昼夜间均不会对周围居民造成噪声扰民影响。且由于检修或事故放空是偶然发生的，频次很低，且持续时间很短，一旦点火放空结束，噪声对环境的影响立即消失，放空时及时疏散附近居民，不会对该范围内的居民生活造成长期影响。</w:t>
      </w:r>
    </w:p>
    <w:p w:rsidR="00BD5820" w:rsidRDefault="00F64314">
      <w:pPr>
        <w:pStyle w:val="3"/>
        <w:rPr>
          <w:rFonts w:eastAsia="宋体"/>
        </w:rPr>
      </w:pPr>
      <w:r>
        <w:rPr>
          <w:rFonts w:eastAsia="宋体"/>
        </w:rPr>
        <w:t xml:space="preserve">6.2.6 </w:t>
      </w:r>
      <w:r>
        <w:rPr>
          <w:rFonts w:eastAsia="宋体" w:hint="eastAsia"/>
        </w:rPr>
        <w:t>固体废物影响分析</w:t>
      </w:r>
    </w:p>
    <w:p w:rsidR="00BD5820" w:rsidRDefault="00F64314">
      <w:pPr>
        <w:pStyle w:val="affa"/>
        <w:ind w:firstLine="480"/>
      </w:pPr>
      <w:r>
        <w:rPr>
          <w:rFonts w:hint="eastAsia"/>
        </w:rPr>
        <w:t>由于输气管道敷设在地下，进行密闭输送，管道进行了防腐处理，在正常情况下，不会有固体废物产生。</w:t>
      </w:r>
    </w:p>
    <w:p w:rsidR="00BD5820" w:rsidRDefault="00F64314">
      <w:pPr>
        <w:pStyle w:val="affa"/>
        <w:ind w:firstLine="480"/>
      </w:pPr>
      <w:r>
        <w:rPr>
          <w:rFonts w:hint="eastAsia"/>
        </w:rPr>
        <w:t>本项目空压机等设备润滑主要产生</w:t>
      </w:r>
      <w:r>
        <w:t>废</w:t>
      </w:r>
      <w:r>
        <w:rPr>
          <w:rFonts w:hint="eastAsia"/>
        </w:rPr>
        <w:t>润滑</w:t>
      </w:r>
      <w:r>
        <w:t>油</w:t>
      </w:r>
      <w:r>
        <w:rPr>
          <w:rFonts w:hint="eastAsia"/>
        </w:rPr>
        <w:t>，</w:t>
      </w:r>
      <w:r>
        <w:t>产生量约</w:t>
      </w:r>
      <w:r>
        <w:rPr>
          <w:rFonts w:hint="eastAsia"/>
        </w:rPr>
        <w:t>2t/a</w:t>
      </w:r>
      <w:r>
        <w:rPr>
          <w:rFonts w:hint="eastAsia"/>
        </w:rPr>
        <w:t>；过滤</w:t>
      </w:r>
      <w:r>
        <w:t>分离器及污水罐底部产生的污泥</w:t>
      </w:r>
      <w:r>
        <w:rPr>
          <w:rFonts w:hint="eastAsia"/>
        </w:rPr>
        <w:t>，产生量约</w:t>
      </w:r>
      <w:r>
        <w:rPr>
          <w:rFonts w:hint="eastAsia"/>
        </w:rPr>
        <w:t>2.5t/a</w:t>
      </w:r>
      <w:r>
        <w:rPr>
          <w:rFonts w:hint="eastAsia"/>
        </w:rPr>
        <w:t>；</w:t>
      </w:r>
      <w:r>
        <w:t>清管作业产生的少量固体粉末</w:t>
      </w:r>
      <w:r>
        <w:rPr>
          <w:rFonts w:hint="eastAsia"/>
        </w:rPr>
        <w:t>，产生量约</w:t>
      </w:r>
      <w:r>
        <w:rPr>
          <w:rFonts w:hint="eastAsia"/>
        </w:rPr>
        <w:t>0.2t/a</w:t>
      </w:r>
      <w:r>
        <w:rPr>
          <w:rFonts w:hint="eastAsia"/>
        </w:rPr>
        <w:t>。</w:t>
      </w:r>
      <w:r>
        <w:t>废</w:t>
      </w:r>
      <w:r>
        <w:rPr>
          <w:rFonts w:hint="eastAsia"/>
        </w:rPr>
        <w:t>润滑油、</w:t>
      </w:r>
      <w:r>
        <w:t>污泥</w:t>
      </w:r>
      <w:r>
        <w:rPr>
          <w:rFonts w:hint="eastAsia"/>
        </w:rPr>
        <w:t>暂存于危废暂存间，面积约</w:t>
      </w:r>
      <w:r>
        <w:rPr>
          <w:rFonts w:hint="eastAsia"/>
        </w:rPr>
        <w:t>5m</w:t>
      </w:r>
      <w:r>
        <w:rPr>
          <w:rFonts w:hint="eastAsia"/>
          <w:vertAlign w:val="superscript"/>
        </w:rPr>
        <w:t>2</w:t>
      </w:r>
      <w:r>
        <w:rPr>
          <w:rFonts w:hint="eastAsia"/>
        </w:rPr>
        <w:t>，暂存间地面采取四防措施（防风、防雨、防晒、防渗漏），并</w:t>
      </w:r>
      <w:r>
        <w:rPr>
          <w:rFonts w:hint="eastAsia"/>
          <w:szCs w:val="21"/>
        </w:rPr>
        <w:t>及时清运至企业净化厂危险废物贮存仓库（与普光气田</w:t>
      </w:r>
      <w:r>
        <w:rPr>
          <w:rFonts w:hint="eastAsia"/>
          <w:szCs w:val="21"/>
        </w:rPr>
        <w:t>1#</w:t>
      </w:r>
      <w:r>
        <w:rPr>
          <w:rFonts w:hint="eastAsia"/>
          <w:szCs w:val="21"/>
        </w:rPr>
        <w:t>增压站、普光气田</w:t>
      </w:r>
      <w:r>
        <w:rPr>
          <w:rFonts w:hint="eastAsia"/>
          <w:szCs w:val="21"/>
        </w:rPr>
        <w:t>2#</w:t>
      </w:r>
      <w:r>
        <w:rPr>
          <w:rFonts w:hint="eastAsia"/>
          <w:szCs w:val="21"/>
        </w:rPr>
        <w:t>增压站运距分别为</w:t>
      </w:r>
      <w:r>
        <w:rPr>
          <w:rFonts w:hint="eastAsia"/>
          <w:szCs w:val="21"/>
        </w:rPr>
        <w:t>12km</w:t>
      </w:r>
      <w:r>
        <w:rPr>
          <w:rFonts w:hint="eastAsia"/>
          <w:szCs w:val="21"/>
        </w:rPr>
        <w:t>和</w:t>
      </w:r>
      <w:r>
        <w:rPr>
          <w:rFonts w:hint="eastAsia"/>
          <w:szCs w:val="21"/>
        </w:rPr>
        <w:t>1.6km</w:t>
      </w:r>
      <w:r>
        <w:rPr>
          <w:rFonts w:hint="eastAsia"/>
          <w:szCs w:val="21"/>
        </w:rPr>
        <w:t>），定期委托有资质单位进行处理</w:t>
      </w:r>
      <w:r>
        <w:t>。本项目对废油的收集、贮存和运输应满足《危险废物收集</w:t>
      </w:r>
      <w:r>
        <w:t xml:space="preserve"> </w:t>
      </w:r>
      <w:r>
        <w:t>贮存</w:t>
      </w:r>
      <w:r>
        <w:t xml:space="preserve"> </w:t>
      </w:r>
      <w:r>
        <w:t>运输技术规范》（</w:t>
      </w:r>
      <w:r>
        <w:t>HJ 2025-2012</w:t>
      </w:r>
      <w:r>
        <w:t>）的相关规定</w:t>
      </w:r>
      <w:r>
        <w:rPr>
          <w:rFonts w:hint="eastAsia"/>
        </w:rPr>
        <w:t>，</w:t>
      </w:r>
      <w:r>
        <w:t>建设单位做好</w:t>
      </w:r>
      <w:r>
        <w:rPr>
          <w:rFonts w:hint="eastAsia"/>
        </w:rPr>
        <w:t>危废</w:t>
      </w:r>
      <w:r>
        <w:t>转移记录。</w:t>
      </w:r>
    </w:p>
    <w:p w:rsidR="00BD5820" w:rsidRDefault="00F64314">
      <w:pPr>
        <w:pStyle w:val="affa"/>
        <w:ind w:firstLine="480"/>
      </w:pPr>
      <w:r>
        <w:rPr>
          <w:rFonts w:hint="eastAsia"/>
        </w:rPr>
        <w:t>本项目站场为无人值守站，人员依托</w:t>
      </w:r>
      <w:r>
        <w:rPr>
          <w:rFonts w:hint="eastAsia"/>
        </w:rPr>
        <w:t>P102</w:t>
      </w:r>
      <w:r>
        <w:rPr>
          <w:rFonts w:hint="eastAsia"/>
        </w:rPr>
        <w:t>集气站和净化厂，运营期无生活垃圾产生</w:t>
      </w:r>
      <w:r>
        <w:t>。</w:t>
      </w:r>
    </w:p>
    <w:p w:rsidR="00BD5820" w:rsidRDefault="00F64314">
      <w:pPr>
        <w:pStyle w:val="3"/>
        <w:rPr>
          <w:rFonts w:eastAsia="宋体"/>
        </w:rPr>
      </w:pPr>
      <w:r>
        <w:rPr>
          <w:rFonts w:eastAsia="宋体"/>
        </w:rPr>
        <w:t xml:space="preserve">6.2.7 </w:t>
      </w:r>
      <w:r>
        <w:rPr>
          <w:rFonts w:eastAsia="宋体" w:hint="eastAsia"/>
        </w:rPr>
        <w:t>土壤环境影响分析</w:t>
      </w:r>
    </w:p>
    <w:p w:rsidR="00BD5820" w:rsidRDefault="00F64314">
      <w:pPr>
        <w:pStyle w:val="affa"/>
        <w:ind w:firstLine="482"/>
        <w:rPr>
          <w:b/>
          <w:bCs/>
        </w:rPr>
      </w:pPr>
      <w:r>
        <w:rPr>
          <w:rFonts w:hint="eastAsia"/>
          <w:b/>
          <w:bCs/>
        </w:rPr>
        <w:t>1</w:t>
      </w:r>
      <w:r>
        <w:rPr>
          <w:b/>
          <w:bCs/>
        </w:rPr>
        <w:t>、</w:t>
      </w:r>
      <w:r>
        <w:rPr>
          <w:rFonts w:hint="eastAsia"/>
          <w:b/>
          <w:bCs/>
        </w:rPr>
        <w:t>土壤环境影响识别</w:t>
      </w:r>
    </w:p>
    <w:p w:rsidR="00BD5820" w:rsidRDefault="00F64314">
      <w:pPr>
        <w:pStyle w:val="affa"/>
        <w:ind w:firstLine="480"/>
      </w:pPr>
      <w:r>
        <w:rPr>
          <w:rFonts w:hint="eastAsia"/>
        </w:rPr>
        <w:t>（</w:t>
      </w:r>
      <w:r>
        <w:t>1</w:t>
      </w:r>
      <w:r>
        <w:rPr>
          <w:rFonts w:hint="eastAsia"/>
        </w:rPr>
        <w:t>）土壤环境影响类型与影响途径识别</w:t>
      </w:r>
    </w:p>
    <w:p w:rsidR="00BD5820" w:rsidRDefault="00F64314">
      <w:pPr>
        <w:pStyle w:val="affa"/>
        <w:ind w:firstLine="480"/>
      </w:pPr>
      <w:r>
        <w:rPr>
          <w:rFonts w:hint="eastAsia"/>
        </w:rPr>
        <w:t>本项目属于湿气增压工程和地面集输工程，土壤环境影响较小。项目站场对土壤环境影响最突出的主要体现事故状态下污水罐发生泄漏进入周边土壤环境，对土壤造成污染。污水罐为地上设置，主要污染影响型为地面漫流和垂直入渗。</w:t>
      </w:r>
    </w:p>
    <w:p w:rsidR="00BD5820" w:rsidRDefault="00F64314">
      <w:pPr>
        <w:pStyle w:val="affa"/>
        <w:ind w:firstLine="480"/>
      </w:pPr>
      <w:r>
        <w:rPr>
          <w:rFonts w:hint="eastAsia"/>
        </w:rPr>
        <w:t>项目土壤环境影响类型与途径见下表。</w:t>
      </w:r>
    </w:p>
    <w:p w:rsidR="00BD5820" w:rsidRDefault="00F64314">
      <w:pPr>
        <w:pStyle w:val="10"/>
      </w:pPr>
      <w:r>
        <w:rPr>
          <w:rFonts w:hint="eastAsia"/>
        </w:rPr>
        <w:t>表</w:t>
      </w:r>
      <w:r>
        <w:rPr>
          <w:bCs/>
        </w:rPr>
        <w:t>6.2-</w:t>
      </w:r>
      <w:r>
        <w:rPr>
          <w:rFonts w:hint="eastAsia"/>
          <w:bCs/>
        </w:rPr>
        <w:t>10</w:t>
      </w:r>
      <w:r>
        <w:rPr>
          <w:bCs/>
        </w:rPr>
        <w:t xml:space="preserve">  </w:t>
      </w:r>
      <w:r>
        <w:rPr>
          <w:rFonts w:hint="eastAsia"/>
        </w:rPr>
        <w:t>土壤环境影响类型与影响途径表</w:t>
      </w:r>
    </w:p>
    <w:tbl>
      <w:tblPr>
        <w:tblW w:w="8853" w:type="dxa"/>
        <w:jc w:val="center"/>
        <w:tblBorders>
          <w:top w:val="single" w:sz="12" w:space="0" w:color="000000"/>
          <w:bottom w:val="single" w:sz="12" w:space="0" w:color="000000"/>
          <w:insideH w:val="single" w:sz="4" w:space="0" w:color="000000"/>
          <w:insideV w:val="single" w:sz="4" w:space="0" w:color="000000"/>
        </w:tblBorders>
        <w:tblLook w:val="04A0"/>
      </w:tblPr>
      <w:tblGrid>
        <w:gridCol w:w="1843"/>
        <w:gridCol w:w="1418"/>
        <w:gridCol w:w="1842"/>
        <w:gridCol w:w="1701"/>
        <w:gridCol w:w="2049"/>
      </w:tblGrid>
      <w:tr w:rsidR="00BD5820">
        <w:trPr>
          <w:trHeight w:val="251"/>
          <w:jc w:val="center"/>
        </w:trPr>
        <w:tc>
          <w:tcPr>
            <w:tcW w:w="1843" w:type="dxa"/>
            <w:vMerge w:val="restart"/>
            <w:vAlign w:val="center"/>
          </w:tcPr>
          <w:p w:rsidR="00BD5820" w:rsidRDefault="00F64314">
            <w:pPr>
              <w:pStyle w:val="Default"/>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不同时段</w:t>
            </w:r>
          </w:p>
        </w:tc>
        <w:tc>
          <w:tcPr>
            <w:tcW w:w="7010" w:type="dxa"/>
            <w:gridSpan w:val="4"/>
            <w:vAlign w:val="center"/>
          </w:tcPr>
          <w:p w:rsidR="00BD5820" w:rsidRDefault="00F64314">
            <w:pPr>
              <w:pStyle w:val="Default"/>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污染影响型</w:t>
            </w:r>
          </w:p>
        </w:tc>
      </w:tr>
      <w:tr w:rsidR="00BD5820">
        <w:trPr>
          <w:trHeight w:val="251"/>
          <w:jc w:val="center"/>
        </w:trPr>
        <w:tc>
          <w:tcPr>
            <w:tcW w:w="1843" w:type="dxa"/>
            <w:vMerge/>
            <w:vAlign w:val="center"/>
          </w:tcPr>
          <w:p w:rsidR="00BD5820" w:rsidRDefault="00BD5820">
            <w:pPr>
              <w:pStyle w:val="Default"/>
              <w:jc w:val="center"/>
              <w:rPr>
                <w:rFonts w:ascii="Times New Roman" w:hAnsi="Times New Roman" w:cs="Times New Roman"/>
                <w:b/>
                <w:bCs/>
                <w:color w:val="auto"/>
                <w:sz w:val="21"/>
                <w:szCs w:val="21"/>
              </w:rPr>
            </w:pPr>
          </w:p>
        </w:tc>
        <w:tc>
          <w:tcPr>
            <w:tcW w:w="1418" w:type="dxa"/>
            <w:vAlign w:val="center"/>
          </w:tcPr>
          <w:p w:rsidR="00BD5820" w:rsidRDefault="00F64314">
            <w:pPr>
              <w:pStyle w:val="Default"/>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大气沉降</w:t>
            </w:r>
          </w:p>
        </w:tc>
        <w:tc>
          <w:tcPr>
            <w:tcW w:w="1842" w:type="dxa"/>
            <w:tcBorders>
              <w:right w:val="single" w:sz="12" w:space="0" w:color="000000"/>
            </w:tcBorders>
            <w:vAlign w:val="center"/>
          </w:tcPr>
          <w:p w:rsidR="00BD5820" w:rsidRDefault="00F64314">
            <w:pPr>
              <w:pStyle w:val="Default"/>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地面漫流</w:t>
            </w:r>
          </w:p>
        </w:tc>
        <w:tc>
          <w:tcPr>
            <w:tcW w:w="1701" w:type="dxa"/>
            <w:tcBorders>
              <w:left w:val="single" w:sz="12" w:space="0" w:color="000000"/>
            </w:tcBorders>
            <w:vAlign w:val="center"/>
          </w:tcPr>
          <w:p w:rsidR="00BD5820" w:rsidRDefault="00F64314">
            <w:pPr>
              <w:pStyle w:val="Default"/>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垂直入渗</w:t>
            </w:r>
          </w:p>
        </w:tc>
        <w:tc>
          <w:tcPr>
            <w:tcW w:w="2049" w:type="dxa"/>
          </w:tcPr>
          <w:p w:rsidR="00BD5820" w:rsidRDefault="00F64314">
            <w:pPr>
              <w:pStyle w:val="Default"/>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其他</w:t>
            </w:r>
          </w:p>
        </w:tc>
      </w:tr>
      <w:tr w:rsidR="00BD5820">
        <w:trPr>
          <w:trHeight w:val="251"/>
          <w:jc w:val="center"/>
        </w:trPr>
        <w:tc>
          <w:tcPr>
            <w:tcW w:w="1843" w:type="dxa"/>
            <w:vAlign w:val="center"/>
          </w:tcPr>
          <w:p w:rsidR="00BD5820" w:rsidRDefault="00F64314">
            <w:pPr>
              <w:pStyle w:val="Default"/>
              <w:jc w:val="center"/>
              <w:rPr>
                <w:rFonts w:ascii="Times New Roman" w:hAnsi="Times New Roman" w:cs="Times New Roman"/>
                <w:b/>
                <w:bCs/>
                <w:color w:val="auto"/>
                <w:sz w:val="21"/>
                <w:szCs w:val="21"/>
              </w:rPr>
            </w:pPr>
            <w:r>
              <w:rPr>
                <w:rFonts w:ascii="Times New Roman" w:hAnsi="Times New Roman" w:cs="Times New Roman"/>
                <w:color w:val="auto"/>
                <w:sz w:val="21"/>
                <w:szCs w:val="21"/>
              </w:rPr>
              <w:t>建设期</w:t>
            </w:r>
          </w:p>
        </w:tc>
        <w:tc>
          <w:tcPr>
            <w:tcW w:w="1418" w:type="dxa"/>
            <w:vAlign w:val="center"/>
          </w:tcPr>
          <w:p w:rsidR="00BD5820" w:rsidRDefault="00F64314">
            <w:pPr>
              <w:pStyle w:val="Default"/>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w:t>
            </w:r>
          </w:p>
        </w:tc>
        <w:tc>
          <w:tcPr>
            <w:tcW w:w="1842" w:type="dxa"/>
            <w:tcBorders>
              <w:right w:val="single" w:sz="12" w:space="0" w:color="000000"/>
            </w:tcBorders>
            <w:vAlign w:val="center"/>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701" w:type="dxa"/>
            <w:tcBorders>
              <w:left w:val="single" w:sz="12" w:space="0" w:color="000000"/>
            </w:tcBorders>
            <w:vAlign w:val="center"/>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2049" w:type="dxa"/>
          </w:tcPr>
          <w:p w:rsidR="00BD5820" w:rsidRDefault="00F64314">
            <w:pPr>
              <w:pStyle w:val="Default"/>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w:t>
            </w:r>
          </w:p>
        </w:tc>
      </w:tr>
      <w:tr w:rsidR="00BD5820">
        <w:trPr>
          <w:trHeight w:val="251"/>
          <w:jc w:val="center"/>
        </w:trPr>
        <w:tc>
          <w:tcPr>
            <w:tcW w:w="1843" w:type="dxa"/>
            <w:vAlign w:val="center"/>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color w:val="auto"/>
                <w:sz w:val="21"/>
                <w:szCs w:val="21"/>
              </w:rPr>
              <w:t>营运期</w:t>
            </w:r>
          </w:p>
        </w:tc>
        <w:tc>
          <w:tcPr>
            <w:tcW w:w="1418" w:type="dxa"/>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b/>
                <w:bCs/>
                <w:color w:val="auto"/>
                <w:sz w:val="21"/>
                <w:szCs w:val="21"/>
              </w:rPr>
              <w:t>—</w:t>
            </w:r>
          </w:p>
        </w:tc>
        <w:tc>
          <w:tcPr>
            <w:tcW w:w="1842" w:type="dxa"/>
            <w:tcBorders>
              <w:right w:val="single" w:sz="12" w:space="0" w:color="000000"/>
            </w:tcBorders>
            <w:vAlign w:val="center"/>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1701" w:type="dxa"/>
            <w:tcBorders>
              <w:left w:val="single" w:sz="12" w:space="0" w:color="000000"/>
            </w:tcBorders>
            <w:vAlign w:val="center"/>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color w:val="auto"/>
                <w:sz w:val="21"/>
                <w:szCs w:val="21"/>
              </w:rPr>
              <w:t>√</w:t>
            </w:r>
          </w:p>
        </w:tc>
        <w:tc>
          <w:tcPr>
            <w:tcW w:w="2049" w:type="dxa"/>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b/>
                <w:bCs/>
                <w:color w:val="auto"/>
                <w:sz w:val="21"/>
                <w:szCs w:val="21"/>
              </w:rPr>
              <w:t>—</w:t>
            </w:r>
          </w:p>
        </w:tc>
      </w:tr>
      <w:tr w:rsidR="00BD5820">
        <w:trPr>
          <w:trHeight w:val="251"/>
          <w:jc w:val="center"/>
        </w:trPr>
        <w:tc>
          <w:tcPr>
            <w:tcW w:w="1843" w:type="dxa"/>
            <w:vAlign w:val="center"/>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color w:val="auto"/>
                <w:sz w:val="21"/>
                <w:szCs w:val="21"/>
              </w:rPr>
              <w:t>服务期满后</w:t>
            </w:r>
          </w:p>
        </w:tc>
        <w:tc>
          <w:tcPr>
            <w:tcW w:w="1418" w:type="dxa"/>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b/>
                <w:bCs/>
                <w:color w:val="auto"/>
                <w:sz w:val="21"/>
                <w:szCs w:val="21"/>
              </w:rPr>
              <w:t>—</w:t>
            </w:r>
          </w:p>
        </w:tc>
        <w:tc>
          <w:tcPr>
            <w:tcW w:w="1842" w:type="dxa"/>
            <w:tcBorders>
              <w:right w:val="single" w:sz="12" w:space="0" w:color="000000"/>
            </w:tcBorders>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b/>
                <w:bCs/>
                <w:color w:val="auto"/>
                <w:sz w:val="21"/>
                <w:szCs w:val="21"/>
              </w:rPr>
              <w:t>—</w:t>
            </w:r>
          </w:p>
        </w:tc>
        <w:tc>
          <w:tcPr>
            <w:tcW w:w="1701" w:type="dxa"/>
            <w:tcBorders>
              <w:left w:val="single" w:sz="12" w:space="0" w:color="000000"/>
            </w:tcBorders>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b/>
                <w:bCs/>
                <w:color w:val="auto"/>
                <w:sz w:val="21"/>
                <w:szCs w:val="21"/>
              </w:rPr>
              <w:t>—</w:t>
            </w:r>
          </w:p>
        </w:tc>
        <w:tc>
          <w:tcPr>
            <w:tcW w:w="2049" w:type="dxa"/>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b/>
                <w:bCs/>
                <w:color w:val="auto"/>
                <w:sz w:val="21"/>
                <w:szCs w:val="21"/>
              </w:rPr>
              <w:t>—</w:t>
            </w:r>
          </w:p>
        </w:tc>
      </w:tr>
    </w:tbl>
    <w:p w:rsidR="00BD5820" w:rsidRDefault="00F64314">
      <w:pPr>
        <w:pStyle w:val="affa"/>
        <w:ind w:firstLine="480"/>
      </w:pPr>
      <w:r>
        <w:rPr>
          <w:rFonts w:hAnsi="Calibri" w:hint="eastAsia"/>
        </w:rPr>
        <w:lastRenderedPageBreak/>
        <w:t>（</w:t>
      </w:r>
      <w:r>
        <w:t>2</w:t>
      </w:r>
      <w:r>
        <w:rPr>
          <w:rFonts w:hint="eastAsia"/>
        </w:rPr>
        <w:t>）土壤环境影响源及影响因子识别</w:t>
      </w:r>
    </w:p>
    <w:p w:rsidR="00BD5820" w:rsidRDefault="00F64314">
      <w:pPr>
        <w:pStyle w:val="affa"/>
        <w:ind w:firstLine="480"/>
      </w:pPr>
      <w:r>
        <w:rPr>
          <w:rFonts w:hint="eastAsia"/>
        </w:rPr>
        <w:t>建设项目土壤环境影响源及影响因子见下表。</w:t>
      </w:r>
    </w:p>
    <w:p w:rsidR="00BD5820" w:rsidRDefault="00F64314">
      <w:pPr>
        <w:pStyle w:val="10"/>
      </w:pPr>
      <w:r>
        <w:rPr>
          <w:rFonts w:hint="eastAsia"/>
        </w:rPr>
        <w:t>表</w:t>
      </w:r>
      <w:r>
        <w:rPr>
          <w:bCs/>
        </w:rPr>
        <w:t>6.2-</w:t>
      </w:r>
      <w:r>
        <w:rPr>
          <w:rFonts w:hint="eastAsia"/>
          <w:bCs/>
        </w:rPr>
        <w:t>11</w:t>
      </w:r>
      <w:r>
        <w:rPr>
          <w:bCs/>
        </w:rPr>
        <w:t xml:space="preserve">  </w:t>
      </w:r>
      <w:r>
        <w:rPr>
          <w:rFonts w:hint="eastAsia"/>
        </w:rPr>
        <w:t>土壤环境影响源及影响因子识别表</w:t>
      </w:r>
    </w:p>
    <w:tbl>
      <w:tblPr>
        <w:tblW w:w="8853" w:type="dxa"/>
        <w:jc w:val="center"/>
        <w:tblBorders>
          <w:top w:val="single" w:sz="12" w:space="0" w:color="000000"/>
          <w:bottom w:val="single" w:sz="12" w:space="0" w:color="000000"/>
          <w:insideH w:val="single" w:sz="4" w:space="0" w:color="000000"/>
          <w:insideV w:val="single" w:sz="4" w:space="0" w:color="000000"/>
        </w:tblBorders>
        <w:tblLook w:val="04A0"/>
      </w:tblPr>
      <w:tblGrid>
        <w:gridCol w:w="1418"/>
        <w:gridCol w:w="1559"/>
        <w:gridCol w:w="1276"/>
        <w:gridCol w:w="2126"/>
        <w:gridCol w:w="1418"/>
        <w:gridCol w:w="1056"/>
      </w:tblGrid>
      <w:tr w:rsidR="00BD5820">
        <w:trPr>
          <w:trHeight w:val="251"/>
          <w:jc w:val="center"/>
        </w:trPr>
        <w:tc>
          <w:tcPr>
            <w:tcW w:w="1418" w:type="dxa"/>
            <w:tcBorders>
              <w:right w:val="single" w:sz="12" w:space="0" w:color="000000"/>
            </w:tcBorders>
            <w:vAlign w:val="center"/>
          </w:tcPr>
          <w:p w:rsidR="00BD5820" w:rsidRDefault="00F64314">
            <w:pPr>
              <w:pStyle w:val="Default"/>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污染源</w:t>
            </w:r>
          </w:p>
        </w:tc>
        <w:tc>
          <w:tcPr>
            <w:tcW w:w="1559" w:type="dxa"/>
            <w:tcBorders>
              <w:left w:val="single" w:sz="12" w:space="0" w:color="000000"/>
            </w:tcBorders>
            <w:vAlign w:val="center"/>
          </w:tcPr>
          <w:p w:rsidR="00BD5820" w:rsidRDefault="00F64314">
            <w:pPr>
              <w:pStyle w:val="Default"/>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工艺流程</w:t>
            </w:r>
            <w:r>
              <w:rPr>
                <w:rFonts w:ascii="Times New Roman" w:hAnsi="Times New Roman" w:cs="Times New Roman"/>
                <w:b/>
                <w:bCs/>
                <w:color w:val="auto"/>
                <w:sz w:val="21"/>
                <w:szCs w:val="21"/>
              </w:rPr>
              <w:t>/</w:t>
            </w:r>
            <w:r>
              <w:rPr>
                <w:rFonts w:ascii="Times New Roman" w:hAnsi="Times New Roman" w:cs="Times New Roman"/>
                <w:b/>
                <w:bCs/>
                <w:color w:val="auto"/>
                <w:sz w:val="21"/>
                <w:szCs w:val="21"/>
              </w:rPr>
              <w:t>节点</w:t>
            </w:r>
          </w:p>
        </w:tc>
        <w:tc>
          <w:tcPr>
            <w:tcW w:w="1276" w:type="dxa"/>
            <w:vAlign w:val="center"/>
          </w:tcPr>
          <w:p w:rsidR="00BD5820" w:rsidRDefault="00F64314">
            <w:pPr>
              <w:pStyle w:val="Default"/>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污染途径</w:t>
            </w:r>
          </w:p>
        </w:tc>
        <w:tc>
          <w:tcPr>
            <w:tcW w:w="2126" w:type="dxa"/>
            <w:tcBorders>
              <w:right w:val="single" w:sz="12" w:space="0" w:color="000000"/>
            </w:tcBorders>
            <w:vAlign w:val="center"/>
          </w:tcPr>
          <w:p w:rsidR="00BD5820" w:rsidRDefault="00F64314">
            <w:pPr>
              <w:pStyle w:val="Default"/>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全部污染物指标</w:t>
            </w:r>
            <w:r>
              <w:rPr>
                <w:rFonts w:ascii="Times New Roman" w:hAnsi="Times New Roman" w:cs="Times New Roman"/>
                <w:b/>
                <w:bCs/>
                <w:color w:val="auto"/>
                <w:sz w:val="21"/>
                <w:szCs w:val="21"/>
              </w:rPr>
              <w:t>a</w:t>
            </w:r>
          </w:p>
        </w:tc>
        <w:tc>
          <w:tcPr>
            <w:tcW w:w="1418" w:type="dxa"/>
            <w:tcBorders>
              <w:left w:val="single" w:sz="12" w:space="0" w:color="000000"/>
            </w:tcBorders>
            <w:vAlign w:val="center"/>
          </w:tcPr>
          <w:p w:rsidR="00BD5820" w:rsidRDefault="00F64314">
            <w:pPr>
              <w:pStyle w:val="Default"/>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特征因子</w:t>
            </w:r>
          </w:p>
        </w:tc>
        <w:tc>
          <w:tcPr>
            <w:tcW w:w="1056" w:type="dxa"/>
            <w:vAlign w:val="center"/>
          </w:tcPr>
          <w:p w:rsidR="00BD5820" w:rsidRDefault="00F64314">
            <w:pPr>
              <w:pStyle w:val="Default"/>
              <w:jc w:val="center"/>
              <w:rPr>
                <w:rFonts w:ascii="Times New Roman" w:hAnsi="Times New Roman" w:cs="Times New Roman"/>
                <w:b/>
                <w:bCs/>
                <w:color w:val="auto"/>
                <w:sz w:val="21"/>
                <w:szCs w:val="21"/>
              </w:rPr>
            </w:pPr>
            <w:r>
              <w:rPr>
                <w:rFonts w:ascii="Times New Roman" w:hAnsi="Times New Roman" w:cs="Times New Roman"/>
                <w:b/>
                <w:bCs/>
                <w:color w:val="auto"/>
                <w:sz w:val="21"/>
                <w:szCs w:val="21"/>
              </w:rPr>
              <w:t>备注</w:t>
            </w:r>
            <w:r>
              <w:rPr>
                <w:rFonts w:ascii="Times New Roman" w:hAnsi="Times New Roman" w:cs="Times New Roman"/>
                <w:b/>
                <w:bCs/>
                <w:color w:val="auto"/>
                <w:sz w:val="21"/>
                <w:szCs w:val="21"/>
              </w:rPr>
              <w:t>b</w:t>
            </w:r>
          </w:p>
        </w:tc>
      </w:tr>
      <w:tr w:rsidR="00BD5820">
        <w:trPr>
          <w:trHeight w:val="251"/>
          <w:jc w:val="center"/>
        </w:trPr>
        <w:tc>
          <w:tcPr>
            <w:tcW w:w="1418" w:type="dxa"/>
            <w:tcBorders>
              <w:right w:val="single" w:sz="12" w:space="0" w:color="000000"/>
            </w:tcBorders>
            <w:vAlign w:val="center"/>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hint="eastAsia"/>
                <w:color w:val="auto"/>
                <w:sz w:val="21"/>
                <w:szCs w:val="21"/>
              </w:rPr>
              <w:t>污水罐</w:t>
            </w:r>
          </w:p>
        </w:tc>
        <w:tc>
          <w:tcPr>
            <w:tcW w:w="1559" w:type="dxa"/>
            <w:tcBorders>
              <w:left w:val="single" w:sz="12" w:space="0" w:color="000000"/>
            </w:tcBorders>
            <w:vAlign w:val="center"/>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color w:val="auto"/>
                <w:sz w:val="21"/>
                <w:szCs w:val="21"/>
              </w:rPr>
              <w:t>储存</w:t>
            </w:r>
          </w:p>
        </w:tc>
        <w:tc>
          <w:tcPr>
            <w:tcW w:w="1276" w:type="dxa"/>
            <w:vAlign w:val="center"/>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color w:val="auto"/>
                <w:sz w:val="21"/>
                <w:szCs w:val="21"/>
              </w:rPr>
              <w:t>地面漫流</w:t>
            </w:r>
          </w:p>
        </w:tc>
        <w:tc>
          <w:tcPr>
            <w:tcW w:w="2126" w:type="dxa"/>
            <w:tcBorders>
              <w:right w:val="single" w:sz="12" w:space="0" w:color="000000"/>
            </w:tcBorders>
            <w:vAlign w:val="center"/>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color w:val="auto"/>
                <w:sz w:val="21"/>
                <w:szCs w:val="21"/>
              </w:rPr>
              <w:t>COD</w:t>
            </w:r>
            <w:r>
              <w:rPr>
                <w:rFonts w:ascii="Times New Roman" w:hAnsi="Times New Roman" w:cs="Times New Roman"/>
                <w:color w:val="auto"/>
                <w:sz w:val="21"/>
                <w:szCs w:val="21"/>
              </w:rPr>
              <w:t>、</w:t>
            </w:r>
            <w:r>
              <w:rPr>
                <w:rFonts w:ascii="Times New Roman" w:hAnsi="Times New Roman" w:cs="Times New Roman"/>
                <w:color w:val="auto"/>
                <w:sz w:val="21"/>
                <w:szCs w:val="21"/>
              </w:rPr>
              <w:t>SS</w:t>
            </w:r>
            <w:r>
              <w:rPr>
                <w:rFonts w:ascii="Times New Roman" w:hAnsi="Times New Roman" w:cs="Times New Roman"/>
                <w:color w:val="auto"/>
                <w:sz w:val="21"/>
                <w:szCs w:val="21"/>
              </w:rPr>
              <w:t>、石油烃、氯化物等</w:t>
            </w:r>
          </w:p>
        </w:tc>
        <w:tc>
          <w:tcPr>
            <w:tcW w:w="1418" w:type="dxa"/>
            <w:tcBorders>
              <w:left w:val="single" w:sz="12" w:space="0" w:color="000000"/>
            </w:tcBorders>
            <w:vAlign w:val="center"/>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color w:val="auto"/>
                <w:sz w:val="21"/>
                <w:szCs w:val="21"/>
              </w:rPr>
              <w:t>石油烃</w:t>
            </w:r>
          </w:p>
        </w:tc>
        <w:tc>
          <w:tcPr>
            <w:tcW w:w="1056" w:type="dxa"/>
            <w:vAlign w:val="center"/>
          </w:tcPr>
          <w:p w:rsidR="00BD5820" w:rsidRDefault="00F64314">
            <w:pPr>
              <w:pStyle w:val="Default"/>
              <w:jc w:val="center"/>
              <w:rPr>
                <w:rFonts w:ascii="Times New Roman" w:hAnsi="Times New Roman" w:cs="Times New Roman"/>
                <w:color w:val="auto"/>
                <w:sz w:val="21"/>
                <w:szCs w:val="21"/>
              </w:rPr>
            </w:pPr>
            <w:r>
              <w:rPr>
                <w:rFonts w:ascii="Times New Roman" w:hAnsi="Times New Roman" w:cs="Times New Roman"/>
                <w:color w:val="auto"/>
                <w:sz w:val="21"/>
                <w:szCs w:val="21"/>
              </w:rPr>
              <w:t>事故</w:t>
            </w:r>
          </w:p>
        </w:tc>
      </w:tr>
      <w:tr w:rsidR="00BD5820">
        <w:trPr>
          <w:trHeight w:val="251"/>
          <w:jc w:val="center"/>
        </w:trPr>
        <w:tc>
          <w:tcPr>
            <w:tcW w:w="8853" w:type="dxa"/>
            <w:gridSpan w:val="6"/>
            <w:vAlign w:val="center"/>
          </w:tcPr>
          <w:p w:rsidR="00BD5820" w:rsidRDefault="00F64314">
            <w:pPr>
              <w:pStyle w:val="Default"/>
              <w:rPr>
                <w:rFonts w:ascii="Times New Roman" w:hAnsi="Times New Roman" w:cs="Times New Roman"/>
                <w:color w:val="auto"/>
                <w:sz w:val="20"/>
                <w:szCs w:val="20"/>
              </w:rPr>
            </w:pPr>
            <w:r>
              <w:rPr>
                <w:rFonts w:ascii="Times New Roman" w:hAnsi="Times New Roman" w:cs="Times New Roman"/>
                <w:color w:val="auto"/>
                <w:sz w:val="20"/>
                <w:szCs w:val="20"/>
              </w:rPr>
              <w:t>a.</w:t>
            </w:r>
            <w:r>
              <w:rPr>
                <w:rFonts w:ascii="Times New Roman" w:hAnsi="Times New Roman" w:cs="Times New Roman"/>
                <w:color w:val="auto"/>
                <w:sz w:val="20"/>
                <w:szCs w:val="20"/>
              </w:rPr>
              <w:t>根据工程分析结果填写</w:t>
            </w:r>
          </w:p>
          <w:p w:rsidR="00BD5820" w:rsidRDefault="00F64314">
            <w:pPr>
              <w:pStyle w:val="Default"/>
              <w:rPr>
                <w:rFonts w:ascii="Times New Roman" w:hAnsi="Times New Roman" w:cs="Times New Roman"/>
                <w:color w:val="auto"/>
                <w:sz w:val="21"/>
                <w:szCs w:val="21"/>
              </w:rPr>
            </w:pPr>
            <w:r>
              <w:rPr>
                <w:rFonts w:ascii="Times New Roman" w:hAnsi="Times New Roman" w:cs="Times New Roman"/>
                <w:color w:val="auto"/>
                <w:sz w:val="20"/>
                <w:szCs w:val="20"/>
              </w:rPr>
              <w:t>b.</w:t>
            </w:r>
            <w:r>
              <w:rPr>
                <w:rFonts w:ascii="Times New Roman" w:hAnsi="Times New Roman" w:cs="Times New Roman"/>
                <w:color w:val="auto"/>
                <w:sz w:val="20"/>
                <w:szCs w:val="20"/>
              </w:rPr>
              <w:t>应描述污染源特征，如连续、间断、正常、事故等；设计大气沉降途径的，应识别建设项目周边的土壤敏感目标</w:t>
            </w:r>
          </w:p>
        </w:tc>
      </w:tr>
    </w:tbl>
    <w:p w:rsidR="00BD5820" w:rsidRDefault="00F64314">
      <w:pPr>
        <w:pStyle w:val="affa"/>
        <w:ind w:firstLine="482"/>
        <w:rPr>
          <w:b/>
          <w:bCs/>
        </w:rPr>
      </w:pPr>
      <w:r>
        <w:rPr>
          <w:b/>
          <w:bCs/>
        </w:rPr>
        <w:t>2</w:t>
      </w:r>
      <w:r>
        <w:rPr>
          <w:b/>
          <w:bCs/>
        </w:rPr>
        <w:t>、</w:t>
      </w:r>
      <w:r>
        <w:rPr>
          <w:rFonts w:hint="eastAsia"/>
          <w:b/>
          <w:bCs/>
        </w:rPr>
        <w:t>土壤环境影响评价项目类别</w:t>
      </w:r>
    </w:p>
    <w:p w:rsidR="00BD5820" w:rsidRDefault="00F64314">
      <w:pPr>
        <w:pStyle w:val="affa"/>
        <w:ind w:firstLine="480"/>
      </w:pPr>
      <w:r>
        <w:rPr>
          <w:rFonts w:hint="eastAsia"/>
        </w:rPr>
        <w:t>根据《环境影响评价技术导则土壤环境（试行）》（</w:t>
      </w:r>
      <w:r>
        <w:t>HJ964-2018</w:t>
      </w:r>
      <w:r>
        <w:rPr>
          <w:rFonts w:hint="eastAsia"/>
        </w:rPr>
        <w:t>），本项目主要建设内容为湿气增压工程和地面集输工程，因此参照附录</w:t>
      </w:r>
      <w:r>
        <w:t>A</w:t>
      </w:r>
      <w:r>
        <w:rPr>
          <w:rFonts w:hint="eastAsia"/>
        </w:rPr>
        <w:t>中的</w:t>
      </w:r>
      <w:r>
        <w:t>“</w:t>
      </w:r>
      <w:r>
        <w:rPr>
          <w:rFonts w:hint="eastAsia"/>
        </w:rPr>
        <w:t>采矿业、天然气开采</w:t>
      </w:r>
      <w:r>
        <w:t>”</w:t>
      </w:r>
      <w:r>
        <w:rPr>
          <w:rFonts w:hint="eastAsia"/>
        </w:rPr>
        <w:t>类别，为</w:t>
      </w:r>
      <w:r>
        <w:t>Ⅱ</w:t>
      </w:r>
      <w:r>
        <w:rPr>
          <w:rFonts w:hint="eastAsia"/>
        </w:rPr>
        <w:t>类污染影响型建设项目。</w:t>
      </w:r>
    </w:p>
    <w:p w:rsidR="00BD5820" w:rsidRDefault="00F64314">
      <w:pPr>
        <w:pStyle w:val="affa"/>
        <w:ind w:firstLine="482"/>
        <w:rPr>
          <w:b/>
          <w:bCs/>
        </w:rPr>
      </w:pPr>
      <w:r>
        <w:rPr>
          <w:b/>
          <w:bCs/>
        </w:rPr>
        <w:t>3</w:t>
      </w:r>
      <w:r>
        <w:rPr>
          <w:b/>
          <w:bCs/>
        </w:rPr>
        <w:t>、</w:t>
      </w:r>
      <w:r>
        <w:rPr>
          <w:rFonts w:hint="eastAsia"/>
          <w:b/>
          <w:bCs/>
        </w:rPr>
        <w:t>污染影响型土壤评价等级</w:t>
      </w:r>
    </w:p>
    <w:p w:rsidR="00BD5820" w:rsidRDefault="00F64314">
      <w:pPr>
        <w:pStyle w:val="affa"/>
        <w:ind w:firstLine="480"/>
      </w:pPr>
      <w:r>
        <w:rPr>
          <w:rFonts w:hint="eastAsia"/>
        </w:rPr>
        <w:t>根据《环境影响评价技术导则</w:t>
      </w:r>
      <w:r>
        <w:rPr>
          <w:rFonts w:hint="eastAsia"/>
        </w:rPr>
        <w:t xml:space="preserve"> </w:t>
      </w:r>
      <w:r>
        <w:rPr>
          <w:rFonts w:hint="eastAsia"/>
        </w:rPr>
        <w:t>土壤环境（试行）》（</w:t>
      </w:r>
      <w:r>
        <w:t>HJ964</w:t>
      </w:r>
      <w:r>
        <w:rPr>
          <w:rFonts w:hint="eastAsia"/>
        </w:rPr>
        <w:t>-</w:t>
      </w:r>
      <w:r>
        <w:t>2018</w:t>
      </w:r>
      <w:r>
        <w:rPr>
          <w:rFonts w:hint="eastAsia"/>
        </w:rPr>
        <w:t>），</w:t>
      </w:r>
      <w:r>
        <w:t>“</w:t>
      </w:r>
      <w:r>
        <w:rPr>
          <w:rFonts w:hint="eastAsia"/>
        </w:rPr>
        <w:t>将建设项目占地规模分为大型（</w:t>
      </w:r>
      <w:r>
        <w:t>≥50hm</w:t>
      </w:r>
      <w:r>
        <w:rPr>
          <w:vertAlign w:val="superscript"/>
        </w:rPr>
        <w:t>2</w:t>
      </w:r>
      <w:r>
        <w:rPr>
          <w:rFonts w:hint="eastAsia"/>
        </w:rPr>
        <w:t>）、中型（</w:t>
      </w:r>
      <w:r>
        <w:t>5-50hm</w:t>
      </w:r>
      <w:r>
        <w:rPr>
          <w:vertAlign w:val="superscript"/>
        </w:rPr>
        <w:t>2</w:t>
      </w:r>
      <w:r>
        <w:rPr>
          <w:rFonts w:hint="eastAsia"/>
        </w:rPr>
        <w:t>）、小型（</w:t>
      </w:r>
      <w:r>
        <w:t>≤5hm</w:t>
      </w:r>
      <w:r>
        <w:rPr>
          <w:vertAlign w:val="superscript"/>
        </w:rPr>
        <w:t>2</w:t>
      </w:r>
      <w:r>
        <w:rPr>
          <w:rFonts w:hint="eastAsia"/>
        </w:rPr>
        <w:t>），建设项目占地主要为临时占地</w:t>
      </w:r>
      <w:r>
        <w:t>”</w:t>
      </w:r>
      <w:r>
        <w:rPr>
          <w:rFonts w:hint="eastAsia"/>
        </w:rPr>
        <w:t>。本项目站场</w:t>
      </w:r>
      <w:r>
        <w:t>新增</w:t>
      </w:r>
      <w:r>
        <w:rPr>
          <w:rFonts w:hint="eastAsia"/>
        </w:rPr>
        <w:t>永久</w:t>
      </w:r>
      <w:r>
        <w:t>占地面积约为</w:t>
      </w:r>
      <w:r>
        <w:rPr>
          <w:rFonts w:hint="eastAsia"/>
        </w:rPr>
        <w:t>18900</w:t>
      </w:r>
      <w:r>
        <w:rPr>
          <w:rFonts w:hint="eastAsia"/>
          <w:bCs/>
        </w:rPr>
        <w:t>m</w:t>
      </w:r>
      <w:r>
        <w:rPr>
          <w:rFonts w:hint="eastAsia"/>
          <w:bCs/>
          <w:vertAlign w:val="superscript"/>
        </w:rPr>
        <w:t>2</w:t>
      </w:r>
      <w:r>
        <w:rPr>
          <w:rFonts w:hint="eastAsia"/>
        </w:rPr>
        <w:t>，小于</w:t>
      </w:r>
      <w:r>
        <w:t>5hm</w:t>
      </w:r>
      <w:r>
        <w:rPr>
          <w:vertAlign w:val="superscript"/>
        </w:rPr>
        <w:t>2</w:t>
      </w:r>
      <w:r>
        <w:rPr>
          <w:rFonts w:hint="eastAsia"/>
        </w:rPr>
        <w:t>，因此占地规模为小型。</w:t>
      </w:r>
    </w:p>
    <w:p w:rsidR="00BD5820" w:rsidRDefault="00F64314">
      <w:pPr>
        <w:pStyle w:val="affa"/>
        <w:ind w:firstLine="480"/>
      </w:pPr>
      <w:r>
        <w:rPr>
          <w:rFonts w:hint="eastAsia"/>
        </w:rPr>
        <w:t>根据《环境影响评价技术导则土壤环境（试行）》（</w:t>
      </w:r>
      <w:r>
        <w:t>HJ964</w:t>
      </w:r>
      <w:r>
        <w:rPr>
          <w:rFonts w:hint="eastAsia"/>
        </w:rPr>
        <w:t>-</w:t>
      </w:r>
      <w:r>
        <w:t>2018</w:t>
      </w:r>
      <w:r>
        <w:rPr>
          <w:rFonts w:hint="eastAsia"/>
        </w:rPr>
        <w:t>），由于本项目周边存在耕地，建设项目所在地土壤环境敏感程度为敏感，因此，建设项目土壤环境影响评价工作等级为二级。</w:t>
      </w:r>
    </w:p>
    <w:p w:rsidR="00BD5820" w:rsidRDefault="00F64314">
      <w:pPr>
        <w:pStyle w:val="affa"/>
        <w:ind w:firstLine="480"/>
      </w:pPr>
      <w:r>
        <w:rPr>
          <w:rFonts w:hint="eastAsia"/>
        </w:rPr>
        <w:t>（</w:t>
      </w:r>
      <w:r>
        <w:rPr>
          <w:rFonts w:hint="eastAsia"/>
        </w:rPr>
        <w:t>1</w:t>
      </w:r>
      <w:r>
        <w:rPr>
          <w:rFonts w:hint="eastAsia"/>
        </w:rPr>
        <w:t>）土壤调查评价范围</w:t>
      </w:r>
    </w:p>
    <w:p w:rsidR="00BD5820" w:rsidRDefault="00F64314">
      <w:pPr>
        <w:pStyle w:val="affa"/>
        <w:ind w:firstLine="480"/>
      </w:pPr>
      <w:r>
        <w:rPr>
          <w:rFonts w:hint="eastAsia"/>
        </w:rPr>
        <w:t>根据《环境影响评价技术导则</w:t>
      </w:r>
      <w:r>
        <w:rPr>
          <w:rFonts w:hint="eastAsia"/>
        </w:rPr>
        <w:t xml:space="preserve"> </w:t>
      </w:r>
      <w:r>
        <w:rPr>
          <w:rFonts w:hint="eastAsia"/>
        </w:rPr>
        <w:t>土壤环境（试行）》（</w:t>
      </w:r>
      <w:r>
        <w:t>HJ964</w:t>
      </w:r>
      <w:r>
        <w:rPr>
          <w:rFonts w:hint="eastAsia"/>
        </w:rPr>
        <w:t>-</w:t>
      </w:r>
      <w:r>
        <w:t>2018</w:t>
      </w:r>
      <w:r>
        <w:rPr>
          <w:rFonts w:hint="eastAsia"/>
        </w:rPr>
        <w:t>）</w:t>
      </w:r>
      <w:r>
        <w:t>“</w:t>
      </w:r>
      <w:r>
        <w:rPr>
          <w:rFonts w:hint="eastAsia"/>
        </w:rPr>
        <w:t>表</w:t>
      </w:r>
      <w:r>
        <w:t>5</w:t>
      </w:r>
      <w:r>
        <w:rPr>
          <w:rFonts w:hint="eastAsia"/>
        </w:rPr>
        <w:t>现状调查范围</w:t>
      </w:r>
      <w:r>
        <w:t>”</w:t>
      </w:r>
      <w:r>
        <w:rPr>
          <w:rFonts w:hint="eastAsia"/>
        </w:rPr>
        <w:t>，根据评价工作等级为二级的污染影响型项目，调查范围为场界外扩</w:t>
      </w:r>
      <w:r>
        <w:t>200m</w:t>
      </w:r>
      <w:r>
        <w:rPr>
          <w:rFonts w:hint="eastAsia"/>
        </w:rPr>
        <w:t>。</w:t>
      </w:r>
    </w:p>
    <w:p w:rsidR="00BD5820" w:rsidRDefault="00F64314">
      <w:pPr>
        <w:pStyle w:val="affa"/>
        <w:ind w:firstLine="480"/>
      </w:pPr>
      <w:r>
        <w:rPr>
          <w:rFonts w:hint="eastAsia"/>
        </w:rPr>
        <w:t>（</w:t>
      </w:r>
      <w:r>
        <w:rPr>
          <w:rFonts w:hint="eastAsia"/>
        </w:rPr>
        <w:t>2</w:t>
      </w:r>
      <w:r>
        <w:rPr>
          <w:rFonts w:hint="eastAsia"/>
        </w:rPr>
        <w:t>）土壤环境敏感目标</w:t>
      </w:r>
    </w:p>
    <w:p w:rsidR="00BD5820" w:rsidRDefault="00F64314">
      <w:pPr>
        <w:pStyle w:val="affa"/>
        <w:ind w:firstLine="480"/>
      </w:pPr>
      <w:r>
        <w:rPr>
          <w:rFonts w:hint="eastAsia"/>
        </w:rPr>
        <w:t>本项目站场位于四川省达州市宣汉县普光镇境内，根据现场勘察，项目调查评价范围内主要分布为旱地，本次土壤环境敏感目标见表</w:t>
      </w:r>
      <w:r>
        <w:t>1.9</w:t>
      </w:r>
      <w:r>
        <w:rPr>
          <w:rFonts w:hint="eastAsia"/>
        </w:rPr>
        <w:t>-1</w:t>
      </w:r>
      <w:r>
        <w:rPr>
          <w:rFonts w:hint="eastAsia"/>
        </w:rPr>
        <w:t>。</w:t>
      </w:r>
    </w:p>
    <w:p w:rsidR="00BD5820" w:rsidRDefault="00F64314">
      <w:pPr>
        <w:pStyle w:val="affa"/>
        <w:ind w:firstLine="482"/>
        <w:rPr>
          <w:b/>
          <w:bCs/>
        </w:rPr>
      </w:pPr>
      <w:r>
        <w:rPr>
          <w:b/>
          <w:bCs/>
        </w:rPr>
        <w:t>4</w:t>
      </w:r>
      <w:r>
        <w:rPr>
          <w:b/>
          <w:bCs/>
        </w:rPr>
        <w:t>、</w:t>
      </w:r>
      <w:r>
        <w:rPr>
          <w:rFonts w:hint="eastAsia"/>
          <w:b/>
          <w:bCs/>
        </w:rPr>
        <w:t>项目所在地土壤分类</w:t>
      </w:r>
    </w:p>
    <w:p w:rsidR="00BD5820" w:rsidRDefault="00F64314">
      <w:pPr>
        <w:pStyle w:val="affa"/>
        <w:ind w:firstLine="480"/>
      </w:pPr>
      <w:r>
        <w:rPr>
          <w:rFonts w:hint="eastAsia"/>
        </w:rPr>
        <w:t>根据国家土壤信息服务平台公布的数据，并结合现场踏勘情况可知，拟建地土壤属酸性紫色土。</w:t>
      </w:r>
    </w:p>
    <w:p w:rsidR="00BD5820" w:rsidRDefault="00F64314">
      <w:pPr>
        <w:pStyle w:val="affa"/>
        <w:ind w:firstLine="482"/>
        <w:rPr>
          <w:b/>
          <w:bCs/>
        </w:rPr>
      </w:pPr>
      <w:r>
        <w:rPr>
          <w:b/>
          <w:bCs/>
        </w:rPr>
        <w:lastRenderedPageBreak/>
        <w:t>5</w:t>
      </w:r>
      <w:r>
        <w:rPr>
          <w:b/>
          <w:bCs/>
        </w:rPr>
        <w:t>、</w:t>
      </w:r>
      <w:r>
        <w:rPr>
          <w:rFonts w:hint="eastAsia"/>
          <w:b/>
          <w:bCs/>
        </w:rPr>
        <w:t>土壤环境影响分析</w:t>
      </w:r>
    </w:p>
    <w:p w:rsidR="00BD5820" w:rsidRDefault="00F64314">
      <w:pPr>
        <w:pStyle w:val="affa"/>
        <w:ind w:firstLine="480"/>
      </w:pPr>
      <w:r>
        <w:rPr>
          <w:rFonts w:hint="eastAsia"/>
        </w:rPr>
        <w:t>（</w:t>
      </w:r>
      <w:r>
        <w:rPr>
          <w:rFonts w:hint="eastAsia"/>
        </w:rPr>
        <w:t>1</w:t>
      </w:r>
      <w:r>
        <w:rPr>
          <w:rFonts w:hint="eastAsia"/>
        </w:rPr>
        <w:t>）大气沉降影响分析</w:t>
      </w:r>
    </w:p>
    <w:p w:rsidR="00BD5820" w:rsidRDefault="00F64314">
      <w:pPr>
        <w:pStyle w:val="affa"/>
        <w:ind w:firstLine="480"/>
      </w:pPr>
      <w:r>
        <w:rPr>
          <w:rFonts w:hint="eastAsia"/>
        </w:rPr>
        <w:t>本项</w:t>
      </w:r>
      <w:r>
        <w:t>目</w:t>
      </w:r>
      <w:r>
        <w:rPr>
          <w:rFonts w:hint="eastAsia"/>
        </w:rPr>
        <w:t>运营期</w:t>
      </w:r>
      <w:r>
        <w:t>正常情况下不对大气环境排放污染物，在非正常生产时有超压和检修时依托</w:t>
      </w:r>
      <w:r>
        <w:t>P102</w:t>
      </w:r>
      <w:r>
        <w:rPr>
          <w:rFonts w:hint="eastAsia"/>
        </w:rPr>
        <w:t>集气站</w:t>
      </w:r>
      <w:r>
        <w:t>已建点火放空系统排放点火放空燃烧废气</w:t>
      </w:r>
      <w:r>
        <w:rPr>
          <w:rFonts w:hint="eastAsia"/>
        </w:rPr>
        <w:t>，基本不会通过大气沉降对土壤环境造成影响。</w:t>
      </w:r>
    </w:p>
    <w:p w:rsidR="00BD5820" w:rsidRDefault="00F64314">
      <w:pPr>
        <w:pStyle w:val="affa"/>
        <w:ind w:firstLine="480"/>
      </w:pPr>
      <w:r>
        <w:rPr>
          <w:rFonts w:hint="eastAsia"/>
        </w:rPr>
        <w:t>（</w:t>
      </w:r>
      <w:r>
        <w:rPr>
          <w:rFonts w:hint="eastAsia"/>
        </w:rPr>
        <w:t>2</w:t>
      </w:r>
      <w:r>
        <w:rPr>
          <w:rFonts w:hint="eastAsia"/>
        </w:rPr>
        <w:t>）地表漫流影响分析</w:t>
      </w:r>
    </w:p>
    <w:p w:rsidR="00BD5820" w:rsidRDefault="00F64314">
      <w:pPr>
        <w:pStyle w:val="affa"/>
        <w:ind w:firstLine="480"/>
      </w:pPr>
      <w:r>
        <w:rPr>
          <w:rFonts w:hint="eastAsia"/>
        </w:rPr>
        <w:t>本项目正常情况下，气田水直接通过管道进入密闭的污水罐内，因此，正常情况下不会外溢或泄漏至外环境中产生地面漫流情况。通过站场四周设置了雨水排水沟，站场内雨水可及时排入周边，雨水漫流不会带走站场内的污染物，对周边土壤的影响也很小。</w:t>
      </w:r>
    </w:p>
    <w:p w:rsidR="00BD5820" w:rsidRDefault="00F64314">
      <w:pPr>
        <w:pStyle w:val="affa"/>
        <w:ind w:firstLine="480"/>
      </w:pPr>
      <w:r>
        <w:rPr>
          <w:rFonts w:hint="eastAsia"/>
        </w:rPr>
        <w:t>（</w:t>
      </w:r>
      <w:r>
        <w:rPr>
          <w:rFonts w:hint="eastAsia"/>
        </w:rPr>
        <w:t>3</w:t>
      </w:r>
      <w:r>
        <w:rPr>
          <w:rFonts w:hint="eastAsia"/>
        </w:rPr>
        <w:t>）垂直入渗影响分析</w:t>
      </w:r>
    </w:p>
    <w:p w:rsidR="00BD5820" w:rsidRDefault="00F64314">
      <w:pPr>
        <w:pStyle w:val="affa"/>
        <w:ind w:firstLine="480"/>
      </w:pPr>
      <w:r>
        <w:rPr>
          <w:rFonts w:hint="eastAsia"/>
        </w:rPr>
        <w:t>①预测评价范围、时段和情景设置</w:t>
      </w:r>
    </w:p>
    <w:p w:rsidR="00BD5820" w:rsidRDefault="00F64314">
      <w:pPr>
        <w:pStyle w:val="affa"/>
        <w:ind w:firstLine="480"/>
      </w:pPr>
      <w:r>
        <w:rPr>
          <w:rFonts w:hint="eastAsia"/>
        </w:rPr>
        <w:t>对于本项目主要考虑在非正常工况下，污水罐泄漏，通过垂直入渗途径污染土壤。本次评价情景设置为污水罐泄漏，产生渗透，直接污染周边土壤。</w:t>
      </w:r>
    </w:p>
    <w:p w:rsidR="00BD5820" w:rsidRDefault="00F64314">
      <w:pPr>
        <w:pStyle w:val="affa"/>
        <w:ind w:firstLine="480"/>
      </w:pPr>
      <w:r>
        <w:rPr>
          <w:rFonts w:hint="eastAsia"/>
        </w:rPr>
        <w:t>②预测因子及源强</w:t>
      </w:r>
    </w:p>
    <w:p w:rsidR="00BD5820" w:rsidRDefault="00F64314">
      <w:pPr>
        <w:pStyle w:val="affa"/>
        <w:ind w:firstLine="480"/>
      </w:pPr>
      <w:r>
        <w:rPr>
          <w:rFonts w:hint="eastAsia"/>
        </w:rPr>
        <w:t>根据工程分析及环境影响识别结果，本项目垂直入渗途径对土壤的影响主要考虑污染因子为石油烃。本项目普光气田</w:t>
      </w:r>
      <w:r>
        <w:rPr>
          <w:rFonts w:hint="eastAsia"/>
        </w:rPr>
        <w:t>1#</w:t>
      </w:r>
      <w:r>
        <w:rPr>
          <w:rFonts w:hint="eastAsia"/>
        </w:rPr>
        <w:t>增压站、普光气田</w:t>
      </w:r>
      <w:r>
        <w:rPr>
          <w:rFonts w:hint="eastAsia"/>
        </w:rPr>
        <w:t>2#</w:t>
      </w:r>
      <w:r>
        <w:rPr>
          <w:rFonts w:hint="eastAsia"/>
        </w:rPr>
        <w:t>增压站的</w:t>
      </w:r>
      <w:r>
        <w:rPr>
          <w:rFonts w:ascii="宋体" w:cs="宋体" w:hint="eastAsia"/>
        </w:rPr>
        <w:t>污水罐</w:t>
      </w:r>
      <w:r>
        <w:rPr>
          <w:rFonts w:hint="eastAsia"/>
        </w:rPr>
        <w:t>容积分别约</w:t>
      </w:r>
      <w:r>
        <w:rPr>
          <w:rFonts w:hint="eastAsia"/>
        </w:rPr>
        <w:t>61.544</w:t>
      </w:r>
      <w:r>
        <w:t>m</w:t>
      </w:r>
      <w:r>
        <w:rPr>
          <w:vertAlign w:val="superscript"/>
        </w:rPr>
        <w:t>3</w:t>
      </w:r>
      <w:r>
        <w:rPr>
          <w:rFonts w:hint="eastAsia"/>
        </w:rPr>
        <w:t>、</w:t>
      </w:r>
      <w:r>
        <w:rPr>
          <w:rFonts w:hint="eastAsia"/>
        </w:rPr>
        <w:t>63.585</w:t>
      </w:r>
      <w:r>
        <w:t>m</w:t>
      </w:r>
      <w:r>
        <w:rPr>
          <w:vertAlign w:val="superscript"/>
        </w:rPr>
        <w:t>3</w:t>
      </w:r>
      <w:r>
        <w:rPr>
          <w:rFonts w:hint="eastAsia"/>
        </w:rPr>
        <w:t>，以普光气田</w:t>
      </w:r>
      <w:r>
        <w:rPr>
          <w:rFonts w:hint="eastAsia"/>
        </w:rPr>
        <w:t>2#</w:t>
      </w:r>
      <w:r>
        <w:rPr>
          <w:rFonts w:hint="eastAsia"/>
        </w:rPr>
        <w:t>增压站污水罐作为预测源。</w:t>
      </w:r>
    </w:p>
    <w:p w:rsidR="00BD5820" w:rsidRDefault="00F64314">
      <w:pPr>
        <w:pStyle w:val="affa"/>
        <w:ind w:firstLine="480"/>
      </w:pPr>
      <w:r>
        <w:t>本项目采取了有效的防渗措施，根据土壤环境影响识别可知，正常工况下基本不会对土壤造成影响，主要考虑</w:t>
      </w:r>
      <w:r>
        <w:rPr>
          <w:rFonts w:hint="eastAsia"/>
        </w:rPr>
        <w:t>污水罐</w:t>
      </w:r>
      <w:r>
        <w:t>破裂，引起事故泄漏形成垂直入渗，造成土壤污染的情况。</w:t>
      </w:r>
    </w:p>
    <w:p w:rsidR="00BD5820" w:rsidRDefault="00F64314">
      <w:pPr>
        <w:pStyle w:val="affa"/>
        <w:ind w:firstLine="480"/>
      </w:pPr>
      <w:r>
        <w:t>废水渗透地下属于有压渗透，假定包气带充满水，按达西公式计算源强，公式如下：</w:t>
      </w:r>
    </w:p>
    <w:p w:rsidR="00BD5820" w:rsidRDefault="00F64314">
      <w:pPr>
        <w:pStyle w:val="affa"/>
        <w:ind w:firstLine="480"/>
      </w:pPr>
      <w:r>
        <w:rPr>
          <w:noProof/>
        </w:rPr>
        <w:drawing>
          <wp:inline distT="0" distB="0" distL="0" distR="0">
            <wp:extent cx="1052830" cy="360045"/>
            <wp:effectExtent l="1905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107" cstate="print"/>
                    <a:srcRect/>
                    <a:stretch>
                      <a:fillRect/>
                    </a:stretch>
                  </pic:blipFill>
                  <pic:spPr>
                    <a:xfrm>
                      <a:off x="0" y="0"/>
                      <a:ext cx="1052830" cy="360045"/>
                    </a:xfrm>
                    <a:prstGeom prst="rect">
                      <a:avLst/>
                    </a:prstGeom>
                    <a:noFill/>
                    <a:ln w="9525">
                      <a:noFill/>
                      <a:miter lim="800000"/>
                      <a:headEnd/>
                      <a:tailEnd/>
                    </a:ln>
                  </pic:spPr>
                </pic:pic>
              </a:graphicData>
            </a:graphic>
          </wp:inline>
        </w:drawing>
      </w:r>
    </w:p>
    <w:p w:rsidR="00BD5820" w:rsidRDefault="00F64314">
      <w:pPr>
        <w:pStyle w:val="affa"/>
        <w:ind w:firstLine="480"/>
      </w:pPr>
      <w:r>
        <w:t>式中：</w:t>
      </w:r>
      <w:r>
        <w:t>Q—</w:t>
      </w:r>
      <w:r>
        <w:t>为渗入到地下水的污水量（</w:t>
      </w:r>
      <w:r>
        <w:t>m</w:t>
      </w:r>
      <w:r>
        <w:rPr>
          <w:vertAlign w:val="superscript"/>
        </w:rPr>
        <w:t>3</w:t>
      </w:r>
      <w:r>
        <w:t>/d</w:t>
      </w:r>
      <w:r>
        <w:t>）；</w:t>
      </w:r>
      <w:r>
        <w:t xml:space="preserve"> </w:t>
      </w:r>
    </w:p>
    <w:p w:rsidR="00BD5820" w:rsidRDefault="00F64314">
      <w:pPr>
        <w:pStyle w:val="affa"/>
        <w:ind w:firstLine="480"/>
      </w:pPr>
      <w:r>
        <w:t>K—</w:t>
      </w:r>
      <w:r>
        <w:t>为地面垂向渗透系数（</w:t>
      </w:r>
      <w:r>
        <w:t>m/d</w:t>
      </w:r>
      <w:r>
        <w:t>），结合区域调查数据，同时分析</w:t>
      </w:r>
      <w:r>
        <w:t>20</w:t>
      </w:r>
      <w:r>
        <w:t>万水文地质、红层找水报告及相关文献资料，</w:t>
      </w:r>
      <w:r>
        <w:rPr>
          <w:rFonts w:hint="eastAsia"/>
        </w:rPr>
        <w:t>普光</w:t>
      </w:r>
      <w:r>
        <w:t>场内包气带渗透系数</w:t>
      </w:r>
      <w:r>
        <w:t xml:space="preserve"> 0.00139~0.026m/d</w:t>
      </w:r>
      <w:r>
        <w:t>、本次取</w:t>
      </w:r>
      <w:r>
        <w:t>0.026m/d</w:t>
      </w:r>
      <w:r>
        <w:t>。</w:t>
      </w:r>
      <w:r>
        <w:t xml:space="preserve"> </w:t>
      </w:r>
    </w:p>
    <w:p w:rsidR="00BD5820" w:rsidRDefault="00F64314">
      <w:pPr>
        <w:pStyle w:val="affa"/>
        <w:ind w:firstLine="480"/>
      </w:pPr>
      <w:r>
        <w:t>H—</w:t>
      </w:r>
      <w:r>
        <w:t>为水深（</w:t>
      </w:r>
      <w:r>
        <w:t>m</w:t>
      </w:r>
      <w:r>
        <w:t>），根据设计，本次取</w:t>
      </w:r>
      <w:r>
        <w:rPr>
          <w:rFonts w:hint="eastAsia"/>
        </w:rPr>
        <w:t>9</w:t>
      </w:r>
      <w:r>
        <w:t>m</w:t>
      </w:r>
      <w:r>
        <w:t>；</w:t>
      </w:r>
      <w:r>
        <w:t xml:space="preserve"> </w:t>
      </w:r>
    </w:p>
    <w:p w:rsidR="00BD5820" w:rsidRDefault="00F64314">
      <w:pPr>
        <w:pStyle w:val="affa"/>
        <w:ind w:firstLine="480"/>
      </w:pPr>
      <w:r>
        <w:lastRenderedPageBreak/>
        <w:t>D—</w:t>
      </w:r>
      <w:r>
        <w:t>为地下水埋深（</w:t>
      </w:r>
      <w:r>
        <w:t>m</w:t>
      </w:r>
      <w:r>
        <w:t>），本次取</w:t>
      </w:r>
      <w:r>
        <w:rPr>
          <w:rFonts w:hint="eastAsia"/>
        </w:rPr>
        <w:t>4</w:t>
      </w:r>
      <w:r>
        <w:t>m</w:t>
      </w:r>
      <w:r>
        <w:t>；</w:t>
      </w:r>
      <w:r>
        <w:t xml:space="preserve"> </w:t>
      </w:r>
    </w:p>
    <w:p w:rsidR="00BD5820" w:rsidRDefault="00F64314">
      <w:pPr>
        <w:pStyle w:val="affa"/>
        <w:ind w:firstLine="480"/>
      </w:pPr>
      <w:r>
        <w:t>A—</w:t>
      </w:r>
      <w:r>
        <w:t>为</w:t>
      </w:r>
      <w:r>
        <w:rPr>
          <w:rFonts w:hint="eastAsia"/>
        </w:rPr>
        <w:t>污水罐</w:t>
      </w:r>
      <w:r>
        <w:t>的泄漏面积（</w:t>
      </w:r>
      <w:r>
        <w:t>m</w:t>
      </w:r>
      <w:r>
        <w:rPr>
          <w:vertAlign w:val="superscript"/>
        </w:rPr>
        <w:t>2</w:t>
      </w:r>
      <w:r>
        <w:t>），本次取</w:t>
      </w:r>
      <w:r>
        <w:rPr>
          <w:rFonts w:hint="eastAsia"/>
        </w:rPr>
        <w:t>7.065</w:t>
      </w:r>
      <w:r>
        <w:t>m</w:t>
      </w:r>
      <w:r>
        <w:rPr>
          <w:vertAlign w:val="superscript"/>
        </w:rPr>
        <w:t>2</w:t>
      </w:r>
      <w:r>
        <w:t>。</w:t>
      </w:r>
      <w:r>
        <w:t xml:space="preserve"> </w:t>
      </w:r>
    </w:p>
    <w:p w:rsidR="00BD5820" w:rsidRDefault="00F64314">
      <w:pPr>
        <w:pStyle w:val="affa"/>
        <w:ind w:firstLine="480"/>
      </w:pPr>
      <w:r>
        <w:t>可计算</w:t>
      </w:r>
      <w:r>
        <w:rPr>
          <w:rFonts w:hint="eastAsia"/>
        </w:rPr>
        <w:t>污水罐</w:t>
      </w:r>
      <w:r>
        <w:t>渗漏至土壤废水量</w:t>
      </w:r>
      <w:r>
        <w:rPr>
          <w:rFonts w:hint="eastAsia"/>
        </w:rPr>
        <w:t>0.597</w:t>
      </w:r>
      <w:r>
        <w:t>m</w:t>
      </w:r>
      <w:r>
        <w:rPr>
          <w:vertAlign w:val="superscript"/>
        </w:rPr>
        <w:t>3</w:t>
      </w:r>
      <w:r>
        <w:t>/d</w:t>
      </w:r>
      <w:r>
        <w:rPr>
          <w:rFonts w:hint="eastAsia"/>
        </w:rPr>
        <w:t>，</w:t>
      </w:r>
      <w:r>
        <w:t>本次按照污水罐全部泄漏考虑</w:t>
      </w:r>
      <w:r>
        <w:rPr>
          <w:rFonts w:hint="eastAsia"/>
        </w:rPr>
        <w:t>（污水罐容积约</w:t>
      </w:r>
      <w:r>
        <w:rPr>
          <w:rFonts w:hint="eastAsia"/>
        </w:rPr>
        <w:t>63.585</w:t>
      </w:r>
      <w:r>
        <w:t>m</w:t>
      </w:r>
      <w:r>
        <w:rPr>
          <w:vertAlign w:val="superscript"/>
        </w:rPr>
        <w:t>3</w:t>
      </w:r>
      <w:r>
        <w:rPr>
          <w:rFonts w:hint="eastAsia"/>
        </w:rPr>
        <w:t>），</w:t>
      </w:r>
      <w:r>
        <w:t>即泄漏量为</w:t>
      </w:r>
      <w:r>
        <w:rPr>
          <w:rFonts w:hint="eastAsia"/>
        </w:rPr>
        <w:t>63.585</w:t>
      </w:r>
      <w:r>
        <w:t>m</w:t>
      </w:r>
      <w:r>
        <w:rPr>
          <w:vertAlign w:val="superscript"/>
        </w:rPr>
        <w:t>3</w:t>
      </w:r>
      <w:r>
        <w:t>。</w:t>
      </w:r>
    </w:p>
    <w:p w:rsidR="00BD5820" w:rsidRDefault="00F64314">
      <w:pPr>
        <w:pStyle w:val="affa"/>
        <w:ind w:firstLine="480"/>
      </w:pPr>
      <w:r>
        <w:rPr>
          <w:rFonts w:hint="eastAsia"/>
        </w:rPr>
        <w:t>污水罐</w:t>
      </w:r>
      <w:r>
        <w:t>暂存的废水为</w:t>
      </w:r>
      <w:r>
        <w:rPr>
          <w:rFonts w:hint="eastAsia"/>
        </w:rPr>
        <w:t>气田水</w:t>
      </w:r>
      <w:r>
        <w:t>，结合本报告预测的废水中石油类浓度</w:t>
      </w:r>
      <w:r>
        <w:rPr>
          <w:rFonts w:hint="eastAsia"/>
        </w:rPr>
        <w:t>约</w:t>
      </w:r>
      <w:r>
        <w:rPr>
          <w:rFonts w:hint="eastAsia"/>
        </w:rPr>
        <w:t>2</w:t>
      </w:r>
      <w:r>
        <w:t>00mg/L</w:t>
      </w:r>
      <w:r>
        <w:t>，本报告取值</w:t>
      </w:r>
      <w:r>
        <w:rPr>
          <w:rFonts w:hint="eastAsia"/>
        </w:rPr>
        <w:t>2</w:t>
      </w:r>
      <w:r>
        <w:t>00mg/L</w:t>
      </w:r>
      <w:r>
        <w:t>，可计算非正常工况下渗漏的石油类量</w:t>
      </w:r>
      <w:r>
        <w:t>=</w:t>
      </w:r>
      <w:r>
        <w:rPr>
          <w:rFonts w:hint="eastAsia"/>
        </w:rPr>
        <w:t>63.585</w:t>
      </w:r>
      <w:r>
        <w:t>m</w:t>
      </w:r>
      <w:r>
        <w:rPr>
          <w:vertAlign w:val="superscript"/>
        </w:rPr>
        <w:t>3</w:t>
      </w:r>
      <w:r>
        <w:t>×</w:t>
      </w:r>
      <w:r>
        <w:rPr>
          <w:rFonts w:hint="eastAsia"/>
        </w:rPr>
        <w:t>20</w:t>
      </w:r>
      <w:r>
        <w:t>0mg/L=</w:t>
      </w:r>
      <w:r>
        <w:rPr>
          <w:rFonts w:hint="eastAsia"/>
        </w:rPr>
        <w:t>12.717</w:t>
      </w:r>
      <w:r>
        <w:t>kg</w:t>
      </w:r>
      <w:r>
        <w:rPr>
          <w:rFonts w:hint="eastAsia"/>
        </w:rPr>
        <w:t>。</w:t>
      </w:r>
    </w:p>
    <w:p w:rsidR="00BD5820" w:rsidRDefault="00F64314">
      <w:pPr>
        <w:pStyle w:val="affa"/>
        <w:ind w:firstLine="480"/>
      </w:pPr>
      <w:r>
        <w:rPr>
          <w:rFonts w:hint="eastAsia"/>
        </w:rPr>
        <w:t>③预测模式</w:t>
      </w:r>
    </w:p>
    <w:p w:rsidR="00BD5820" w:rsidRDefault="00F64314">
      <w:pPr>
        <w:pStyle w:val="affa"/>
        <w:ind w:firstLine="480"/>
      </w:pPr>
      <w:r>
        <w:rPr>
          <w:rFonts w:ascii="宋体" w:cs="宋体" w:hint="eastAsia"/>
        </w:rPr>
        <w:t>本次预测</w:t>
      </w:r>
      <w:r>
        <w:t>采用《环境影响评价技术导则土壤环境（试行）》中</w:t>
      </w:r>
      <w:r>
        <w:t>E.1.3</w:t>
      </w:r>
      <w:r>
        <w:t>中预测方法进行计算。</w:t>
      </w:r>
    </w:p>
    <w:p w:rsidR="00BD5820" w:rsidRDefault="00F64314">
      <w:pPr>
        <w:pStyle w:val="affa"/>
        <w:ind w:firstLine="480"/>
      </w:pPr>
      <w:r>
        <w:rPr>
          <w:rFonts w:hint="eastAsia"/>
        </w:rPr>
        <w:t>a</w:t>
      </w:r>
      <w:r>
        <w:rPr>
          <w:rFonts w:hint="eastAsia"/>
        </w:rPr>
        <w:t>、</w:t>
      </w:r>
      <w:r>
        <w:t>单位质量土壤中某种物质的增量可用下式计算：</w:t>
      </w:r>
    </w:p>
    <w:p w:rsidR="00BD5820" w:rsidRDefault="00F64314">
      <w:pPr>
        <w:pStyle w:val="affa"/>
        <w:ind w:firstLine="480"/>
      </w:pPr>
      <w:r>
        <w:rPr>
          <w:noProof/>
        </w:rPr>
        <w:drawing>
          <wp:inline distT="0" distB="0" distL="0" distR="0">
            <wp:extent cx="4636770" cy="443230"/>
            <wp:effectExtent l="1905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noChangeArrowheads="1"/>
                    </pic:cNvPicPr>
                  </pic:nvPicPr>
                  <pic:blipFill>
                    <a:blip r:embed="rId108" cstate="print"/>
                    <a:srcRect/>
                    <a:stretch>
                      <a:fillRect/>
                    </a:stretch>
                  </pic:blipFill>
                  <pic:spPr>
                    <a:xfrm>
                      <a:off x="0" y="0"/>
                      <a:ext cx="4636770" cy="443230"/>
                    </a:xfrm>
                    <a:prstGeom prst="rect">
                      <a:avLst/>
                    </a:prstGeom>
                    <a:noFill/>
                    <a:ln w="9525">
                      <a:noFill/>
                      <a:miter lim="800000"/>
                      <a:headEnd/>
                      <a:tailEnd/>
                    </a:ln>
                  </pic:spPr>
                </pic:pic>
              </a:graphicData>
            </a:graphic>
          </wp:inline>
        </w:drawing>
      </w:r>
    </w:p>
    <w:p w:rsidR="00BD5820" w:rsidRDefault="00F64314">
      <w:pPr>
        <w:pStyle w:val="affa"/>
        <w:ind w:firstLine="480"/>
      </w:pPr>
      <w:r>
        <w:t>式中：</w:t>
      </w:r>
      <w:r>
        <w:rPr>
          <w:i/>
          <w:iCs/>
        </w:rPr>
        <w:t>ΔS</w:t>
      </w:r>
      <w:r>
        <w:t>——</w:t>
      </w:r>
      <w:r>
        <w:t>单位质量表层土壤中某种物质的增量，</w:t>
      </w:r>
      <w:r>
        <w:t>g/kg</w:t>
      </w:r>
      <w:r>
        <w:t>；</w:t>
      </w:r>
    </w:p>
    <w:p w:rsidR="00BD5820" w:rsidRDefault="00F64314">
      <w:pPr>
        <w:pStyle w:val="affa"/>
        <w:ind w:firstLine="480"/>
      </w:pPr>
      <w:r>
        <w:t>表层土壤中游离酸或游离碱浓度增量，</w:t>
      </w:r>
      <w:r>
        <w:t>mmol/kg</w:t>
      </w:r>
      <w:r>
        <w:t>；</w:t>
      </w:r>
    </w:p>
    <w:p w:rsidR="00BD5820" w:rsidRDefault="00F64314">
      <w:pPr>
        <w:pStyle w:val="affa"/>
        <w:ind w:firstLine="480"/>
      </w:pPr>
      <w:r>
        <w:rPr>
          <w:i/>
          <w:iCs/>
        </w:rPr>
        <w:t>I</w:t>
      </w:r>
      <w:r>
        <w:t>S ——</w:t>
      </w:r>
      <w:r>
        <w:t>预测评价范围内单位年份表层土壤中某种物质的输入量，</w:t>
      </w:r>
      <w:r>
        <w:t>g</w:t>
      </w:r>
      <w:r>
        <w:t>；</w:t>
      </w:r>
    </w:p>
    <w:p w:rsidR="00BD5820" w:rsidRDefault="00F64314">
      <w:pPr>
        <w:pStyle w:val="affa"/>
        <w:ind w:firstLine="480"/>
      </w:pPr>
      <w:r>
        <w:t>预测评价范围内单位年份表层土壤中游离酸、游离碱输入量，</w:t>
      </w:r>
      <w:r>
        <w:t>mmol</w:t>
      </w:r>
      <w:r>
        <w:t>；</w:t>
      </w:r>
    </w:p>
    <w:p w:rsidR="00BD5820" w:rsidRDefault="00F64314">
      <w:pPr>
        <w:pStyle w:val="affa"/>
        <w:ind w:firstLine="480"/>
      </w:pPr>
      <w:r>
        <w:rPr>
          <w:i/>
          <w:iCs/>
        </w:rPr>
        <w:t>L</w:t>
      </w:r>
      <w:r>
        <w:t>S——</w:t>
      </w:r>
      <w:r>
        <w:t>预测评价范围内单位年份表层土壤中某种物质经淋溶排出的量，</w:t>
      </w:r>
      <w:r>
        <w:t>g</w:t>
      </w:r>
      <w:r>
        <w:t>；</w:t>
      </w:r>
    </w:p>
    <w:p w:rsidR="00BD5820" w:rsidRDefault="00F64314">
      <w:pPr>
        <w:pStyle w:val="affa"/>
        <w:ind w:firstLine="480"/>
      </w:pPr>
      <w:r>
        <w:t>预测评价范围内单位年份表层土壤中经淋溶排出的游离酸、游离碱的量，</w:t>
      </w:r>
      <w:r>
        <w:t>mmol</w:t>
      </w:r>
      <w:r>
        <w:t>；</w:t>
      </w:r>
    </w:p>
    <w:p w:rsidR="00BD5820" w:rsidRDefault="00F64314">
      <w:pPr>
        <w:pStyle w:val="affa"/>
        <w:ind w:firstLine="480"/>
      </w:pPr>
      <w:r>
        <w:rPr>
          <w:i/>
          <w:iCs/>
        </w:rPr>
        <w:t>R</w:t>
      </w:r>
      <w:r>
        <w:t>S——</w:t>
      </w:r>
      <w:r>
        <w:t>预测评价范围内单位年份表层土壤中某种物质经径流排出的量，</w:t>
      </w:r>
      <w:r>
        <w:t>g</w:t>
      </w:r>
      <w:r>
        <w:t>；</w:t>
      </w:r>
    </w:p>
    <w:p w:rsidR="00BD5820" w:rsidRDefault="00F64314">
      <w:pPr>
        <w:pStyle w:val="affa"/>
        <w:ind w:firstLine="480"/>
      </w:pPr>
      <w:r>
        <w:t>预测评价范围内单位年份表层土壤中经径流排出的游离酸、游离碱的量，</w:t>
      </w:r>
      <w:r>
        <w:t>mmol</w:t>
      </w:r>
      <w:r>
        <w:t>；</w:t>
      </w:r>
    </w:p>
    <w:p w:rsidR="00BD5820" w:rsidRDefault="00F64314">
      <w:pPr>
        <w:pStyle w:val="affa"/>
        <w:ind w:firstLine="480"/>
      </w:pPr>
      <w:r>
        <w:rPr>
          <w:i/>
          <w:iCs/>
        </w:rPr>
        <w:t>ρ</w:t>
      </w:r>
      <w:r>
        <w:t>b——</w:t>
      </w:r>
      <w:r>
        <w:t>表层土壤容重，</w:t>
      </w:r>
      <w:r>
        <w:t>kg/m</w:t>
      </w:r>
      <w:r>
        <w:rPr>
          <w:vertAlign w:val="superscript"/>
        </w:rPr>
        <w:t>3</w:t>
      </w:r>
      <w:r>
        <w:t>。</w:t>
      </w:r>
    </w:p>
    <w:p w:rsidR="00BD5820" w:rsidRDefault="00F64314">
      <w:pPr>
        <w:pStyle w:val="affa"/>
        <w:ind w:firstLine="480"/>
      </w:pPr>
      <w:r>
        <w:rPr>
          <w:i/>
          <w:iCs/>
        </w:rPr>
        <w:t>A</w:t>
      </w:r>
      <w:r>
        <w:t>——</w:t>
      </w:r>
      <w:r>
        <w:t>预测评价范围，</w:t>
      </w:r>
      <w:r>
        <w:t>m</w:t>
      </w:r>
      <w:r>
        <w:rPr>
          <w:vertAlign w:val="superscript"/>
        </w:rPr>
        <w:t>2</w:t>
      </w:r>
      <w:r>
        <w:t>。</w:t>
      </w:r>
    </w:p>
    <w:p w:rsidR="00BD5820" w:rsidRDefault="00F64314">
      <w:pPr>
        <w:pStyle w:val="affa"/>
        <w:ind w:firstLine="480"/>
      </w:pPr>
      <w:r>
        <w:rPr>
          <w:i/>
          <w:iCs/>
        </w:rPr>
        <w:t>D</w:t>
      </w:r>
      <w:r>
        <w:t>——</w:t>
      </w:r>
      <w:r>
        <w:t>表层土壤深度，一般取</w:t>
      </w:r>
      <w:r>
        <w:t>0.2m</w:t>
      </w:r>
      <w:r>
        <w:t>，可根据实际情况适当调整；</w:t>
      </w:r>
    </w:p>
    <w:p w:rsidR="00BD5820" w:rsidRDefault="00F64314">
      <w:pPr>
        <w:pStyle w:val="affa"/>
        <w:ind w:firstLine="480"/>
      </w:pPr>
      <w:r>
        <w:rPr>
          <w:i/>
          <w:iCs/>
        </w:rPr>
        <w:t>n</w:t>
      </w:r>
      <w:r>
        <w:t>——</w:t>
      </w:r>
      <w:r>
        <w:t>持续年份，</w:t>
      </w:r>
      <w:r>
        <w:t>a</w:t>
      </w:r>
      <w:r>
        <w:t>。</w:t>
      </w:r>
    </w:p>
    <w:p w:rsidR="00BD5820" w:rsidRDefault="00F64314">
      <w:pPr>
        <w:pStyle w:val="affa"/>
        <w:ind w:firstLine="480"/>
      </w:pPr>
      <w:r>
        <w:rPr>
          <w:rFonts w:hint="eastAsia"/>
        </w:rPr>
        <w:t>b</w:t>
      </w:r>
      <w:r>
        <w:rPr>
          <w:rFonts w:hint="eastAsia"/>
        </w:rPr>
        <w:t>、</w:t>
      </w:r>
      <w:r>
        <w:t>单位质量土壤中某种物质的预测值可根据其增量叠加现状值进行计算：</w:t>
      </w:r>
    </w:p>
    <w:p w:rsidR="00BD5820" w:rsidRDefault="00F64314">
      <w:pPr>
        <w:pStyle w:val="affa"/>
        <w:ind w:firstLine="480"/>
      </w:pPr>
      <w:r>
        <w:rPr>
          <w:noProof/>
        </w:rPr>
        <w:drawing>
          <wp:inline distT="0" distB="0" distL="0" distR="0">
            <wp:extent cx="1283970" cy="276860"/>
            <wp:effectExtent l="19050" t="0" r="0" b="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109" cstate="print"/>
                    <a:srcRect/>
                    <a:stretch>
                      <a:fillRect/>
                    </a:stretch>
                  </pic:blipFill>
                  <pic:spPr>
                    <a:xfrm>
                      <a:off x="0" y="0"/>
                      <a:ext cx="1283970" cy="276860"/>
                    </a:xfrm>
                    <a:prstGeom prst="rect">
                      <a:avLst/>
                    </a:prstGeom>
                    <a:noFill/>
                    <a:ln w="9525">
                      <a:noFill/>
                      <a:miter lim="800000"/>
                      <a:headEnd/>
                      <a:tailEnd/>
                    </a:ln>
                  </pic:spPr>
                </pic:pic>
              </a:graphicData>
            </a:graphic>
          </wp:inline>
        </w:drawing>
      </w:r>
    </w:p>
    <w:p w:rsidR="00BD5820" w:rsidRDefault="00F64314">
      <w:pPr>
        <w:pStyle w:val="affa"/>
        <w:ind w:firstLine="480"/>
      </w:pPr>
      <w:r>
        <w:lastRenderedPageBreak/>
        <w:t>式中：</w:t>
      </w:r>
      <w:r>
        <w:t>Sb——</w:t>
      </w:r>
      <w:r>
        <w:t>单位质量土壤中某种物质的现状值，</w:t>
      </w:r>
      <w:r>
        <w:t>g/kg</w:t>
      </w:r>
      <w:r>
        <w:t>；</w:t>
      </w:r>
    </w:p>
    <w:p w:rsidR="00BD5820" w:rsidRDefault="00F64314">
      <w:pPr>
        <w:pStyle w:val="affa"/>
        <w:ind w:firstLine="480"/>
      </w:pPr>
      <w:r>
        <w:t>S——</w:t>
      </w:r>
      <w:r>
        <w:t>单位质量土壤中某种物质的预测值，</w:t>
      </w:r>
      <w:r>
        <w:t>g/kg</w:t>
      </w:r>
      <w:r>
        <w:t>。</w:t>
      </w:r>
    </w:p>
    <w:p w:rsidR="00BD5820" w:rsidRDefault="00F64314">
      <w:pPr>
        <w:pStyle w:val="affa"/>
        <w:ind w:firstLine="480"/>
      </w:pPr>
      <w:r>
        <w:t>参数选取：</w:t>
      </w:r>
      <w:r>
        <w:t xml:space="preserve"> </w:t>
      </w:r>
    </w:p>
    <w:p w:rsidR="00BD5820" w:rsidRDefault="00F64314">
      <w:pPr>
        <w:pStyle w:val="affa"/>
        <w:ind w:left="480" w:firstLineChars="0" w:firstLine="0"/>
      </w:pPr>
      <w:r>
        <w:rPr>
          <w:rFonts w:hint="eastAsia"/>
        </w:rPr>
        <w:t>a</w:t>
      </w:r>
      <w:r>
        <w:rPr>
          <w:rFonts w:hint="eastAsia"/>
        </w:rPr>
        <w:t>、</w:t>
      </w:r>
      <w:r>
        <w:t>单位年份表层土壤中某种物质的输入量</w:t>
      </w:r>
      <w:r>
        <w:rPr>
          <w:i/>
          <w:iCs/>
        </w:rPr>
        <w:t>I</w:t>
      </w:r>
      <w:r>
        <w:t xml:space="preserve">S </w:t>
      </w:r>
    </w:p>
    <w:p w:rsidR="00BD5820" w:rsidRDefault="00F64314">
      <w:pPr>
        <w:pStyle w:val="affa"/>
        <w:ind w:firstLine="480"/>
      </w:pPr>
      <w:r>
        <w:t>根据预测，取值</w:t>
      </w:r>
      <w:r>
        <w:rPr>
          <w:rFonts w:hint="eastAsia"/>
        </w:rPr>
        <w:t>2</w:t>
      </w:r>
      <w:r>
        <w:t>kg</w:t>
      </w:r>
      <w:r>
        <w:t>；</w:t>
      </w:r>
    </w:p>
    <w:p w:rsidR="00BD5820" w:rsidRDefault="00F64314">
      <w:pPr>
        <w:pStyle w:val="affa"/>
        <w:ind w:firstLine="480"/>
      </w:pPr>
      <w:r>
        <w:rPr>
          <w:rFonts w:hint="eastAsia"/>
        </w:rPr>
        <w:t>b</w:t>
      </w:r>
      <w:r>
        <w:rPr>
          <w:rFonts w:hint="eastAsia"/>
        </w:rPr>
        <w:t>、</w:t>
      </w:r>
      <w:r>
        <w:t>土壤容重</w:t>
      </w:r>
      <w:r>
        <w:t xml:space="preserve"> </w:t>
      </w:r>
    </w:p>
    <w:p w:rsidR="00BD5820" w:rsidRDefault="00F64314">
      <w:pPr>
        <w:pStyle w:val="affa"/>
        <w:ind w:firstLine="480"/>
      </w:pPr>
      <w:r>
        <w:t>采用地理科学第</w:t>
      </w:r>
      <w:r>
        <w:t>3</w:t>
      </w:r>
      <w:r>
        <w:t>期第</w:t>
      </w:r>
      <w:r>
        <w:t>29</w:t>
      </w:r>
      <w:r>
        <w:t>卷中《成渝经济区的耕地土壤质量特点及保护对策》中提出的耕层土壤容重</w:t>
      </w:r>
      <w:r>
        <w:t>&gt;1350kg/m</w:t>
      </w:r>
      <w:r>
        <w:rPr>
          <w:vertAlign w:val="superscript"/>
        </w:rPr>
        <w:t>3</w:t>
      </w:r>
      <w:r>
        <w:t>，评价取值</w:t>
      </w:r>
      <w:r>
        <w:t>1350kg/m</w:t>
      </w:r>
      <w:r>
        <w:rPr>
          <w:vertAlign w:val="superscript"/>
        </w:rPr>
        <w:t>3</w:t>
      </w:r>
      <w:r>
        <w:t>。</w:t>
      </w:r>
      <w:r>
        <w:t xml:space="preserve"> </w:t>
      </w:r>
    </w:p>
    <w:p w:rsidR="00BD5820" w:rsidRDefault="00F64314">
      <w:pPr>
        <w:pStyle w:val="affa"/>
        <w:ind w:firstLine="480"/>
      </w:pPr>
      <w:r>
        <w:rPr>
          <w:rFonts w:hint="eastAsia"/>
        </w:rPr>
        <w:t>c</w:t>
      </w:r>
      <w:r>
        <w:rPr>
          <w:rFonts w:hint="eastAsia"/>
        </w:rPr>
        <w:t>、</w:t>
      </w:r>
      <w:r>
        <w:t>评价范围</w:t>
      </w:r>
      <w:r>
        <w:t xml:space="preserve"> </w:t>
      </w:r>
    </w:p>
    <w:p w:rsidR="00BD5820" w:rsidRDefault="00F64314">
      <w:pPr>
        <w:pStyle w:val="affa"/>
        <w:ind w:firstLine="480"/>
      </w:pPr>
      <w:r>
        <w:t>以</w:t>
      </w:r>
      <w:r>
        <w:rPr>
          <w:rFonts w:hint="eastAsia"/>
        </w:rPr>
        <w:t>污水罐罐</w:t>
      </w:r>
      <w:r>
        <w:t>底面积</w:t>
      </w:r>
      <w:r>
        <w:t>=</w:t>
      </w:r>
      <w:r>
        <w:rPr>
          <w:rFonts w:hint="eastAsia"/>
        </w:rPr>
        <w:t>3.14</w:t>
      </w:r>
      <w:r>
        <w:t>×</w:t>
      </w:r>
      <w:r>
        <w:rPr>
          <w:rFonts w:hint="eastAsia"/>
        </w:rPr>
        <w:t>1.5</w:t>
      </w:r>
      <w:r>
        <w:t>m×</w:t>
      </w:r>
      <w:r>
        <w:rPr>
          <w:rFonts w:hint="eastAsia"/>
        </w:rPr>
        <w:t>1.5</w:t>
      </w:r>
      <w:r>
        <w:t>m=</w:t>
      </w:r>
      <w:r>
        <w:rPr>
          <w:rFonts w:hint="eastAsia"/>
        </w:rPr>
        <w:t>7.065</w:t>
      </w:r>
      <w:r>
        <w:t>m</w:t>
      </w:r>
      <w:r>
        <w:rPr>
          <w:vertAlign w:val="superscript"/>
        </w:rPr>
        <w:t>2</w:t>
      </w:r>
      <w:r>
        <w:t>。</w:t>
      </w:r>
      <w:r>
        <w:t xml:space="preserve"> </w:t>
      </w:r>
    </w:p>
    <w:p w:rsidR="00BD5820" w:rsidRDefault="00F64314">
      <w:pPr>
        <w:pStyle w:val="affa"/>
        <w:ind w:firstLine="480"/>
      </w:pPr>
      <w:r>
        <w:t>预测</w:t>
      </w:r>
      <w:r>
        <w:rPr>
          <w:b/>
          <w:bCs/>
        </w:rPr>
        <w:t>ΔS</w:t>
      </w:r>
      <w:r>
        <w:t>值：采用《环境影响评价技术导则土壤环境（试行）》中</w:t>
      </w:r>
      <w:r>
        <w:t>E.1.3</w:t>
      </w:r>
      <w:r>
        <w:t>中预测方法及选取的参数，可计算：</w:t>
      </w:r>
    </w:p>
    <w:p w:rsidR="00BD5820" w:rsidRDefault="00F64314">
      <w:pPr>
        <w:pStyle w:val="affa"/>
        <w:ind w:firstLine="480"/>
      </w:pPr>
      <w:r>
        <w:t>土层中石油类增量</w:t>
      </w:r>
      <w:r>
        <w:rPr>
          <w:i/>
          <w:iCs/>
        </w:rPr>
        <w:t>ΔS</w:t>
      </w:r>
      <w:r>
        <w:t>石油类</w:t>
      </w:r>
      <w:r>
        <w:t>=</w:t>
      </w:r>
      <w:r>
        <w:rPr>
          <w:rFonts w:hint="eastAsia"/>
        </w:rPr>
        <w:t>12.717</w:t>
      </w:r>
      <w:r>
        <w:t>kg/</w:t>
      </w:r>
      <w:r>
        <w:t>（</w:t>
      </w:r>
      <w:r>
        <w:t>1350kg/m</w:t>
      </w:r>
      <w:r>
        <w:rPr>
          <w:vertAlign w:val="superscript"/>
        </w:rPr>
        <w:t>3</w:t>
      </w:r>
      <w:r>
        <w:t>×</w:t>
      </w:r>
      <w:r>
        <w:rPr>
          <w:rFonts w:hint="eastAsia"/>
        </w:rPr>
        <w:t>7.065</w:t>
      </w:r>
      <w:r>
        <w:t>m</w:t>
      </w:r>
      <w:r>
        <w:rPr>
          <w:vertAlign w:val="superscript"/>
        </w:rPr>
        <w:t>2</w:t>
      </w:r>
      <w:r>
        <w:t>×0.2m</w:t>
      </w:r>
      <w:r>
        <w:t>）</w:t>
      </w:r>
      <w:r>
        <w:t>=</w:t>
      </w:r>
      <w:r>
        <w:rPr>
          <w:rFonts w:hint="eastAsia"/>
        </w:rPr>
        <w:t>0.007</w:t>
      </w:r>
      <w:r>
        <w:t>g/kg</w:t>
      </w:r>
      <w:r>
        <w:t>；</w:t>
      </w:r>
    </w:p>
    <w:p w:rsidR="00BD5820" w:rsidRDefault="00F64314">
      <w:pPr>
        <w:pStyle w:val="affa"/>
        <w:ind w:firstLine="480"/>
      </w:pPr>
      <w:r>
        <w:t>预测值</w:t>
      </w:r>
      <w:r>
        <w:rPr>
          <w:b/>
          <w:bCs/>
        </w:rPr>
        <w:t>S</w:t>
      </w:r>
      <w:r>
        <w:t>值：根据本次评价阶段的土壤监测数据，石油类（石油烃）最大浓度为</w:t>
      </w:r>
      <w:r>
        <w:t>0.</w:t>
      </w:r>
      <w:r>
        <w:rPr>
          <w:rFonts w:hint="eastAsia"/>
        </w:rPr>
        <w:t>024</w:t>
      </w:r>
      <w:r>
        <w:t>g/kg</w:t>
      </w:r>
      <w:r>
        <w:t>，土层中石油类预测值</w:t>
      </w:r>
      <w:r>
        <w:rPr>
          <w:i/>
          <w:iCs/>
        </w:rPr>
        <w:t>S</w:t>
      </w:r>
      <w:r>
        <w:t>为</w:t>
      </w:r>
      <w:r>
        <w:rPr>
          <w:rFonts w:hint="eastAsia"/>
        </w:rPr>
        <w:t>0.031</w:t>
      </w:r>
      <w:r>
        <w:t>g/kg</w:t>
      </w:r>
      <w:r>
        <w:t>。满足《土壤环境质量</w:t>
      </w:r>
      <w:r>
        <w:rPr>
          <w:rFonts w:hint="eastAsia"/>
        </w:rPr>
        <w:t xml:space="preserve"> </w:t>
      </w:r>
      <w:r>
        <w:t>建设用地土壤污染风险管控标准（试行）》（</w:t>
      </w:r>
      <w:r>
        <w:t>GB36600-2018</w:t>
      </w:r>
      <w:r>
        <w:t>）第二类用地筛选值。</w:t>
      </w:r>
    </w:p>
    <w:p w:rsidR="00BD5820" w:rsidRDefault="00F64314">
      <w:pPr>
        <w:pStyle w:val="affa"/>
        <w:ind w:firstLine="482"/>
        <w:rPr>
          <w:b/>
          <w:bCs/>
        </w:rPr>
      </w:pPr>
      <w:r>
        <w:rPr>
          <w:b/>
          <w:bCs/>
        </w:rPr>
        <w:t>6</w:t>
      </w:r>
      <w:r>
        <w:rPr>
          <w:b/>
          <w:bCs/>
        </w:rPr>
        <w:t>、</w:t>
      </w:r>
      <w:r>
        <w:rPr>
          <w:rFonts w:hint="eastAsia"/>
          <w:b/>
          <w:bCs/>
        </w:rPr>
        <w:t>小结</w:t>
      </w:r>
    </w:p>
    <w:p w:rsidR="00BD5820" w:rsidRDefault="00F64314">
      <w:pPr>
        <w:pStyle w:val="affa"/>
        <w:ind w:firstLine="480"/>
      </w:pPr>
      <w:r>
        <w:t>本项目正常工况下基本不会对土壤造成影响，主要考虑</w:t>
      </w:r>
      <w:r>
        <w:rPr>
          <w:rFonts w:hint="eastAsia"/>
        </w:rPr>
        <w:t>污水罐</w:t>
      </w:r>
      <w:r>
        <w:t>破裂，引起事故泄漏形成垂直入渗，有可能</w:t>
      </w:r>
      <w:r>
        <w:rPr>
          <w:rFonts w:hint="eastAsia"/>
        </w:rPr>
        <w:t>对土壤环境产生污染影响。因此，环评要求建设单位须做好管道的防腐防渗措施，定期检修污水罐，及时发现并修护泄漏破损问题。</w:t>
      </w:r>
    </w:p>
    <w:p w:rsidR="00BD5820" w:rsidRDefault="00F64314">
      <w:pPr>
        <w:pStyle w:val="affa"/>
        <w:ind w:firstLine="480"/>
      </w:pPr>
      <w:r>
        <w:rPr>
          <w:rFonts w:hint="eastAsia"/>
        </w:rPr>
        <w:t>根据调查，川渝地区实施的地面集输项目，在采取了妥善防范措施的情况下，均未发现对土壤产生明显污染影响的情况，也没有接到关于土壤污染环保投诉的地面集输项目，也印证了采取防范措施的情况下站场运行过程中没有对土壤环境质量产生明显的负面影响。</w:t>
      </w:r>
    </w:p>
    <w:p w:rsidR="00BD5820" w:rsidRDefault="00BD5820">
      <w:pPr>
        <w:pStyle w:val="affa"/>
        <w:ind w:firstLine="480"/>
      </w:pPr>
    </w:p>
    <w:p w:rsidR="00BD5820" w:rsidRDefault="00BD5820">
      <w:pPr>
        <w:pStyle w:val="a1"/>
        <w:ind w:firstLine="480"/>
        <w:rPr>
          <w:rFonts w:ascii="Times New Roman" w:cs="Times New Roman"/>
        </w:rPr>
        <w:sectPr w:rsidR="00BD5820">
          <w:pgSz w:w="11906" w:h="16838"/>
          <w:pgMar w:top="1440" w:right="1800" w:bottom="1440" w:left="1800" w:header="851" w:footer="992" w:gutter="0"/>
          <w:cols w:space="425"/>
          <w:docGrid w:type="lines" w:linePitch="312"/>
        </w:sectPr>
      </w:pPr>
    </w:p>
    <w:p w:rsidR="00BD5820" w:rsidRDefault="00F64314">
      <w:pPr>
        <w:pStyle w:val="1"/>
        <w:spacing w:before="0" w:beforeAutospacing="0" w:after="0" w:afterAutospacing="0"/>
        <w:rPr>
          <w:rFonts w:eastAsia="宋体"/>
          <w:b w:val="0"/>
          <w:bCs/>
          <w:kern w:val="0"/>
        </w:rPr>
      </w:pPr>
      <w:bookmarkStart w:id="408" w:name="_Toc19816091"/>
      <w:bookmarkStart w:id="409" w:name="_Toc7042"/>
      <w:bookmarkStart w:id="410" w:name="_Hlk56973055"/>
      <w:r>
        <w:rPr>
          <w:rFonts w:eastAsia="宋体"/>
          <w:bCs/>
          <w:kern w:val="0"/>
        </w:rPr>
        <w:lastRenderedPageBreak/>
        <w:t xml:space="preserve">7 </w:t>
      </w:r>
      <w:r>
        <w:rPr>
          <w:rFonts w:eastAsia="宋体"/>
          <w:bCs/>
          <w:kern w:val="0"/>
        </w:rPr>
        <w:t>环境风险分析</w:t>
      </w:r>
      <w:bookmarkEnd w:id="408"/>
      <w:bookmarkEnd w:id="409"/>
    </w:p>
    <w:p w:rsidR="00BD5820" w:rsidRDefault="00F64314">
      <w:pPr>
        <w:pStyle w:val="2"/>
        <w:spacing w:before="120"/>
        <w:rPr>
          <w:rFonts w:cs="Times New Roman"/>
        </w:rPr>
      </w:pPr>
      <w:bookmarkStart w:id="411" w:name="_Toc24028"/>
      <w:r>
        <w:rPr>
          <w:rFonts w:cs="Times New Roman"/>
        </w:rPr>
        <w:t xml:space="preserve">7.1 </w:t>
      </w:r>
      <w:r>
        <w:rPr>
          <w:rFonts w:cs="Times New Roman"/>
        </w:rPr>
        <w:t>评价依据</w:t>
      </w:r>
      <w:bookmarkEnd w:id="411"/>
    </w:p>
    <w:p w:rsidR="00BD5820" w:rsidRDefault="00F64314">
      <w:pPr>
        <w:pStyle w:val="affa"/>
        <w:ind w:firstLine="480"/>
      </w:pPr>
      <w:r>
        <w:t>本环评按照《建设项目环境风险评价技术导则》（</w:t>
      </w:r>
      <w:r>
        <w:t>HJ169-2018</w:t>
      </w:r>
      <w:r>
        <w:t>）、《关于进一步加强环境影响评价管理防范环境风险的通知》（环发〔</w:t>
      </w:r>
      <w:r>
        <w:t>2012</w:t>
      </w:r>
      <w:r>
        <w:t>〕</w:t>
      </w:r>
      <w:r>
        <w:t>77</w:t>
      </w:r>
      <w:r>
        <w:t>号）和《关于切实加强风险防范严格环境影响评价管理的通知》（环发〔</w:t>
      </w:r>
      <w:r>
        <w:t>2012</w:t>
      </w:r>
      <w:r>
        <w:t>〕</w:t>
      </w:r>
      <w:r>
        <w:t>98</w:t>
      </w:r>
      <w:r>
        <w:t>号）的精神，对本项目环境风险进行分析评价。</w:t>
      </w:r>
    </w:p>
    <w:p w:rsidR="00BD5820" w:rsidRDefault="00F64314">
      <w:pPr>
        <w:pStyle w:val="2"/>
        <w:spacing w:before="120"/>
        <w:rPr>
          <w:rFonts w:cs="Times New Roman"/>
        </w:rPr>
      </w:pPr>
      <w:bookmarkStart w:id="412" w:name="_Toc11635"/>
      <w:r>
        <w:rPr>
          <w:rFonts w:cs="Times New Roman"/>
        </w:rPr>
        <w:t xml:space="preserve">7.2 </w:t>
      </w:r>
      <w:r>
        <w:rPr>
          <w:rFonts w:cs="Times New Roman"/>
        </w:rPr>
        <w:t>一般性原则</w:t>
      </w:r>
      <w:bookmarkEnd w:id="412"/>
    </w:p>
    <w:p w:rsidR="00BD5820" w:rsidRDefault="00F64314">
      <w:pPr>
        <w:pStyle w:val="affa"/>
        <w:ind w:firstLine="480"/>
      </w:pPr>
      <w:r>
        <w:t>根据《建设项目环境风险评价技术导则》（</w:t>
      </w:r>
      <w:r>
        <w:t>HJ169-2018</w:t>
      </w:r>
      <w:r>
        <w:t>），环境风险评价是以突发性事故导致的危险物质环境及损害防控为目标，对建设项目的环境风险进行分析、预测和评估，提出环境风险预防、控制、减缓措施，明确环境风险监控及应急建议要求，为建设项目环境风险防控提供科学依据。</w:t>
      </w:r>
    </w:p>
    <w:p w:rsidR="00BD5820" w:rsidRDefault="00F64314">
      <w:pPr>
        <w:pStyle w:val="2"/>
        <w:spacing w:before="120"/>
        <w:rPr>
          <w:rFonts w:cs="Times New Roman"/>
        </w:rPr>
      </w:pPr>
      <w:bookmarkStart w:id="413" w:name="_Toc109"/>
      <w:r>
        <w:rPr>
          <w:rFonts w:cs="Times New Roman"/>
        </w:rPr>
        <w:t xml:space="preserve">7.3 </w:t>
      </w:r>
      <w:r>
        <w:rPr>
          <w:rFonts w:cs="Times New Roman"/>
        </w:rPr>
        <w:t>评价目的及重点</w:t>
      </w:r>
      <w:bookmarkEnd w:id="413"/>
    </w:p>
    <w:p w:rsidR="00BD5820" w:rsidRDefault="00F64314">
      <w:pPr>
        <w:pStyle w:val="a1"/>
        <w:ind w:firstLine="480"/>
        <w:rPr>
          <w:rFonts w:ascii="Times New Roman" w:cs="Times New Roman"/>
        </w:rPr>
      </w:pPr>
      <w:r>
        <w:rPr>
          <w:rFonts w:ascii="Times New Roman" w:cs="Times New Roman"/>
        </w:rPr>
        <w:t>环境风险评价的目的是分析和预测建设项目存在的潜在危险、有害因素，建设项目建设和运行期间可能发生的突发性事件或事故（一般不包括人为破坏及自然灾害），引起有毒有害和易燃易爆等物质泄漏，所造成的人身安全与环境影响和损害程度，提出合理可行的防范、应急与减缓措施，以使建设项目事故率、损失和环境影响达到可接受水平。根据本项目工程特点和周围的环境状况，确定把风险带来的环境影响问题作为风险评价工作重点。</w:t>
      </w:r>
    </w:p>
    <w:p w:rsidR="00BD5820" w:rsidRDefault="00F64314">
      <w:pPr>
        <w:pStyle w:val="a1"/>
        <w:ind w:firstLine="480"/>
        <w:rPr>
          <w:rFonts w:ascii="Times New Roman" w:cs="Times New Roman"/>
        </w:rPr>
      </w:pPr>
      <w:r>
        <w:rPr>
          <w:rFonts w:ascii="Times New Roman" w:cs="Times New Roman"/>
        </w:rPr>
        <w:t>根据本项目特点，本报告主要针对普光气田主体湿气增压工程</w:t>
      </w:r>
      <w:r w:rsidR="00E153CC" w:rsidRPr="00E153CC">
        <w:rPr>
          <w:rFonts w:hint="eastAsia"/>
          <w:bCs/>
        </w:rPr>
        <w:t>增压站</w:t>
      </w:r>
      <w:r>
        <w:rPr>
          <w:rFonts w:hint="eastAsia"/>
        </w:rPr>
        <w:t>天然气泄漏</w:t>
      </w:r>
      <w:r>
        <w:rPr>
          <w:rFonts w:ascii="Times New Roman" w:cs="Times New Roman"/>
        </w:rPr>
        <w:t>及泄漏引发的火灾</w:t>
      </w:r>
      <w:r>
        <w:rPr>
          <w:rFonts w:ascii="Times New Roman" w:cs="Times New Roman" w:hint="eastAsia"/>
        </w:rPr>
        <w:t>事故</w:t>
      </w:r>
      <w:r>
        <w:rPr>
          <w:rFonts w:hint="eastAsia"/>
        </w:rPr>
        <w:t>、</w:t>
      </w:r>
      <w:r>
        <w:rPr>
          <w:rFonts w:ascii="Times New Roman" w:cs="Times New Roman"/>
        </w:rPr>
        <w:t>天然气输气管线发生天然气泄漏及泄漏引发的火灾</w:t>
      </w:r>
      <w:r>
        <w:rPr>
          <w:rFonts w:ascii="Times New Roman" w:cs="Times New Roman" w:hint="eastAsia"/>
        </w:rPr>
        <w:t>事故、气田水</w:t>
      </w:r>
      <w:r>
        <w:rPr>
          <w:rFonts w:ascii="Times New Roman" w:cs="Times New Roman"/>
        </w:rPr>
        <w:t>泄漏引发的水环境污染事故、爆炸事故燃烧过程中产生的伴生</w:t>
      </w:r>
      <w:r>
        <w:rPr>
          <w:rFonts w:ascii="Times New Roman" w:cs="Times New Roman"/>
        </w:rPr>
        <w:t>/</w:t>
      </w:r>
      <w:r>
        <w:rPr>
          <w:rFonts w:ascii="Times New Roman" w:cs="Times New Roman"/>
        </w:rPr>
        <w:t>次生污染物对环境的影响进行评价。</w:t>
      </w:r>
    </w:p>
    <w:p w:rsidR="00BD5820" w:rsidRDefault="00F64314">
      <w:pPr>
        <w:pStyle w:val="2"/>
        <w:spacing w:before="120"/>
        <w:rPr>
          <w:rFonts w:cs="Times New Roman"/>
        </w:rPr>
      </w:pPr>
      <w:bookmarkStart w:id="414" w:name="bookmark55"/>
      <w:bookmarkStart w:id="415" w:name="_Toc12288718"/>
      <w:bookmarkStart w:id="416" w:name="_Toc19816092"/>
      <w:bookmarkStart w:id="417" w:name="_Toc28978"/>
      <w:bookmarkEnd w:id="414"/>
      <w:r>
        <w:rPr>
          <w:rFonts w:cs="Times New Roman"/>
        </w:rPr>
        <w:t xml:space="preserve">7.4 </w:t>
      </w:r>
      <w:r>
        <w:rPr>
          <w:rFonts w:cs="Times New Roman"/>
        </w:rPr>
        <w:t>风险调查</w:t>
      </w:r>
      <w:bookmarkEnd w:id="415"/>
      <w:bookmarkEnd w:id="416"/>
      <w:bookmarkEnd w:id="417"/>
    </w:p>
    <w:p w:rsidR="00BD5820" w:rsidRDefault="00F64314">
      <w:pPr>
        <w:pStyle w:val="3"/>
        <w:rPr>
          <w:rFonts w:eastAsia="宋体"/>
        </w:rPr>
      </w:pPr>
      <w:bookmarkStart w:id="418" w:name="bookmark56"/>
      <w:bookmarkStart w:id="419" w:name="_Toc19816093"/>
      <w:bookmarkStart w:id="420" w:name="_Toc12288719"/>
      <w:bookmarkEnd w:id="418"/>
      <w:r>
        <w:rPr>
          <w:rFonts w:eastAsia="宋体"/>
        </w:rPr>
        <w:t xml:space="preserve">7.3.1 </w:t>
      </w:r>
      <w:r>
        <w:rPr>
          <w:rFonts w:eastAsia="宋体"/>
        </w:rPr>
        <w:t>风险源</w:t>
      </w:r>
      <w:bookmarkEnd w:id="419"/>
      <w:bookmarkEnd w:id="420"/>
    </w:p>
    <w:p w:rsidR="00BD5820" w:rsidRDefault="00F64314">
      <w:pPr>
        <w:pStyle w:val="a1"/>
        <w:ind w:firstLine="480"/>
        <w:rPr>
          <w:rFonts w:ascii="Times New Roman" w:cs="Times New Roman"/>
        </w:rPr>
      </w:pPr>
      <w:r>
        <w:rPr>
          <w:rFonts w:ascii="Times New Roman" w:cs="Times New Roman" w:hint="eastAsia"/>
        </w:rPr>
        <w:t>本项目</w:t>
      </w:r>
      <w:r>
        <w:rPr>
          <w:rFonts w:ascii="Times New Roman" w:cs="Times New Roman"/>
        </w:rPr>
        <w:t>是天然气</w:t>
      </w:r>
      <w:r>
        <w:rPr>
          <w:rFonts w:ascii="Times New Roman" w:cs="Times New Roman" w:hint="eastAsia"/>
        </w:rPr>
        <w:t>开采</w:t>
      </w:r>
      <w:r>
        <w:rPr>
          <w:rFonts w:ascii="Times New Roman" w:cs="Times New Roman"/>
        </w:rPr>
        <w:t>和内部集输工程，</w:t>
      </w:r>
      <w:r>
        <w:rPr>
          <w:rFonts w:ascii="Times New Roman" w:cs="Times New Roman" w:hint="eastAsia"/>
        </w:rPr>
        <w:t>本项目</w:t>
      </w:r>
      <w:r>
        <w:rPr>
          <w:rFonts w:ascii="Times New Roman" w:cs="Times New Roman"/>
        </w:rPr>
        <w:t>输送的介质为含硫化氢天然气，同时本项目涉及润滑油储存</w:t>
      </w:r>
      <w:r>
        <w:rPr>
          <w:rFonts w:ascii="Times New Roman" w:cs="Times New Roman" w:hint="eastAsia"/>
        </w:rPr>
        <w:t>，</w:t>
      </w:r>
      <w:r>
        <w:rPr>
          <w:rFonts w:ascii="Times New Roman" w:cs="Times New Roman"/>
        </w:rPr>
        <w:t>项目涉及的主要危险有害物质为甲烷、硫化氢</w:t>
      </w:r>
      <w:r>
        <w:rPr>
          <w:rFonts w:ascii="Times New Roman" w:cs="Times New Roman" w:hint="eastAsia"/>
        </w:rPr>
        <w:t>、润滑油</w:t>
      </w:r>
      <w:r>
        <w:rPr>
          <w:rFonts w:ascii="Times New Roman" w:cs="Times New Roman"/>
        </w:rPr>
        <w:t>。根据《建设项目环境风险评价技术导则》（</w:t>
      </w:r>
      <w:r>
        <w:rPr>
          <w:rFonts w:ascii="Times New Roman" w:cs="Times New Roman"/>
        </w:rPr>
        <w:t>HJ169-2018</w:t>
      </w:r>
      <w:r>
        <w:rPr>
          <w:rFonts w:ascii="Times New Roman" w:cs="Times New Roman"/>
        </w:rPr>
        <w:t>）附录</w:t>
      </w:r>
      <w:r>
        <w:rPr>
          <w:rFonts w:ascii="Times New Roman" w:cs="Times New Roman"/>
        </w:rPr>
        <w:t>B</w:t>
      </w:r>
      <w:r>
        <w:rPr>
          <w:rFonts w:ascii="Times New Roman" w:cs="Times New Roman"/>
        </w:rPr>
        <w:t>，本项目</w:t>
      </w:r>
      <w:r>
        <w:rPr>
          <w:rFonts w:ascii="Times New Roman" w:cs="Times New Roman"/>
        </w:rPr>
        <w:lastRenderedPageBreak/>
        <w:t>重点关注的危险物质主要为甲烷临界量为</w:t>
      </w:r>
      <w:r>
        <w:rPr>
          <w:rFonts w:ascii="Times New Roman" w:cs="Times New Roman"/>
        </w:rPr>
        <w:t>10t</w:t>
      </w:r>
      <w:r>
        <w:rPr>
          <w:rFonts w:ascii="Times New Roman" w:cs="Times New Roman"/>
        </w:rPr>
        <w:t>；硫化氢临临界量为</w:t>
      </w:r>
      <w:r>
        <w:rPr>
          <w:rFonts w:ascii="Times New Roman" w:cs="Times New Roman"/>
        </w:rPr>
        <w:t>2.5t</w:t>
      </w:r>
      <w:r>
        <w:rPr>
          <w:rFonts w:ascii="Times New Roman" w:cs="Times New Roman" w:hint="eastAsia"/>
        </w:rPr>
        <w:t>；</w:t>
      </w:r>
      <w:r>
        <w:rPr>
          <w:rFonts w:ascii="Times New Roman" w:cs="Times New Roman"/>
        </w:rPr>
        <w:t>润滑油临界量为</w:t>
      </w:r>
      <w:r>
        <w:rPr>
          <w:rFonts w:ascii="Times New Roman" w:cs="Times New Roman" w:hint="eastAsia"/>
        </w:rPr>
        <w:t>2500t</w:t>
      </w:r>
      <w:r>
        <w:rPr>
          <w:rFonts w:ascii="Times New Roman" w:cs="Times New Roman"/>
        </w:rPr>
        <w:t>。由于</w:t>
      </w:r>
      <w:r>
        <w:rPr>
          <w:rFonts w:ascii="Times New Roman" w:cs="Times New Roman" w:hint="eastAsia"/>
        </w:rPr>
        <w:t>气田水</w:t>
      </w:r>
      <w:r>
        <w:rPr>
          <w:rFonts w:ascii="Times New Roman" w:cs="Times New Roman"/>
        </w:rPr>
        <w:t>不属于《建设项目</w:t>
      </w:r>
      <w:r>
        <w:rPr>
          <w:rFonts w:ascii="Times New Roman" w:cs="Times New Roman" w:hint="eastAsia"/>
        </w:rPr>
        <w:t>环境</w:t>
      </w:r>
      <w:r>
        <w:rPr>
          <w:rFonts w:ascii="Times New Roman" w:cs="Times New Roman"/>
        </w:rPr>
        <w:t>风险评价技术导则》（</w:t>
      </w:r>
      <w:r>
        <w:rPr>
          <w:rFonts w:ascii="Times New Roman" w:cs="Times New Roman"/>
        </w:rPr>
        <w:t>HJ169-2018</w:t>
      </w:r>
      <w:r>
        <w:rPr>
          <w:rFonts w:ascii="Times New Roman" w:cs="Times New Roman"/>
        </w:rPr>
        <w:t>），附录</w:t>
      </w:r>
      <w:r>
        <w:rPr>
          <w:rFonts w:ascii="Times New Roman" w:cs="Times New Roman"/>
        </w:rPr>
        <w:t>B</w:t>
      </w:r>
      <w:r>
        <w:rPr>
          <w:rFonts w:ascii="Times New Roman" w:cs="Times New Roman"/>
        </w:rPr>
        <w:t>中重点关注的危险物质，根据分析</w:t>
      </w:r>
      <w:r>
        <w:rPr>
          <w:rFonts w:ascii="Times New Roman" w:cs="Times New Roman" w:hint="eastAsia"/>
        </w:rPr>
        <w:t>气田水</w:t>
      </w:r>
      <w:r>
        <w:rPr>
          <w:rFonts w:ascii="Times New Roman" w:cs="Times New Roman"/>
        </w:rPr>
        <w:t>属于危害水环境物质，但不属于急性毒性类别</w:t>
      </w:r>
      <w:r>
        <w:rPr>
          <w:rFonts w:ascii="Times New Roman" w:cs="Times New Roman"/>
        </w:rPr>
        <w:t>1</w:t>
      </w:r>
      <w:r>
        <w:rPr>
          <w:rFonts w:ascii="Times New Roman" w:cs="Times New Roman"/>
        </w:rPr>
        <w:t>中物质。故不作为环境风险等级判定物质，本次评价仅对其在储存过程中的风险提出措施。</w:t>
      </w:r>
    </w:p>
    <w:p w:rsidR="00BD5820" w:rsidRDefault="00F64314">
      <w:pPr>
        <w:pStyle w:val="3"/>
        <w:rPr>
          <w:rFonts w:eastAsia="宋体"/>
        </w:rPr>
      </w:pPr>
      <w:bookmarkStart w:id="421" w:name="bookmark57"/>
      <w:bookmarkStart w:id="422" w:name="_Toc19816094"/>
      <w:bookmarkStart w:id="423" w:name="_Toc12288720"/>
      <w:bookmarkEnd w:id="421"/>
      <w:r>
        <w:rPr>
          <w:rFonts w:eastAsia="宋体"/>
        </w:rPr>
        <w:t xml:space="preserve">7.3.2 </w:t>
      </w:r>
      <w:r>
        <w:rPr>
          <w:rFonts w:eastAsia="宋体"/>
        </w:rPr>
        <w:t>环境敏感目标</w:t>
      </w:r>
      <w:bookmarkEnd w:id="422"/>
      <w:bookmarkEnd w:id="423"/>
    </w:p>
    <w:p w:rsidR="00BD5820" w:rsidRDefault="00F64314">
      <w:pPr>
        <w:pStyle w:val="a1"/>
        <w:ind w:firstLine="480"/>
        <w:rPr>
          <w:rFonts w:ascii="Times New Roman" w:cs="Times New Roman"/>
        </w:rPr>
      </w:pPr>
      <w:r>
        <w:rPr>
          <w:rFonts w:ascii="Times New Roman" w:cs="Times New Roman"/>
        </w:rPr>
        <w:t>通过现场踏勘，对管道主要环境风险敏感点进行调查，调查结果见章节</w:t>
      </w:r>
      <w:r>
        <w:rPr>
          <w:rFonts w:ascii="Times New Roman" w:cs="Times New Roman"/>
        </w:rPr>
        <w:t>——</w:t>
      </w:r>
      <w:r>
        <w:rPr>
          <w:rFonts w:ascii="Times New Roman" w:cs="Times New Roman"/>
          <w:b/>
          <w:bCs/>
        </w:rPr>
        <w:t>1.9.2</w:t>
      </w:r>
      <w:r>
        <w:rPr>
          <w:rFonts w:ascii="Times New Roman" w:cs="Times New Roman"/>
          <w:b/>
          <w:bCs/>
        </w:rPr>
        <w:t>环境保护目标</w:t>
      </w:r>
      <w:r>
        <w:rPr>
          <w:rFonts w:ascii="Times New Roman" w:cs="Times New Roman"/>
        </w:rPr>
        <w:t>。本项目在选址选线过程中就避开了居民集中区、风景名胜区、文物古迹等风险敏感点，项目的环境风险敏感点主要是</w:t>
      </w:r>
      <w:r>
        <w:rPr>
          <w:rFonts w:ascii="Times New Roman" w:cs="Times New Roman" w:hint="eastAsia"/>
          <w:bCs/>
        </w:rPr>
        <w:t>普光气田</w:t>
      </w:r>
      <w:r>
        <w:rPr>
          <w:rFonts w:ascii="Times New Roman" w:cs="Times New Roman"/>
          <w:bCs/>
        </w:rPr>
        <w:t>1#</w:t>
      </w:r>
      <w:r>
        <w:rPr>
          <w:rFonts w:ascii="Times New Roman" w:cs="Times New Roman" w:hint="eastAsia"/>
          <w:bCs/>
        </w:rPr>
        <w:t>增压站、普光气田</w:t>
      </w:r>
      <w:r>
        <w:rPr>
          <w:rFonts w:ascii="Times New Roman" w:cs="Times New Roman" w:hint="eastAsia"/>
          <w:bCs/>
        </w:rPr>
        <w:t>2</w:t>
      </w:r>
      <w:r>
        <w:rPr>
          <w:rFonts w:ascii="Times New Roman" w:cs="Times New Roman"/>
          <w:bCs/>
        </w:rPr>
        <w:t>#</w:t>
      </w:r>
      <w:r>
        <w:rPr>
          <w:rFonts w:ascii="Times New Roman" w:cs="Times New Roman" w:hint="eastAsia"/>
          <w:bCs/>
        </w:rPr>
        <w:t>增压站</w:t>
      </w:r>
      <w:r>
        <w:rPr>
          <w:rFonts w:ascii="Times New Roman" w:cs="Times New Roman" w:hint="eastAsia"/>
        </w:rPr>
        <w:t>5km</w:t>
      </w:r>
      <w:r>
        <w:rPr>
          <w:rFonts w:ascii="Times New Roman" w:cs="Times New Roman" w:hint="eastAsia"/>
        </w:rPr>
        <w:t>范围内和</w:t>
      </w:r>
      <w:r>
        <w:rPr>
          <w:rFonts w:ascii="Times New Roman" w:cs="Times New Roman"/>
        </w:rPr>
        <w:t>管道沿线两侧</w:t>
      </w:r>
      <w:r>
        <w:rPr>
          <w:rFonts w:ascii="Times New Roman" w:cs="Times New Roman" w:hint="eastAsia"/>
        </w:rPr>
        <w:t>2</w:t>
      </w:r>
      <w:r>
        <w:rPr>
          <w:rFonts w:ascii="Times New Roman" w:cs="Times New Roman"/>
        </w:rPr>
        <w:t>00m</w:t>
      </w:r>
      <w:r>
        <w:rPr>
          <w:rFonts w:ascii="Times New Roman" w:cs="Times New Roman"/>
        </w:rPr>
        <w:t>范围内的居住户、社会关注点等。</w:t>
      </w:r>
    </w:p>
    <w:p w:rsidR="00BD5820" w:rsidRDefault="00F64314">
      <w:pPr>
        <w:pStyle w:val="2"/>
        <w:spacing w:before="120"/>
        <w:rPr>
          <w:rFonts w:cs="Times New Roman"/>
        </w:rPr>
      </w:pPr>
      <w:bookmarkStart w:id="424" w:name="bookmark58"/>
      <w:bookmarkStart w:id="425" w:name="_Toc19816095"/>
      <w:bookmarkStart w:id="426" w:name="_Toc12288721"/>
      <w:bookmarkStart w:id="427" w:name="_Toc5369"/>
      <w:bookmarkEnd w:id="424"/>
      <w:r>
        <w:rPr>
          <w:rFonts w:cs="Times New Roman"/>
        </w:rPr>
        <w:t>7.4</w:t>
      </w:r>
      <w:r>
        <w:rPr>
          <w:rFonts w:cs="Times New Roman"/>
        </w:rPr>
        <w:t>环境风险潜势判定</w:t>
      </w:r>
      <w:bookmarkEnd w:id="425"/>
      <w:bookmarkEnd w:id="426"/>
      <w:bookmarkEnd w:id="427"/>
    </w:p>
    <w:p w:rsidR="00BD5820" w:rsidRDefault="00F64314">
      <w:pPr>
        <w:pStyle w:val="a1"/>
        <w:ind w:firstLine="480"/>
        <w:rPr>
          <w:rFonts w:ascii="Times New Roman" w:cs="Times New Roman"/>
        </w:rPr>
      </w:pPr>
      <w:r>
        <w:rPr>
          <w:rFonts w:ascii="Times New Roman" w:cs="Times New Roman" w:hint="eastAsia"/>
        </w:rPr>
        <w:t>根据建设项目涉及的物质及工艺系统的危险性及其所在地的环境敏感程度，结合事故情形下环境硬性途径，对建设项目潜在环境危害程度进行概化分析，按下表确定环境风险潜势。</w:t>
      </w:r>
    </w:p>
    <w:p w:rsidR="00BD5820" w:rsidRDefault="00F64314">
      <w:pPr>
        <w:topLinePunct w:val="0"/>
        <w:adjustRightInd/>
        <w:ind w:firstLineChars="0" w:firstLine="0"/>
        <w:jc w:val="center"/>
        <w:rPr>
          <w:rFonts w:ascii="Times New Roman" w:cs="Times New Roman"/>
          <w:b/>
          <w:bCs/>
          <w:kern w:val="2"/>
          <w:sz w:val="21"/>
        </w:rPr>
      </w:pPr>
      <w:r>
        <w:rPr>
          <w:rFonts w:ascii="Times New Roman" w:cs="Times New Roman"/>
          <w:b/>
          <w:kern w:val="2"/>
          <w:sz w:val="21"/>
        </w:rPr>
        <w:t>表</w:t>
      </w:r>
      <w:r>
        <w:rPr>
          <w:rFonts w:ascii="Times New Roman" w:cs="Times New Roman"/>
          <w:b/>
          <w:kern w:val="2"/>
          <w:sz w:val="21"/>
        </w:rPr>
        <w:t xml:space="preserve">7.4-1   </w:t>
      </w:r>
      <w:r>
        <w:rPr>
          <w:rFonts w:ascii="Times New Roman" w:cs="Times New Roman"/>
          <w:b/>
          <w:bCs/>
          <w:kern w:val="2"/>
          <w:sz w:val="21"/>
        </w:rPr>
        <w:t>建设项目风险潜势的划分</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1962"/>
        <w:gridCol w:w="1598"/>
        <w:gridCol w:w="1727"/>
        <w:gridCol w:w="1504"/>
        <w:gridCol w:w="1731"/>
      </w:tblGrid>
      <w:tr w:rsidR="00BD5820">
        <w:trPr>
          <w:trHeight w:val="184"/>
          <w:jc w:val="center"/>
        </w:trPr>
        <w:tc>
          <w:tcPr>
            <w:tcW w:w="1962" w:type="dxa"/>
            <w:vMerge w:val="restart"/>
            <w:vAlign w:val="center"/>
          </w:tcPr>
          <w:p w:rsidR="00BD5820" w:rsidRDefault="00F64314">
            <w:pPr>
              <w:topLinePunct w:val="0"/>
              <w:snapToGrid w:val="0"/>
              <w:spacing w:line="240" w:lineRule="exact"/>
              <w:ind w:firstLineChars="0" w:firstLine="0"/>
              <w:jc w:val="center"/>
              <w:rPr>
                <w:rFonts w:ascii="Times New Roman" w:cs="Times New Roman"/>
                <w:b/>
                <w:kern w:val="2"/>
                <w:sz w:val="21"/>
                <w:szCs w:val="21"/>
              </w:rPr>
            </w:pPr>
            <w:r>
              <w:rPr>
                <w:rFonts w:ascii="Times New Roman" w:cs="Times New Roman"/>
                <w:b/>
                <w:kern w:val="2"/>
                <w:sz w:val="21"/>
                <w:szCs w:val="21"/>
              </w:rPr>
              <w:t>环境敏感程度（</w:t>
            </w:r>
            <w:r>
              <w:rPr>
                <w:rFonts w:ascii="Times New Roman" w:cs="Times New Roman"/>
                <w:b/>
                <w:kern w:val="2"/>
                <w:sz w:val="21"/>
                <w:szCs w:val="21"/>
              </w:rPr>
              <w:t>E</w:t>
            </w:r>
            <w:r>
              <w:rPr>
                <w:rFonts w:ascii="Times New Roman" w:cs="Times New Roman"/>
                <w:b/>
                <w:kern w:val="2"/>
                <w:sz w:val="21"/>
                <w:szCs w:val="21"/>
              </w:rPr>
              <w:t>）</w:t>
            </w:r>
          </w:p>
        </w:tc>
        <w:tc>
          <w:tcPr>
            <w:tcW w:w="6560" w:type="dxa"/>
            <w:gridSpan w:val="4"/>
            <w:vAlign w:val="center"/>
          </w:tcPr>
          <w:p w:rsidR="00BD5820" w:rsidRDefault="00F64314">
            <w:pPr>
              <w:topLinePunct w:val="0"/>
              <w:snapToGrid w:val="0"/>
              <w:spacing w:line="240" w:lineRule="exact"/>
              <w:ind w:firstLineChars="0" w:firstLine="0"/>
              <w:jc w:val="center"/>
              <w:rPr>
                <w:rFonts w:ascii="Times New Roman" w:cs="Times New Roman"/>
                <w:b/>
                <w:kern w:val="2"/>
                <w:sz w:val="21"/>
                <w:szCs w:val="21"/>
              </w:rPr>
            </w:pPr>
            <w:r>
              <w:rPr>
                <w:rFonts w:ascii="Times New Roman" w:cs="Times New Roman"/>
                <w:b/>
                <w:kern w:val="2"/>
                <w:sz w:val="21"/>
                <w:szCs w:val="21"/>
              </w:rPr>
              <w:t>危险物质及工艺系统危险性（</w:t>
            </w:r>
            <w:r>
              <w:rPr>
                <w:rFonts w:ascii="Times New Roman" w:cs="Times New Roman"/>
                <w:b/>
                <w:kern w:val="2"/>
                <w:sz w:val="21"/>
                <w:szCs w:val="21"/>
              </w:rPr>
              <w:t>P</w:t>
            </w:r>
            <w:r>
              <w:rPr>
                <w:rFonts w:ascii="Times New Roman" w:cs="Times New Roman"/>
                <w:b/>
                <w:kern w:val="2"/>
                <w:sz w:val="21"/>
                <w:szCs w:val="21"/>
              </w:rPr>
              <w:t>）</w:t>
            </w:r>
          </w:p>
        </w:tc>
      </w:tr>
      <w:tr w:rsidR="00BD5820">
        <w:trPr>
          <w:trHeight w:val="127"/>
          <w:jc w:val="center"/>
        </w:trPr>
        <w:tc>
          <w:tcPr>
            <w:tcW w:w="0" w:type="auto"/>
            <w:vMerge/>
            <w:vAlign w:val="center"/>
          </w:tcPr>
          <w:p w:rsidR="00BD5820" w:rsidRDefault="00BD5820">
            <w:pPr>
              <w:widowControl/>
              <w:topLinePunct w:val="0"/>
              <w:snapToGrid w:val="0"/>
              <w:spacing w:line="240" w:lineRule="exact"/>
              <w:ind w:firstLineChars="0" w:firstLine="420"/>
              <w:jc w:val="center"/>
              <w:rPr>
                <w:rFonts w:ascii="Times New Roman" w:cs="Times New Roman"/>
                <w:b/>
                <w:kern w:val="2"/>
                <w:sz w:val="21"/>
                <w:szCs w:val="21"/>
              </w:rPr>
            </w:pPr>
          </w:p>
        </w:tc>
        <w:tc>
          <w:tcPr>
            <w:tcW w:w="1598" w:type="dxa"/>
            <w:vAlign w:val="center"/>
          </w:tcPr>
          <w:p w:rsidR="00BD5820" w:rsidRDefault="00F64314">
            <w:pPr>
              <w:topLinePunct w:val="0"/>
              <w:snapToGrid w:val="0"/>
              <w:spacing w:line="240" w:lineRule="exact"/>
              <w:ind w:firstLineChars="0" w:firstLine="0"/>
              <w:jc w:val="center"/>
              <w:rPr>
                <w:rFonts w:ascii="Times New Roman" w:cs="Times New Roman"/>
                <w:b/>
                <w:kern w:val="2"/>
                <w:sz w:val="21"/>
                <w:szCs w:val="21"/>
              </w:rPr>
            </w:pPr>
            <w:r>
              <w:rPr>
                <w:rFonts w:ascii="Times New Roman" w:cs="Times New Roman"/>
                <w:b/>
                <w:kern w:val="2"/>
                <w:sz w:val="21"/>
                <w:szCs w:val="21"/>
              </w:rPr>
              <w:t>极高危害（</w:t>
            </w:r>
            <w:r>
              <w:rPr>
                <w:rFonts w:ascii="Times New Roman" w:cs="Times New Roman"/>
                <w:b/>
                <w:kern w:val="2"/>
                <w:sz w:val="21"/>
                <w:szCs w:val="21"/>
              </w:rPr>
              <w:t>P1</w:t>
            </w:r>
            <w:r>
              <w:rPr>
                <w:rFonts w:ascii="Times New Roman" w:cs="Times New Roman"/>
                <w:b/>
                <w:kern w:val="2"/>
                <w:sz w:val="21"/>
                <w:szCs w:val="21"/>
              </w:rPr>
              <w:t>）</w:t>
            </w:r>
          </w:p>
        </w:tc>
        <w:tc>
          <w:tcPr>
            <w:tcW w:w="1727" w:type="dxa"/>
            <w:vAlign w:val="center"/>
          </w:tcPr>
          <w:p w:rsidR="00BD5820" w:rsidRDefault="00F64314">
            <w:pPr>
              <w:topLinePunct w:val="0"/>
              <w:snapToGrid w:val="0"/>
              <w:spacing w:line="240" w:lineRule="exact"/>
              <w:ind w:firstLineChars="0" w:firstLine="0"/>
              <w:jc w:val="center"/>
              <w:rPr>
                <w:rFonts w:ascii="Times New Roman" w:cs="Times New Roman"/>
                <w:b/>
                <w:kern w:val="2"/>
                <w:sz w:val="21"/>
                <w:szCs w:val="21"/>
              </w:rPr>
            </w:pPr>
            <w:r>
              <w:rPr>
                <w:rFonts w:ascii="Times New Roman" w:cs="Times New Roman"/>
                <w:b/>
                <w:kern w:val="2"/>
                <w:sz w:val="21"/>
                <w:szCs w:val="21"/>
              </w:rPr>
              <w:t>高度危害（</w:t>
            </w:r>
            <w:r>
              <w:rPr>
                <w:rFonts w:ascii="Times New Roman" w:cs="Times New Roman"/>
                <w:b/>
                <w:kern w:val="2"/>
                <w:sz w:val="21"/>
                <w:szCs w:val="21"/>
              </w:rPr>
              <w:t>P2</w:t>
            </w:r>
            <w:r>
              <w:rPr>
                <w:rFonts w:ascii="Times New Roman" w:cs="Times New Roman"/>
                <w:b/>
                <w:kern w:val="2"/>
                <w:sz w:val="21"/>
                <w:szCs w:val="21"/>
              </w:rPr>
              <w:t>）</w:t>
            </w:r>
          </w:p>
        </w:tc>
        <w:tc>
          <w:tcPr>
            <w:tcW w:w="1504" w:type="dxa"/>
            <w:vAlign w:val="center"/>
          </w:tcPr>
          <w:p w:rsidR="00BD5820" w:rsidRDefault="00F64314">
            <w:pPr>
              <w:topLinePunct w:val="0"/>
              <w:snapToGrid w:val="0"/>
              <w:spacing w:line="240" w:lineRule="exact"/>
              <w:ind w:firstLineChars="0" w:firstLine="0"/>
              <w:jc w:val="center"/>
              <w:rPr>
                <w:rFonts w:ascii="Times New Roman" w:cs="Times New Roman"/>
                <w:b/>
                <w:kern w:val="2"/>
                <w:sz w:val="21"/>
                <w:szCs w:val="21"/>
              </w:rPr>
            </w:pPr>
            <w:r>
              <w:rPr>
                <w:rFonts w:ascii="Times New Roman" w:cs="Times New Roman"/>
                <w:b/>
                <w:kern w:val="2"/>
                <w:sz w:val="21"/>
                <w:szCs w:val="21"/>
              </w:rPr>
              <w:t>中度危害（</w:t>
            </w:r>
            <w:r>
              <w:rPr>
                <w:rFonts w:ascii="Times New Roman" w:cs="Times New Roman"/>
                <w:b/>
                <w:kern w:val="2"/>
                <w:sz w:val="21"/>
                <w:szCs w:val="21"/>
              </w:rPr>
              <w:t>P3</w:t>
            </w:r>
            <w:r>
              <w:rPr>
                <w:rFonts w:ascii="Times New Roman" w:cs="Times New Roman"/>
                <w:b/>
                <w:kern w:val="2"/>
                <w:sz w:val="21"/>
                <w:szCs w:val="21"/>
              </w:rPr>
              <w:t>）</w:t>
            </w:r>
          </w:p>
        </w:tc>
        <w:tc>
          <w:tcPr>
            <w:tcW w:w="1731" w:type="dxa"/>
            <w:vAlign w:val="center"/>
          </w:tcPr>
          <w:p w:rsidR="00BD5820" w:rsidRDefault="00F64314">
            <w:pPr>
              <w:topLinePunct w:val="0"/>
              <w:snapToGrid w:val="0"/>
              <w:spacing w:line="240" w:lineRule="exact"/>
              <w:ind w:firstLineChars="0" w:firstLine="0"/>
              <w:jc w:val="center"/>
              <w:rPr>
                <w:rFonts w:ascii="Times New Roman" w:cs="Times New Roman"/>
                <w:b/>
                <w:kern w:val="2"/>
                <w:sz w:val="21"/>
                <w:szCs w:val="21"/>
              </w:rPr>
            </w:pPr>
            <w:r>
              <w:rPr>
                <w:rFonts w:ascii="Times New Roman" w:cs="Times New Roman"/>
                <w:b/>
                <w:kern w:val="2"/>
                <w:sz w:val="21"/>
                <w:szCs w:val="21"/>
              </w:rPr>
              <w:t>轻度危害（</w:t>
            </w:r>
            <w:r>
              <w:rPr>
                <w:rFonts w:ascii="Times New Roman" w:cs="Times New Roman"/>
                <w:b/>
                <w:kern w:val="2"/>
                <w:sz w:val="21"/>
                <w:szCs w:val="21"/>
              </w:rPr>
              <w:t>P4</w:t>
            </w:r>
            <w:r>
              <w:rPr>
                <w:rFonts w:ascii="Times New Roman" w:cs="Times New Roman"/>
                <w:b/>
                <w:kern w:val="2"/>
                <w:sz w:val="21"/>
                <w:szCs w:val="21"/>
              </w:rPr>
              <w:t>）</w:t>
            </w:r>
          </w:p>
        </w:tc>
      </w:tr>
      <w:tr w:rsidR="00BD5820">
        <w:trPr>
          <w:trHeight w:val="104"/>
          <w:jc w:val="center"/>
        </w:trPr>
        <w:tc>
          <w:tcPr>
            <w:tcW w:w="1962" w:type="dxa"/>
            <w:vAlign w:val="center"/>
          </w:tcPr>
          <w:p w:rsidR="00BD5820" w:rsidRDefault="00F64314">
            <w:pPr>
              <w:topLinePunct w:val="0"/>
              <w:snapToGrid w:val="0"/>
              <w:spacing w:line="240" w:lineRule="exact"/>
              <w:ind w:firstLineChars="0" w:firstLine="0"/>
              <w:jc w:val="center"/>
              <w:rPr>
                <w:rFonts w:ascii="Times New Roman" w:cs="Times New Roman"/>
                <w:kern w:val="2"/>
                <w:sz w:val="21"/>
                <w:szCs w:val="21"/>
              </w:rPr>
            </w:pPr>
            <w:r>
              <w:rPr>
                <w:rFonts w:ascii="Times New Roman" w:cs="Times New Roman"/>
                <w:kern w:val="2"/>
                <w:sz w:val="21"/>
                <w:szCs w:val="21"/>
              </w:rPr>
              <w:t>环境高度敏感区（</w:t>
            </w:r>
            <w:r>
              <w:rPr>
                <w:rFonts w:ascii="Times New Roman" w:cs="Times New Roman"/>
                <w:kern w:val="2"/>
                <w:sz w:val="21"/>
                <w:szCs w:val="21"/>
              </w:rPr>
              <w:t>E1</w:t>
            </w:r>
            <w:r>
              <w:rPr>
                <w:rFonts w:ascii="Times New Roman" w:cs="Times New Roman"/>
                <w:kern w:val="2"/>
                <w:sz w:val="21"/>
                <w:szCs w:val="21"/>
              </w:rPr>
              <w:t>）</w:t>
            </w:r>
          </w:p>
        </w:tc>
        <w:tc>
          <w:tcPr>
            <w:tcW w:w="1598" w:type="dxa"/>
            <w:vAlign w:val="center"/>
          </w:tcPr>
          <w:p w:rsidR="00BD5820" w:rsidRDefault="00F64314">
            <w:pPr>
              <w:topLinePunct w:val="0"/>
              <w:snapToGrid w:val="0"/>
              <w:spacing w:line="240" w:lineRule="exact"/>
              <w:ind w:firstLineChars="0" w:firstLine="0"/>
              <w:jc w:val="center"/>
              <w:rPr>
                <w:rFonts w:ascii="Times New Roman" w:cs="Times New Roman"/>
                <w:kern w:val="2"/>
                <w:sz w:val="21"/>
                <w:szCs w:val="21"/>
              </w:rPr>
            </w:pPr>
            <w:r>
              <w:rPr>
                <w:rFonts w:hAnsi="宋体" w:hint="eastAsia"/>
                <w:kern w:val="2"/>
                <w:sz w:val="21"/>
                <w:szCs w:val="21"/>
              </w:rPr>
              <w:t>Ⅳ</w:t>
            </w:r>
            <w:r>
              <w:rPr>
                <w:rFonts w:ascii="Times New Roman" w:cs="Times New Roman"/>
                <w:kern w:val="2"/>
                <w:sz w:val="21"/>
                <w:szCs w:val="21"/>
                <w:vertAlign w:val="superscript"/>
              </w:rPr>
              <w:t>+</w:t>
            </w:r>
          </w:p>
        </w:tc>
        <w:tc>
          <w:tcPr>
            <w:tcW w:w="1727" w:type="dxa"/>
            <w:vAlign w:val="center"/>
          </w:tcPr>
          <w:p w:rsidR="00BD5820" w:rsidRDefault="00F64314">
            <w:pPr>
              <w:topLinePunct w:val="0"/>
              <w:snapToGrid w:val="0"/>
              <w:spacing w:line="240" w:lineRule="exact"/>
              <w:ind w:firstLineChars="0" w:firstLine="0"/>
              <w:jc w:val="center"/>
              <w:rPr>
                <w:rFonts w:ascii="Times New Roman" w:cs="Times New Roman"/>
                <w:kern w:val="2"/>
                <w:sz w:val="21"/>
                <w:szCs w:val="21"/>
              </w:rPr>
            </w:pPr>
            <w:r>
              <w:rPr>
                <w:rFonts w:hAnsi="宋体" w:hint="eastAsia"/>
                <w:kern w:val="2"/>
                <w:sz w:val="21"/>
                <w:szCs w:val="21"/>
              </w:rPr>
              <w:t>Ⅳ</w:t>
            </w:r>
          </w:p>
        </w:tc>
        <w:tc>
          <w:tcPr>
            <w:tcW w:w="1504" w:type="dxa"/>
            <w:vAlign w:val="center"/>
          </w:tcPr>
          <w:p w:rsidR="00BD5820" w:rsidRDefault="00F64314">
            <w:pPr>
              <w:topLinePunct w:val="0"/>
              <w:snapToGrid w:val="0"/>
              <w:spacing w:line="240" w:lineRule="exact"/>
              <w:ind w:firstLineChars="0" w:firstLine="0"/>
              <w:jc w:val="center"/>
              <w:rPr>
                <w:rFonts w:ascii="Times New Roman" w:cs="Times New Roman"/>
                <w:kern w:val="2"/>
                <w:sz w:val="21"/>
                <w:szCs w:val="21"/>
              </w:rPr>
            </w:pPr>
            <w:r>
              <w:rPr>
                <w:rFonts w:hAnsi="宋体" w:hint="eastAsia"/>
                <w:kern w:val="2"/>
                <w:sz w:val="21"/>
                <w:szCs w:val="21"/>
              </w:rPr>
              <w:t>Ⅲ</w:t>
            </w:r>
          </w:p>
        </w:tc>
        <w:tc>
          <w:tcPr>
            <w:tcW w:w="1731" w:type="dxa"/>
            <w:vAlign w:val="center"/>
          </w:tcPr>
          <w:p w:rsidR="00BD5820" w:rsidRDefault="00F64314">
            <w:pPr>
              <w:topLinePunct w:val="0"/>
              <w:snapToGrid w:val="0"/>
              <w:spacing w:line="240" w:lineRule="exact"/>
              <w:ind w:firstLineChars="0" w:firstLine="0"/>
              <w:jc w:val="center"/>
              <w:rPr>
                <w:rFonts w:ascii="Times New Roman" w:cs="Times New Roman"/>
                <w:kern w:val="2"/>
                <w:sz w:val="21"/>
                <w:szCs w:val="21"/>
              </w:rPr>
            </w:pPr>
            <w:r>
              <w:rPr>
                <w:rFonts w:hAnsi="宋体" w:hint="eastAsia"/>
                <w:kern w:val="2"/>
                <w:sz w:val="21"/>
                <w:szCs w:val="21"/>
              </w:rPr>
              <w:t>Ⅲ</w:t>
            </w:r>
          </w:p>
        </w:tc>
      </w:tr>
      <w:tr w:rsidR="00BD5820">
        <w:trPr>
          <w:trHeight w:val="161"/>
          <w:jc w:val="center"/>
        </w:trPr>
        <w:tc>
          <w:tcPr>
            <w:tcW w:w="1962" w:type="dxa"/>
            <w:vAlign w:val="center"/>
          </w:tcPr>
          <w:p w:rsidR="00BD5820" w:rsidRDefault="00F64314">
            <w:pPr>
              <w:topLinePunct w:val="0"/>
              <w:snapToGrid w:val="0"/>
              <w:spacing w:line="240" w:lineRule="exact"/>
              <w:ind w:firstLineChars="0" w:firstLine="0"/>
              <w:jc w:val="center"/>
              <w:rPr>
                <w:rFonts w:ascii="Times New Roman" w:cs="Times New Roman"/>
                <w:kern w:val="2"/>
                <w:sz w:val="21"/>
                <w:szCs w:val="21"/>
              </w:rPr>
            </w:pPr>
            <w:r>
              <w:rPr>
                <w:rFonts w:ascii="Times New Roman" w:cs="Times New Roman"/>
                <w:kern w:val="2"/>
                <w:sz w:val="21"/>
                <w:szCs w:val="21"/>
              </w:rPr>
              <w:t>环境中度敏感区（</w:t>
            </w:r>
            <w:r>
              <w:rPr>
                <w:rFonts w:ascii="Times New Roman" w:cs="Times New Roman"/>
                <w:kern w:val="2"/>
                <w:sz w:val="21"/>
                <w:szCs w:val="21"/>
              </w:rPr>
              <w:t>E2</w:t>
            </w:r>
            <w:r>
              <w:rPr>
                <w:rFonts w:ascii="Times New Roman" w:cs="Times New Roman"/>
                <w:kern w:val="2"/>
                <w:sz w:val="21"/>
                <w:szCs w:val="21"/>
              </w:rPr>
              <w:t>）</w:t>
            </w:r>
          </w:p>
        </w:tc>
        <w:tc>
          <w:tcPr>
            <w:tcW w:w="1598" w:type="dxa"/>
            <w:vAlign w:val="center"/>
          </w:tcPr>
          <w:p w:rsidR="00BD5820" w:rsidRDefault="00F64314">
            <w:pPr>
              <w:topLinePunct w:val="0"/>
              <w:snapToGrid w:val="0"/>
              <w:spacing w:line="240" w:lineRule="exact"/>
              <w:ind w:firstLineChars="0" w:firstLine="0"/>
              <w:jc w:val="center"/>
              <w:rPr>
                <w:rFonts w:ascii="Times New Roman" w:cs="Times New Roman"/>
                <w:kern w:val="2"/>
                <w:sz w:val="21"/>
                <w:szCs w:val="21"/>
              </w:rPr>
            </w:pPr>
            <w:r>
              <w:rPr>
                <w:rFonts w:hAnsi="宋体" w:hint="eastAsia"/>
                <w:kern w:val="2"/>
                <w:sz w:val="21"/>
                <w:szCs w:val="21"/>
              </w:rPr>
              <w:t>Ⅳ</w:t>
            </w:r>
          </w:p>
        </w:tc>
        <w:tc>
          <w:tcPr>
            <w:tcW w:w="1727" w:type="dxa"/>
            <w:vAlign w:val="center"/>
          </w:tcPr>
          <w:p w:rsidR="00BD5820" w:rsidRDefault="00F64314">
            <w:pPr>
              <w:topLinePunct w:val="0"/>
              <w:snapToGrid w:val="0"/>
              <w:spacing w:line="240" w:lineRule="exact"/>
              <w:ind w:firstLineChars="0" w:firstLine="0"/>
              <w:jc w:val="center"/>
              <w:rPr>
                <w:rFonts w:ascii="Times New Roman" w:cs="Times New Roman"/>
                <w:kern w:val="2"/>
                <w:sz w:val="21"/>
                <w:szCs w:val="21"/>
              </w:rPr>
            </w:pPr>
            <w:r>
              <w:rPr>
                <w:rFonts w:hAnsi="宋体" w:hint="eastAsia"/>
                <w:kern w:val="2"/>
                <w:sz w:val="21"/>
                <w:szCs w:val="21"/>
              </w:rPr>
              <w:t>Ⅲ</w:t>
            </w:r>
          </w:p>
        </w:tc>
        <w:tc>
          <w:tcPr>
            <w:tcW w:w="1504" w:type="dxa"/>
            <w:vAlign w:val="center"/>
          </w:tcPr>
          <w:p w:rsidR="00BD5820" w:rsidRDefault="00F64314">
            <w:pPr>
              <w:topLinePunct w:val="0"/>
              <w:snapToGrid w:val="0"/>
              <w:spacing w:line="240" w:lineRule="exact"/>
              <w:ind w:firstLineChars="0" w:firstLine="0"/>
              <w:jc w:val="center"/>
              <w:rPr>
                <w:rFonts w:ascii="Times New Roman" w:cs="Times New Roman"/>
                <w:kern w:val="2"/>
                <w:sz w:val="21"/>
                <w:szCs w:val="21"/>
              </w:rPr>
            </w:pPr>
            <w:r>
              <w:rPr>
                <w:rFonts w:hAnsi="宋体" w:hint="eastAsia"/>
                <w:kern w:val="2"/>
                <w:sz w:val="21"/>
                <w:szCs w:val="21"/>
              </w:rPr>
              <w:t>Ⅲ</w:t>
            </w:r>
          </w:p>
        </w:tc>
        <w:tc>
          <w:tcPr>
            <w:tcW w:w="1731" w:type="dxa"/>
            <w:vAlign w:val="center"/>
          </w:tcPr>
          <w:p w:rsidR="00BD5820" w:rsidRDefault="00F64314">
            <w:pPr>
              <w:topLinePunct w:val="0"/>
              <w:snapToGrid w:val="0"/>
              <w:spacing w:line="240" w:lineRule="exact"/>
              <w:ind w:firstLineChars="0" w:firstLine="0"/>
              <w:jc w:val="center"/>
              <w:rPr>
                <w:rFonts w:ascii="Times New Roman" w:cs="Times New Roman"/>
                <w:kern w:val="2"/>
                <w:sz w:val="21"/>
                <w:szCs w:val="21"/>
              </w:rPr>
            </w:pPr>
            <w:r>
              <w:rPr>
                <w:rFonts w:hAnsi="宋体" w:hint="eastAsia"/>
                <w:kern w:val="2"/>
                <w:sz w:val="21"/>
                <w:szCs w:val="21"/>
              </w:rPr>
              <w:t>Ⅱ</w:t>
            </w:r>
          </w:p>
        </w:tc>
      </w:tr>
      <w:tr w:rsidR="00BD5820">
        <w:trPr>
          <w:trHeight w:val="139"/>
          <w:jc w:val="center"/>
        </w:trPr>
        <w:tc>
          <w:tcPr>
            <w:tcW w:w="1962" w:type="dxa"/>
            <w:vAlign w:val="center"/>
          </w:tcPr>
          <w:p w:rsidR="00BD5820" w:rsidRDefault="00F64314">
            <w:pPr>
              <w:topLinePunct w:val="0"/>
              <w:snapToGrid w:val="0"/>
              <w:spacing w:line="240" w:lineRule="exact"/>
              <w:ind w:firstLineChars="0" w:firstLine="0"/>
              <w:jc w:val="center"/>
              <w:rPr>
                <w:rFonts w:ascii="Times New Roman" w:cs="Times New Roman"/>
                <w:kern w:val="2"/>
                <w:sz w:val="21"/>
                <w:szCs w:val="21"/>
              </w:rPr>
            </w:pPr>
            <w:r>
              <w:rPr>
                <w:rFonts w:ascii="Times New Roman" w:cs="Times New Roman"/>
                <w:kern w:val="2"/>
                <w:sz w:val="21"/>
                <w:szCs w:val="21"/>
              </w:rPr>
              <w:t>环境低度敏感区（</w:t>
            </w:r>
            <w:r>
              <w:rPr>
                <w:rFonts w:ascii="Times New Roman" w:cs="Times New Roman"/>
                <w:kern w:val="2"/>
                <w:sz w:val="21"/>
                <w:szCs w:val="21"/>
              </w:rPr>
              <w:t>E3</w:t>
            </w:r>
            <w:r>
              <w:rPr>
                <w:rFonts w:ascii="Times New Roman" w:cs="Times New Roman"/>
                <w:kern w:val="2"/>
                <w:sz w:val="21"/>
                <w:szCs w:val="21"/>
              </w:rPr>
              <w:t>）</w:t>
            </w:r>
          </w:p>
        </w:tc>
        <w:tc>
          <w:tcPr>
            <w:tcW w:w="1598" w:type="dxa"/>
            <w:vAlign w:val="center"/>
          </w:tcPr>
          <w:p w:rsidR="00BD5820" w:rsidRDefault="00F64314">
            <w:pPr>
              <w:topLinePunct w:val="0"/>
              <w:snapToGrid w:val="0"/>
              <w:spacing w:line="240" w:lineRule="exact"/>
              <w:ind w:firstLineChars="0" w:firstLine="0"/>
              <w:jc w:val="center"/>
              <w:rPr>
                <w:rFonts w:ascii="Times New Roman" w:cs="Times New Roman"/>
                <w:kern w:val="2"/>
                <w:sz w:val="21"/>
                <w:szCs w:val="21"/>
              </w:rPr>
            </w:pPr>
            <w:r>
              <w:rPr>
                <w:rFonts w:hAnsi="宋体" w:hint="eastAsia"/>
                <w:kern w:val="2"/>
                <w:sz w:val="21"/>
                <w:szCs w:val="21"/>
              </w:rPr>
              <w:t>Ⅲ</w:t>
            </w:r>
          </w:p>
        </w:tc>
        <w:tc>
          <w:tcPr>
            <w:tcW w:w="1727" w:type="dxa"/>
            <w:vAlign w:val="center"/>
          </w:tcPr>
          <w:p w:rsidR="00BD5820" w:rsidRDefault="00F64314">
            <w:pPr>
              <w:topLinePunct w:val="0"/>
              <w:snapToGrid w:val="0"/>
              <w:spacing w:line="240" w:lineRule="exact"/>
              <w:ind w:firstLineChars="0" w:firstLine="0"/>
              <w:jc w:val="center"/>
              <w:rPr>
                <w:rFonts w:ascii="Times New Roman" w:cs="Times New Roman"/>
                <w:kern w:val="2"/>
                <w:sz w:val="21"/>
                <w:szCs w:val="21"/>
              </w:rPr>
            </w:pPr>
            <w:r>
              <w:rPr>
                <w:rFonts w:hAnsi="宋体" w:hint="eastAsia"/>
                <w:kern w:val="2"/>
                <w:sz w:val="21"/>
                <w:szCs w:val="21"/>
              </w:rPr>
              <w:t>Ⅲ</w:t>
            </w:r>
          </w:p>
        </w:tc>
        <w:tc>
          <w:tcPr>
            <w:tcW w:w="1504" w:type="dxa"/>
            <w:vAlign w:val="center"/>
          </w:tcPr>
          <w:p w:rsidR="00BD5820" w:rsidRDefault="00F64314">
            <w:pPr>
              <w:topLinePunct w:val="0"/>
              <w:snapToGrid w:val="0"/>
              <w:spacing w:line="240" w:lineRule="exact"/>
              <w:ind w:firstLineChars="0" w:firstLine="0"/>
              <w:jc w:val="center"/>
              <w:rPr>
                <w:rFonts w:ascii="Times New Roman" w:cs="Times New Roman"/>
                <w:kern w:val="2"/>
                <w:sz w:val="21"/>
                <w:szCs w:val="21"/>
              </w:rPr>
            </w:pPr>
            <w:r>
              <w:rPr>
                <w:rFonts w:hAnsi="宋体" w:hint="eastAsia"/>
                <w:kern w:val="2"/>
                <w:sz w:val="21"/>
                <w:szCs w:val="21"/>
              </w:rPr>
              <w:t>Ⅱ</w:t>
            </w:r>
          </w:p>
        </w:tc>
        <w:tc>
          <w:tcPr>
            <w:tcW w:w="1731" w:type="dxa"/>
            <w:vAlign w:val="center"/>
          </w:tcPr>
          <w:p w:rsidR="00BD5820" w:rsidRDefault="00F64314">
            <w:pPr>
              <w:topLinePunct w:val="0"/>
              <w:snapToGrid w:val="0"/>
              <w:spacing w:line="240" w:lineRule="exact"/>
              <w:ind w:firstLineChars="0" w:firstLine="0"/>
              <w:jc w:val="center"/>
              <w:rPr>
                <w:rFonts w:ascii="Times New Roman" w:cs="Times New Roman"/>
                <w:kern w:val="2"/>
                <w:sz w:val="21"/>
                <w:szCs w:val="21"/>
              </w:rPr>
            </w:pPr>
            <w:r>
              <w:rPr>
                <w:rFonts w:hAnsi="宋体" w:hint="eastAsia"/>
                <w:kern w:val="2"/>
                <w:sz w:val="21"/>
                <w:szCs w:val="21"/>
              </w:rPr>
              <w:t>Ⅰ</w:t>
            </w:r>
          </w:p>
        </w:tc>
      </w:tr>
      <w:tr w:rsidR="00BD5820">
        <w:trPr>
          <w:jc w:val="center"/>
        </w:trPr>
        <w:tc>
          <w:tcPr>
            <w:tcW w:w="8522" w:type="dxa"/>
            <w:gridSpan w:val="5"/>
            <w:vAlign w:val="center"/>
          </w:tcPr>
          <w:p w:rsidR="00BD5820" w:rsidRDefault="00F64314">
            <w:pPr>
              <w:topLinePunct w:val="0"/>
              <w:snapToGrid w:val="0"/>
              <w:spacing w:line="240" w:lineRule="exact"/>
              <w:ind w:firstLineChars="0" w:firstLine="0"/>
              <w:rPr>
                <w:rFonts w:ascii="Times New Roman" w:cs="Times New Roman"/>
                <w:kern w:val="2"/>
                <w:sz w:val="21"/>
                <w:szCs w:val="21"/>
              </w:rPr>
            </w:pPr>
            <w:r>
              <w:rPr>
                <w:rFonts w:ascii="Times New Roman" w:cs="Times New Roman"/>
                <w:kern w:val="2"/>
                <w:sz w:val="21"/>
                <w:szCs w:val="21"/>
              </w:rPr>
              <w:t>注：</w:t>
            </w:r>
            <w:r>
              <w:rPr>
                <w:rFonts w:hAnsi="宋体" w:hint="eastAsia"/>
                <w:kern w:val="2"/>
                <w:sz w:val="21"/>
                <w:szCs w:val="21"/>
              </w:rPr>
              <w:t>Ⅳ</w:t>
            </w:r>
            <w:r>
              <w:rPr>
                <w:rFonts w:ascii="Times New Roman" w:cs="Times New Roman"/>
                <w:kern w:val="2"/>
                <w:sz w:val="21"/>
                <w:szCs w:val="21"/>
                <w:vertAlign w:val="superscript"/>
              </w:rPr>
              <w:t>+</w:t>
            </w:r>
            <w:r>
              <w:rPr>
                <w:rFonts w:ascii="Times New Roman" w:cs="Times New Roman"/>
                <w:kern w:val="2"/>
                <w:sz w:val="21"/>
                <w:szCs w:val="21"/>
              </w:rPr>
              <w:t>为极高环境风险。</w:t>
            </w:r>
          </w:p>
        </w:tc>
      </w:tr>
    </w:tbl>
    <w:p w:rsidR="00BD5820" w:rsidRDefault="00F64314">
      <w:pPr>
        <w:pStyle w:val="a1"/>
        <w:ind w:firstLine="482"/>
        <w:rPr>
          <w:rFonts w:ascii="Times New Roman" w:cs="Times New Roman"/>
        </w:rPr>
      </w:pPr>
      <w:r>
        <w:rPr>
          <w:rFonts w:ascii="Times New Roman" w:cs="Times New Roman"/>
          <w:b/>
          <w:bCs/>
        </w:rPr>
        <w:t>1</w:t>
      </w:r>
      <w:r>
        <w:rPr>
          <w:rFonts w:ascii="Times New Roman" w:cs="Times New Roman"/>
          <w:b/>
          <w:bCs/>
        </w:rPr>
        <w:t>、</w:t>
      </w:r>
      <w:r>
        <w:rPr>
          <w:rFonts w:ascii="Times New Roman" w:cs="Times New Roman"/>
          <w:b/>
          <w:bCs/>
        </w:rPr>
        <w:t>P</w:t>
      </w:r>
      <w:r>
        <w:rPr>
          <w:rFonts w:ascii="Times New Roman" w:cs="Times New Roman"/>
          <w:b/>
          <w:bCs/>
        </w:rPr>
        <w:t>的分级确定</w:t>
      </w:r>
    </w:p>
    <w:p w:rsidR="00BD5820" w:rsidRDefault="00F64314">
      <w:pPr>
        <w:pStyle w:val="a1"/>
        <w:ind w:firstLine="480"/>
        <w:rPr>
          <w:rFonts w:ascii="Times New Roman" w:cs="Times New Roman"/>
          <w:sz w:val="21"/>
          <w:szCs w:val="21"/>
        </w:rPr>
      </w:pPr>
      <w:r>
        <w:rPr>
          <w:rFonts w:ascii="Times New Roman" w:cs="Times New Roman"/>
        </w:rPr>
        <w:t>危险物质及工艺系统危险性（</w:t>
      </w:r>
      <w:r>
        <w:rPr>
          <w:rFonts w:ascii="Times New Roman" w:cs="Times New Roman"/>
        </w:rPr>
        <w:t>P</w:t>
      </w:r>
      <w:r>
        <w:rPr>
          <w:rFonts w:ascii="Times New Roman" w:cs="Times New Roman"/>
        </w:rPr>
        <w:t>）等级通过定量分析危险物质数量与临近量的比值（</w:t>
      </w:r>
      <w:r>
        <w:rPr>
          <w:rFonts w:ascii="Times New Roman" w:cs="Times New Roman"/>
        </w:rPr>
        <w:t>Q</w:t>
      </w:r>
      <w:r>
        <w:rPr>
          <w:rFonts w:ascii="Times New Roman" w:cs="Times New Roman"/>
        </w:rPr>
        <w:t>）和所属行业及生产工艺特点（</w:t>
      </w:r>
      <w:r>
        <w:rPr>
          <w:rFonts w:ascii="Times New Roman" w:cs="Times New Roman"/>
        </w:rPr>
        <w:t>M</w:t>
      </w:r>
      <w:r>
        <w:rPr>
          <w:rFonts w:ascii="Times New Roman" w:cs="Times New Roman"/>
        </w:rPr>
        <w:t>），再对照</w:t>
      </w:r>
      <w:r>
        <w:rPr>
          <w:rFonts w:ascii="Times New Roman" w:cs="Times New Roman"/>
        </w:rPr>
        <w:t>HJ169-2018</w:t>
      </w:r>
      <w:r>
        <w:rPr>
          <w:rFonts w:ascii="Times New Roman" w:cs="Times New Roman"/>
        </w:rPr>
        <w:t>附录</w:t>
      </w:r>
      <w:r>
        <w:rPr>
          <w:rFonts w:ascii="Times New Roman" w:cs="Times New Roman"/>
        </w:rPr>
        <w:t>C</w:t>
      </w:r>
      <w:r>
        <w:rPr>
          <w:rFonts w:ascii="Times New Roman" w:cs="Times New Roman"/>
        </w:rPr>
        <w:t>中表</w:t>
      </w:r>
      <w:r>
        <w:rPr>
          <w:rFonts w:ascii="Times New Roman" w:cs="Times New Roman"/>
        </w:rPr>
        <w:t>C.2</w:t>
      </w:r>
      <w:r>
        <w:rPr>
          <w:rFonts w:ascii="Times New Roman" w:cs="Times New Roman"/>
        </w:rPr>
        <w:t>，由</w:t>
      </w:r>
      <w:r>
        <w:rPr>
          <w:rFonts w:ascii="Times New Roman" w:cs="Times New Roman"/>
        </w:rPr>
        <w:t>Q</w:t>
      </w:r>
      <w:r>
        <w:rPr>
          <w:rFonts w:ascii="Times New Roman" w:cs="Times New Roman"/>
        </w:rPr>
        <w:t>和</w:t>
      </w:r>
      <w:r>
        <w:rPr>
          <w:rFonts w:ascii="Times New Roman" w:cs="Times New Roman"/>
        </w:rPr>
        <w:t>M</w:t>
      </w:r>
      <w:r>
        <w:rPr>
          <w:rFonts w:ascii="Times New Roman" w:cs="Times New Roman"/>
        </w:rPr>
        <w:t>两项因子确定</w:t>
      </w:r>
      <w:r>
        <w:rPr>
          <w:rFonts w:ascii="Times New Roman" w:cs="Times New Roman"/>
        </w:rPr>
        <w:t>P</w:t>
      </w:r>
      <w:r>
        <w:rPr>
          <w:rFonts w:ascii="Times New Roman" w:cs="Times New Roman"/>
        </w:rPr>
        <w:t>。</w:t>
      </w:r>
    </w:p>
    <w:p w:rsidR="00BD5820" w:rsidRDefault="00F64314">
      <w:pPr>
        <w:pStyle w:val="affa"/>
        <w:ind w:firstLine="482"/>
        <w:rPr>
          <w:b/>
          <w:bCs/>
        </w:rPr>
      </w:pPr>
      <w:r>
        <w:rPr>
          <w:rFonts w:hint="eastAsia"/>
          <w:b/>
          <w:bCs/>
        </w:rPr>
        <w:t>（</w:t>
      </w:r>
      <w:r>
        <w:rPr>
          <w:rFonts w:hint="eastAsia"/>
          <w:b/>
          <w:bCs/>
        </w:rPr>
        <w:t>1</w:t>
      </w:r>
      <w:r>
        <w:rPr>
          <w:rFonts w:hint="eastAsia"/>
          <w:b/>
          <w:bCs/>
        </w:rPr>
        <w:t>）</w:t>
      </w:r>
      <w:r>
        <w:rPr>
          <w:b/>
          <w:bCs/>
        </w:rPr>
        <w:t>危险物质数量与临近量的比值（</w:t>
      </w:r>
      <w:r>
        <w:rPr>
          <w:b/>
          <w:bCs/>
        </w:rPr>
        <w:t>Q</w:t>
      </w:r>
      <w:r>
        <w:rPr>
          <w:b/>
          <w:bCs/>
        </w:rPr>
        <w:t>）</w:t>
      </w:r>
    </w:p>
    <w:p w:rsidR="00BD5820" w:rsidRDefault="00F64314">
      <w:pPr>
        <w:ind w:firstLine="480"/>
        <w:rPr>
          <w:rFonts w:ascii="Times New Roman" w:cs="Times New Roman"/>
        </w:rPr>
      </w:pPr>
      <w:r>
        <w:rPr>
          <w:rFonts w:hAnsi="宋体" w:cs="Times New Roman" w:hint="eastAsia"/>
        </w:rPr>
        <w:t>①</w:t>
      </w:r>
      <w:r>
        <w:rPr>
          <w:rFonts w:ascii="Times New Roman" w:cs="Times New Roman" w:hint="eastAsia"/>
        </w:rPr>
        <w:t>天然气管道在线量</w:t>
      </w:r>
    </w:p>
    <w:p w:rsidR="00BD5820" w:rsidRDefault="00F64314">
      <w:pPr>
        <w:ind w:firstLine="480"/>
        <w:rPr>
          <w:rFonts w:ascii="Times New Roman" w:cs="Times New Roman"/>
        </w:rPr>
      </w:pPr>
      <w:r>
        <w:rPr>
          <w:rFonts w:ascii="Times New Roman" w:cs="Times New Roman"/>
        </w:rPr>
        <w:t>天然气最大在线量</w:t>
      </w:r>
      <w:r>
        <w:rPr>
          <w:rFonts w:ascii="Times New Roman" w:cs="Times New Roman"/>
        </w:rPr>
        <w:t>=</w:t>
      </w:r>
      <w:r>
        <w:rPr>
          <w:rFonts w:ascii="Times New Roman" w:cs="Times New Roman"/>
        </w:rPr>
        <w:t>天然气密度</w:t>
      </w:r>
      <w:r>
        <w:rPr>
          <w:rFonts w:ascii="Times New Roman" w:cs="Times New Roman"/>
        </w:rPr>
        <w:t>*</w:t>
      </w:r>
      <w:r>
        <w:rPr>
          <w:rFonts w:ascii="Times New Roman" w:cs="Times New Roman"/>
        </w:rPr>
        <w:t>截面积</w:t>
      </w:r>
      <w:r>
        <w:rPr>
          <w:rFonts w:ascii="Times New Roman" w:cs="Times New Roman"/>
        </w:rPr>
        <w:t>*</w:t>
      </w:r>
      <w:r>
        <w:rPr>
          <w:rFonts w:ascii="Times New Roman" w:cs="Times New Roman"/>
        </w:rPr>
        <w:t>管道长度</w:t>
      </w:r>
      <w:r>
        <w:rPr>
          <w:rFonts w:ascii="Times New Roman" w:cs="Times New Roman"/>
        </w:rPr>
        <w:t>*</w:t>
      </w:r>
      <w:r>
        <w:rPr>
          <w:rFonts w:ascii="Times New Roman" w:cs="Times New Roman"/>
        </w:rPr>
        <w:t>压力倍数（压力倍数</w:t>
      </w:r>
      <w:r>
        <w:rPr>
          <w:rFonts w:ascii="Times New Roman" w:cs="Times New Roman"/>
        </w:rPr>
        <w:t>=</w:t>
      </w:r>
      <w:r>
        <w:rPr>
          <w:rFonts w:ascii="Times New Roman" w:cs="Times New Roman"/>
        </w:rPr>
        <w:t>运行压力</w:t>
      </w:r>
      <w:r>
        <w:rPr>
          <w:rFonts w:ascii="Times New Roman" w:cs="Times New Roman"/>
        </w:rPr>
        <w:t>/</w:t>
      </w:r>
      <w:r>
        <w:rPr>
          <w:rFonts w:ascii="Times New Roman" w:cs="Times New Roman"/>
        </w:rPr>
        <w:t>大气压）</w:t>
      </w:r>
    </w:p>
    <w:p w:rsidR="00BD5820" w:rsidRDefault="00F64314">
      <w:pPr>
        <w:ind w:firstLine="480"/>
        <w:rPr>
          <w:rFonts w:ascii="Times New Roman" w:cs="Times New Roman"/>
        </w:rPr>
      </w:pPr>
      <w:r>
        <w:rPr>
          <w:rFonts w:ascii="Times New Roman" w:cs="Times New Roman"/>
        </w:rPr>
        <w:lastRenderedPageBreak/>
        <w:t>管道长度为新建</w:t>
      </w:r>
      <w:r>
        <w:rPr>
          <w:rFonts w:ascii="Times New Roman" w:cs="Times New Roman" w:hint="eastAsia"/>
        </w:rPr>
        <w:t>P106-P104-1#</w:t>
      </w:r>
      <w:r>
        <w:rPr>
          <w:rFonts w:ascii="Times New Roman" w:cs="Times New Roman" w:hint="eastAsia"/>
        </w:rPr>
        <w:t>增压站集输管道</w:t>
      </w:r>
      <w:r>
        <w:rPr>
          <w:rFonts w:ascii="Times New Roman" w:cs="Times New Roman"/>
        </w:rPr>
        <w:t>的长度。</w:t>
      </w:r>
    </w:p>
    <w:p w:rsidR="00BD5820" w:rsidRDefault="00F64314">
      <w:pPr>
        <w:ind w:firstLine="480"/>
        <w:rPr>
          <w:rFonts w:ascii="Times New Roman" w:cs="Times New Roman"/>
        </w:rPr>
      </w:pPr>
      <w:r>
        <w:rPr>
          <w:rFonts w:ascii="Times New Roman" w:cs="Times New Roman"/>
        </w:rPr>
        <w:t>酸气管道：新建</w:t>
      </w:r>
      <w:r>
        <w:rPr>
          <w:rFonts w:ascii="Times New Roman" w:cs="Times New Roman" w:hint="eastAsia"/>
        </w:rPr>
        <w:t>P106-P104-1#</w:t>
      </w:r>
      <w:r>
        <w:rPr>
          <w:rFonts w:ascii="Times New Roman" w:cs="Times New Roman" w:hint="eastAsia"/>
        </w:rPr>
        <w:t>增压站集输管道</w:t>
      </w:r>
      <w:r>
        <w:rPr>
          <w:rFonts w:ascii="Times New Roman" w:cs="Times New Roman"/>
        </w:rPr>
        <w:t>段天然气密度为</w:t>
      </w:r>
      <w:r>
        <w:rPr>
          <w:rFonts w:ascii="Times New Roman" w:cs="Times New Roman"/>
        </w:rPr>
        <w:t>0.7012kg/m</w:t>
      </w:r>
      <w:r>
        <w:rPr>
          <w:rFonts w:ascii="Times New Roman" w:cs="Times New Roman"/>
          <w:vertAlign w:val="superscript"/>
        </w:rPr>
        <w:t>3</w:t>
      </w:r>
      <w:r>
        <w:rPr>
          <w:rFonts w:ascii="Times New Roman" w:cs="Times New Roman"/>
        </w:rPr>
        <w:t>，截面积为</w:t>
      </w:r>
      <w:r>
        <w:rPr>
          <w:rFonts w:ascii="Times New Roman" w:cs="Times New Roman"/>
        </w:rPr>
        <w:t>0.0177m</w:t>
      </w:r>
      <w:r>
        <w:rPr>
          <w:rFonts w:ascii="Times New Roman" w:cs="Times New Roman"/>
          <w:vertAlign w:val="superscript"/>
        </w:rPr>
        <w:t>2</w:t>
      </w:r>
      <w:r>
        <w:rPr>
          <w:rFonts w:ascii="Times New Roman" w:cs="Times New Roman"/>
        </w:rPr>
        <w:t>，酸气管道长</w:t>
      </w:r>
      <w:r>
        <w:rPr>
          <w:rFonts w:ascii="Times New Roman" w:cs="Times New Roman" w:hint="eastAsia"/>
        </w:rPr>
        <w:t>4.1</w:t>
      </w:r>
      <w:r>
        <w:rPr>
          <w:rFonts w:ascii="Times New Roman" w:cs="Times New Roman"/>
        </w:rPr>
        <w:t>km</w:t>
      </w:r>
      <w:r>
        <w:rPr>
          <w:rFonts w:ascii="Times New Roman" w:cs="Times New Roman"/>
        </w:rPr>
        <w:t>，压力倍数为</w:t>
      </w:r>
      <w:r>
        <w:rPr>
          <w:rFonts w:ascii="Times New Roman" w:cs="Times New Roman"/>
        </w:rPr>
        <w:t>90.8</w:t>
      </w:r>
      <w:r>
        <w:rPr>
          <w:rFonts w:ascii="Times New Roman" w:cs="Times New Roman"/>
        </w:rPr>
        <w:t>，</w:t>
      </w:r>
      <w:r>
        <w:rPr>
          <w:rFonts w:ascii="Times New Roman" w:cs="Times New Roman" w:hint="eastAsia"/>
        </w:rPr>
        <w:t>因此</w:t>
      </w:r>
      <w:r>
        <w:rPr>
          <w:rFonts w:ascii="Times New Roman" w:cs="Times New Roman"/>
        </w:rPr>
        <w:t>天然气最大在线量约为</w:t>
      </w:r>
      <w:r>
        <w:rPr>
          <w:rFonts w:ascii="Times New Roman" w:cs="Times New Roman" w:hint="eastAsia"/>
        </w:rPr>
        <w:t>10781.09</w:t>
      </w:r>
      <w:r>
        <w:rPr>
          <w:rFonts w:ascii="Times New Roman" w:cs="Times New Roman"/>
        </w:rPr>
        <w:t>kg</w:t>
      </w:r>
      <w:r>
        <w:rPr>
          <w:rFonts w:ascii="Times New Roman" w:cs="Times New Roman"/>
        </w:rPr>
        <w:t>。</w:t>
      </w:r>
    </w:p>
    <w:p w:rsidR="00BD5820" w:rsidRDefault="00F64314">
      <w:pPr>
        <w:ind w:firstLine="480"/>
        <w:rPr>
          <w:rFonts w:ascii="Times New Roman" w:cs="Times New Roman"/>
        </w:rPr>
      </w:pPr>
      <w:r>
        <w:rPr>
          <w:rFonts w:hAnsi="宋体" w:cs="Times New Roman" w:hint="eastAsia"/>
        </w:rPr>
        <w:t>②</w:t>
      </w:r>
      <w:r>
        <w:rPr>
          <w:rFonts w:ascii="Times New Roman" w:cs="Times New Roman" w:hint="eastAsia"/>
        </w:rPr>
        <w:t>本项目站场</w:t>
      </w:r>
      <w:r>
        <w:rPr>
          <w:rFonts w:ascii="Times New Roman" w:cs="Times New Roman" w:hint="eastAsia"/>
          <w:bCs/>
        </w:rPr>
        <w:t>共</w:t>
      </w:r>
      <w:r>
        <w:rPr>
          <w:rFonts w:ascii="Times New Roman" w:cs="Times New Roman" w:hint="eastAsia"/>
        </w:rPr>
        <w:t>设置</w:t>
      </w:r>
      <w:r>
        <w:rPr>
          <w:rFonts w:ascii="Times New Roman" w:cs="Times New Roman" w:hint="eastAsia"/>
        </w:rPr>
        <w:t>2</w:t>
      </w:r>
      <w:r>
        <w:rPr>
          <w:rFonts w:ascii="Times New Roman" w:cs="Times New Roman" w:hint="eastAsia"/>
        </w:rPr>
        <w:t>个润滑油储罐，容积均为</w:t>
      </w:r>
      <w:r>
        <w:rPr>
          <w:rFonts w:ascii="Times New Roman" w:cs="Times New Roman" w:hint="eastAsia"/>
        </w:rPr>
        <w:t>11.304m</w:t>
      </w:r>
      <w:r>
        <w:rPr>
          <w:rFonts w:ascii="Times New Roman" w:cs="Times New Roman" w:hint="eastAsia"/>
          <w:vertAlign w:val="superscript"/>
        </w:rPr>
        <w:t>3</w:t>
      </w:r>
      <w:r>
        <w:rPr>
          <w:rFonts w:ascii="Times New Roman" w:cs="Times New Roman" w:hint="eastAsia"/>
        </w:rPr>
        <w:t>，润滑油密度为</w:t>
      </w:r>
      <w:r>
        <w:rPr>
          <w:rFonts w:ascii="Times New Roman" w:cs="Times New Roman" w:hint="eastAsia"/>
        </w:rPr>
        <w:t>860kg/m</w:t>
      </w:r>
      <w:r>
        <w:rPr>
          <w:rFonts w:ascii="Times New Roman" w:cs="Times New Roman" w:hint="eastAsia"/>
          <w:vertAlign w:val="superscript"/>
        </w:rPr>
        <w:t>3</w:t>
      </w:r>
      <w:r>
        <w:rPr>
          <w:rFonts w:ascii="Times New Roman" w:cs="Times New Roman" w:hint="eastAsia"/>
        </w:rPr>
        <w:t>，润滑油最大储存量约为</w:t>
      </w:r>
      <w:r>
        <w:rPr>
          <w:rFonts w:ascii="Times New Roman" w:cs="Times New Roman" w:hint="eastAsia"/>
        </w:rPr>
        <w:t>19.44288t</w:t>
      </w:r>
      <w:r>
        <w:rPr>
          <w:rFonts w:ascii="Times New Roman" w:cs="Times New Roman" w:hint="eastAsia"/>
        </w:rPr>
        <w:t>。</w:t>
      </w:r>
    </w:p>
    <w:p w:rsidR="00BD5820" w:rsidRDefault="00F64314">
      <w:pPr>
        <w:pStyle w:val="affa"/>
        <w:ind w:firstLine="480"/>
      </w:pPr>
      <w:r>
        <w:t>根据《建设项目环境风险评价技术导则》（</w:t>
      </w:r>
      <w:r>
        <w:t>HJ169-2018</w:t>
      </w:r>
      <w:r>
        <w:t>）中关于环境风险评价工作等级的划分方法，</w:t>
      </w:r>
      <w:r>
        <w:rPr>
          <w:rFonts w:hint="eastAsia"/>
        </w:rPr>
        <w:t>本项目</w:t>
      </w:r>
      <w:r w:rsidR="00E153CC">
        <w:t>酸气管线输送的介质为含硫天然气</w:t>
      </w:r>
      <w:r>
        <w:t>，项目涉及的主要危险有害物质为甲烷、硫化氢和</w:t>
      </w:r>
      <w:r>
        <w:rPr>
          <w:rFonts w:hint="eastAsia"/>
        </w:rPr>
        <w:t>气田水</w:t>
      </w:r>
      <w:r>
        <w:t>。由于</w:t>
      </w:r>
      <w:r>
        <w:rPr>
          <w:rFonts w:hint="eastAsia"/>
        </w:rPr>
        <w:t>气田水</w:t>
      </w:r>
      <w:r>
        <w:t>不属于《建设项目风险评价技术导则》（</w:t>
      </w:r>
      <w:r>
        <w:t>HJ169-2018</w:t>
      </w:r>
      <w:r>
        <w:t>），附录</w:t>
      </w:r>
      <w:r>
        <w:t>B</w:t>
      </w:r>
      <w:r>
        <w:t>中重点关注的危险物质，根据分析</w:t>
      </w:r>
      <w:r>
        <w:rPr>
          <w:rFonts w:hint="eastAsia"/>
        </w:rPr>
        <w:t>气田水</w:t>
      </w:r>
      <w:r>
        <w:t>属于危害水环境物质，但不属于急性毒性类别</w:t>
      </w:r>
      <w:r>
        <w:t>1</w:t>
      </w:r>
      <w:r>
        <w:t>中物质。故不作为环境风险等级判定物质，本次评价仅对其在储存过程中的风险提出措施。</w:t>
      </w:r>
    </w:p>
    <w:p w:rsidR="00BD5820" w:rsidRDefault="00F64314">
      <w:pPr>
        <w:pStyle w:val="10"/>
        <w:ind w:firstLine="480"/>
        <w:rPr>
          <w:rFonts w:cs="Times New Roman"/>
        </w:rPr>
      </w:pPr>
      <w:r>
        <w:rPr>
          <w:rFonts w:cs="Times New Roman"/>
        </w:rPr>
        <w:t>表</w:t>
      </w:r>
      <w:r>
        <w:rPr>
          <w:rFonts w:cs="Times New Roman"/>
        </w:rPr>
        <w:t>7.4-</w:t>
      </w:r>
      <w:r>
        <w:rPr>
          <w:rFonts w:cs="Times New Roman" w:hint="eastAsia"/>
        </w:rPr>
        <w:t>2</w:t>
      </w:r>
      <w:r>
        <w:rPr>
          <w:rFonts w:cs="Times New Roman"/>
        </w:rPr>
        <w:t xml:space="preserve">  </w:t>
      </w:r>
      <w:r>
        <w:rPr>
          <w:rFonts w:cs="Times New Roman"/>
        </w:rPr>
        <w:t>本项目评价单元危险物质最大存在量</w:t>
      </w:r>
    </w:p>
    <w:tbl>
      <w:tblPr>
        <w:tblW w:w="8495"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1008"/>
        <w:gridCol w:w="1686"/>
        <w:gridCol w:w="1417"/>
        <w:gridCol w:w="2977"/>
        <w:gridCol w:w="1407"/>
      </w:tblGrid>
      <w:tr w:rsidR="00BD5820">
        <w:trPr>
          <w:trHeight w:val="29"/>
          <w:jc w:val="center"/>
        </w:trPr>
        <w:tc>
          <w:tcPr>
            <w:tcW w:w="1008" w:type="dxa"/>
            <w:tcBorders>
              <w:tl2br w:val="nil"/>
              <w:tr2bl w:val="nil"/>
            </w:tcBorders>
            <w:shd w:val="clear" w:color="auto" w:fill="auto"/>
            <w:vAlign w:val="center"/>
          </w:tcPr>
          <w:p w:rsidR="00BD5820" w:rsidRDefault="00F64314">
            <w:pPr>
              <w:pStyle w:val="afff1"/>
              <w:rPr>
                <w:b/>
                <w:bCs/>
              </w:rPr>
            </w:pPr>
            <w:r>
              <w:rPr>
                <w:b/>
                <w:bCs/>
              </w:rPr>
              <w:t>序号</w:t>
            </w:r>
          </w:p>
        </w:tc>
        <w:tc>
          <w:tcPr>
            <w:tcW w:w="1686" w:type="dxa"/>
            <w:tcBorders>
              <w:tl2br w:val="nil"/>
              <w:tr2bl w:val="nil"/>
            </w:tcBorders>
            <w:shd w:val="clear" w:color="auto" w:fill="auto"/>
            <w:vAlign w:val="center"/>
          </w:tcPr>
          <w:p w:rsidR="00BD5820" w:rsidRDefault="00F64314">
            <w:pPr>
              <w:pStyle w:val="afff1"/>
              <w:rPr>
                <w:b/>
                <w:bCs/>
              </w:rPr>
            </w:pPr>
            <w:r>
              <w:rPr>
                <w:b/>
                <w:bCs/>
              </w:rPr>
              <w:t>名称</w:t>
            </w:r>
          </w:p>
        </w:tc>
        <w:tc>
          <w:tcPr>
            <w:tcW w:w="1417" w:type="dxa"/>
            <w:tcBorders>
              <w:tl2br w:val="nil"/>
              <w:tr2bl w:val="nil"/>
            </w:tcBorders>
            <w:shd w:val="clear" w:color="auto" w:fill="auto"/>
            <w:vAlign w:val="center"/>
          </w:tcPr>
          <w:p w:rsidR="00BD5820" w:rsidRDefault="00F64314">
            <w:pPr>
              <w:pStyle w:val="afff1"/>
              <w:rPr>
                <w:b/>
                <w:bCs/>
              </w:rPr>
            </w:pPr>
            <w:r>
              <w:rPr>
                <w:b/>
                <w:bCs/>
              </w:rPr>
              <w:t>距离（</w:t>
            </w:r>
            <w:r>
              <w:rPr>
                <w:b/>
                <w:bCs/>
              </w:rPr>
              <w:t>km</w:t>
            </w:r>
            <w:r>
              <w:rPr>
                <w:b/>
                <w:bCs/>
              </w:rPr>
              <w:t>）</w:t>
            </w:r>
          </w:p>
        </w:tc>
        <w:tc>
          <w:tcPr>
            <w:tcW w:w="2977" w:type="dxa"/>
            <w:tcBorders>
              <w:tl2br w:val="nil"/>
              <w:tr2bl w:val="nil"/>
            </w:tcBorders>
            <w:shd w:val="clear" w:color="auto" w:fill="auto"/>
            <w:vAlign w:val="center"/>
          </w:tcPr>
          <w:p w:rsidR="00BD5820" w:rsidRDefault="00F64314">
            <w:pPr>
              <w:pStyle w:val="afff1"/>
              <w:rPr>
                <w:b/>
                <w:bCs/>
              </w:rPr>
            </w:pPr>
            <w:r>
              <w:rPr>
                <w:b/>
                <w:bCs/>
              </w:rPr>
              <w:t>危险物质最大存在总量（</w:t>
            </w:r>
            <w:r>
              <w:rPr>
                <w:rFonts w:hint="eastAsia"/>
                <w:b/>
                <w:bCs/>
              </w:rPr>
              <w:t>t</w:t>
            </w:r>
            <w:r>
              <w:rPr>
                <w:b/>
                <w:bCs/>
              </w:rPr>
              <w:t>）</w:t>
            </w:r>
          </w:p>
        </w:tc>
        <w:tc>
          <w:tcPr>
            <w:tcW w:w="1407" w:type="dxa"/>
            <w:tcBorders>
              <w:tl2br w:val="nil"/>
              <w:tr2bl w:val="nil"/>
            </w:tcBorders>
            <w:shd w:val="clear" w:color="auto" w:fill="auto"/>
            <w:vAlign w:val="center"/>
          </w:tcPr>
          <w:p w:rsidR="00BD5820" w:rsidRDefault="00F64314">
            <w:pPr>
              <w:pStyle w:val="afff1"/>
              <w:rPr>
                <w:b/>
                <w:bCs/>
              </w:rPr>
            </w:pPr>
            <w:r>
              <w:rPr>
                <w:b/>
                <w:bCs/>
              </w:rPr>
              <w:t>备注</w:t>
            </w:r>
          </w:p>
        </w:tc>
      </w:tr>
      <w:tr w:rsidR="00BD5820">
        <w:trPr>
          <w:trHeight w:val="29"/>
          <w:jc w:val="center"/>
        </w:trPr>
        <w:tc>
          <w:tcPr>
            <w:tcW w:w="1008" w:type="dxa"/>
            <w:tcBorders>
              <w:tl2br w:val="nil"/>
              <w:tr2bl w:val="nil"/>
            </w:tcBorders>
            <w:shd w:val="clear" w:color="auto" w:fill="auto"/>
            <w:vAlign w:val="center"/>
          </w:tcPr>
          <w:p w:rsidR="00BD5820" w:rsidRDefault="00F64314">
            <w:pPr>
              <w:pStyle w:val="afff1"/>
            </w:pPr>
            <w:r>
              <w:t>1</w:t>
            </w:r>
          </w:p>
        </w:tc>
        <w:tc>
          <w:tcPr>
            <w:tcW w:w="1686" w:type="dxa"/>
            <w:tcBorders>
              <w:tl2br w:val="nil"/>
              <w:tr2bl w:val="nil"/>
            </w:tcBorders>
            <w:shd w:val="clear" w:color="auto" w:fill="auto"/>
            <w:vAlign w:val="center"/>
          </w:tcPr>
          <w:p w:rsidR="00BD5820" w:rsidRDefault="00F64314">
            <w:pPr>
              <w:pStyle w:val="afff1"/>
            </w:pPr>
            <w:r>
              <w:t>酸气管道</w:t>
            </w:r>
          </w:p>
        </w:tc>
        <w:tc>
          <w:tcPr>
            <w:tcW w:w="1417" w:type="dxa"/>
            <w:tcBorders>
              <w:tl2br w:val="nil"/>
              <w:tr2bl w:val="nil"/>
            </w:tcBorders>
            <w:shd w:val="clear" w:color="auto" w:fill="auto"/>
            <w:vAlign w:val="center"/>
          </w:tcPr>
          <w:p w:rsidR="00BD5820" w:rsidRPr="00891507" w:rsidRDefault="00891507">
            <w:pPr>
              <w:pStyle w:val="afff1"/>
              <w:rPr>
                <w:color w:val="FF0000"/>
              </w:rPr>
            </w:pPr>
            <w:r w:rsidRPr="00891507">
              <w:rPr>
                <w:rFonts w:hint="eastAsia"/>
                <w:color w:val="FF0000"/>
              </w:rPr>
              <w:t>4.1</w:t>
            </w:r>
          </w:p>
        </w:tc>
        <w:tc>
          <w:tcPr>
            <w:tcW w:w="2977" w:type="dxa"/>
            <w:tcBorders>
              <w:tl2br w:val="nil"/>
              <w:tr2bl w:val="nil"/>
            </w:tcBorders>
            <w:shd w:val="clear" w:color="auto" w:fill="auto"/>
            <w:vAlign w:val="center"/>
          </w:tcPr>
          <w:p w:rsidR="00BD5820" w:rsidRDefault="00F64314">
            <w:pPr>
              <w:pStyle w:val="afff1"/>
            </w:pPr>
            <w:r>
              <w:rPr>
                <w:rFonts w:hint="eastAsia"/>
              </w:rPr>
              <w:t xml:space="preserve">10.78109 </w:t>
            </w:r>
          </w:p>
        </w:tc>
        <w:tc>
          <w:tcPr>
            <w:tcW w:w="1407" w:type="dxa"/>
            <w:tcBorders>
              <w:tl2br w:val="nil"/>
              <w:tr2bl w:val="nil"/>
            </w:tcBorders>
            <w:shd w:val="clear" w:color="auto" w:fill="auto"/>
            <w:vAlign w:val="center"/>
          </w:tcPr>
          <w:p w:rsidR="00BD5820" w:rsidRDefault="00F64314">
            <w:pPr>
              <w:pStyle w:val="afff1"/>
            </w:pPr>
            <w:r>
              <w:t>天然气</w:t>
            </w:r>
          </w:p>
        </w:tc>
      </w:tr>
      <w:tr w:rsidR="00BD5820">
        <w:trPr>
          <w:trHeight w:val="64"/>
          <w:jc w:val="center"/>
        </w:trPr>
        <w:tc>
          <w:tcPr>
            <w:tcW w:w="1008" w:type="dxa"/>
            <w:tcBorders>
              <w:tl2br w:val="nil"/>
              <w:tr2bl w:val="nil"/>
            </w:tcBorders>
            <w:shd w:val="clear" w:color="auto" w:fill="auto"/>
            <w:vAlign w:val="center"/>
          </w:tcPr>
          <w:p w:rsidR="00BD5820" w:rsidRDefault="00F64314">
            <w:pPr>
              <w:pStyle w:val="afff1"/>
            </w:pPr>
            <w:r>
              <w:t>2</w:t>
            </w:r>
          </w:p>
        </w:tc>
        <w:tc>
          <w:tcPr>
            <w:tcW w:w="1686" w:type="dxa"/>
            <w:tcBorders>
              <w:tl2br w:val="nil"/>
              <w:tr2bl w:val="nil"/>
            </w:tcBorders>
            <w:shd w:val="clear" w:color="auto" w:fill="auto"/>
            <w:vAlign w:val="center"/>
          </w:tcPr>
          <w:p w:rsidR="00BD5820" w:rsidRDefault="00F64314">
            <w:pPr>
              <w:pStyle w:val="afff1"/>
            </w:pPr>
            <w:r>
              <w:t>润滑油储罐</w:t>
            </w:r>
          </w:p>
        </w:tc>
        <w:tc>
          <w:tcPr>
            <w:tcW w:w="1417" w:type="dxa"/>
            <w:tcBorders>
              <w:tl2br w:val="nil"/>
              <w:tr2bl w:val="nil"/>
            </w:tcBorders>
            <w:shd w:val="clear" w:color="auto" w:fill="auto"/>
            <w:vAlign w:val="center"/>
          </w:tcPr>
          <w:p w:rsidR="00BD5820" w:rsidRDefault="00F64314">
            <w:pPr>
              <w:pStyle w:val="afff1"/>
            </w:pPr>
            <w:r>
              <w:rPr>
                <w:rFonts w:hint="eastAsia"/>
              </w:rPr>
              <w:t>/</w:t>
            </w:r>
          </w:p>
        </w:tc>
        <w:tc>
          <w:tcPr>
            <w:tcW w:w="2977" w:type="dxa"/>
            <w:tcBorders>
              <w:tl2br w:val="nil"/>
              <w:tr2bl w:val="nil"/>
            </w:tcBorders>
            <w:shd w:val="clear" w:color="auto" w:fill="auto"/>
            <w:vAlign w:val="center"/>
          </w:tcPr>
          <w:p w:rsidR="00BD5820" w:rsidRDefault="00F64314">
            <w:pPr>
              <w:pStyle w:val="afff1"/>
            </w:pPr>
            <w:r>
              <w:rPr>
                <w:rFonts w:hint="eastAsia"/>
              </w:rPr>
              <w:t>19.44288</w:t>
            </w:r>
          </w:p>
        </w:tc>
        <w:tc>
          <w:tcPr>
            <w:tcW w:w="1407" w:type="dxa"/>
            <w:tcBorders>
              <w:tl2br w:val="nil"/>
              <w:tr2bl w:val="nil"/>
            </w:tcBorders>
            <w:shd w:val="clear" w:color="auto" w:fill="auto"/>
            <w:vAlign w:val="center"/>
          </w:tcPr>
          <w:p w:rsidR="00BD5820" w:rsidRDefault="00F64314">
            <w:pPr>
              <w:pStyle w:val="afff1"/>
            </w:pPr>
            <w:r>
              <w:t>润滑油</w:t>
            </w:r>
          </w:p>
        </w:tc>
      </w:tr>
    </w:tbl>
    <w:p w:rsidR="00BD5820" w:rsidRDefault="00F64314">
      <w:pPr>
        <w:ind w:firstLine="480"/>
        <w:rPr>
          <w:rFonts w:ascii="Times New Roman" w:cs="Times New Roman"/>
        </w:rPr>
      </w:pPr>
      <w:r>
        <w:rPr>
          <w:rFonts w:ascii="Times New Roman" w:cs="Times New Roman"/>
        </w:rPr>
        <w:t>当存在多种危险物质时，则按下式计算物质总量与其临界量比值（</w:t>
      </w:r>
      <w:r>
        <w:rPr>
          <w:rFonts w:ascii="Times New Roman" w:cs="Times New Roman"/>
          <w:i/>
        </w:rPr>
        <w:t>Q</w:t>
      </w:r>
      <w:r>
        <w:rPr>
          <w:rFonts w:ascii="Times New Roman" w:cs="Times New Roman"/>
        </w:rPr>
        <w:t>）：</w:t>
      </w:r>
    </w:p>
    <w:p w:rsidR="00BD5820" w:rsidRDefault="00F64314" w:rsidP="00511129">
      <w:pPr>
        <w:spacing w:beforeLines="50" w:afterLines="50"/>
        <w:ind w:firstLine="480"/>
        <w:rPr>
          <w:rFonts w:ascii="Times New Roman" w:cs="Times New Roman"/>
          <w:i/>
        </w:rPr>
      </w:pPr>
      <m:oMathPara>
        <m:oMath>
          <m:r>
            <w:rPr>
              <w:rFonts w:ascii="Cambria Math" w:hAnsi="Cambria Math" w:cs="Times New Roman"/>
            </w:rPr>
            <m:t>Q=</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1</m:t>
                  </m:r>
                </m:sub>
              </m:sSub>
            </m:num>
            <m:den>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1</m:t>
                  </m:r>
                </m:sub>
              </m:sSub>
            </m:den>
          </m:f>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2</m:t>
                  </m:r>
                </m:sub>
              </m:sSub>
            </m:num>
            <m:den>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2</m:t>
                  </m:r>
                </m:sub>
              </m:sSub>
            </m:den>
          </m:f>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n</m:t>
                  </m:r>
                </m:sub>
              </m:sSub>
            </m:num>
            <m:den>
              <m:sSub>
                <m:sSubPr>
                  <m:ctrlPr>
                    <w:rPr>
                      <w:rFonts w:ascii="Cambria Math" w:hAnsi="Cambria Math" w:cs="Times New Roman"/>
                      <w:i/>
                    </w:rPr>
                  </m:ctrlPr>
                </m:sSubPr>
                <m:e>
                  <m:r>
                    <w:rPr>
                      <w:rFonts w:ascii="Cambria Math" w:hAnsi="Cambria Math" w:cs="Times New Roman"/>
                    </w:rPr>
                    <m:t>Q</m:t>
                  </m:r>
                </m:e>
                <m:sub>
                  <m:r>
                    <w:rPr>
                      <w:rFonts w:ascii="Cambria Math" w:hAnsi="Cambria Math" w:cs="Times New Roman"/>
                    </w:rPr>
                    <m:t>n</m:t>
                  </m:r>
                </m:sub>
              </m:sSub>
            </m:den>
          </m:f>
        </m:oMath>
      </m:oMathPara>
    </w:p>
    <w:p w:rsidR="00BD5820" w:rsidRDefault="00F64314">
      <w:pPr>
        <w:snapToGrid w:val="0"/>
        <w:ind w:firstLine="480"/>
        <w:rPr>
          <w:rFonts w:ascii="Times New Roman" w:cs="Times New Roman"/>
        </w:rPr>
      </w:pPr>
      <w:r>
        <w:rPr>
          <w:rFonts w:ascii="Times New Roman" w:cs="Times New Roman"/>
        </w:rPr>
        <w:t>式中：</w:t>
      </w:r>
      <w:r>
        <w:rPr>
          <w:rFonts w:ascii="Times New Roman" w:cs="Times New Roman"/>
          <w:i/>
        </w:rPr>
        <w:t>q</w:t>
      </w:r>
      <w:r>
        <w:rPr>
          <w:rFonts w:ascii="Times New Roman" w:cs="Times New Roman"/>
          <w:i/>
          <w:vertAlign w:val="subscript"/>
        </w:rPr>
        <w:t>1</w:t>
      </w:r>
      <w:r>
        <w:rPr>
          <w:rFonts w:ascii="Times New Roman" w:cs="Times New Roman"/>
          <w:i/>
        </w:rPr>
        <w:t>、</w:t>
      </w:r>
      <w:r>
        <w:rPr>
          <w:rFonts w:ascii="Times New Roman" w:cs="Times New Roman"/>
          <w:i/>
        </w:rPr>
        <w:t>q</w:t>
      </w:r>
      <w:r>
        <w:rPr>
          <w:rFonts w:ascii="Times New Roman" w:cs="Times New Roman"/>
          <w:i/>
          <w:vertAlign w:val="subscript"/>
        </w:rPr>
        <w:t>2</w:t>
      </w:r>
      <w:r>
        <w:rPr>
          <w:rFonts w:ascii="Times New Roman" w:cs="Times New Roman"/>
          <w:i/>
        </w:rPr>
        <w:t>…q</w:t>
      </w:r>
      <w:r>
        <w:rPr>
          <w:rFonts w:ascii="Times New Roman" w:cs="Times New Roman"/>
          <w:i/>
          <w:vertAlign w:val="subscript"/>
        </w:rPr>
        <w:t>n</w:t>
      </w:r>
      <w:r>
        <w:rPr>
          <w:rFonts w:ascii="Times New Roman" w:cs="Times New Roman"/>
        </w:rPr>
        <w:t>——</w:t>
      </w:r>
      <w:r>
        <w:rPr>
          <w:rFonts w:ascii="Times New Roman" w:cs="Times New Roman"/>
        </w:rPr>
        <w:t>每种危险物质的最大存在总量，</w:t>
      </w:r>
      <w:r>
        <w:rPr>
          <w:rFonts w:ascii="Times New Roman" w:cs="Times New Roman"/>
        </w:rPr>
        <w:t>t</w:t>
      </w:r>
      <w:r>
        <w:rPr>
          <w:rFonts w:ascii="Times New Roman" w:cs="Times New Roman"/>
        </w:rPr>
        <w:t>；</w:t>
      </w:r>
    </w:p>
    <w:p w:rsidR="00BD5820" w:rsidRDefault="00F64314">
      <w:pPr>
        <w:snapToGrid w:val="0"/>
        <w:ind w:firstLine="480"/>
        <w:rPr>
          <w:rFonts w:ascii="Times New Roman" w:cs="Times New Roman"/>
        </w:rPr>
      </w:pPr>
      <w:r>
        <w:rPr>
          <w:rFonts w:ascii="Times New Roman" w:cs="Times New Roman"/>
        </w:rPr>
        <w:t xml:space="preserve">      </w:t>
      </w:r>
      <w:r>
        <w:rPr>
          <w:rFonts w:ascii="Times New Roman" w:cs="Times New Roman"/>
          <w:i/>
        </w:rPr>
        <w:t>Q</w:t>
      </w:r>
      <w:r>
        <w:rPr>
          <w:rFonts w:ascii="Times New Roman" w:cs="Times New Roman"/>
          <w:i/>
          <w:vertAlign w:val="subscript"/>
        </w:rPr>
        <w:t>1</w:t>
      </w:r>
      <w:r>
        <w:rPr>
          <w:rFonts w:ascii="Times New Roman" w:cs="Times New Roman"/>
          <w:i/>
        </w:rPr>
        <w:t>、</w:t>
      </w:r>
      <w:r>
        <w:rPr>
          <w:rFonts w:ascii="Times New Roman" w:cs="Times New Roman"/>
          <w:i/>
        </w:rPr>
        <w:t>Q</w:t>
      </w:r>
      <w:r>
        <w:rPr>
          <w:rFonts w:ascii="Times New Roman" w:cs="Times New Roman"/>
          <w:i/>
          <w:vertAlign w:val="subscript"/>
        </w:rPr>
        <w:t>2</w:t>
      </w:r>
      <w:r>
        <w:rPr>
          <w:rFonts w:ascii="Times New Roman" w:cs="Times New Roman"/>
          <w:i/>
        </w:rPr>
        <w:t>…Q</w:t>
      </w:r>
      <w:r>
        <w:rPr>
          <w:rFonts w:ascii="Times New Roman" w:cs="Times New Roman"/>
          <w:i/>
          <w:vertAlign w:val="subscript"/>
        </w:rPr>
        <w:t>n</w:t>
      </w:r>
      <w:r>
        <w:rPr>
          <w:rFonts w:ascii="Times New Roman" w:cs="Times New Roman"/>
        </w:rPr>
        <w:t>——</w:t>
      </w:r>
      <w:r>
        <w:rPr>
          <w:rFonts w:ascii="Times New Roman" w:cs="Times New Roman"/>
        </w:rPr>
        <w:t>每种危险物质的临界量，</w:t>
      </w:r>
      <w:r>
        <w:rPr>
          <w:rFonts w:ascii="Times New Roman" w:cs="Times New Roman"/>
        </w:rPr>
        <w:t>t</w:t>
      </w:r>
      <w:r>
        <w:rPr>
          <w:rFonts w:ascii="Times New Roman" w:cs="Times New Roman"/>
        </w:rPr>
        <w:t>；</w:t>
      </w:r>
    </w:p>
    <w:p w:rsidR="00BD5820" w:rsidRDefault="00F64314">
      <w:pPr>
        <w:snapToGrid w:val="0"/>
        <w:ind w:firstLine="480"/>
        <w:rPr>
          <w:rFonts w:ascii="Times New Roman" w:cs="Times New Roman"/>
        </w:rPr>
      </w:pPr>
      <w:r>
        <w:rPr>
          <w:rFonts w:ascii="Times New Roman" w:cs="Times New Roman"/>
        </w:rPr>
        <w:t>当</w:t>
      </w:r>
      <w:r>
        <w:rPr>
          <w:rFonts w:ascii="Times New Roman" w:cs="Times New Roman"/>
          <w:i/>
        </w:rPr>
        <w:t>Q</w:t>
      </w:r>
      <w:r>
        <w:rPr>
          <w:rFonts w:ascii="Times New Roman" w:cs="Times New Roman"/>
        </w:rPr>
        <w:t>＜</w:t>
      </w:r>
      <w:r>
        <w:rPr>
          <w:rFonts w:ascii="Times New Roman" w:cs="Times New Roman"/>
        </w:rPr>
        <w:t>1</w:t>
      </w:r>
      <w:r>
        <w:rPr>
          <w:rFonts w:ascii="Times New Roman" w:cs="Times New Roman"/>
        </w:rPr>
        <w:t>时，该项目环境风险潜势为</w:t>
      </w:r>
      <w:r w:rsidR="00EA3750">
        <w:rPr>
          <w:rFonts w:ascii="Times New Roman" w:cs="Times New Roman"/>
        </w:rPr>
        <w:fldChar w:fldCharType="begin"/>
      </w:r>
      <w:r>
        <w:rPr>
          <w:rFonts w:ascii="Times New Roman" w:cs="Times New Roman"/>
        </w:rPr>
        <w:instrText xml:space="preserve"> = 1 \* ROMAN </w:instrText>
      </w:r>
      <w:r w:rsidR="00EA3750">
        <w:rPr>
          <w:rFonts w:ascii="Times New Roman" w:cs="Times New Roman"/>
        </w:rPr>
        <w:fldChar w:fldCharType="separate"/>
      </w:r>
      <w:r>
        <w:rPr>
          <w:rFonts w:ascii="Times New Roman" w:cs="Times New Roman"/>
        </w:rPr>
        <w:t>I</w:t>
      </w:r>
      <w:r w:rsidR="00EA3750">
        <w:rPr>
          <w:rFonts w:ascii="Times New Roman" w:cs="Times New Roman"/>
        </w:rPr>
        <w:fldChar w:fldCharType="end"/>
      </w:r>
      <w:r>
        <w:rPr>
          <w:rFonts w:ascii="Times New Roman" w:cs="Times New Roman"/>
        </w:rPr>
        <w:t>。</w:t>
      </w:r>
    </w:p>
    <w:p w:rsidR="00BD5820" w:rsidRDefault="00F64314">
      <w:pPr>
        <w:snapToGrid w:val="0"/>
        <w:ind w:firstLine="480"/>
        <w:rPr>
          <w:rFonts w:ascii="Times New Roman" w:cs="Times New Roman"/>
        </w:rPr>
      </w:pPr>
      <w:r>
        <w:rPr>
          <w:rFonts w:ascii="Times New Roman" w:cs="Times New Roman"/>
        </w:rPr>
        <w:t>当</w:t>
      </w:r>
      <w:r>
        <w:rPr>
          <w:rFonts w:ascii="Times New Roman" w:cs="Times New Roman"/>
          <w:i/>
        </w:rPr>
        <w:t>Q</w:t>
      </w:r>
      <w:r>
        <w:rPr>
          <w:rFonts w:ascii="Times New Roman" w:cs="Times New Roman"/>
        </w:rPr>
        <w:t>＞</w:t>
      </w:r>
      <w:r>
        <w:rPr>
          <w:rFonts w:ascii="Times New Roman" w:cs="Times New Roman"/>
        </w:rPr>
        <w:t>1</w:t>
      </w:r>
      <w:r>
        <w:rPr>
          <w:rFonts w:ascii="Times New Roman" w:cs="Times New Roman"/>
        </w:rPr>
        <w:t>时，将</w:t>
      </w:r>
      <w:r>
        <w:rPr>
          <w:rFonts w:ascii="Times New Roman" w:cs="Times New Roman"/>
          <w:i/>
        </w:rPr>
        <w:t>Q</w:t>
      </w:r>
      <w:r>
        <w:rPr>
          <w:rFonts w:ascii="Times New Roman" w:cs="Times New Roman"/>
        </w:rPr>
        <w:t>值划分为：（</w:t>
      </w:r>
      <w:r>
        <w:rPr>
          <w:rFonts w:ascii="Times New Roman" w:cs="Times New Roman"/>
        </w:rPr>
        <w:t>1</w:t>
      </w:r>
      <w:r>
        <w:rPr>
          <w:rFonts w:ascii="Times New Roman" w:cs="Times New Roman"/>
        </w:rPr>
        <w:t>）</w:t>
      </w:r>
      <w:r>
        <w:rPr>
          <w:rFonts w:ascii="Times New Roman" w:cs="Times New Roman"/>
        </w:rPr>
        <w:t>1≤</w:t>
      </w:r>
      <w:r>
        <w:rPr>
          <w:rFonts w:ascii="Times New Roman" w:cs="Times New Roman"/>
          <w:i/>
        </w:rPr>
        <w:t>Q</w:t>
      </w:r>
      <w:r>
        <w:rPr>
          <w:rFonts w:ascii="Times New Roman" w:cs="Times New Roman"/>
        </w:rPr>
        <w:t>＜</w:t>
      </w:r>
      <w:r>
        <w:rPr>
          <w:rFonts w:ascii="Times New Roman" w:cs="Times New Roman"/>
        </w:rPr>
        <w:t>10</w:t>
      </w:r>
      <w:r>
        <w:rPr>
          <w:rFonts w:ascii="Times New Roman" w:cs="Times New Roman"/>
        </w:rPr>
        <w:t>；（</w:t>
      </w:r>
      <w:r>
        <w:rPr>
          <w:rFonts w:ascii="Times New Roman" w:cs="Times New Roman"/>
        </w:rPr>
        <w:t>2</w:t>
      </w:r>
      <w:r>
        <w:rPr>
          <w:rFonts w:ascii="Times New Roman" w:cs="Times New Roman"/>
        </w:rPr>
        <w:t>）</w:t>
      </w:r>
      <w:r>
        <w:rPr>
          <w:rFonts w:ascii="Times New Roman" w:cs="Times New Roman"/>
        </w:rPr>
        <w:t>10≤</w:t>
      </w:r>
      <w:r>
        <w:rPr>
          <w:rFonts w:ascii="Times New Roman" w:cs="Times New Roman"/>
          <w:i/>
        </w:rPr>
        <w:t>Q</w:t>
      </w:r>
      <w:r>
        <w:rPr>
          <w:rFonts w:ascii="Times New Roman" w:cs="Times New Roman"/>
        </w:rPr>
        <w:t>＜</w:t>
      </w:r>
      <w:r>
        <w:rPr>
          <w:rFonts w:ascii="Times New Roman" w:cs="Times New Roman"/>
        </w:rPr>
        <w:t>100</w:t>
      </w:r>
      <w:r>
        <w:rPr>
          <w:rFonts w:ascii="Times New Roman" w:cs="Times New Roman"/>
        </w:rPr>
        <w:t>；（</w:t>
      </w:r>
      <w:r>
        <w:rPr>
          <w:rFonts w:ascii="Times New Roman" w:cs="Times New Roman"/>
        </w:rPr>
        <w:t>3</w:t>
      </w:r>
      <w:r>
        <w:rPr>
          <w:rFonts w:ascii="Times New Roman" w:cs="Times New Roman"/>
        </w:rPr>
        <w:t>）</w:t>
      </w:r>
      <w:r>
        <w:rPr>
          <w:rFonts w:ascii="Times New Roman" w:cs="Times New Roman"/>
          <w:i/>
        </w:rPr>
        <w:t>Q</w:t>
      </w:r>
      <w:r>
        <w:rPr>
          <w:rFonts w:ascii="Times New Roman" w:cs="Times New Roman"/>
        </w:rPr>
        <w:t>≥100</w:t>
      </w:r>
    </w:p>
    <w:p w:rsidR="00BD5820" w:rsidRDefault="00F64314">
      <w:pPr>
        <w:ind w:firstLine="480"/>
        <w:rPr>
          <w:rFonts w:ascii="Times New Roman" w:cs="Times New Roman"/>
        </w:rPr>
      </w:pPr>
      <w:r>
        <w:rPr>
          <w:rFonts w:ascii="Times New Roman" w:cs="Times New Roman"/>
        </w:rPr>
        <w:t>危险物质的最大</w:t>
      </w:r>
      <w:r>
        <w:rPr>
          <w:rFonts w:ascii="Times New Roman" w:cs="Times New Roman" w:hint="eastAsia"/>
        </w:rPr>
        <w:t>存在</w:t>
      </w:r>
      <w:r>
        <w:rPr>
          <w:rFonts w:ascii="Times New Roman" w:cs="Times New Roman"/>
        </w:rPr>
        <w:t>总量</w:t>
      </w:r>
      <w:r>
        <w:rPr>
          <w:rFonts w:ascii="Times New Roman" w:cs="Times New Roman"/>
        </w:rPr>
        <w:t>=</w:t>
      </w:r>
      <w:r>
        <w:rPr>
          <w:rFonts w:ascii="Times New Roman" w:cs="Times New Roman"/>
        </w:rPr>
        <w:t>天然气最大</w:t>
      </w:r>
      <w:r>
        <w:rPr>
          <w:rFonts w:ascii="Times New Roman" w:cs="Times New Roman" w:hint="eastAsia"/>
        </w:rPr>
        <w:t>存在</w:t>
      </w:r>
      <w:r>
        <w:rPr>
          <w:rFonts w:ascii="Times New Roman" w:cs="Times New Roman"/>
        </w:rPr>
        <w:t>总量</w:t>
      </w:r>
      <w:r>
        <w:rPr>
          <w:rFonts w:ascii="Times New Roman" w:cs="Times New Roman"/>
        </w:rPr>
        <w:t>*</w:t>
      </w:r>
      <w:r>
        <w:rPr>
          <w:rFonts w:ascii="Times New Roman" w:cs="Times New Roman"/>
        </w:rPr>
        <w:t>该类危险物质所占摩尔分数。</w:t>
      </w:r>
    </w:p>
    <w:p w:rsidR="00BD5820" w:rsidRDefault="00F64314">
      <w:pPr>
        <w:pStyle w:val="a1"/>
        <w:ind w:firstLine="480"/>
        <w:rPr>
          <w:rFonts w:ascii="Times New Roman" w:cs="Times New Roman"/>
        </w:rPr>
      </w:pPr>
      <w:r>
        <w:rPr>
          <w:rFonts w:ascii="Times New Roman" w:cs="Times New Roman"/>
        </w:rPr>
        <w:t>根据项目概况</w:t>
      </w:r>
      <w:r>
        <w:rPr>
          <w:rFonts w:ascii="Times New Roman" w:cs="Times New Roman"/>
        </w:rPr>
        <w:t>3.3</w:t>
      </w:r>
      <w:r>
        <w:rPr>
          <w:rFonts w:ascii="Times New Roman" w:cs="Times New Roman"/>
        </w:rPr>
        <w:t>中输送介质情况和润滑油罐设置情况</w:t>
      </w:r>
      <w:r>
        <w:rPr>
          <w:rFonts w:ascii="Times New Roman" w:cs="Times New Roman" w:hint="eastAsia"/>
        </w:rPr>
        <w:t>，</w:t>
      </w:r>
      <w:r>
        <w:rPr>
          <w:rFonts w:ascii="Times New Roman" w:cs="Times New Roman"/>
        </w:rPr>
        <w:t>从而得到本项目评价单元内</w:t>
      </w:r>
      <w:r>
        <w:rPr>
          <w:rFonts w:ascii="Times New Roman" w:cs="Times New Roman" w:hint="eastAsia"/>
        </w:rPr>
        <w:t>各危险物质的</w:t>
      </w:r>
      <w:r>
        <w:rPr>
          <w:rFonts w:ascii="Times New Roman" w:cs="Times New Roman"/>
        </w:rPr>
        <w:t>最大</w:t>
      </w:r>
      <w:r>
        <w:rPr>
          <w:rFonts w:ascii="Times New Roman" w:cs="Times New Roman" w:hint="eastAsia"/>
        </w:rPr>
        <w:t>存在</w:t>
      </w:r>
      <w:r>
        <w:rPr>
          <w:rFonts w:ascii="Times New Roman" w:cs="Times New Roman"/>
        </w:rPr>
        <w:t>总量。</w:t>
      </w:r>
    </w:p>
    <w:p w:rsidR="00BD5820" w:rsidRDefault="00F64314">
      <w:pPr>
        <w:pStyle w:val="10"/>
        <w:ind w:firstLine="480"/>
        <w:rPr>
          <w:rFonts w:cs="Times New Roman"/>
        </w:rPr>
      </w:pPr>
      <w:r>
        <w:rPr>
          <w:rFonts w:cs="Times New Roman"/>
        </w:rPr>
        <w:t>表</w:t>
      </w:r>
      <w:r>
        <w:rPr>
          <w:rFonts w:cs="Times New Roman"/>
        </w:rPr>
        <w:t>7.4-</w:t>
      </w:r>
      <w:r>
        <w:rPr>
          <w:rFonts w:cs="Times New Roman" w:hint="eastAsia"/>
        </w:rPr>
        <w:t>3</w:t>
      </w:r>
      <w:r>
        <w:rPr>
          <w:rFonts w:cs="Times New Roman"/>
        </w:rPr>
        <w:t xml:space="preserve">  </w:t>
      </w:r>
      <w:r>
        <w:rPr>
          <w:rFonts w:cs="Times New Roman"/>
        </w:rPr>
        <w:t>酸气管道危险物质数量与临界值比值计算表</w:t>
      </w:r>
    </w:p>
    <w:tbl>
      <w:tblPr>
        <w:tblW w:w="8532"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788"/>
        <w:gridCol w:w="1663"/>
        <w:gridCol w:w="1348"/>
        <w:gridCol w:w="2126"/>
        <w:gridCol w:w="1276"/>
        <w:gridCol w:w="1331"/>
      </w:tblGrid>
      <w:tr w:rsidR="00BD5820">
        <w:trPr>
          <w:trHeight w:val="32"/>
          <w:jc w:val="center"/>
        </w:trPr>
        <w:tc>
          <w:tcPr>
            <w:tcW w:w="788" w:type="dxa"/>
            <w:tcBorders>
              <w:top w:val="single" w:sz="12" w:space="0" w:color="auto"/>
            </w:tcBorders>
            <w:shd w:val="clear" w:color="auto" w:fill="auto"/>
            <w:vAlign w:val="center"/>
          </w:tcPr>
          <w:p w:rsidR="00BD5820" w:rsidRDefault="00F64314">
            <w:pPr>
              <w:pStyle w:val="afff1"/>
              <w:rPr>
                <w:b/>
                <w:bCs/>
              </w:rPr>
            </w:pPr>
            <w:r>
              <w:rPr>
                <w:b/>
                <w:bCs/>
              </w:rPr>
              <w:t>序号</w:t>
            </w:r>
          </w:p>
        </w:tc>
        <w:tc>
          <w:tcPr>
            <w:tcW w:w="1663" w:type="dxa"/>
            <w:tcBorders>
              <w:top w:val="single" w:sz="12" w:space="0" w:color="auto"/>
            </w:tcBorders>
            <w:shd w:val="clear" w:color="auto" w:fill="auto"/>
            <w:vAlign w:val="center"/>
          </w:tcPr>
          <w:p w:rsidR="00BD5820" w:rsidRDefault="00F64314">
            <w:pPr>
              <w:pStyle w:val="afff1"/>
              <w:rPr>
                <w:b/>
                <w:bCs/>
              </w:rPr>
            </w:pPr>
            <w:r>
              <w:rPr>
                <w:b/>
                <w:bCs/>
              </w:rPr>
              <w:t>危险物质名称</w:t>
            </w:r>
          </w:p>
        </w:tc>
        <w:tc>
          <w:tcPr>
            <w:tcW w:w="1348" w:type="dxa"/>
            <w:tcBorders>
              <w:top w:val="single" w:sz="12" w:space="0" w:color="auto"/>
            </w:tcBorders>
            <w:shd w:val="clear" w:color="auto" w:fill="auto"/>
            <w:vAlign w:val="center"/>
          </w:tcPr>
          <w:p w:rsidR="00BD5820" w:rsidRDefault="00F64314">
            <w:pPr>
              <w:pStyle w:val="afff1"/>
              <w:rPr>
                <w:b/>
                <w:bCs/>
              </w:rPr>
            </w:pPr>
            <w:r>
              <w:rPr>
                <w:b/>
                <w:bCs/>
              </w:rPr>
              <w:t>CAS</w:t>
            </w:r>
            <w:r>
              <w:rPr>
                <w:b/>
                <w:bCs/>
              </w:rPr>
              <w:t>号</w:t>
            </w:r>
          </w:p>
        </w:tc>
        <w:tc>
          <w:tcPr>
            <w:tcW w:w="2126" w:type="dxa"/>
            <w:tcBorders>
              <w:top w:val="single" w:sz="12" w:space="0" w:color="auto"/>
            </w:tcBorders>
            <w:shd w:val="clear" w:color="auto" w:fill="auto"/>
            <w:vAlign w:val="center"/>
          </w:tcPr>
          <w:p w:rsidR="00BD5820" w:rsidRDefault="00F64314">
            <w:pPr>
              <w:pStyle w:val="afff1"/>
              <w:rPr>
                <w:b/>
                <w:bCs/>
              </w:rPr>
            </w:pPr>
            <w:r>
              <w:rPr>
                <w:b/>
                <w:bCs/>
              </w:rPr>
              <w:t>最大存在总量</w:t>
            </w:r>
            <w:r>
              <w:rPr>
                <w:b/>
                <w:bCs/>
              </w:rPr>
              <w:t>qn/t</w:t>
            </w:r>
          </w:p>
        </w:tc>
        <w:tc>
          <w:tcPr>
            <w:tcW w:w="1276" w:type="dxa"/>
            <w:tcBorders>
              <w:top w:val="single" w:sz="12" w:space="0" w:color="auto"/>
            </w:tcBorders>
            <w:shd w:val="clear" w:color="auto" w:fill="auto"/>
            <w:vAlign w:val="center"/>
          </w:tcPr>
          <w:p w:rsidR="00BD5820" w:rsidRDefault="00F64314">
            <w:pPr>
              <w:pStyle w:val="afff1"/>
              <w:rPr>
                <w:b/>
                <w:bCs/>
              </w:rPr>
            </w:pPr>
            <w:r>
              <w:rPr>
                <w:b/>
                <w:bCs/>
              </w:rPr>
              <w:t>临界量</w:t>
            </w:r>
            <w:r>
              <w:rPr>
                <w:b/>
                <w:bCs/>
              </w:rPr>
              <w:t>Qn/t</w:t>
            </w:r>
          </w:p>
        </w:tc>
        <w:tc>
          <w:tcPr>
            <w:tcW w:w="1331" w:type="dxa"/>
            <w:tcBorders>
              <w:top w:val="single" w:sz="12" w:space="0" w:color="auto"/>
            </w:tcBorders>
            <w:shd w:val="clear" w:color="auto" w:fill="auto"/>
            <w:vAlign w:val="center"/>
          </w:tcPr>
          <w:p w:rsidR="00BD5820" w:rsidRDefault="00F64314">
            <w:pPr>
              <w:pStyle w:val="afff1"/>
              <w:rPr>
                <w:b/>
                <w:bCs/>
              </w:rPr>
            </w:pPr>
            <w:r>
              <w:rPr>
                <w:b/>
                <w:bCs/>
              </w:rPr>
              <w:t>qn/Qn</w:t>
            </w:r>
          </w:p>
        </w:tc>
      </w:tr>
      <w:tr w:rsidR="00BD5820">
        <w:trPr>
          <w:trHeight w:val="66"/>
          <w:jc w:val="center"/>
        </w:trPr>
        <w:tc>
          <w:tcPr>
            <w:tcW w:w="788" w:type="dxa"/>
            <w:shd w:val="clear" w:color="auto" w:fill="auto"/>
            <w:vAlign w:val="center"/>
          </w:tcPr>
          <w:p w:rsidR="00BD5820" w:rsidRDefault="00F64314">
            <w:pPr>
              <w:pStyle w:val="afff1"/>
            </w:pPr>
            <w:r>
              <w:t>1</w:t>
            </w:r>
          </w:p>
        </w:tc>
        <w:tc>
          <w:tcPr>
            <w:tcW w:w="1663" w:type="dxa"/>
            <w:shd w:val="clear" w:color="auto" w:fill="auto"/>
            <w:vAlign w:val="center"/>
          </w:tcPr>
          <w:p w:rsidR="00BD5820" w:rsidRDefault="00F64314">
            <w:pPr>
              <w:pStyle w:val="afff1"/>
            </w:pPr>
            <w:r>
              <w:t>甲烷</w:t>
            </w:r>
          </w:p>
        </w:tc>
        <w:tc>
          <w:tcPr>
            <w:tcW w:w="1348" w:type="dxa"/>
            <w:shd w:val="clear" w:color="auto" w:fill="auto"/>
            <w:vAlign w:val="center"/>
          </w:tcPr>
          <w:p w:rsidR="00BD5820" w:rsidRDefault="00F64314">
            <w:pPr>
              <w:pStyle w:val="afff1"/>
            </w:pPr>
            <w:r>
              <w:t>74-82-8</w:t>
            </w:r>
          </w:p>
        </w:tc>
        <w:tc>
          <w:tcPr>
            <w:tcW w:w="2126" w:type="dxa"/>
            <w:shd w:val="clear" w:color="auto" w:fill="auto"/>
            <w:vAlign w:val="center"/>
          </w:tcPr>
          <w:p w:rsidR="00BD5820" w:rsidRDefault="00F64314">
            <w:pPr>
              <w:pStyle w:val="afff1"/>
            </w:pPr>
            <w:r>
              <w:rPr>
                <w:rFonts w:hint="eastAsia"/>
              </w:rPr>
              <w:t>8.142</w:t>
            </w:r>
          </w:p>
        </w:tc>
        <w:tc>
          <w:tcPr>
            <w:tcW w:w="1276" w:type="dxa"/>
            <w:shd w:val="clear" w:color="auto" w:fill="auto"/>
            <w:vAlign w:val="center"/>
          </w:tcPr>
          <w:p w:rsidR="00BD5820" w:rsidRDefault="00F64314">
            <w:pPr>
              <w:pStyle w:val="afff1"/>
            </w:pPr>
            <w:r>
              <w:t>10</w:t>
            </w:r>
          </w:p>
        </w:tc>
        <w:tc>
          <w:tcPr>
            <w:tcW w:w="1331" w:type="dxa"/>
            <w:shd w:val="clear" w:color="auto" w:fill="auto"/>
          </w:tcPr>
          <w:p w:rsidR="00BD5820" w:rsidRDefault="00F64314">
            <w:pPr>
              <w:pStyle w:val="afff1"/>
            </w:pPr>
            <w:r>
              <w:rPr>
                <w:rFonts w:hint="eastAsia"/>
              </w:rPr>
              <w:t>0.8142</w:t>
            </w:r>
          </w:p>
        </w:tc>
      </w:tr>
      <w:tr w:rsidR="00BD5820">
        <w:trPr>
          <w:trHeight w:val="66"/>
          <w:jc w:val="center"/>
        </w:trPr>
        <w:tc>
          <w:tcPr>
            <w:tcW w:w="788" w:type="dxa"/>
            <w:shd w:val="clear" w:color="auto" w:fill="auto"/>
            <w:vAlign w:val="center"/>
          </w:tcPr>
          <w:p w:rsidR="00BD5820" w:rsidRDefault="00F64314">
            <w:pPr>
              <w:pStyle w:val="afff1"/>
            </w:pPr>
            <w:r>
              <w:rPr>
                <w:rFonts w:hint="eastAsia"/>
              </w:rPr>
              <w:t>2</w:t>
            </w:r>
          </w:p>
        </w:tc>
        <w:tc>
          <w:tcPr>
            <w:tcW w:w="1663" w:type="dxa"/>
            <w:shd w:val="clear" w:color="auto" w:fill="auto"/>
            <w:vAlign w:val="center"/>
          </w:tcPr>
          <w:p w:rsidR="00BD5820" w:rsidRDefault="00F64314">
            <w:pPr>
              <w:pStyle w:val="afff1"/>
            </w:pPr>
            <w:r>
              <w:t>硫化氢</w:t>
            </w:r>
          </w:p>
        </w:tc>
        <w:tc>
          <w:tcPr>
            <w:tcW w:w="1348" w:type="dxa"/>
            <w:shd w:val="clear" w:color="auto" w:fill="auto"/>
            <w:vAlign w:val="center"/>
          </w:tcPr>
          <w:p w:rsidR="00BD5820" w:rsidRDefault="00F64314">
            <w:pPr>
              <w:pStyle w:val="afff1"/>
            </w:pPr>
            <w:r>
              <w:t>7783-06-4</w:t>
            </w:r>
          </w:p>
        </w:tc>
        <w:tc>
          <w:tcPr>
            <w:tcW w:w="2126" w:type="dxa"/>
            <w:shd w:val="clear" w:color="auto" w:fill="auto"/>
            <w:vAlign w:val="center"/>
          </w:tcPr>
          <w:p w:rsidR="00BD5820" w:rsidRDefault="00F64314">
            <w:pPr>
              <w:pStyle w:val="afff1"/>
            </w:pPr>
            <w:r>
              <w:rPr>
                <w:rFonts w:hint="eastAsia"/>
              </w:rPr>
              <w:t>1.634</w:t>
            </w:r>
          </w:p>
        </w:tc>
        <w:tc>
          <w:tcPr>
            <w:tcW w:w="1276" w:type="dxa"/>
            <w:shd w:val="clear" w:color="auto" w:fill="auto"/>
            <w:vAlign w:val="center"/>
          </w:tcPr>
          <w:p w:rsidR="00BD5820" w:rsidRDefault="00F64314">
            <w:pPr>
              <w:pStyle w:val="afff1"/>
            </w:pPr>
            <w:r>
              <w:t>2.5</w:t>
            </w:r>
          </w:p>
        </w:tc>
        <w:tc>
          <w:tcPr>
            <w:tcW w:w="1331" w:type="dxa"/>
            <w:shd w:val="clear" w:color="auto" w:fill="auto"/>
          </w:tcPr>
          <w:p w:rsidR="00BD5820" w:rsidRDefault="00F64314">
            <w:pPr>
              <w:pStyle w:val="afff1"/>
            </w:pPr>
            <w:r>
              <w:rPr>
                <w:rFonts w:hint="eastAsia"/>
              </w:rPr>
              <w:t>0.6536</w:t>
            </w:r>
          </w:p>
        </w:tc>
      </w:tr>
      <w:tr w:rsidR="00BD5820">
        <w:trPr>
          <w:trHeight w:val="293"/>
          <w:jc w:val="center"/>
        </w:trPr>
        <w:tc>
          <w:tcPr>
            <w:tcW w:w="3799" w:type="dxa"/>
            <w:gridSpan w:val="3"/>
            <w:tcBorders>
              <w:bottom w:val="single" w:sz="12" w:space="0" w:color="auto"/>
            </w:tcBorders>
            <w:shd w:val="clear" w:color="auto" w:fill="auto"/>
            <w:vAlign w:val="center"/>
          </w:tcPr>
          <w:p w:rsidR="00BD5820" w:rsidRDefault="00F64314">
            <w:pPr>
              <w:pStyle w:val="afff1"/>
            </w:pPr>
            <w:r>
              <w:t>合计</w:t>
            </w:r>
          </w:p>
        </w:tc>
        <w:tc>
          <w:tcPr>
            <w:tcW w:w="2126" w:type="dxa"/>
            <w:tcBorders>
              <w:bottom w:val="single" w:sz="12" w:space="0" w:color="auto"/>
            </w:tcBorders>
            <w:shd w:val="clear" w:color="auto" w:fill="auto"/>
            <w:vAlign w:val="center"/>
          </w:tcPr>
          <w:p w:rsidR="00BD5820" w:rsidRDefault="00F64314">
            <w:pPr>
              <w:pStyle w:val="afff1"/>
            </w:pPr>
            <w:r>
              <w:t>—</w:t>
            </w:r>
          </w:p>
        </w:tc>
        <w:tc>
          <w:tcPr>
            <w:tcW w:w="1276" w:type="dxa"/>
            <w:tcBorders>
              <w:bottom w:val="single" w:sz="12" w:space="0" w:color="auto"/>
            </w:tcBorders>
            <w:shd w:val="clear" w:color="auto" w:fill="auto"/>
            <w:vAlign w:val="center"/>
          </w:tcPr>
          <w:p w:rsidR="00BD5820" w:rsidRDefault="00F64314">
            <w:pPr>
              <w:pStyle w:val="afff1"/>
            </w:pPr>
            <w:r>
              <w:t>—</w:t>
            </w:r>
          </w:p>
        </w:tc>
        <w:tc>
          <w:tcPr>
            <w:tcW w:w="1331" w:type="dxa"/>
            <w:tcBorders>
              <w:bottom w:val="single" w:sz="12" w:space="0" w:color="auto"/>
            </w:tcBorders>
            <w:shd w:val="clear" w:color="auto" w:fill="auto"/>
            <w:vAlign w:val="center"/>
          </w:tcPr>
          <w:p w:rsidR="00BD5820" w:rsidRDefault="00F64314">
            <w:pPr>
              <w:pStyle w:val="afff1"/>
            </w:pPr>
            <w:r>
              <w:rPr>
                <w:rFonts w:hint="eastAsia"/>
              </w:rPr>
              <w:t>1.4678</w:t>
            </w:r>
          </w:p>
        </w:tc>
      </w:tr>
    </w:tbl>
    <w:p w:rsidR="00BD5820" w:rsidRDefault="00F64314">
      <w:pPr>
        <w:pStyle w:val="10"/>
        <w:ind w:firstLine="480"/>
        <w:rPr>
          <w:rFonts w:cs="Times New Roman"/>
        </w:rPr>
      </w:pPr>
      <w:r>
        <w:rPr>
          <w:rFonts w:cs="Times New Roman"/>
        </w:rPr>
        <w:lastRenderedPageBreak/>
        <w:t>表</w:t>
      </w:r>
      <w:r>
        <w:rPr>
          <w:rFonts w:cs="Times New Roman"/>
        </w:rPr>
        <w:t>7.4-</w:t>
      </w:r>
      <w:r>
        <w:rPr>
          <w:rFonts w:cs="Times New Roman" w:hint="eastAsia"/>
        </w:rPr>
        <w:t>4</w:t>
      </w:r>
      <w:r>
        <w:rPr>
          <w:rFonts w:cs="Times New Roman"/>
        </w:rPr>
        <w:t xml:space="preserve">  </w:t>
      </w:r>
      <w:r>
        <w:rPr>
          <w:rFonts w:cs="Times New Roman" w:hint="eastAsia"/>
        </w:rPr>
        <w:t>润滑油罐</w:t>
      </w:r>
      <w:r>
        <w:rPr>
          <w:rFonts w:cs="Times New Roman"/>
        </w:rPr>
        <w:t>危险物质数量与临界值比值计算表</w:t>
      </w:r>
    </w:p>
    <w:tbl>
      <w:tblPr>
        <w:tblW w:w="8532" w:type="dxa"/>
        <w:jc w:val="center"/>
        <w:tblBorders>
          <w:top w:val="single" w:sz="4" w:space="0" w:color="auto"/>
          <w:bottom w:val="single" w:sz="4" w:space="0" w:color="auto"/>
          <w:insideH w:val="single" w:sz="4" w:space="0" w:color="auto"/>
          <w:insideV w:val="single" w:sz="4" w:space="0" w:color="auto"/>
        </w:tblBorders>
        <w:tblLayout w:type="fixed"/>
        <w:tblLook w:val="04A0"/>
      </w:tblPr>
      <w:tblGrid>
        <w:gridCol w:w="788"/>
        <w:gridCol w:w="1663"/>
        <w:gridCol w:w="1348"/>
        <w:gridCol w:w="2126"/>
        <w:gridCol w:w="1276"/>
        <w:gridCol w:w="1331"/>
      </w:tblGrid>
      <w:tr w:rsidR="00BD5820">
        <w:trPr>
          <w:trHeight w:val="32"/>
          <w:jc w:val="center"/>
        </w:trPr>
        <w:tc>
          <w:tcPr>
            <w:tcW w:w="788" w:type="dxa"/>
            <w:tcBorders>
              <w:top w:val="single" w:sz="12" w:space="0" w:color="auto"/>
            </w:tcBorders>
            <w:shd w:val="clear" w:color="auto" w:fill="auto"/>
            <w:vAlign w:val="center"/>
          </w:tcPr>
          <w:p w:rsidR="00BD5820" w:rsidRDefault="00F64314">
            <w:pPr>
              <w:pStyle w:val="afff1"/>
              <w:rPr>
                <w:b/>
                <w:bCs/>
              </w:rPr>
            </w:pPr>
            <w:r>
              <w:rPr>
                <w:b/>
                <w:bCs/>
              </w:rPr>
              <w:t>序号</w:t>
            </w:r>
          </w:p>
        </w:tc>
        <w:tc>
          <w:tcPr>
            <w:tcW w:w="1663" w:type="dxa"/>
            <w:tcBorders>
              <w:top w:val="single" w:sz="12" w:space="0" w:color="auto"/>
            </w:tcBorders>
            <w:shd w:val="clear" w:color="auto" w:fill="auto"/>
            <w:vAlign w:val="center"/>
          </w:tcPr>
          <w:p w:rsidR="00BD5820" w:rsidRDefault="00F64314">
            <w:pPr>
              <w:pStyle w:val="afff1"/>
              <w:rPr>
                <w:b/>
                <w:bCs/>
              </w:rPr>
            </w:pPr>
            <w:r>
              <w:rPr>
                <w:b/>
                <w:bCs/>
              </w:rPr>
              <w:t>危险物质名称</w:t>
            </w:r>
          </w:p>
        </w:tc>
        <w:tc>
          <w:tcPr>
            <w:tcW w:w="1348" w:type="dxa"/>
            <w:tcBorders>
              <w:top w:val="single" w:sz="12" w:space="0" w:color="auto"/>
            </w:tcBorders>
            <w:shd w:val="clear" w:color="auto" w:fill="auto"/>
            <w:vAlign w:val="center"/>
          </w:tcPr>
          <w:p w:rsidR="00BD5820" w:rsidRDefault="00F64314">
            <w:pPr>
              <w:pStyle w:val="afff1"/>
              <w:rPr>
                <w:b/>
                <w:bCs/>
              </w:rPr>
            </w:pPr>
            <w:r>
              <w:rPr>
                <w:b/>
                <w:bCs/>
              </w:rPr>
              <w:t>CAS</w:t>
            </w:r>
            <w:r>
              <w:rPr>
                <w:b/>
                <w:bCs/>
              </w:rPr>
              <w:t>号</w:t>
            </w:r>
          </w:p>
        </w:tc>
        <w:tc>
          <w:tcPr>
            <w:tcW w:w="2126" w:type="dxa"/>
            <w:tcBorders>
              <w:top w:val="single" w:sz="12" w:space="0" w:color="auto"/>
            </w:tcBorders>
            <w:shd w:val="clear" w:color="auto" w:fill="auto"/>
            <w:vAlign w:val="center"/>
          </w:tcPr>
          <w:p w:rsidR="00BD5820" w:rsidRDefault="00F64314">
            <w:pPr>
              <w:pStyle w:val="afff1"/>
              <w:rPr>
                <w:b/>
                <w:bCs/>
              </w:rPr>
            </w:pPr>
            <w:r>
              <w:rPr>
                <w:b/>
                <w:bCs/>
              </w:rPr>
              <w:t>最大存在总量</w:t>
            </w:r>
            <w:r>
              <w:rPr>
                <w:b/>
                <w:bCs/>
              </w:rPr>
              <w:t>qn/t</w:t>
            </w:r>
          </w:p>
        </w:tc>
        <w:tc>
          <w:tcPr>
            <w:tcW w:w="1276" w:type="dxa"/>
            <w:tcBorders>
              <w:top w:val="single" w:sz="12" w:space="0" w:color="auto"/>
            </w:tcBorders>
            <w:shd w:val="clear" w:color="auto" w:fill="auto"/>
            <w:vAlign w:val="center"/>
          </w:tcPr>
          <w:p w:rsidR="00BD5820" w:rsidRDefault="00F64314">
            <w:pPr>
              <w:pStyle w:val="afff1"/>
              <w:rPr>
                <w:b/>
                <w:bCs/>
              </w:rPr>
            </w:pPr>
            <w:r>
              <w:rPr>
                <w:b/>
                <w:bCs/>
              </w:rPr>
              <w:t>临界量</w:t>
            </w:r>
            <w:r>
              <w:rPr>
                <w:b/>
                <w:bCs/>
              </w:rPr>
              <w:t>Qn/t</w:t>
            </w:r>
          </w:p>
        </w:tc>
        <w:tc>
          <w:tcPr>
            <w:tcW w:w="1331" w:type="dxa"/>
            <w:tcBorders>
              <w:top w:val="single" w:sz="12" w:space="0" w:color="auto"/>
            </w:tcBorders>
            <w:shd w:val="clear" w:color="auto" w:fill="auto"/>
            <w:vAlign w:val="center"/>
          </w:tcPr>
          <w:p w:rsidR="00BD5820" w:rsidRDefault="00F64314">
            <w:pPr>
              <w:pStyle w:val="afff1"/>
              <w:rPr>
                <w:b/>
                <w:bCs/>
              </w:rPr>
            </w:pPr>
            <w:r>
              <w:rPr>
                <w:b/>
                <w:bCs/>
              </w:rPr>
              <w:t>qn/Qn</w:t>
            </w:r>
          </w:p>
        </w:tc>
      </w:tr>
      <w:tr w:rsidR="00BD5820">
        <w:trPr>
          <w:trHeight w:val="66"/>
          <w:jc w:val="center"/>
        </w:trPr>
        <w:tc>
          <w:tcPr>
            <w:tcW w:w="788" w:type="dxa"/>
            <w:shd w:val="clear" w:color="auto" w:fill="auto"/>
            <w:vAlign w:val="center"/>
          </w:tcPr>
          <w:p w:rsidR="00BD5820" w:rsidRDefault="00F64314">
            <w:pPr>
              <w:pStyle w:val="afff1"/>
            </w:pPr>
            <w:r>
              <w:t>1</w:t>
            </w:r>
          </w:p>
        </w:tc>
        <w:tc>
          <w:tcPr>
            <w:tcW w:w="1663" w:type="dxa"/>
            <w:shd w:val="clear" w:color="auto" w:fill="auto"/>
            <w:vAlign w:val="center"/>
          </w:tcPr>
          <w:p w:rsidR="00BD5820" w:rsidRDefault="00F64314">
            <w:pPr>
              <w:pStyle w:val="afff1"/>
            </w:pPr>
            <w:r>
              <w:rPr>
                <w:rFonts w:hint="eastAsia"/>
              </w:rPr>
              <w:t>润滑油</w:t>
            </w:r>
          </w:p>
        </w:tc>
        <w:tc>
          <w:tcPr>
            <w:tcW w:w="1348" w:type="dxa"/>
            <w:shd w:val="clear" w:color="auto" w:fill="auto"/>
            <w:vAlign w:val="center"/>
          </w:tcPr>
          <w:p w:rsidR="00BD5820" w:rsidRDefault="00F64314">
            <w:pPr>
              <w:pStyle w:val="afff1"/>
            </w:pPr>
            <w:r>
              <w:rPr>
                <w:rFonts w:hint="eastAsia"/>
              </w:rPr>
              <w:t>68344</w:t>
            </w:r>
            <w:r>
              <w:t>-</w:t>
            </w:r>
            <w:r>
              <w:rPr>
                <w:rFonts w:hint="eastAsia"/>
              </w:rPr>
              <w:t>30</w:t>
            </w:r>
            <w:r>
              <w:t>-</w:t>
            </w:r>
            <w:r>
              <w:rPr>
                <w:rFonts w:hint="eastAsia"/>
              </w:rPr>
              <w:t>5</w:t>
            </w:r>
          </w:p>
        </w:tc>
        <w:tc>
          <w:tcPr>
            <w:tcW w:w="2126" w:type="dxa"/>
            <w:shd w:val="clear" w:color="auto" w:fill="auto"/>
            <w:vAlign w:val="center"/>
          </w:tcPr>
          <w:p w:rsidR="00BD5820" w:rsidRDefault="00F64314">
            <w:pPr>
              <w:pStyle w:val="afff1"/>
            </w:pPr>
            <w:r>
              <w:rPr>
                <w:rFonts w:hint="eastAsia"/>
              </w:rPr>
              <w:t>19.44288</w:t>
            </w:r>
          </w:p>
        </w:tc>
        <w:tc>
          <w:tcPr>
            <w:tcW w:w="1276" w:type="dxa"/>
            <w:shd w:val="clear" w:color="auto" w:fill="auto"/>
            <w:vAlign w:val="center"/>
          </w:tcPr>
          <w:p w:rsidR="00BD5820" w:rsidRDefault="00F64314">
            <w:pPr>
              <w:pStyle w:val="afff1"/>
            </w:pPr>
            <w:r>
              <w:rPr>
                <w:rFonts w:hint="eastAsia"/>
              </w:rPr>
              <w:t>250</w:t>
            </w:r>
            <w:r>
              <w:t>0</w:t>
            </w:r>
          </w:p>
        </w:tc>
        <w:tc>
          <w:tcPr>
            <w:tcW w:w="1331" w:type="dxa"/>
            <w:shd w:val="clear" w:color="auto" w:fill="auto"/>
            <w:vAlign w:val="center"/>
          </w:tcPr>
          <w:p w:rsidR="00BD5820" w:rsidRDefault="00F64314">
            <w:pPr>
              <w:pStyle w:val="afff1"/>
            </w:pPr>
            <w:r>
              <w:t>0.0</w:t>
            </w:r>
            <w:r>
              <w:rPr>
                <w:rFonts w:hint="eastAsia"/>
              </w:rPr>
              <w:t>078</w:t>
            </w:r>
          </w:p>
        </w:tc>
      </w:tr>
      <w:tr w:rsidR="00BD5820">
        <w:trPr>
          <w:trHeight w:val="293"/>
          <w:jc w:val="center"/>
        </w:trPr>
        <w:tc>
          <w:tcPr>
            <w:tcW w:w="3799" w:type="dxa"/>
            <w:gridSpan w:val="3"/>
            <w:tcBorders>
              <w:bottom w:val="single" w:sz="12" w:space="0" w:color="auto"/>
            </w:tcBorders>
            <w:shd w:val="clear" w:color="auto" w:fill="auto"/>
            <w:vAlign w:val="center"/>
          </w:tcPr>
          <w:p w:rsidR="00BD5820" w:rsidRDefault="00F64314">
            <w:pPr>
              <w:pStyle w:val="afff1"/>
            </w:pPr>
            <w:r>
              <w:t>合计</w:t>
            </w:r>
          </w:p>
        </w:tc>
        <w:tc>
          <w:tcPr>
            <w:tcW w:w="2126" w:type="dxa"/>
            <w:tcBorders>
              <w:bottom w:val="single" w:sz="12" w:space="0" w:color="auto"/>
            </w:tcBorders>
            <w:shd w:val="clear" w:color="auto" w:fill="auto"/>
            <w:vAlign w:val="center"/>
          </w:tcPr>
          <w:p w:rsidR="00BD5820" w:rsidRDefault="00F64314">
            <w:pPr>
              <w:pStyle w:val="afff1"/>
            </w:pPr>
            <w:r>
              <w:t>—</w:t>
            </w:r>
          </w:p>
        </w:tc>
        <w:tc>
          <w:tcPr>
            <w:tcW w:w="1276" w:type="dxa"/>
            <w:tcBorders>
              <w:bottom w:val="single" w:sz="12" w:space="0" w:color="auto"/>
            </w:tcBorders>
            <w:shd w:val="clear" w:color="auto" w:fill="auto"/>
            <w:vAlign w:val="center"/>
          </w:tcPr>
          <w:p w:rsidR="00BD5820" w:rsidRDefault="00F64314">
            <w:pPr>
              <w:pStyle w:val="afff1"/>
            </w:pPr>
            <w:r>
              <w:t>—</w:t>
            </w:r>
          </w:p>
        </w:tc>
        <w:tc>
          <w:tcPr>
            <w:tcW w:w="1331" w:type="dxa"/>
            <w:tcBorders>
              <w:bottom w:val="single" w:sz="12" w:space="0" w:color="auto"/>
            </w:tcBorders>
            <w:shd w:val="clear" w:color="auto" w:fill="auto"/>
            <w:vAlign w:val="center"/>
          </w:tcPr>
          <w:p w:rsidR="00BD5820" w:rsidRDefault="00F64314">
            <w:pPr>
              <w:pStyle w:val="afff1"/>
            </w:pPr>
            <w:r>
              <w:t>0.0</w:t>
            </w:r>
            <w:r>
              <w:rPr>
                <w:rFonts w:hint="eastAsia"/>
              </w:rPr>
              <w:t>078</w:t>
            </w:r>
          </w:p>
        </w:tc>
      </w:tr>
    </w:tbl>
    <w:p w:rsidR="00BD5820" w:rsidRDefault="00F64314">
      <w:pPr>
        <w:pStyle w:val="affa"/>
        <w:ind w:firstLine="480"/>
      </w:pPr>
      <w:r>
        <w:t>根据《建设项目风险评价技术导则》（</w:t>
      </w:r>
      <w:r>
        <w:t>HJ169-2018</w:t>
      </w:r>
      <w:r>
        <w:t>），附录</w:t>
      </w:r>
      <w:r>
        <w:t>C</w:t>
      </w:r>
      <w:r>
        <w:t>进行</w:t>
      </w:r>
      <w:r>
        <w:t>Q</w:t>
      </w:r>
      <w:r>
        <w:t>值计算，本项目危险</w:t>
      </w:r>
      <w:r>
        <w:rPr>
          <w:rFonts w:hint="eastAsia"/>
        </w:rPr>
        <w:t>物质</w:t>
      </w:r>
      <w:r>
        <w:t>最大存在量</w:t>
      </w:r>
      <w:r>
        <w:t>Q=</w:t>
      </w:r>
      <w:r>
        <w:rPr>
          <w:rFonts w:hint="eastAsia"/>
        </w:rPr>
        <w:t>1.4756</w:t>
      </w:r>
      <w:r>
        <w:rPr>
          <w:rFonts w:hint="eastAsia"/>
        </w:rPr>
        <w:t>，</w:t>
      </w:r>
      <w:r>
        <w:rPr>
          <w:rFonts w:hint="eastAsia"/>
        </w:rPr>
        <w:t>Q</w:t>
      </w:r>
      <w:r>
        <w:rPr>
          <w:rFonts w:hint="eastAsia"/>
        </w:rPr>
        <w:t>值划分为（</w:t>
      </w:r>
      <w:r>
        <w:rPr>
          <w:rFonts w:hint="eastAsia"/>
        </w:rPr>
        <w:t>1</w:t>
      </w:r>
      <w:r>
        <w:rPr>
          <w:rFonts w:hint="eastAsia"/>
        </w:rPr>
        <w:t>）</w:t>
      </w:r>
      <w:r>
        <w:rPr>
          <w:rFonts w:hint="eastAsia"/>
        </w:rPr>
        <w:t>1</w:t>
      </w:r>
      <w:r>
        <w:rPr>
          <w:rFonts w:hint="eastAsia"/>
        </w:rPr>
        <w:t>＜</w:t>
      </w:r>
      <w:r>
        <w:rPr>
          <w:rFonts w:hint="eastAsia"/>
        </w:rPr>
        <w:t>Q</w:t>
      </w:r>
      <w:r>
        <w:rPr>
          <w:rFonts w:hint="eastAsia"/>
        </w:rPr>
        <w:t>≤</w:t>
      </w:r>
      <w:r>
        <w:rPr>
          <w:rFonts w:hint="eastAsia"/>
        </w:rPr>
        <w:t>10</w:t>
      </w:r>
      <w:r>
        <w:t>。</w:t>
      </w:r>
    </w:p>
    <w:p w:rsidR="00BD5820" w:rsidRDefault="00F64314">
      <w:pPr>
        <w:widowControl/>
        <w:topLinePunct w:val="0"/>
        <w:snapToGrid w:val="0"/>
        <w:spacing w:line="331" w:lineRule="auto"/>
        <w:ind w:firstLine="482"/>
        <w:rPr>
          <w:rFonts w:ascii="Times New Roman" w:cs="Times New Roman"/>
          <w:b/>
          <w:kern w:val="2"/>
        </w:rPr>
      </w:pPr>
      <w:r>
        <w:rPr>
          <w:rFonts w:ascii="Times New Roman" w:cs="Times New Roman" w:hint="eastAsia"/>
          <w:b/>
        </w:rPr>
        <w:t>（</w:t>
      </w:r>
      <w:r>
        <w:rPr>
          <w:rFonts w:ascii="Times New Roman" w:cs="Times New Roman" w:hint="eastAsia"/>
          <w:b/>
        </w:rPr>
        <w:t>2</w:t>
      </w:r>
      <w:r>
        <w:rPr>
          <w:rFonts w:ascii="Times New Roman" w:cs="Times New Roman" w:hint="eastAsia"/>
          <w:b/>
        </w:rPr>
        <w:t>）</w:t>
      </w:r>
      <w:r>
        <w:rPr>
          <w:rFonts w:ascii="Times New Roman" w:cs="Times New Roman"/>
          <w:b/>
        </w:rPr>
        <w:t>行业及生产工艺特点（</w:t>
      </w:r>
      <w:r>
        <w:rPr>
          <w:rFonts w:ascii="Times New Roman" w:cs="Times New Roman"/>
          <w:b/>
        </w:rPr>
        <w:t>M</w:t>
      </w:r>
      <w:r>
        <w:rPr>
          <w:rFonts w:ascii="Times New Roman" w:cs="Times New Roman"/>
          <w:b/>
        </w:rPr>
        <w:t>）</w:t>
      </w:r>
    </w:p>
    <w:p w:rsidR="00BD5820" w:rsidRDefault="00F64314">
      <w:pPr>
        <w:widowControl/>
        <w:topLinePunct w:val="0"/>
        <w:snapToGrid w:val="0"/>
        <w:spacing w:line="331" w:lineRule="auto"/>
        <w:ind w:firstLine="480"/>
        <w:rPr>
          <w:rFonts w:ascii="Times New Roman" w:cs="Times New Roman"/>
          <w:kern w:val="2"/>
        </w:rPr>
      </w:pPr>
      <w:r>
        <w:rPr>
          <w:rFonts w:ascii="Times New Roman" w:cs="Times New Roman" w:hint="eastAsia"/>
          <w:kern w:val="2"/>
        </w:rPr>
        <w:t>拟建项目属于石油天然气行业，且涉及危险物质（润滑油）储存，</w:t>
      </w:r>
      <w:r>
        <w:rPr>
          <w:rFonts w:ascii="Times New Roman" w:cs="Times New Roman"/>
          <w:kern w:val="2"/>
        </w:rPr>
        <w:t>根据《建设项目环境风险评价技术导则》（</w:t>
      </w:r>
      <w:r>
        <w:rPr>
          <w:rFonts w:ascii="Times New Roman" w:cs="Times New Roman"/>
          <w:kern w:val="2"/>
        </w:rPr>
        <w:t>HJ169-2018</w:t>
      </w:r>
      <w:r>
        <w:rPr>
          <w:rFonts w:ascii="Times New Roman" w:cs="Times New Roman"/>
          <w:kern w:val="2"/>
        </w:rPr>
        <w:t>）附录</w:t>
      </w:r>
      <w:r>
        <w:rPr>
          <w:rFonts w:ascii="Times New Roman" w:cs="Times New Roman"/>
          <w:kern w:val="2"/>
        </w:rPr>
        <w:t>C</w:t>
      </w:r>
      <w:r>
        <w:rPr>
          <w:rFonts w:ascii="Times New Roman" w:cs="Times New Roman"/>
          <w:kern w:val="2"/>
        </w:rPr>
        <w:t>中表</w:t>
      </w:r>
      <w:r>
        <w:rPr>
          <w:rFonts w:ascii="Times New Roman" w:cs="Times New Roman"/>
          <w:kern w:val="2"/>
        </w:rPr>
        <w:t>C.1</w:t>
      </w:r>
      <w:r>
        <w:rPr>
          <w:rFonts w:ascii="Times New Roman" w:cs="Times New Roman"/>
          <w:kern w:val="2"/>
        </w:rPr>
        <w:t>计算结果，本项目行业及生产工艺</w:t>
      </w:r>
      <w:r>
        <w:rPr>
          <w:rFonts w:ascii="Times New Roman" w:cs="Times New Roman"/>
          <w:kern w:val="2"/>
        </w:rPr>
        <w:t>M</w:t>
      </w:r>
      <w:r>
        <w:rPr>
          <w:rFonts w:ascii="Times New Roman" w:cs="Times New Roman"/>
          <w:kern w:val="2"/>
        </w:rPr>
        <w:t>为</w:t>
      </w:r>
      <w:r>
        <w:rPr>
          <w:rFonts w:ascii="Times New Roman" w:cs="Times New Roman" w:hint="eastAsia"/>
          <w:kern w:val="2"/>
        </w:rPr>
        <w:t>15</w:t>
      </w:r>
      <w:r>
        <w:rPr>
          <w:rFonts w:ascii="Times New Roman" w:cs="Times New Roman"/>
          <w:kern w:val="2"/>
        </w:rPr>
        <w:t>，属于</w:t>
      </w:r>
      <w:r>
        <w:rPr>
          <w:rFonts w:ascii="Times New Roman" w:cs="Times New Roman" w:hint="eastAsia"/>
          <w:kern w:val="2"/>
        </w:rPr>
        <w:t>（</w:t>
      </w:r>
      <w:r>
        <w:rPr>
          <w:rFonts w:ascii="Times New Roman" w:cs="Times New Roman" w:hint="eastAsia"/>
          <w:kern w:val="2"/>
        </w:rPr>
        <w:t>2</w:t>
      </w:r>
      <w:r>
        <w:rPr>
          <w:rFonts w:ascii="Times New Roman" w:cs="Times New Roman" w:hint="eastAsia"/>
          <w:kern w:val="2"/>
        </w:rPr>
        <w:t>）</w:t>
      </w:r>
      <w:r>
        <w:rPr>
          <w:rFonts w:ascii="Times New Roman" w:cs="Times New Roman"/>
          <w:kern w:val="2"/>
        </w:rPr>
        <w:t>10</w:t>
      </w:r>
      <w:r>
        <w:rPr>
          <w:rFonts w:ascii="Times New Roman" w:cs="Times New Roman"/>
          <w:kern w:val="2"/>
        </w:rPr>
        <w:t>＜</w:t>
      </w:r>
      <w:r>
        <w:rPr>
          <w:rFonts w:ascii="Times New Roman" w:cs="Times New Roman"/>
          <w:kern w:val="2"/>
        </w:rPr>
        <w:t>M≤20</w:t>
      </w:r>
      <w:r>
        <w:rPr>
          <w:rFonts w:ascii="Times New Roman" w:cs="Times New Roman" w:hint="eastAsia"/>
          <w:kern w:val="2"/>
        </w:rPr>
        <w:t>（以</w:t>
      </w:r>
      <w:r>
        <w:rPr>
          <w:rFonts w:ascii="Times New Roman" w:cs="Times New Roman"/>
          <w:kern w:val="2"/>
        </w:rPr>
        <w:t>M</w:t>
      </w:r>
      <w:r>
        <w:rPr>
          <w:rFonts w:ascii="Times New Roman" w:cs="Times New Roman" w:hint="eastAsia"/>
          <w:kern w:val="2"/>
        </w:rPr>
        <w:t>2</w:t>
      </w:r>
      <w:r>
        <w:rPr>
          <w:rFonts w:ascii="Times New Roman" w:cs="Times New Roman" w:hint="eastAsia"/>
          <w:kern w:val="2"/>
        </w:rPr>
        <w:t>表示）。</w:t>
      </w:r>
    </w:p>
    <w:p w:rsidR="00BD5820" w:rsidRDefault="00F64314">
      <w:pPr>
        <w:topLinePunct w:val="0"/>
        <w:adjustRightInd/>
        <w:ind w:firstLineChars="0" w:firstLine="0"/>
        <w:jc w:val="center"/>
        <w:rPr>
          <w:rFonts w:ascii="Times New Roman" w:cs="Times New Roman"/>
          <w:b/>
          <w:bCs/>
          <w:kern w:val="2"/>
          <w:sz w:val="21"/>
        </w:rPr>
      </w:pPr>
      <w:r>
        <w:rPr>
          <w:rFonts w:ascii="Times New Roman" w:cs="Times New Roman"/>
          <w:b/>
          <w:kern w:val="2"/>
          <w:sz w:val="21"/>
        </w:rPr>
        <w:t>表</w:t>
      </w:r>
      <w:r>
        <w:rPr>
          <w:rFonts w:ascii="Times New Roman" w:cs="Times New Roman" w:hint="eastAsia"/>
          <w:b/>
          <w:kern w:val="2"/>
          <w:sz w:val="21"/>
        </w:rPr>
        <w:t>7.4</w:t>
      </w:r>
      <w:r>
        <w:rPr>
          <w:rFonts w:ascii="Times New Roman" w:cs="Times New Roman"/>
          <w:b/>
          <w:kern w:val="2"/>
          <w:sz w:val="21"/>
        </w:rPr>
        <w:t>-</w:t>
      </w:r>
      <w:r>
        <w:rPr>
          <w:rFonts w:ascii="Times New Roman" w:cs="Times New Roman" w:hint="eastAsia"/>
          <w:b/>
          <w:kern w:val="2"/>
          <w:sz w:val="21"/>
        </w:rPr>
        <w:t>7</w:t>
      </w:r>
      <w:r>
        <w:rPr>
          <w:rFonts w:ascii="Times New Roman" w:cs="Times New Roman"/>
          <w:b/>
          <w:kern w:val="2"/>
          <w:sz w:val="21"/>
        </w:rPr>
        <w:t xml:space="preserve">   </w:t>
      </w:r>
      <w:r>
        <w:rPr>
          <w:rFonts w:ascii="Times New Roman" w:cs="Times New Roman"/>
          <w:b/>
          <w:bCs/>
          <w:kern w:val="2"/>
          <w:sz w:val="21"/>
        </w:rPr>
        <w:t>建设项目</w:t>
      </w:r>
      <w:r>
        <w:rPr>
          <w:rFonts w:ascii="Times New Roman" w:cs="Times New Roman"/>
          <w:b/>
          <w:bCs/>
          <w:kern w:val="2"/>
          <w:sz w:val="21"/>
        </w:rPr>
        <w:t>M</w:t>
      </w:r>
      <w:r>
        <w:rPr>
          <w:rFonts w:ascii="Times New Roman" w:cs="Times New Roman"/>
          <w:b/>
          <w:bCs/>
          <w:kern w:val="2"/>
          <w:sz w:val="21"/>
        </w:rPr>
        <w:t>值确定表</w:t>
      </w:r>
    </w:p>
    <w:tbl>
      <w:tblPr>
        <w:tblW w:w="5000" w:type="pct"/>
        <w:jc w:val="center"/>
        <w:tblBorders>
          <w:top w:val="single" w:sz="12" w:space="0" w:color="auto"/>
          <w:bottom w:val="single" w:sz="12" w:space="0" w:color="auto"/>
          <w:insideH w:val="single" w:sz="4" w:space="0" w:color="auto"/>
          <w:insideV w:val="single" w:sz="4" w:space="0" w:color="auto"/>
        </w:tblBorders>
        <w:tblLook w:val="04A0"/>
      </w:tblPr>
      <w:tblGrid>
        <w:gridCol w:w="1339"/>
        <w:gridCol w:w="1885"/>
        <w:gridCol w:w="3525"/>
        <w:gridCol w:w="1773"/>
      </w:tblGrid>
      <w:tr w:rsidR="00BD5820">
        <w:trPr>
          <w:trHeight w:val="184"/>
          <w:jc w:val="center"/>
        </w:trPr>
        <w:tc>
          <w:tcPr>
            <w:tcW w:w="1339" w:type="dxa"/>
            <w:vAlign w:val="center"/>
          </w:tcPr>
          <w:p w:rsidR="00BD5820" w:rsidRDefault="00F64314">
            <w:pPr>
              <w:topLinePunct w:val="0"/>
              <w:adjustRightInd/>
              <w:spacing w:line="240" w:lineRule="atLeast"/>
              <w:ind w:firstLineChars="0" w:firstLine="0"/>
              <w:jc w:val="center"/>
              <w:rPr>
                <w:rFonts w:ascii="Times New Roman" w:cs="Times New Roman"/>
                <w:b/>
                <w:kern w:val="2"/>
                <w:sz w:val="21"/>
                <w:szCs w:val="21"/>
              </w:rPr>
            </w:pPr>
            <w:r>
              <w:rPr>
                <w:rFonts w:ascii="Times New Roman" w:cs="Times New Roman"/>
                <w:b/>
                <w:kern w:val="2"/>
                <w:sz w:val="21"/>
                <w:szCs w:val="21"/>
              </w:rPr>
              <w:t>序号</w:t>
            </w:r>
          </w:p>
        </w:tc>
        <w:tc>
          <w:tcPr>
            <w:tcW w:w="1885" w:type="dxa"/>
            <w:vAlign w:val="center"/>
          </w:tcPr>
          <w:p w:rsidR="00BD5820" w:rsidRDefault="00F64314">
            <w:pPr>
              <w:topLinePunct w:val="0"/>
              <w:adjustRightInd/>
              <w:spacing w:line="240" w:lineRule="atLeast"/>
              <w:ind w:firstLineChars="0" w:firstLine="0"/>
              <w:jc w:val="center"/>
              <w:rPr>
                <w:rFonts w:ascii="Times New Roman" w:cs="Times New Roman"/>
                <w:b/>
                <w:kern w:val="2"/>
                <w:sz w:val="21"/>
                <w:szCs w:val="21"/>
              </w:rPr>
            </w:pPr>
            <w:r>
              <w:rPr>
                <w:rFonts w:ascii="Times New Roman" w:cs="Times New Roman"/>
                <w:b/>
                <w:kern w:val="2"/>
                <w:sz w:val="21"/>
                <w:szCs w:val="21"/>
              </w:rPr>
              <w:t>工艺单元名称</w:t>
            </w:r>
          </w:p>
        </w:tc>
        <w:tc>
          <w:tcPr>
            <w:tcW w:w="3525" w:type="dxa"/>
            <w:vAlign w:val="center"/>
          </w:tcPr>
          <w:p w:rsidR="00BD5820" w:rsidRDefault="00F64314">
            <w:pPr>
              <w:topLinePunct w:val="0"/>
              <w:adjustRightInd/>
              <w:spacing w:line="240" w:lineRule="atLeast"/>
              <w:ind w:firstLineChars="0" w:firstLine="0"/>
              <w:jc w:val="center"/>
              <w:rPr>
                <w:rFonts w:ascii="Times New Roman" w:cs="Times New Roman"/>
                <w:b/>
                <w:kern w:val="2"/>
                <w:sz w:val="21"/>
                <w:szCs w:val="21"/>
              </w:rPr>
            </w:pPr>
            <w:r>
              <w:rPr>
                <w:rFonts w:ascii="Times New Roman" w:cs="Times New Roman"/>
                <w:b/>
                <w:kern w:val="2"/>
                <w:sz w:val="21"/>
                <w:szCs w:val="21"/>
              </w:rPr>
              <w:t>生产工艺</w:t>
            </w:r>
          </w:p>
        </w:tc>
        <w:tc>
          <w:tcPr>
            <w:tcW w:w="1773" w:type="dxa"/>
            <w:vAlign w:val="center"/>
          </w:tcPr>
          <w:p w:rsidR="00BD5820" w:rsidRDefault="00F64314">
            <w:pPr>
              <w:topLinePunct w:val="0"/>
              <w:adjustRightInd/>
              <w:spacing w:line="240" w:lineRule="atLeast"/>
              <w:ind w:firstLineChars="0" w:firstLine="0"/>
              <w:jc w:val="center"/>
              <w:rPr>
                <w:rFonts w:ascii="Times New Roman" w:cs="Times New Roman"/>
                <w:b/>
                <w:kern w:val="2"/>
                <w:sz w:val="21"/>
                <w:szCs w:val="21"/>
              </w:rPr>
            </w:pPr>
            <w:r>
              <w:rPr>
                <w:rFonts w:ascii="Times New Roman" w:cs="Times New Roman"/>
                <w:b/>
                <w:kern w:val="2"/>
                <w:sz w:val="21"/>
                <w:szCs w:val="21"/>
              </w:rPr>
              <w:t>M</w:t>
            </w:r>
            <w:r>
              <w:rPr>
                <w:rFonts w:ascii="Times New Roman" w:cs="Times New Roman"/>
                <w:b/>
                <w:kern w:val="2"/>
                <w:sz w:val="21"/>
                <w:szCs w:val="21"/>
              </w:rPr>
              <w:t>分值</w:t>
            </w:r>
          </w:p>
        </w:tc>
      </w:tr>
      <w:tr w:rsidR="00BD5820">
        <w:trPr>
          <w:trHeight w:val="184"/>
          <w:jc w:val="center"/>
        </w:trPr>
        <w:tc>
          <w:tcPr>
            <w:tcW w:w="1339" w:type="dxa"/>
            <w:vAlign w:val="center"/>
          </w:tcPr>
          <w:p w:rsidR="00BD5820" w:rsidRDefault="00F64314">
            <w:pPr>
              <w:topLinePunct w:val="0"/>
              <w:adjustRightInd/>
              <w:spacing w:line="240" w:lineRule="atLeast"/>
              <w:ind w:firstLineChars="0" w:firstLine="0"/>
              <w:jc w:val="center"/>
              <w:rPr>
                <w:rFonts w:ascii="Times New Roman" w:cs="Times New Roman"/>
                <w:kern w:val="2"/>
                <w:sz w:val="21"/>
                <w:szCs w:val="21"/>
              </w:rPr>
            </w:pPr>
            <w:r>
              <w:rPr>
                <w:rFonts w:ascii="Times New Roman" w:cs="Times New Roman"/>
                <w:kern w:val="2"/>
                <w:sz w:val="21"/>
                <w:szCs w:val="21"/>
              </w:rPr>
              <w:t>1</w:t>
            </w:r>
          </w:p>
        </w:tc>
        <w:tc>
          <w:tcPr>
            <w:tcW w:w="1885" w:type="dxa"/>
            <w:vAlign w:val="center"/>
          </w:tcPr>
          <w:p w:rsidR="00BD5820" w:rsidRDefault="00F64314">
            <w:pPr>
              <w:topLinePunct w:val="0"/>
              <w:adjustRightInd/>
              <w:spacing w:line="240" w:lineRule="atLeast"/>
              <w:ind w:firstLineChars="0" w:firstLine="0"/>
              <w:jc w:val="center"/>
              <w:rPr>
                <w:rFonts w:ascii="Times New Roman" w:cs="Times New Roman"/>
                <w:kern w:val="2"/>
                <w:sz w:val="21"/>
                <w:szCs w:val="21"/>
              </w:rPr>
            </w:pPr>
            <w:r>
              <w:rPr>
                <w:rFonts w:ascii="Times New Roman" w:cs="Times New Roman" w:hint="eastAsia"/>
                <w:kern w:val="2"/>
                <w:sz w:val="21"/>
                <w:szCs w:val="21"/>
              </w:rPr>
              <w:t>石油天然气</w:t>
            </w:r>
          </w:p>
        </w:tc>
        <w:tc>
          <w:tcPr>
            <w:tcW w:w="3525" w:type="dxa"/>
            <w:vAlign w:val="center"/>
          </w:tcPr>
          <w:p w:rsidR="00BD5820" w:rsidRDefault="00F64314">
            <w:pPr>
              <w:topLinePunct w:val="0"/>
              <w:adjustRightInd/>
              <w:spacing w:line="240" w:lineRule="atLeast"/>
              <w:ind w:firstLineChars="0" w:firstLine="0"/>
              <w:jc w:val="center"/>
              <w:rPr>
                <w:rFonts w:ascii="Times New Roman" w:cs="Times New Roman"/>
                <w:kern w:val="2"/>
                <w:sz w:val="21"/>
                <w:szCs w:val="21"/>
              </w:rPr>
            </w:pPr>
            <w:r>
              <w:rPr>
                <w:rFonts w:ascii="Times New Roman" w:cs="Times New Roman" w:hint="eastAsia"/>
                <w:kern w:val="2"/>
                <w:sz w:val="21"/>
                <w:szCs w:val="21"/>
              </w:rPr>
              <w:t>石油、</w:t>
            </w:r>
            <w:r>
              <w:rPr>
                <w:rFonts w:ascii="Times New Roman" w:cs="Times New Roman"/>
                <w:kern w:val="2"/>
                <w:sz w:val="21"/>
                <w:szCs w:val="21"/>
              </w:rPr>
              <w:t>天然气</w:t>
            </w:r>
            <w:r>
              <w:rPr>
                <w:rFonts w:ascii="Times New Roman" w:cs="Times New Roman" w:hint="eastAsia"/>
                <w:kern w:val="2"/>
                <w:sz w:val="21"/>
                <w:szCs w:val="21"/>
              </w:rPr>
              <w:t>、</w:t>
            </w:r>
            <w:r>
              <w:rPr>
                <w:rFonts w:ascii="Times New Roman" w:cs="Times New Roman"/>
                <w:kern w:val="2"/>
                <w:sz w:val="21"/>
                <w:szCs w:val="21"/>
              </w:rPr>
              <w:t>页岩气开采</w:t>
            </w:r>
            <w:r>
              <w:rPr>
                <w:rFonts w:ascii="Times New Roman" w:cs="Times New Roman" w:hint="eastAsia"/>
                <w:kern w:val="2"/>
                <w:sz w:val="21"/>
                <w:szCs w:val="21"/>
              </w:rPr>
              <w:t>（含净化）、气库（不含加气站的气库）、油库（不含加气站的油库）、油气管线（不含城镇燃气管线）</w:t>
            </w:r>
          </w:p>
        </w:tc>
        <w:tc>
          <w:tcPr>
            <w:tcW w:w="1773" w:type="dxa"/>
            <w:vAlign w:val="center"/>
          </w:tcPr>
          <w:p w:rsidR="00BD5820" w:rsidRDefault="00F64314">
            <w:pPr>
              <w:topLinePunct w:val="0"/>
              <w:adjustRightInd/>
              <w:spacing w:line="240" w:lineRule="atLeast"/>
              <w:ind w:firstLineChars="0" w:firstLine="0"/>
              <w:jc w:val="center"/>
              <w:rPr>
                <w:rFonts w:ascii="Times New Roman" w:cs="Times New Roman"/>
                <w:kern w:val="2"/>
                <w:sz w:val="21"/>
                <w:szCs w:val="21"/>
              </w:rPr>
            </w:pPr>
            <w:r>
              <w:rPr>
                <w:rFonts w:ascii="Times New Roman" w:cs="Times New Roman" w:hint="eastAsia"/>
                <w:kern w:val="2"/>
                <w:sz w:val="21"/>
                <w:szCs w:val="21"/>
              </w:rPr>
              <w:t>10</w:t>
            </w:r>
          </w:p>
        </w:tc>
      </w:tr>
      <w:tr w:rsidR="00BD5820">
        <w:trPr>
          <w:trHeight w:val="184"/>
          <w:jc w:val="center"/>
        </w:trPr>
        <w:tc>
          <w:tcPr>
            <w:tcW w:w="1339" w:type="dxa"/>
            <w:vAlign w:val="center"/>
          </w:tcPr>
          <w:p w:rsidR="00BD5820" w:rsidRDefault="00F64314">
            <w:pPr>
              <w:topLinePunct w:val="0"/>
              <w:adjustRightInd/>
              <w:spacing w:line="240" w:lineRule="atLeast"/>
              <w:ind w:firstLineChars="0" w:firstLine="0"/>
              <w:jc w:val="center"/>
              <w:rPr>
                <w:rFonts w:ascii="Times New Roman" w:cs="Times New Roman"/>
                <w:kern w:val="2"/>
                <w:sz w:val="21"/>
                <w:szCs w:val="21"/>
              </w:rPr>
            </w:pPr>
            <w:r>
              <w:rPr>
                <w:rFonts w:ascii="Times New Roman" w:cs="Times New Roman" w:hint="eastAsia"/>
                <w:kern w:val="2"/>
                <w:sz w:val="21"/>
                <w:szCs w:val="21"/>
              </w:rPr>
              <w:t>2</w:t>
            </w:r>
          </w:p>
        </w:tc>
        <w:tc>
          <w:tcPr>
            <w:tcW w:w="1885" w:type="dxa"/>
            <w:vAlign w:val="center"/>
          </w:tcPr>
          <w:p w:rsidR="00BD5820" w:rsidRDefault="00F64314">
            <w:pPr>
              <w:topLinePunct w:val="0"/>
              <w:adjustRightInd/>
              <w:spacing w:line="240" w:lineRule="atLeast"/>
              <w:ind w:firstLineChars="0" w:firstLine="0"/>
              <w:jc w:val="center"/>
              <w:rPr>
                <w:rFonts w:ascii="Times New Roman" w:cs="Times New Roman"/>
                <w:kern w:val="2"/>
                <w:sz w:val="21"/>
                <w:szCs w:val="21"/>
              </w:rPr>
            </w:pPr>
            <w:r>
              <w:rPr>
                <w:rFonts w:ascii="Times New Roman" w:cs="Times New Roman" w:hint="eastAsia"/>
                <w:kern w:val="2"/>
                <w:sz w:val="21"/>
                <w:szCs w:val="21"/>
              </w:rPr>
              <w:t>其他</w:t>
            </w:r>
          </w:p>
        </w:tc>
        <w:tc>
          <w:tcPr>
            <w:tcW w:w="3525" w:type="dxa"/>
            <w:vAlign w:val="center"/>
          </w:tcPr>
          <w:p w:rsidR="00BD5820" w:rsidRDefault="00F64314">
            <w:pPr>
              <w:topLinePunct w:val="0"/>
              <w:adjustRightInd/>
              <w:spacing w:line="240" w:lineRule="atLeast"/>
              <w:ind w:firstLineChars="0" w:firstLine="0"/>
              <w:jc w:val="center"/>
              <w:rPr>
                <w:rFonts w:ascii="Times New Roman" w:cs="Times New Roman"/>
                <w:kern w:val="2"/>
                <w:sz w:val="21"/>
                <w:szCs w:val="21"/>
              </w:rPr>
            </w:pPr>
            <w:r>
              <w:rPr>
                <w:rFonts w:ascii="Times New Roman" w:cs="Times New Roman" w:hint="eastAsia"/>
                <w:kern w:val="2"/>
                <w:sz w:val="21"/>
                <w:szCs w:val="21"/>
              </w:rPr>
              <w:t>涉及危险物质使用、储存的项目</w:t>
            </w:r>
          </w:p>
        </w:tc>
        <w:tc>
          <w:tcPr>
            <w:tcW w:w="1773" w:type="dxa"/>
            <w:vAlign w:val="center"/>
          </w:tcPr>
          <w:p w:rsidR="00BD5820" w:rsidRDefault="00F64314">
            <w:pPr>
              <w:topLinePunct w:val="0"/>
              <w:adjustRightInd/>
              <w:spacing w:line="240" w:lineRule="atLeast"/>
              <w:ind w:firstLineChars="0" w:firstLine="0"/>
              <w:jc w:val="center"/>
              <w:rPr>
                <w:rFonts w:ascii="Times New Roman" w:cs="Times New Roman"/>
                <w:kern w:val="2"/>
                <w:sz w:val="21"/>
                <w:szCs w:val="21"/>
              </w:rPr>
            </w:pPr>
            <w:r>
              <w:rPr>
                <w:rFonts w:ascii="Times New Roman" w:cs="Times New Roman" w:hint="eastAsia"/>
                <w:kern w:val="2"/>
                <w:sz w:val="21"/>
                <w:szCs w:val="21"/>
              </w:rPr>
              <w:t>5</w:t>
            </w:r>
          </w:p>
        </w:tc>
      </w:tr>
      <w:tr w:rsidR="00BD5820">
        <w:trPr>
          <w:trHeight w:val="139"/>
          <w:jc w:val="center"/>
        </w:trPr>
        <w:tc>
          <w:tcPr>
            <w:tcW w:w="6749" w:type="dxa"/>
            <w:gridSpan w:val="3"/>
            <w:vAlign w:val="center"/>
          </w:tcPr>
          <w:p w:rsidR="00BD5820" w:rsidRDefault="00F64314">
            <w:pPr>
              <w:topLinePunct w:val="0"/>
              <w:adjustRightInd/>
              <w:spacing w:line="240" w:lineRule="atLeast"/>
              <w:ind w:firstLineChars="0" w:firstLine="0"/>
              <w:jc w:val="center"/>
              <w:rPr>
                <w:rFonts w:ascii="Times New Roman" w:cs="Times New Roman"/>
                <w:kern w:val="2"/>
                <w:sz w:val="21"/>
                <w:szCs w:val="21"/>
              </w:rPr>
            </w:pPr>
            <w:r>
              <w:rPr>
                <w:rFonts w:ascii="Times New Roman" w:cs="Times New Roman"/>
                <w:b/>
                <w:kern w:val="2"/>
                <w:sz w:val="21"/>
                <w:szCs w:val="21"/>
              </w:rPr>
              <w:t>M</w:t>
            </w:r>
            <w:r>
              <w:rPr>
                <w:rFonts w:ascii="Times New Roman" w:cs="Times New Roman"/>
                <w:b/>
                <w:kern w:val="2"/>
                <w:sz w:val="21"/>
                <w:szCs w:val="21"/>
                <w:vertAlign w:val="subscript"/>
              </w:rPr>
              <w:t>总</w:t>
            </w:r>
          </w:p>
        </w:tc>
        <w:tc>
          <w:tcPr>
            <w:tcW w:w="1773" w:type="dxa"/>
            <w:vAlign w:val="center"/>
          </w:tcPr>
          <w:p w:rsidR="00BD5820" w:rsidRDefault="00F64314">
            <w:pPr>
              <w:topLinePunct w:val="0"/>
              <w:adjustRightInd/>
              <w:spacing w:line="240" w:lineRule="atLeast"/>
              <w:ind w:firstLineChars="0" w:firstLine="0"/>
              <w:jc w:val="center"/>
              <w:rPr>
                <w:rFonts w:ascii="Times New Roman" w:cs="Times New Roman"/>
                <w:kern w:val="2"/>
                <w:sz w:val="21"/>
                <w:szCs w:val="21"/>
              </w:rPr>
            </w:pPr>
            <w:r>
              <w:rPr>
                <w:rFonts w:ascii="Times New Roman" w:cs="Times New Roman" w:hint="eastAsia"/>
                <w:kern w:val="2"/>
                <w:sz w:val="21"/>
                <w:szCs w:val="21"/>
              </w:rPr>
              <w:t>15</w:t>
            </w:r>
          </w:p>
        </w:tc>
      </w:tr>
    </w:tbl>
    <w:p w:rsidR="00BD5820" w:rsidRDefault="00F64314">
      <w:pPr>
        <w:widowControl/>
        <w:topLinePunct w:val="0"/>
        <w:snapToGrid w:val="0"/>
        <w:spacing w:line="331" w:lineRule="auto"/>
        <w:ind w:firstLine="420"/>
        <w:rPr>
          <w:rFonts w:ascii="Times New Roman" w:cs="Times New Roman"/>
          <w:kern w:val="2"/>
          <w:sz w:val="21"/>
          <w:szCs w:val="21"/>
        </w:rPr>
      </w:pPr>
      <w:r>
        <w:rPr>
          <w:rFonts w:ascii="Times New Roman" w:cs="Times New Roman"/>
          <w:kern w:val="2"/>
          <w:sz w:val="21"/>
          <w:szCs w:val="21"/>
        </w:rPr>
        <w:t>备注：</w:t>
      </w:r>
      <w:r>
        <w:rPr>
          <w:rFonts w:ascii="Times New Roman" w:cs="Times New Roman"/>
          <w:kern w:val="2"/>
          <w:sz w:val="21"/>
          <w:szCs w:val="21"/>
        </w:rPr>
        <w:t>M</w:t>
      </w:r>
      <w:r>
        <w:rPr>
          <w:rFonts w:ascii="Times New Roman" w:cs="Times New Roman"/>
          <w:kern w:val="2"/>
          <w:sz w:val="21"/>
          <w:szCs w:val="21"/>
        </w:rPr>
        <w:t>值划分为（</w:t>
      </w:r>
      <w:r>
        <w:rPr>
          <w:rFonts w:ascii="Times New Roman" w:cs="Times New Roman"/>
          <w:kern w:val="2"/>
          <w:sz w:val="21"/>
          <w:szCs w:val="21"/>
        </w:rPr>
        <w:t>1</w:t>
      </w:r>
      <w:r>
        <w:rPr>
          <w:rFonts w:ascii="Times New Roman" w:cs="Times New Roman"/>
          <w:kern w:val="2"/>
          <w:sz w:val="21"/>
          <w:szCs w:val="21"/>
        </w:rPr>
        <w:t>）</w:t>
      </w:r>
      <w:r>
        <w:rPr>
          <w:rFonts w:ascii="Times New Roman" w:cs="Times New Roman"/>
          <w:kern w:val="2"/>
          <w:sz w:val="21"/>
          <w:szCs w:val="21"/>
        </w:rPr>
        <w:t>M&gt;20</w:t>
      </w:r>
      <w:r>
        <w:rPr>
          <w:rFonts w:ascii="Times New Roman" w:cs="Times New Roman"/>
          <w:kern w:val="2"/>
          <w:sz w:val="21"/>
          <w:szCs w:val="21"/>
        </w:rPr>
        <w:t>，（</w:t>
      </w:r>
      <w:r>
        <w:rPr>
          <w:rFonts w:ascii="Times New Roman" w:cs="Times New Roman"/>
          <w:kern w:val="2"/>
          <w:sz w:val="21"/>
          <w:szCs w:val="21"/>
        </w:rPr>
        <w:t>2</w:t>
      </w:r>
      <w:r>
        <w:rPr>
          <w:rFonts w:ascii="Times New Roman" w:cs="Times New Roman"/>
          <w:kern w:val="2"/>
          <w:sz w:val="21"/>
          <w:szCs w:val="21"/>
        </w:rPr>
        <w:t>）</w:t>
      </w:r>
      <w:r>
        <w:rPr>
          <w:rFonts w:ascii="Times New Roman" w:cs="Times New Roman"/>
          <w:kern w:val="2"/>
          <w:sz w:val="21"/>
          <w:szCs w:val="21"/>
        </w:rPr>
        <w:t>10</w:t>
      </w:r>
      <w:r>
        <w:rPr>
          <w:rFonts w:ascii="Times New Roman" w:cs="Times New Roman"/>
          <w:kern w:val="2"/>
          <w:sz w:val="21"/>
          <w:szCs w:val="21"/>
        </w:rPr>
        <w:t>＜</w:t>
      </w:r>
      <w:r>
        <w:rPr>
          <w:rFonts w:ascii="Times New Roman" w:cs="Times New Roman"/>
          <w:kern w:val="2"/>
          <w:sz w:val="21"/>
          <w:szCs w:val="21"/>
        </w:rPr>
        <w:t>M≤20</w:t>
      </w:r>
      <w:r>
        <w:rPr>
          <w:rFonts w:ascii="Times New Roman" w:cs="Times New Roman"/>
          <w:kern w:val="2"/>
          <w:sz w:val="21"/>
          <w:szCs w:val="21"/>
        </w:rPr>
        <w:t>；（</w:t>
      </w:r>
      <w:r>
        <w:rPr>
          <w:rFonts w:ascii="Times New Roman" w:cs="Times New Roman"/>
          <w:kern w:val="2"/>
          <w:sz w:val="21"/>
          <w:szCs w:val="21"/>
        </w:rPr>
        <w:t>3</w:t>
      </w:r>
      <w:r>
        <w:rPr>
          <w:rFonts w:ascii="Times New Roman" w:cs="Times New Roman"/>
          <w:kern w:val="2"/>
          <w:sz w:val="21"/>
          <w:szCs w:val="21"/>
        </w:rPr>
        <w:t>）</w:t>
      </w:r>
      <w:r>
        <w:rPr>
          <w:rFonts w:ascii="Times New Roman" w:cs="Times New Roman"/>
          <w:kern w:val="2"/>
          <w:sz w:val="21"/>
          <w:szCs w:val="21"/>
        </w:rPr>
        <w:t>5</w:t>
      </w:r>
      <w:r>
        <w:rPr>
          <w:rFonts w:ascii="Times New Roman" w:cs="Times New Roman"/>
          <w:kern w:val="2"/>
          <w:sz w:val="21"/>
          <w:szCs w:val="21"/>
        </w:rPr>
        <w:t>＜</w:t>
      </w:r>
      <w:r>
        <w:rPr>
          <w:rFonts w:ascii="Times New Roman" w:cs="Times New Roman"/>
          <w:kern w:val="2"/>
          <w:sz w:val="21"/>
          <w:szCs w:val="21"/>
        </w:rPr>
        <w:t>M≤10</w:t>
      </w:r>
      <w:r>
        <w:rPr>
          <w:rFonts w:ascii="Times New Roman" w:cs="Times New Roman"/>
          <w:kern w:val="2"/>
          <w:sz w:val="21"/>
          <w:szCs w:val="21"/>
        </w:rPr>
        <w:t>；（</w:t>
      </w:r>
      <w:r>
        <w:rPr>
          <w:rFonts w:ascii="Times New Roman" w:cs="Times New Roman"/>
          <w:kern w:val="2"/>
          <w:sz w:val="21"/>
          <w:szCs w:val="21"/>
        </w:rPr>
        <w:t>4</w:t>
      </w:r>
      <w:r>
        <w:rPr>
          <w:rFonts w:ascii="Times New Roman" w:cs="Times New Roman"/>
          <w:kern w:val="2"/>
          <w:sz w:val="21"/>
          <w:szCs w:val="21"/>
        </w:rPr>
        <w:t>）</w:t>
      </w:r>
      <w:r>
        <w:rPr>
          <w:rFonts w:ascii="Times New Roman" w:cs="Times New Roman"/>
          <w:kern w:val="2"/>
          <w:sz w:val="21"/>
          <w:szCs w:val="21"/>
        </w:rPr>
        <w:t>M=5</w:t>
      </w:r>
      <w:r>
        <w:rPr>
          <w:rFonts w:ascii="Times New Roman" w:cs="Times New Roman"/>
          <w:kern w:val="2"/>
          <w:sz w:val="21"/>
          <w:szCs w:val="21"/>
        </w:rPr>
        <w:t>，分别以</w:t>
      </w:r>
      <w:r>
        <w:rPr>
          <w:rFonts w:ascii="Times New Roman" w:cs="Times New Roman"/>
          <w:kern w:val="2"/>
          <w:sz w:val="21"/>
          <w:szCs w:val="21"/>
        </w:rPr>
        <w:t>M1</w:t>
      </w:r>
      <w:r>
        <w:rPr>
          <w:rFonts w:ascii="Times New Roman" w:cs="Times New Roman"/>
          <w:kern w:val="2"/>
          <w:sz w:val="21"/>
          <w:szCs w:val="21"/>
        </w:rPr>
        <w:t>、</w:t>
      </w:r>
      <w:r>
        <w:rPr>
          <w:rFonts w:ascii="Times New Roman" w:cs="Times New Roman"/>
          <w:kern w:val="2"/>
          <w:sz w:val="21"/>
          <w:szCs w:val="21"/>
        </w:rPr>
        <w:t>M2</w:t>
      </w:r>
      <w:r>
        <w:rPr>
          <w:rFonts w:ascii="Times New Roman" w:cs="Times New Roman"/>
          <w:kern w:val="2"/>
          <w:sz w:val="21"/>
          <w:szCs w:val="21"/>
        </w:rPr>
        <w:t>、</w:t>
      </w:r>
      <w:r>
        <w:rPr>
          <w:rFonts w:ascii="Times New Roman" w:cs="Times New Roman"/>
          <w:kern w:val="2"/>
          <w:sz w:val="21"/>
          <w:szCs w:val="21"/>
        </w:rPr>
        <w:t>M3</w:t>
      </w:r>
      <w:r>
        <w:rPr>
          <w:rFonts w:ascii="Times New Roman" w:cs="Times New Roman"/>
          <w:kern w:val="2"/>
          <w:sz w:val="21"/>
          <w:szCs w:val="21"/>
        </w:rPr>
        <w:t>和</w:t>
      </w:r>
      <w:r>
        <w:rPr>
          <w:rFonts w:ascii="Times New Roman" w:cs="Times New Roman"/>
          <w:kern w:val="2"/>
          <w:sz w:val="21"/>
          <w:szCs w:val="21"/>
        </w:rPr>
        <w:t>M4</w:t>
      </w:r>
      <w:r>
        <w:rPr>
          <w:rFonts w:ascii="Times New Roman" w:cs="Times New Roman"/>
          <w:kern w:val="2"/>
          <w:sz w:val="21"/>
          <w:szCs w:val="21"/>
        </w:rPr>
        <w:t>表示。</w:t>
      </w:r>
    </w:p>
    <w:p w:rsidR="00BD5820" w:rsidRDefault="00F64314">
      <w:pPr>
        <w:widowControl/>
        <w:topLinePunct w:val="0"/>
        <w:snapToGrid w:val="0"/>
        <w:spacing w:line="331" w:lineRule="auto"/>
        <w:ind w:firstLine="480"/>
        <w:rPr>
          <w:rFonts w:ascii="Times New Roman" w:cs="Times New Roman"/>
          <w:kern w:val="2"/>
        </w:rPr>
      </w:pPr>
      <w:r>
        <w:rPr>
          <w:rFonts w:ascii="Times New Roman" w:cs="Times New Roman"/>
          <w:kern w:val="2"/>
        </w:rPr>
        <w:t>综上</w:t>
      </w:r>
      <w:r>
        <w:rPr>
          <w:rFonts w:ascii="Times New Roman" w:cs="Times New Roman" w:hint="eastAsia"/>
          <w:kern w:val="2"/>
        </w:rPr>
        <w:t>，</w:t>
      </w:r>
      <w:r>
        <w:rPr>
          <w:rFonts w:ascii="Times New Roman" w:cs="Times New Roman"/>
          <w:kern w:val="2"/>
        </w:rPr>
        <w:t>根据《建设项目环境风险评价技术导则》（</w:t>
      </w:r>
      <w:r>
        <w:rPr>
          <w:rFonts w:ascii="Times New Roman" w:cs="Times New Roman"/>
          <w:kern w:val="2"/>
        </w:rPr>
        <w:t>HJ169-2018</w:t>
      </w:r>
      <w:r>
        <w:rPr>
          <w:rFonts w:ascii="Times New Roman" w:cs="Times New Roman"/>
          <w:kern w:val="2"/>
        </w:rPr>
        <w:t>）附录</w:t>
      </w:r>
      <w:r>
        <w:rPr>
          <w:rFonts w:ascii="Times New Roman" w:cs="Times New Roman"/>
          <w:kern w:val="2"/>
        </w:rPr>
        <w:t>C</w:t>
      </w:r>
      <w:r>
        <w:rPr>
          <w:rFonts w:ascii="Times New Roman" w:cs="Times New Roman"/>
          <w:kern w:val="2"/>
        </w:rPr>
        <w:t>中表</w:t>
      </w:r>
      <w:r>
        <w:rPr>
          <w:rFonts w:ascii="Times New Roman" w:cs="Times New Roman"/>
          <w:kern w:val="2"/>
        </w:rPr>
        <w:t>C.2</w:t>
      </w:r>
      <w:r>
        <w:rPr>
          <w:rFonts w:ascii="Times New Roman" w:cs="Times New Roman"/>
          <w:kern w:val="2"/>
        </w:rPr>
        <w:t>判断危险物质及工艺系统危险性（</w:t>
      </w:r>
      <w:r>
        <w:rPr>
          <w:rFonts w:ascii="Times New Roman" w:cs="Times New Roman"/>
          <w:kern w:val="2"/>
        </w:rPr>
        <w:t>P</w:t>
      </w:r>
      <w:r>
        <w:rPr>
          <w:rFonts w:ascii="Times New Roman" w:cs="Times New Roman"/>
          <w:kern w:val="2"/>
        </w:rPr>
        <w:t>）分级。</w:t>
      </w:r>
    </w:p>
    <w:p w:rsidR="00BD5820" w:rsidRDefault="00F64314">
      <w:pPr>
        <w:pStyle w:val="TOC11"/>
        <w:rPr>
          <w:rFonts w:eastAsia="宋体"/>
        </w:rPr>
      </w:pPr>
      <w:r>
        <w:rPr>
          <w:rFonts w:eastAsia="宋体"/>
        </w:rPr>
        <w:t>表</w:t>
      </w:r>
      <w:r>
        <w:rPr>
          <w:rFonts w:eastAsia="宋体"/>
        </w:rPr>
        <w:t>7.4-</w:t>
      </w:r>
      <w:r>
        <w:rPr>
          <w:rFonts w:eastAsia="宋体" w:hint="eastAsia"/>
        </w:rPr>
        <w:t>8</w:t>
      </w:r>
      <w:r>
        <w:rPr>
          <w:rFonts w:eastAsia="宋体"/>
        </w:rPr>
        <w:t xml:space="preserve">  </w:t>
      </w:r>
      <w:r>
        <w:rPr>
          <w:rFonts w:eastAsia="宋体"/>
        </w:rPr>
        <w:t>危险物质及工艺系统危险性等级（</w:t>
      </w:r>
      <w:r>
        <w:rPr>
          <w:rFonts w:eastAsia="宋体"/>
        </w:rPr>
        <w:t>P</w:t>
      </w:r>
      <w:r>
        <w:rPr>
          <w:rFonts w:eastAsia="宋体"/>
        </w:rPr>
        <w:t>）判定</w:t>
      </w:r>
    </w:p>
    <w:tbl>
      <w:tblPr>
        <w:tblW w:w="8453" w:type="dxa"/>
        <w:jc w:val="center"/>
        <w:tblLayout w:type="fixed"/>
        <w:tblCellMar>
          <w:left w:w="0" w:type="dxa"/>
          <w:right w:w="0" w:type="dxa"/>
        </w:tblCellMar>
        <w:tblLook w:val="04A0"/>
      </w:tblPr>
      <w:tblGrid>
        <w:gridCol w:w="1688"/>
        <w:gridCol w:w="1690"/>
        <w:gridCol w:w="1689"/>
        <w:gridCol w:w="1694"/>
        <w:gridCol w:w="1692"/>
      </w:tblGrid>
      <w:tr w:rsidR="00BD5820">
        <w:trPr>
          <w:trHeight w:val="19"/>
          <w:jc w:val="center"/>
        </w:trPr>
        <w:tc>
          <w:tcPr>
            <w:tcW w:w="1688" w:type="dxa"/>
            <w:vMerge w:val="restart"/>
            <w:tcBorders>
              <w:top w:val="single" w:sz="12" w:space="0" w:color="000000"/>
              <w:left w:val="nil"/>
              <w:bottom w:val="single" w:sz="4" w:space="0" w:color="000000"/>
              <w:right w:val="single" w:sz="4" w:space="0" w:color="000000"/>
            </w:tcBorders>
            <w:vAlign w:val="center"/>
          </w:tcPr>
          <w:p w:rsidR="00BD5820" w:rsidRDefault="00F64314">
            <w:pPr>
              <w:pStyle w:val="afff1"/>
              <w:rPr>
                <w:b/>
              </w:rPr>
            </w:pPr>
            <w:r>
              <w:rPr>
                <w:b/>
              </w:rPr>
              <w:t>危险物质数量与临界值比值（</w:t>
            </w:r>
            <w:r>
              <w:rPr>
                <w:b/>
              </w:rPr>
              <w:t>Q</w:t>
            </w:r>
            <w:r>
              <w:rPr>
                <w:b/>
              </w:rPr>
              <w:t>）</w:t>
            </w:r>
          </w:p>
        </w:tc>
        <w:tc>
          <w:tcPr>
            <w:tcW w:w="6765" w:type="dxa"/>
            <w:gridSpan w:val="4"/>
            <w:tcBorders>
              <w:top w:val="single" w:sz="12" w:space="0" w:color="000000"/>
              <w:left w:val="single" w:sz="4" w:space="0" w:color="000000"/>
              <w:bottom w:val="single" w:sz="4" w:space="0" w:color="000000"/>
              <w:right w:val="nil"/>
            </w:tcBorders>
            <w:vAlign w:val="center"/>
          </w:tcPr>
          <w:p w:rsidR="00BD5820" w:rsidRDefault="00F64314">
            <w:pPr>
              <w:pStyle w:val="afff1"/>
              <w:rPr>
                <w:b/>
              </w:rPr>
            </w:pPr>
            <w:r>
              <w:rPr>
                <w:b/>
              </w:rPr>
              <w:t>行业及生产工艺（</w:t>
            </w:r>
            <w:r>
              <w:rPr>
                <w:b/>
              </w:rPr>
              <w:t>M</w:t>
            </w:r>
            <w:r>
              <w:rPr>
                <w:b/>
              </w:rPr>
              <w:t>）</w:t>
            </w:r>
          </w:p>
        </w:tc>
      </w:tr>
      <w:tr w:rsidR="00BD5820">
        <w:trPr>
          <w:trHeight w:val="19"/>
          <w:jc w:val="center"/>
        </w:trPr>
        <w:tc>
          <w:tcPr>
            <w:tcW w:w="1688" w:type="dxa"/>
            <w:vMerge/>
            <w:tcBorders>
              <w:top w:val="single" w:sz="12" w:space="0" w:color="000000"/>
              <w:left w:val="nil"/>
              <w:bottom w:val="single" w:sz="4" w:space="0" w:color="000000"/>
              <w:right w:val="single" w:sz="4" w:space="0" w:color="000000"/>
            </w:tcBorders>
            <w:vAlign w:val="center"/>
          </w:tcPr>
          <w:p w:rsidR="00BD5820" w:rsidRDefault="00BD5820">
            <w:pPr>
              <w:pStyle w:val="afff1"/>
              <w:rPr>
                <w:b/>
              </w:rPr>
            </w:pPr>
          </w:p>
        </w:tc>
        <w:tc>
          <w:tcPr>
            <w:tcW w:w="1690" w:type="dxa"/>
            <w:tcBorders>
              <w:top w:val="single" w:sz="4" w:space="0" w:color="000000"/>
              <w:left w:val="single" w:sz="4" w:space="0" w:color="000000"/>
              <w:bottom w:val="single" w:sz="4" w:space="0" w:color="000000"/>
              <w:right w:val="single" w:sz="4" w:space="0" w:color="000000"/>
            </w:tcBorders>
            <w:vAlign w:val="center"/>
          </w:tcPr>
          <w:p w:rsidR="00BD5820" w:rsidRDefault="00F64314">
            <w:pPr>
              <w:pStyle w:val="afff1"/>
              <w:rPr>
                <w:b/>
              </w:rPr>
            </w:pPr>
            <w:r>
              <w:rPr>
                <w:b/>
              </w:rPr>
              <w:t>M1</w:t>
            </w:r>
          </w:p>
        </w:tc>
        <w:tc>
          <w:tcPr>
            <w:tcW w:w="1689" w:type="dxa"/>
            <w:tcBorders>
              <w:top w:val="single" w:sz="4" w:space="0" w:color="000000"/>
              <w:left w:val="single" w:sz="4" w:space="0" w:color="000000"/>
              <w:bottom w:val="single" w:sz="4" w:space="0" w:color="000000"/>
              <w:right w:val="single" w:sz="4" w:space="0" w:color="000000"/>
            </w:tcBorders>
            <w:vAlign w:val="center"/>
          </w:tcPr>
          <w:p w:rsidR="00BD5820" w:rsidRDefault="00F64314">
            <w:pPr>
              <w:pStyle w:val="afff1"/>
              <w:rPr>
                <w:b/>
              </w:rPr>
            </w:pPr>
            <w:r>
              <w:rPr>
                <w:b/>
              </w:rPr>
              <w:t>M2</w:t>
            </w:r>
          </w:p>
        </w:tc>
        <w:tc>
          <w:tcPr>
            <w:tcW w:w="1694" w:type="dxa"/>
            <w:tcBorders>
              <w:top w:val="single" w:sz="4" w:space="0" w:color="000000"/>
              <w:left w:val="single" w:sz="4" w:space="0" w:color="000000"/>
              <w:bottom w:val="single" w:sz="4" w:space="0" w:color="000000"/>
              <w:right w:val="single" w:sz="4" w:space="0" w:color="000000"/>
            </w:tcBorders>
            <w:vAlign w:val="center"/>
          </w:tcPr>
          <w:p w:rsidR="00BD5820" w:rsidRDefault="00F64314">
            <w:pPr>
              <w:pStyle w:val="afff1"/>
              <w:rPr>
                <w:b/>
              </w:rPr>
            </w:pPr>
            <w:r>
              <w:rPr>
                <w:b/>
              </w:rPr>
              <w:t>M3</w:t>
            </w:r>
          </w:p>
        </w:tc>
        <w:tc>
          <w:tcPr>
            <w:tcW w:w="1690" w:type="dxa"/>
            <w:tcBorders>
              <w:top w:val="single" w:sz="4" w:space="0" w:color="000000"/>
              <w:left w:val="single" w:sz="4" w:space="0" w:color="000000"/>
              <w:bottom w:val="single" w:sz="4" w:space="0" w:color="000000"/>
              <w:right w:val="nil"/>
            </w:tcBorders>
            <w:vAlign w:val="center"/>
          </w:tcPr>
          <w:p w:rsidR="00BD5820" w:rsidRDefault="00F64314">
            <w:pPr>
              <w:pStyle w:val="afff1"/>
              <w:rPr>
                <w:b/>
              </w:rPr>
            </w:pPr>
            <w:r>
              <w:rPr>
                <w:b/>
              </w:rPr>
              <w:t>M4</w:t>
            </w:r>
          </w:p>
        </w:tc>
      </w:tr>
      <w:tr w:rsidR="00BD5820">
        <w:trPr>
          <w:trHeight w:val="19"/>
          <w:jc w:val="center"/>
        </w:trPr>
        <w:tc>
          <w:tcPr>
            <w:tcW w:w="1688" w:type="dxa"/>
            <w:tcBorders>
              <w:top w:val="single" w:sz="4" w:space="0" w:color="000000"/>
              <w:left w:val="nil"/>
              <w:bottom w:val="single" w:sz="4" w:space="0" w:color="000000"/>
              <w:right w:val="single" w:sz="4" w:space="0" w:color="000000"/>
            </w:tcBorders>
            <w:vAlign w:val="center"/>
          </w:tcPr>
          <w:p w:rsidR="00BD5820" w:rsidRDefault="00F64314">
            <w:pPr>
              <w:pStyle w:val="afff1"/>
            </w:pPr>
            <w:r>
              <w:t>Q≥100</w:t>
            </w:r>
          </w:p>
        </w:tc>
        <w:tc>
          <w:tcPr>
            <w:tcW w:w="1690" w:type="dxa"/>
            <w:tcBorders>
              <w:top w:val="single" w:sz="4" w:space="0" w:color="000000"/>
              <w:left w:val="single" w:sz="4" w:space="0" w:color="000000"/>
              <w:bottom w:val="single" w:sz="4" w:space="0" w:color="000000"/>
              <w:right w:val="single" w:sz="4" w:space="0" w:color="000000"/>
            </w:tcBorders>
            <w:vAlign w:val="center"/>
          </w:tcPr>
          <w:p w:rsidR="00BD5820" w:rsidRDefault="00F64314">
            <w:pPr>
              <w:pStyle w:val="afff1"/>
            </w:pPr>
            <w:r>
              <w:t>P1</w:t>
            </w:r>
          </w:p>
        </w:tc>
        <w:tc>
          <w:tcPr>
            <w:tcW w:w="1689" w:type="dxa"/>
            <w:tcBorders>
              <w:top w:val="single" w:sz="4" w:space="0" w:color="000000"/>
              <w:left w:val="single" w:sz="4" w:space="0" w:color="000000"/>
              <w:bottom w:val="single" w:sz="4" w:space="0" w:color="000000"/>
              <w:right w:val="single" w:sz="4" w:space="0" w:color="000000"/>
            </w:tcBorders>
            <w:vAlign w:val="center"/>
          </w:tcPr>
          <w:p w:rsidR="00BD5820" w:rsidRDefault="00F64314">
            <w:pPr>
              <w:pStyle w:val="afff1"/>
            </w:pPr>
            <w:r>
              <w:t>P1</w:t>
            </w:r>
          </w:p>
        </w:tc>
        <w:tc>
          <w:tcPr>
            <w:tcW w:w="1694" w:type="dxa"/>
            <w:tcBorders>
              <w:top w:val="single" w:sz="4" w:space="0" w:color="000000"/>
              <w:left w:val="single" w:sz="4" w:space="0" w:color="000000"/>
              <w:bottom w:val="single" w:sz="4" w:space="0" w:color="000000"/>
              <w:right w:val="single" w:sz="4" w:space="0" w:color="000000"/>
            </w:tcBorders>
            <w:vAlign w:val="center"/>
          </w:tcPr>
          <w:p w:rsidR="00BD5820" w:rsidRDefault="00F64314">
            <w:pPr>
              <w:pStyle w:val="afff1"/>
            </w:pPr>
            <w:r>
              <w:t>P2</w:t>
            </w:r>
          </w:p>
        </w:tc>
        <w:tc>
          <w:tcPr>
            <w:tcW w:w="1690" w:type="dxa"/>
            <w:tcBorders>
              <w:top w:val="single" w:sz="4" w:space="0" w:color="000000"/>
              <w:left w:val="single" w:sz="4" w:space="0" w:color="000000"/>
              <w:bottom w:val="single" w:sz="4" w:space="0" w:color="000000"/>
              <w:right w:val="nil"/>
            </w:tcBorders>
            <w:vAlign w:val="center"/>
          </w:tcPr>
          <w:p w:rsidR="00BD5820" w:rsidRDefault="00F64314">
            <w:pPr>
              <w:pStyle w:val="afff1"/>
            </w:pPr>
            <w:r>
              <w:t>P3</w:t>
            </w:r>
          </w:p>
        </w:tc>
      </w:tr>
      <w:tr w:rsidR="00BD5820">
        <w:trPr>
          <w:trHeight w:val="19"/>
          <w:jc w:val="center"/>
        </w:trPr>
        <w:tc>
          <w:tcPr>
            <w:tcW w:w="1688" w:type="dxa"/>
            <w:tcBorders>
              <w:top w:val="single" w:sz="4" w:space="0" w:color="000000"/>
              <w:left w:val="nil"/>
              <w:bottom w:val="single" w:sz="4" w:space="0" w:color="000000"/>
              <w:right w:val="single" w:sz="4" w:space="0" w:color="000000"/>
            </w:tcBorders>
            <w:vAlign w:val="center"/>
          </w:tcPr>
          <w:p w:rsidR="00BD5820" w:rsidRDefault="00F64314">
            <w:pPr>
              <w:pStyle w:val="afff1"/>
            </w:pPr>
            <w:r>
              <w:t>10≤Q</w:t>
            </w:r>
            <w:r>
              <w:t>＜</w:t>
            </w:r>
            <w:r>
              <w:t>100</w:t>
            </w:r>
          </w:p>
        </w:tc>
        <w:tc>
          <w:tcPr>
            <w:tcW w:w="1690" w:type="dxa"/>
            <w:tcBorders>
              <w:top w:val="single" w:sz="4" w:space="0" w:color="000000"/>
              <w:left w:val="single" w:sz="4" w:space="0" w:color="000000"/>
              <w:bottom w:val="single" w:sz="4" w:space="0" w:color="000000"/>
              <w:right w:val="single" w:sz="4" w:space="0" w:color="000000"/>
            </w:tcBorders>
            <w:vAlign w:val="center"/>
          </w:tcPr>
          <w:p w:rsidR="00BD5820" w:rsidRDefault="00F64314">
            <w:pPr>
              <w:pStyle w:val="afff1"/>
            </w:pPr>
            <w:r>
              <w:t>P1</w:t>
            </w:r>
          </w:p>
        </w:tc>
        <w:tc>
          <w:tcPr>
            <w:tcW w:w="1689" w:type="dxa"/>
            <w:tcBorders>
              <w:top w:val="single" w:sz="4" w:space="0" w:color="000000"/>
              <w:left w:val="single" w:sz="4" w:space="0" w:color="000000"/>
              <w:bottom w:val="single" w:sz="4" w:space="0" w:color="000000"/>
              <w:right w:val="single" w:sz="4" w:space="0" w:color="000000"/>
            </w:tcBorders>
            <w:vAlign w:val="center"/>
          </w:tcPr>
          <w:p w:rsidR="00BD5820" w:rsidRDefault="00F64314">
            <w:pPr>
              <w:pStyle w:val="afff1"/>
            </w:pPr>
            <w:r>
              <w:t>P2</w:t>
            </w:r>
          </w:p>
        </w:tc>
        <w:tc>
          <w:tcPr>
            <w:tcW w:w="1694" w:type="dxa"/>
            <w:tcBorders>
              <w:top w:val="single" w:sz="4" w:space="0" w:color="000000"/>
              <w:left w:val="single" w:sz="4" w:space="0" w:color="000000"/>
              <w:bottom w:val="single" w:sz="4" w:space="0" w:color="000000"/>
              <w:right w:val="single" w:sz="4" w:space="0" w:color="000000"/>
            </w:tcBorders>
            <w:vAlign w:val="center"/>
          </w:tcPr>
          <w:p w:rsidR="00BD5820" w:rsidRDefault="00F64314">
            <w:pPr>
              <w:pStyle w:val="afff1"/>
            </w:pPr>
            <w:r>
              <w:t>P3</w:t>
            </w:r>
          </w:p>
        </w:tc>
        <w:tc>
          <w:tcPr>
            <w:tcW w:w="1690" w:type="dxa"/>
            <w:tcBorders>
              <w:top w:val="single" w:sz="4" w:space="0" w:color="000000"/>
              <w:left w:val="single" w:sz="4" w:space="0" w:color="000000"/>
              <w:bottom w:val="single" w:sz="4" w:space="0" w:color="000000"/>
              <w:right w:val="nil"/>
            </w:tcBorders>
            <w:vAlign w:val="center"/>
          </w:tcPr>
          <w:p w:rsidR="00BD5820" w:rsidRDefault="00F64314">
            <w:pPr>
              <w:pStyle w:val="afff1"/>
            </w:pPr>
            <w:r>
              <w:t>P4</w:t>
            </w:r>
          </w:p>
        </w:tc>
      </w:tr>
      <w:tr w:rsidR="00BD5820">
        <w:trPr>
          <w:trHeight w:val="19"/>
          <w:jc w:val="center"/>
        </w:trPr>
        <w:tc>
          <w:tcPr>
            <w:tcW w:w="1688" w:type="dxa"/>
            <w:tcBorders>
              <w:top w:val="single" w:sz="4" w:space="0" w:color="000000"/>
              <w:left w:val="nil"/>
              <w:bottom w:val="single" w:sz="12" w:space="0" w:color="auto"/>
              <w:right w:val="single" w:sz="4" w:space="0" w:color="000000"/>
            </w:tcBorders>
            <w:vAlign w:val="center"/>
          </w:tcPr>
          <w:p w:rsidR="00BD5820" w:rsidRDefault="00F64314">
            <w:pPr>
              <w:pStyle w:val="afff1"/>
            </w:pPr>
            <w:r>
              <w:t>1≤Q</w:t>
            </w:r>
            <w:r>
              <w:t>＜</w:t>
            </w:r>
            <w:r>
              <w:t>10</w:t>
            </w:r>
          </w:p>
        </w:tc>
        <w:tc>
          <w:tcPr>
            <w:tcW w:w="1690" w:type="dxa"/>
            <w:tcBorders>
              <w:top w:val="single" w:sz="4" w:space="0" w:color="000000"/>
              <w:left w:val="single" w:sz="4" w:space="0" w:color="000000"/>
              <w:bottom w:val="single" w:sz="12" w:space="0" w:color="auto"/>
              <w:right w:val="single" w:sz="4" w:space="0" w:color="000000"/>
            </w:tcBorders>
            <w:vAlign w:val="center"/>
          </w:tcPr>
          <w:p w:rsidR="00BD5820" w:rsidRDefault="00F64314">
            <w:pPr>
              <w:pStyle w:val="afff1"/>
            </w:pPr>
            <w:r>
              <w:t>P2</w:t>
            </w:r>
          </w:p>
        </w:tc>
        <w:tc>
          <w:tcPr>
            <w:tcW w:w="1689" w:type="dxa"/>
            <w:tcBorders>
              <w:top w:val="single" w:sz="4" w:space="0" w:color="000000"/>
              <w:left w:val="single" w:sz="4" w:space="0" w:color="000000"/>
              <w:bottom w:val="single" w:sz="12" w:space="0" w:color="auto"/>
              <w:right w:val="single" w:sz="4" w:space="0" w:color="000000"/>
            </w:tcBorders>
            <w:vAlign w:val="center"/>
          </w:tcPr>
          <w:p w:rsidR="00BD5820" w:rsidRDefault="00F64314">
            <w:pPr>
              <w:pStyle w:val="afff1"/>
            </w:pPr>
            <w:r>
              <w:t>P3</w:t>
            </w:r>
            <w:r>
              <w:rPr>
                <w:b/>
              </w:rPr>
              <w:t>（</w:t>
            </w:r>
            <w:r>
              <w:rPr>
                <w:rFonts w:hint="eastAsia"/>
                <w:b/>
              </w:rPr>
              <w:t>本</w:t>
            </w:r>
            <w:r>
              <w:rPr>
                <w:b/>
              </w:rPr>
              <w:t>项目分级）</w:t>
            </w:r>
          </w:p>
        </w:tc>
        <w:tc>
          <w:tcPr>
            <w:tcW w:w="1694" w:type="dxa"/>
            <w:tcBorders>
              <w:top w:val="single" w:sz="4" w:space="0" w:color="000000"/>
              <w:left w:val="single" w:sz="4" w:space="0" w:color="000000"/>
              <w:bottom w:val="single" w:sz="12" w:space="0" w:color="auto"/>
              <w:right w:val="single" w:sz="4" w:space="0" w:color="000000"/>
            </w:tcBorders>
            <w:vAlign w:val="center"/>
          </w:tcPr>
          <w:p w:rsidR="00BD5820" w:rsidRDefault="00F64314">
            <w:pPr>
              <w:pStyle w:val="afff1"/>
            </w:pPr>
            <w:r>
              <w:t>P4</w:t>
            </w:r>
          </w:p>
        </w:tc>
        <w:tc>
          <w:tcPr>
            <w:tcW w:w="1690" w:type="dxa"/>
            <w:tcBorders>
              <w:top w:val="single" w:sz="4" w:space="0" w:color="000000"/>
              <w:left w:val="single" w:sz="4" w:space="0" w:color="000000"/>
              <w:bottom w:val="single" w:sz="12" w:space="0" w:color="auto"/>
              <w:right w:val="nil"/>
            </w:tcBorders>
            <w:vAlign w:val="center"/>
          </w:tcPr>
          <w:p w:rsidR="00BD5820" w:rsidRDefault="00F64314">
            <w:pPr>
              <w:pStyle w:val="afff1"/>
            </w:pPr>
            <w:r>
              <w:t>P4</w:t>
            </w:r>
          </w:p>
        </w:tc>
      </w:tr>
    </w:tbl>
    <w:p w:rsidR="00BD5820" w:rsidRDefault="00F64314">
      <w:pPr>
        <w:widowControl/>
        <w:topLinePunct w:val="0"/>
        <w:snapToGrid w:val="0"/>
        <w:spacing w:line="331" w:lineRule="auto"/>
        <w:ind w:firstLine="420"/>
        <w:rPr>
          <w:rFonts w:ascii="Times New Roman" w:cs="Times New Roman"/>
          <w:sz w:val="21"/>
          <w:szCs w:val="21"/>
        </w:rPr>
      </w:pPr>
      <w:r>
        <w:rPr>
          <w:rFonts w:ascii="Times New Roman" w:cs="Times New Roman"/>
          <w:sz w:val="21"/>
          <w:szCs w:val="21"/>
        </w:rPr>
        <w:t>注：当</w:t>
      </w:r>
      <w:r>
        <w:rPr>
          <w:rFonts w:ascii="Times New Roman" w:cs="Times New Roman"/>
          <w:sz w:val="21"/>
          <w:szCs w:val="21"/>
        </w:rPr>
        <w:t>Q</w:t>
      </w:r>
      <w:r>
        <w:rPr>
          <w:rFonts w:ascii="Times New Roman" w:cs="Times New Roman"/>
          <w:sz w:val="21"/>
          <w:szCs w:val="21"/>
        </w:rPr>
        <w:t>＜</w:t>
      </w:r>
      <w:r>
        <w:rPr>
          <w:rFonts w:ascii="Times New Roman" w:cs="Times New Roman"/>
          <w:sz w:val="21"/>
          <w:szCs w:val="21"/>
        </w:rPr>
        <w:t>1</w:t>
      </w:r>
      <w:r>
        <w:rPr>
          <w:rFonts w:ascii="Times New Roman" w:cs="Times New Roman"/>
          <w:sz w:val="21"/>
          <w:szCs w:val="21"/>
        </w:rPr>
        <w:t>时，该项目环境风险潜势为</w:t>
      </w:r>
      <w:r>
        <w:rPr>
          <w:rFonts w:ascii="Times New Roman" w:cs="Times New Roman"/>
          <w:sz w:val="21"/>
          <w:szCs w:val="21"/>
        </w:rPr>
        <w:t>Ⅰ</w:t>
      </w:r>
      <w:r>
        <w:rPr>
          <w:rFonts w:ascii="Times New Roman" w:cs="Times New Roman"/>
          <w:sz w:val="21"/>
          <w:szCs w:val="21"/>
        </w:rPr>
        <w:t>。</w:t>
      </w:r>
    </w:p>
    <w:p w:rsidR="00BD5820" w:rsidRDefault="00F64314">
      <w:pPr>
        <w:widowControl/>
        <w:topLinePunct w:val="0"/>
        <w:snapToGrid w:val="0"/>
        <w:spacing w:line="331" w:lineRule="auto"/>
        <w:ind w:firstLine="482"/>
        <w:rPr>
          <w:rFonts w:ascii="Times New Roman" w:cs="Times New Roman"/>
          <w:b/>
          <w:kern w:val="2"/>
        </w:rPr>
      </w:pPr>
      <w:r>
        <w:rPr>
          <w:rFonts w:ascii="Times New Roman" w:cs="Times New Roman"/>
          <w:b/>
          <w:kern w:val="2"/>
        </w:rPr>
        <w:t>2</w:t>
      </w:r>
      <w:r>
        <w:rPr>
          <w:rFonts w:ascii="Times New Roman" w:hAnsi="宋体" w:cs="Times New Roman"/>
          <w:b/>
          <w:kern w:val="2"/>
        </w:rPr>
        <w:t>、</w:t>
      </w:r>
      <w:r>
        <w:rPr>
          <w:rFonts w:ascii="Times New Roman" w:cs="Times New Roman"/>
          <w:b/>
          <w:kern w:val="2"/>
        </w:rPr>
        <w:t>E</w:t>
      </w:r>
      <w:r>
        <w:rPr>
          <w:rFonts w:ascii="Times New Roman" w:hAnsi="宋体" w:cs="Times New Roman"/>
          <w:b/>
          <w:kern w:val="2"/>
        </w:rPr>
        <w:t>的分级确定</w:t>
      </w:r>
    </w:p>
    <w:p w:rsidR="00BD5820" w:rsidRDefault="00F64314">
      <w:pPr>
        <w:widowControl/>
        <w:topLinePunct w:val="0"/>
        <w:snapToGrid w:val="0"/>
        <w:spacing w:line="331" w:lineRule="auto"/>
        <w:ind w:firstLine="480"/>
        <w:rPr>
          <w:rFonts w:ascii="Times New Roman" w:cs="Times New Roman"/>
          <w:kern w:val="2"/>
        </w:rPr>
      </w:pPr>
      <w:r>
        <w:rPr>
          <w:rFonts w:ascii="Times New Roman" w:hAnsi="宋体" w:cs="Times New Roman"/>
          <w:kern w:val="2"/>
        </w:rPr>
        <w:t>根据《建设项目环境风险评价技术导则》（</w:t>
      </w:r>
      <w:r>
        <w:rPr>
          <w:rFonts w:ascii="Times New Roman" w:cs="Times New Roman"/>
          <w:kern w:val="2"/>
        </w:rPr>
        <w:t>HJ169-2018</w:t>
      </w:r>
      <w:r>
        <w:rPr>
          <w:rFonts w:ascii="Times New Roman" w:hAnsi="宋体" w:cs="Times New Roman"/>
          <w:kern w:val="2"/>
        </w:rPr>
        <w:t>）附录</w:t>
      </w:r>
      <w:r>
        <w:rPr>
          <w:rFonts w:ascii="Times New Roman" w:cs="Times New Roman"/>
          <w:kern w:val="2"/>
        </w:rPr>
        <w:t>D</w:t>
      </w:r>
      <w:r>
        <w:rPr>
          <w:rFonts w:ascii="Times New Roman" w:hAnsi="宋体" w:cs="Times New Roman" w:hint="eastAsia"/>
          <w:kern w:val="2"/>
        </w:rPr>
        <w:t>判定环境敏感程度（</w:t>
      </w:r>
      <w:r>
        <w:rPr>
          <w:rFonts w:ascii="Times New Roman" w:hAnsi="宋体" w:cs="Times New Roman" w:hint="eastAsia"/>
          <w:kern w:val="2"/>
        </w:rPr>
        <w:t>E</w:t>
      </w:r>
      <w:r>
        <w:rPr>
          <w:rFonts w:ascii="Times New Roman" w:hAnsi="宋体" w:cs="Times New Roman" w:hint="eastAsia"/>
          <w:kern w:val="2"/>
        </w:rPr>
        <w:t>）分级。</w:t>
      </w:r>
      <w:r w:rsidRPr="00EE7F91">
        <w:rPr>
          <w:rFonts w:ascii="Times New Roman" w:hAnsi="宋体" w:cs="Times New Roman" w:hint="eastAsia"/>
          <w:color w:val="FF0000"/>
          <w:kern w:val="2"/>
        </w:rPr>
        <w:t>拟建项目周边</w:t>
      </w:r>
      <w:r w:rsidRPr="00EE7F91">
        <w:rPr>
          <w:rFonts w:ascii="Times New Roman" w:hAnsi="宋体" w:cs="Times New Roman" w:hint="eastAsia"/>
          <w:color w:val="FF0000"/>
          <w:kern w:val="2"/>
        </w:rPr>
        <w:t>500</w:t>
      </w:r>
      <w:r w:rsidR="00EE7F91" w:rsidRPr="00EE7F91">
        <w:rPr>
          <w:rFonts w:ascii="Times New Roman" w:hAnsi="宋体" w:cs="Times New Roman" w:hint="eastAsia"/>
          <w:color w:val="FF0000"/>
          <w:kern w:val="2"/>
        </w:rPr>
        <w:t>0</w:t>
      </w:r>
      <w:r w:rsidRPr="00EE7F91">
        <w:rPr>
          <w:rFonts w:ascii="Times New Roman" w:hAnsi="宋体" w:cs="Times New Roman" w:hint="eastAsia"/>
          <w:color w:val="FF0000"/>
          <w:kern w:val="2"/>
        </w:rPr>
        <w:t>m</w:t>
      </w:r>
      <w:r w:rsidRPr="00EE7F91">
        <w:rPr>
          <w:rFonts w:ascii="Times New Roman" w:hAnsi="宋体" w:cs="Times New Roman" w:hint="eastAsia"/>
          <w:color w:val="FF0000"/>
          <w:kern w:val="2"/>
        </w:rPr>
        <w:t>范围内总人数</w:t>
      </w:r>
      <w:r w:rsidR="005746BE">
        <w:rPr>
          <w:rFonts w:ascii="Times New Roman" w:hAnsi="宋体" w:cs="Times New Roman" w:hint="eastAsia"/>
          <w:color w:val="FF0000"/>
          <w:kern w:val="2"/>
        </w:rPr>
        <w:t>约</w:t>
      </w:r>
      <w:r w:rsidR="005746BE">
        <w:rPr>
          <w:rFonts w:ascii="Times New Roman" w:hAnsi="宋体" w:cs="Times New Roman" w:hint="eastAsia"/>
          <w:color w:val="FF0000"/>
          <w:kern w:val="2"/>
        </w:rPr>
        <w:t>3</w:t>
      </w:r>
      <w:r w:rsidR="005746BE">
        <w:rPr>
          <w:rFonts w:ascii="Times New Roman" w:hAnsi="宋体" w:cs="Times New Roman" w:hint="eastAsia"/>
          <w:color w:val="FF0000"/>
          <w:kern w:val="2"/>
        </w:rPr>
        <w:t>万人，属于</w:t>
      </w:r>
      <w:r w:rsidR="00EE7F91" w:rsidRPr="00EE7F91">
        <w:rPr>
          <w:rFonts w:ascii="Times New Roman" w:hAnsi="宋体" w:cs="Times New Roman" w:hint="eastAsia"/>
          <w:color w:val="FF0000"/>
          <w:kern w:val="2"/>
        </w:rPr>
        <w:t>大于</w:t>
      </w:r>
      <w:r w:rsidR="00EE7F91" w:rsidRPr="00EE7F91">
        <w:rPr>
          <w:rFonts w:ascii="Times New Roman" w:hAnsi="宋体" w:cs="Times New Roman" w:hint="eastAsia"/>
          <w:color w:val="FF0000"/>
          <w:kern w:val="2"/>
        </w:rPr>
        <w:t>1</w:t>
      </w:r>
      <w:r w:rsidR="00EE7F91" w:rsidRPr="00EE7F91">
        <w:rPr>
          <w:rFonts w:ascii="Times New Roman" w:hAnsi="宋体" w:cs="Times New Roman" w:hint="eastAsia"/>
          <w:color w:val="FF0000"/>
          <w:kern w:val="2"/>
        </w:rPr>
        <w:t>万</w:t>
      </w:r>
      <w:r w:rsidRPr="00EE7F91">
        <w:rPr>
          <w:rFonts w:ascii="Times New Roman" w:hAnsi="宋体" w:cs="Times New Roman" w:hint="eastAsia"/>
          <w:color w:val="FF0000"/>
          <w:kern w:val="2"/>
        </w:rPr>
        <w:t>人，小于</w:t>
      </w:r>
      <w:r w:rsidRPr="00EE7F91">
        <w:rPr>
          <w:rFonts w:ascii="Times New Roman" w:hAnsi="宋体" w:cs="Times New Roman" w:hint="eastAsia"/>
          <w:color w:val="FF0000"/>
          <w:kern w:val="2"/>
        </w:rPr>
        <w:t>5</w:t>
      </w:r>
      <w:r w:rsidR="00EE7F91" w:rsidRPr="00EE7F91">
        <w:rPr>
          <w:rFonts w:ascii="Times New Roman" w:hAnsi="宋体" w:cs="Times New Roman" w:hint="eastAsia"/>
          <w:color w:val="FF0000"/>
          <w:kern w:val="2"/>
        </w:rPr>
        <w:t>万</w:t>
      </w:r>
      <w:r w:rsidRPr="00EE7F91">
        <w:rPr>
          <w:rFonts w:ascii="Times New Roman" w:hAnsi="宋体" w:cs="Times New Roman" w:hint="eastAsia"/>
          <w:color w:val="FF0000"/>
          <w:kern w:val="2"/>
        </w:rPr>
        <w:t>人</w:t>
      </w:r>
      <w:r w:rsidR="005746BE">
        <w:rPr>
          <w:rFonts w:ascii="Times New Roman" w:hAnsi="宋体" w:cs="Times New Roman" w:hint="eastAsia"/>
          <w:color w:val="FF0000"/>
          <w:kern w:val="2"/>
        </w:rPr>
        <w:t>，</w:t>
      </w:r>
      <w:r w:rsidR="005746BE" w:rsidRPr="005746BE">
        <w:rPr>
          <w:rFonts w:ascii="Times New Roman" w:hAnsi="宋体" w:cs="Times New Roman" w:hint="eastAsia"/>
          <w:color w:val="FF0000"/>
          <w:kern w:val="2"/>
        </w:rPr>
        <w:t>500 m</w:t>
      </w:r>
      <w:r w:rsidR="005746BE" w:rsidRPr="005746BE">
        <w:rPr>
          <w:rFonts w:ascii="Times New Roman" w:hAnsi="宋体" w:cs="Times New Roman" w:hint="eastAsia"/>
          <w:color w:val="FF0000"/>
          <w:kern w:val="2"/>
        </w:rPr>
        <w:t>范围内人口数</w:t>
      </w:r>
      <w:r w:rsidR="005746BE" w:rsidRPr="005746BE">
        <w:rPr>
          <w:rFonts w:ascii="Times New Roman" w:hAnsi="宋体" w:cs="Times New Roman" w:hint="eastAsia"/>
          <w:color w:val="FF0000"/>
          <w:kern w:val="2"/>
        </w:rPr>
        <w:t>1</w:t>
      </w:r>
      <w:r w:rsidR="005746BE">
        <w:rPr>
          <w:rFonts w:ascii="Times New Roman" w:hAnsi="宋体" w:cs="Times New Roman" w:hint="eastAsia"/>
          <w:color w:val="FF0000"/>
          <w:kern w:val="2"/>
        </w:rPr>
        <w:t>5</w:t>
      </w:r>
      <w:r w:rsidR="005746BE" w:rsidRPr="005746BE">
        <w:rPr>
          <w:rFonts w:ascii="Times New Roman" w:hAnsi="宋体" w:cs="Times New Roman" w:hint="eastAsia"/>
          <w:color w:val="FF0000"/>
          <w:kern w:val="2"/>
        </w:rPr>
        <w:t>0</w:t>
      </w:r>
      <w:r w:rsidR="005746BE" w:rsidRPr="005746BE">
        <w:rPr>
          <w:rFonts w:ascii="Times New Roman" w:hAnsi="宋体" w:cs="Times New Roman" w:hint="eastAsia"/>
          <w:color w:val="FF0000"/>
          <w:kern w:val="2"/>
        </w:rPr>
        <w:t>人</w:t>
      </w:r>
      <w:r w:rsidR="005746BE">
        <w:rPr>
          <w:rFonts w:ascii="Times New Roman" w:hAnsi="宋体" w:cs="Times New Roman" w:hint="eastAsia"/>
          <w:color w:val="FF0000"/>
          <w:kern w:val="2"/>
        </w:rPr>
        <w:t>，属于大于</w:t>
      </w:r>
      <w:r w:rsidR="005746BE">
        <w:rPr>
          <w:rFonts w:ascii="Times New Roman" w:hAnsi="宋体" w:cs="Times New Roman" w:hint="eastAsia"/>
          <w:color w:val="FF0000"/>
          <w:kern w:val="2"/>
        </w:rPr>
        <w:t>100</w:t>
      </w:r>
      <w:r w:rsidR="005746BE">
        <w:rPr>
          <w:rFonts w:ascii="Times New Roman" w:hAnsi="宋体" w:cs="Times New Roman" w:hint="eastAsia"/>
          <w:color w:val="FF0000"/>
          <w:kern w:val="2"/>
        </w:rPr>
        <w:t>人，小于</w:t>
      </w:r>
      <w:r w:rsidR="005746BE">
        <w:rPr>
          <w:rFonts w:ascii="Times New Roman" w:hAnsi="宋体" w:cs="Times New Roman" w:hint="eastAsia"/>
          <w:color w:val="FF0000"/>
          <w:kern w:val="2"/>
        </w:rPr>
        <w:t>200</w:t>
      </w:r>
      <w:r w:rsidR="005746BE">
        <w:rPr>
          <w:rFonts w:ascii="Times New Roman" w:hAnsi="宋体" w:cs="Times New Roman" w:hint="eastAsia"/>
          <w:color w:val="FF0000"/>
          <w:kern w:val="2"/>
        </w:rPr>
        <w:t>人，</w:t>
      </w:r>
      <w:r w:rsidR="005746BE" w:rsidRPr="005746BE">
        <w:rPr>
          <w:rFonts w:ascii="Times New Roman" w:cs="Times New Roman" w:hint="eastAsia"/>
          <w:color w:val="FF0000"/>
          <w:kern w:val="2"/>
        </w:rPr>
        <w:t>每公里管段周边</w:t>
      </w:r>
      <w:r w:rsidR="005746BE" w:rsidRPr="005746BE">
        <w:rPr>
          <w:rFonts w:ascii="Times New Roman" w:cs="Times New Roman" w:hint="eastAsia"/>
          <w:color w:val="FF0000"/>
          <w:kern w:val="2"/>
        </w:rPr>
        <w:t>200m</w:t>
      </w:r>
      <w:r w:rsidR="005746BE" w:rsidRPr="005746BE">
        <w:rPr>
          <w:rFonts w:ascii="Times New Roman" w:cs="Times New Roman" w:hint="eastAsia"/>
          <w:color w:val="FF0000"/>
          <w:kern w:val="2"/>
        </w:rPr>
        <w:t>范围内人口数</w:t>
      </w:r>
      <w:r w:rsidR="005746BE">
        <w:rPr>
          <w:rFonts w:ascii="Times New Roman" w:cs="Times New Roman" w:hint="eastAsia"/>
          <w:color w:val="FF0000"/>
          <w:kern w:val="2"/>
        </w:rPr>
        <w:t>为</w:t>
      </w:r>
      <w:r w:rsidR="005746BE">
        <w:rPr>
          <w:rFonts w:ascii="Times New Roman" w:cs="Times New Roman" w:hint="eastAsia"/>
          <w:color w:val="FF0000"/>
          <w:kern w:val="2"/>
        </w:rPr>
        <w:t>150</w:t>
      </w:r>
      <w:r w:rsidR="005746BE">
        <w:rPr>
          <w:rFonts w:ascii="Times New Roman" w:cs="Times New Roman" w:hint="eastAsia"/>
          <w:color w:val="FF0000"/>
          <w:kern w:val="2"/>
        </w:rPr>
        <w:t>人，属于小于</w:t>
      </w:r>
      <w:r w:rsidR="005746BE">
        <w:rPr>
          <w:rFonts w:ascii="Times New Roman" w:cs="Times New Roman" w:hint="eastAsia"/>
          <w:color w:val="FF0000"/>
          <w:kern w:val="2"/>
        </w:rPr>
        <w:t>500</w:t>
      </w:r>
      <w:r w:rsidR="005746BE">
        <w:rPr>
          <w:rFonts w:ascii="Times New Roman" w:cs="Times New Roman" w:hint="eastAsia"/>
          <w:color w:val="FF0000"/>
          <w:kern w:val="2"/>
        </w:rPr>
        <w:t>人</w:t>
      </w:r>
      <w:r w:rsidRPr="00EE7F91">
        <w:rPr>
          <w:rFonts w:ascii="Times New Roman" w:hAnsi="宋体" w:cs="Times New Roman" w:hint="eastAsia"/>
          <w:color w:val="FF0000"/>
          <w:kern w:val="2"/>
        </w:rPr>
        <w:t>，因此</w:t>
      </w:r>
      <w:r w:rsidRPr="00EE7F91">
        <w:rPr>
          <w:rFonts w:ascii="Times New Roman" w:cs="Times New Roman"/>
          <w:color w:val="FF0000"/>
          <w:kern w:val="2"/>
        </w:rPr>
        <w:t>本项目大气环境敏感程度为</w:t>
      </w:r>
      <w:r w:rsidRPr="00EE7F91">
        <w:rPr>
          <w:rFonts w:ascii="Times New Roman" w:cs="Times New Roman"/>
          <w:color w:val="FF0000"/>
          <w:kern w:val="2"/>
        </w:rPr>
        <w:t>E</w:t>
      </w:r>
      <w:r w:rsidR="00EE7F91" w:rsidRPr="00EE7F91">
        <w:rPr>
          <w:rFonts w:ascii="Times New Roman" w:cs="Times New Roman" w:hint="eastAsia"/>
          <w:color w:val="FF0000"/>
          <w:kern w:val="2"/>
        </w:rPr>
        <w:t>2</w:t>
      </w:r>
      <w:r w:rsidR="005746BE">
        <w:rPr>
          <w:rFonts w:ascii="Times New Roman" w:cs="Times New Roman" w:hint="eastAsia"/>
          <w:color w:val="FF0000"/>
          <w:kern w:val="2"/>
        </w:rPr>
        <w:t>；</w:t>
      </w:r>
      <w:r>
        <w:rPr>
          <w:rFonts w:ascii="Times New Roman" w:cs="Times New Roman"/>
          <w:kern w:val="2"/>
        </w:rPr>
        <w:t>拟建项目地表水功能敏感性为</w:t>
      </w:r>
      <w:r>
        <w:rPr>
          <w:rFonts w:ascii="Times New Roman" w:cs="Times New Roman"/>
          <w:kern w:val="2"/>
        </w:rPr>
        <w:t>F2</w:t>
      </w:r>
      <w:r>
        <w:rPr>
          <w:rFonts w:ascii="Times New Roman" w:cs="Times New Roman" w:hint="eastAsia"/>
          <w:kern w:val="2"/>
        </w:rPr>
        <w:t>（</w:t>
      </w:r>
      <w:r>
        <w:rPr>
          <w:rFonts w:ascii="Times New Roman" w:cs="Times New Roman"/>
          <w:kern w:val="2"/>
        </w:rPr>
        <w:t>排放点进入地表水环境功能为</w:t>
      </w:r>
      <w:r>
        <w:rPr>
          <w:rFonts w:ascii="Times New Roman" w:cs="Times New Roman" w:hint="eastAsia"/>
          <w:kern w:val="2"/>
        </w:rPr>
        <w:t>Ⅲ类）</w:t>
      </w:r>
      <w:r>
        <w:rPr>
          <w:rFonts w:ascii="Times New Roman" w:cs="Times New Roman"/>
          <w:kern w:val="2"/>
        </w:rPr>
        <w:t>、地表水环境敏感目标为</w:t>
      </w:r>
      <w:r>
        <w:rPr>
          <w:rFonts w:ascii="Times New Roman" w:cs="Times New Roman"/>
          <w:kern w:val="2"/>
        </w:rPr>
        <w:t>S3</w:t>
      </w:r>
      <w:r>
        <w:rPr>
          <w:rFonts w:ascii="Times New Roman" w:cs="Times New Roman" w:hint="eastAsia"/>
          <w:kern w:val="2"/>
        </w:rPr>
        <w:t>（后河下游</w:t>
      </w:r>
      <w:r>
        <w:rPr>
          <w:rFonts w:ascii="Times New Roman" w:cs="Times New Roman" w:hint="eastAsia"/>
          <w:kern w:val="2"/>
        </w:rPr>
        <w:t>10km</w:t>
      </w:r>
      <w:r>
        <w:rPr>
          <w:rFonts w:ascii="Times New Roman" w:cs="Times New Roman" w:hint="eastAsia"/>
          <w:kern w:val="2"/>
        </w:rPr>
        <w:t>范围内不含饮用水</w:t>
      </w:r>
      <w:r>
        <w:rPr>
          <w:rFonts w:ascii="Times New Roman" w:cs="Times New Roman" w:hint="eastAsia"/>
          <w:kern w:val="2"/>
        </w:rPr>
        <w:lastRenderedPageBreak/>
        <w:t>源保护区等地表水敏感保护目标）</w:t>
      </w:r>
      <w:r>
        <w:rPr>
          <w:rFonts w:ascii="Times New Roman" w:cs="Times New Roman"/>
          <w:kern w:val="2"/>
        </w:rPr>
        <w:t>，因此</w:t>
      </w:r>
      <w:r>
        <w:rPr>
          <w:rFonts w:ascii="Times New Roman" w:cs="Times New Roman" w:hint="eastAsia"/>
          <w:kern w:val="2"/>
        </w:rPr>
        <w:t>本</w:t>
      </w:r>
      <w:r>
        <w:rPr>
          <w:rFonts w:ascii="Times New Roman" w:cs="Times New Roman"/>
          <w:kern w:val="2"/>
        </w:rPr>
        <w:t>项目地表水环境敏感程度为</w:t>
      </w:r>
      <w:r>
        <w:rPr>
          <w:rFonts w:ascii="Times New Roman" w:cs="Times New Roman"/>
          <w:kern w:val="2"/>
        </w:rPr>
        <w:t>E2</w:t>
      </w:r>
      <w:r>
        <w:rPr>
          <w:rFonts w:ascii="Times New Roman" w:cs="Times New Roman"/>
          <w:kern w:val="2"/>
        </w:rPr>
        <w:t>；</w:t>
      </w:r>
      <w:r>
        <w:rPr>
          <w:rFonts w:ascii="Times New Roman" w:cs="Times New Roman" w:hint="eastAsia"/>
          <w:kern w:val="2"/>
        </w:rPr>
        <w:t>本</w:t>
      </w:r>
      <w:r>
        <w:rPr>
          <w:rFonts w:ascii="Times New Roman" w:cs="Times New Roman"/>
          <w:kern w:val="2"/>
        </w:rPr>
        <w:t>项目地下水功能敏感性为</w:t>
      </w:r>
      <w:r>
        <w:rPr>
          <w:rFonts w:ascii="Times New Roman" w:cs="Times New Roman"/>
          <w:kern w:val="2"/>
        </w:rPr>
        <w:t>G2</w:t>
      </w:r>
      <w:r>
        <w:rPr>
          <w:rFonts w:ascii="Times New Roman" w:cs="Times New Roman"/>
          <w:kern w:val="2"/>
        </w:rPr>
        <w:t>、包气带防污性能分级为</w:t>
      </w:r>
      <w:r>
        <w:rPr>
          <w:rFonts w:ascii="Times New Roman" w:cs="Times New Roman"/>
          <w:kern w:val="2"/>
        </w:rPr>
        <w:t>D3</w:t>
      </w:r>
      <w:r>
        <w:rPr>
          <w:rFonts w:ascii="Times New Roman" w:cs="Times New Roman"/>
          <w:kern w:val="2"/>
        </w:rPr>
        <w:t>，因此</w:t>
      </w:r>
      <w:r>
        <w:rPr>
          <w:rFonts w:ascii="Times New Roman" w:cs="Times New Roman" w:hint="eastAsia"/>
          <w:kern w:val="2"/>
        </w:rPr>
        <w:t>本</w:t>
      </w:r>
      <w:r>
        <w:rPr>
          <w:rFonts w:ascii="Times New Roman" w:cs="Times New Roman"/>
          <w:kern w:val="2"/>
        </w:rPr>
        <w:t>项目地下水环境敏感程度为</w:t>
      </w:r>
      <w:r>
        <w:rPr>
          <w:rFonts w:ascii="Times New Roman" w:cs="Times New Roman"/>
          <w:kern w:val="2"/>
        </w:rPr>
        <w:t>E3</w:t>
      </w:r>
      <w:r>
        <w:rPr>
          <w:rFonts w:ascii="Times New Roman" w:hAnsi="宋体" w:cs="Times New Roman"/>
          <w:kern w:val="2"/>
        </w:rPr>
        <w:t>。</w:t>
      </w:r>
    </w:p>
    <w:p w:rsidR="00BD5820" w:rsidRDefault="00F64314">
      <w:pPr>
        <w:widowControl/>
        <w:topLinePunct w:val="0"/>
        <w:snapToGrid w:val="0"/>
        <w:spacing w:line="331" w:lineRule="auto"/>
        <w:ind w:firstLine="482"/>
        <w:rPr>
          <w:rFonts w:ascii="Times New Roman" w:cs="Times New Roman"/>
          <w:b/>
          <w:kern w:val="2"/>
        </w:rPr>
      </w:pPr>
      <w:r>
        <w:rPr>
          <w:rFonts w:ascii="Times New Roman" w:cs="Times New Roman"/>
          <w:b/>
          <w:kern w:val="2"/>
        </w:rPr>
        <w:t>3</w:t>
      </w:r>
      <w:r>
        <w:rPr>
          <w:rFonts w:ascii="Times New Roman" w:hAnsi="宋体" w:cs="Times New Roman"/>
          <w:b/>
          <w:kern w:val="2"/>
        </w:rPr>
        <w:t>、风险潜势的划分</w:t>
      </w:r>
    </w:p>
    <w:p w:rsidR="00BD5820" w:rsidRDefault="00F64314">
      <w:pPr>
        <w:widowControl/>
        <w:topLinePunct w:val="0"/>
        <w:snapToGrid w:val="0"/>
        <w:spacing w:line="331" w:lineRule="auto"/>
        <w:ind w:firstLine="480"/>
        <w:rPr>
          <w:rFonts w:ascii="Times New Roman" w:cs="Times New Roman"/>
          <w:kern w:val="2"/>
        </w:rPr>
      </w:pPr>
      <w:r>
        <w:rPr>
          <w:rFonts w:ascii="Times New Roman" w:cs="Times New Roman"/>
          <w:kern w:val="2"/>
        </w:rPr>
        <w:t>综上，本项目危险物质及工艺系统危险性等级（</w:t>
      </w:r>
      <w:r>
        <w:rPr>
          <w:rFonts w:ascii="Times New Roman" w:cs="Times New Roman"/>
          <w:kern w:val="2"/>
        </w:rPr>
        <w:t>P</w:t>
      </w:r>
      <w:r>
        <w:rPr>
          <w:rFonts w:ascii="Times New Roman" w:cs="Times New Roman"/>
          <w:kern w:val="2"/>
        </w:rPr>
        <w:t>）划分为</w:t>
      </w:r>
      <w:r>
        <w:rPr>
          <w:rFonts w:ascii="Times New Roman" w:cs="Times New Roman" w:hint="eastAsia"/>
          <w:kern w:val="2"/>
        </w:rPr>
        <w:t>P3</w:t>
      </w:r>
      <w:r>
        <w:rPr>
          <w:rFonts w:ascii="Times New Roman" w:cs="Times New Roman" w:hint="eastAsia"/>
          <w:kern w:val="2"/>
        </w:rPr>
        <w:t>，</w:t>
      </w:r>
      <w:r>
        <w:rPr>
          <w:rFonts w:ascii="Times New Roman" w:cs="Times New Roman"/>
          <w:kern w:val="2"/>
        </w:rPr>
        <w:t>大气环境敏感程度为</w:t>
      </w:r>
      <w:r w:rsidRPr="00EE7F91">
        <w:rPr>
          <w:rFonts w:ascii="Times New Roman" w:cs="Times New Roman"/>
          <w:color w:val="FF0000"/>
          <w:kern w:val="2"/>
        </w:rPr>
        <w:t>E</w:t>
      </w:r>
      <w:r w:rsidR="00EE7F91" w:rsidRPr="00EE7F91">
        <w:rPr>
          <w:rFonts w:ascii="Times New Roman" w:cs="Times New Roman" w:hint="eastAsia"/>
          <w:color w:val="FF0000"/>
          <w:kern w:val="2"/>
        </w:rPr>
        <w:t>2</w:t>
      </w:r>
      <w:r>
        <w:rPr>
          <w:rFonts w:ascii="Times New Roman" w:cs="Times New Roman" w:hint="eastAsia"/>
          <w:kern w:val="2"/>
        </w:rPr>
        <w:t>，</w:t>
      </w:r>
      <w:r>
        <w:rPr>
          <w:rFonts w:ascii="Times New Roman" w:cs="Times New Roman"/>
          <w:kern w:val="2"/>
        </w:rPr>
        <w:t>地表水环境敏感程度为</w:t>
      </w:r>
      <w:r>
        <w:rPr>
          <w:rFonts w:ascii="Times New Roman" w:cs="Times New Roman"/>
          <w:kern w:val="2"/>
        </w:rPr>
        <w:t>E2</w:t>
      </w:r>
      <w:r>
        <w:rPr>
          <w:rFonts w:ascii="Times New Roman" w:cs="Times New Roman" w:hint="eastAsia"/>
          <w:kern w:val="2"/>
        </w:rPr>
        <w:t>，</w:t>
      </w:r>
      <w:r>
        <w:rPr>
          <w:rFonts w:ascii="Times New Roman" w:cs="Times New Roman"/>
          <w:kern w:val="2"/>
        </w:rPr>
        <w:t>地下水环境敏感程度为</w:t>
      </w:r>
      <w:r>
        <w:rPr>
          <w:rFonts w:ascii="Times New Roman" w:cs="Times New Roman"/>
          <w:kern w:val="2"/>
        </w:rPr>
        <w:t>E3</w:t>
      </w:r>
      <w:r>
        <w:rPr>
          <w:rFonts w:ascii="Times New Roman" w:cs="Times New Roman" w:hint="eastAsia"/>
          <w:kern w:val="2"/>
        </w:rPr>
        <w:t>。根据</w:t>
      </w:r>
      <w:r>
        <w:rPr>
          <w:rFonts w:ascii="Times New Roman" w:cs="Times New Roman"/>
          <w:kern w:val="2"/>
        </w:rPr>
        <w:t>表</w:t>
      </w:r>
      <w:r>
        <w:rPr>
          <w:rFonts w:ascii="Times New Roman" w:cs="Times New Roman"/>
          <w:kern w:val="2"/>
        </w:rPr>
        <w:t>7.4-1</w:t>
      </w:r>
      <w:r>
        <w:rPr>
          <w:rFonts w:ascii="Times New Roman" w:cs="Times New Roman" w:hint="eastAsia"/>
          <w:bCs/>
          <w:kern w:val="2"/>
        </w:rPr>
        <w:t>，</w:t>
      </w:r>
      <w:r w:rsidR="00BD3852">
        <w:rPr>
          <w:rFonts w:ascii="Times New Roman" w:cs="Times New Roman"/>
          <w:kern w:val="2"/>
        </w:rPr>
        <w:t>各环境要素环境敏感程度分级及根据导则要求的环境潜势</w:t>
      </w:r>
      <w:r w:rsidR="00BD3852" w:rsidRPr="00BD3852">
        <w:rPr>
          <w:rFonts w:ascii="Times New Roman" w:cs="Times New Roman"/>
          <w:color w:val="FF0000"/>
          <w:kern w:val="2"/>
        </w:rPr>
        <w:t>划分</w:t>
      </w:r>
      <w:r w:rsidRPr="00BD3852">
        <w:rPr>
          <w:rFonts w:ascii="Times New Roman" w:cs="Times New Roman"/>
          <w:color w:val="FF0000"/>
          <w:kern w:val="2"/>
        </w:rPr>
        <w:t>情况</w:t>
      </w:r>
      <w:r>
        <w:rPr>
          <w:rFonts w:ascii="Times New Roman" w:cs="Times New Roman"/>
          <w:kern w:val="2"/>
        </w:rPr>
        <w:t>见下表。</w:t>
      </w:r>
    </w:p>
    <w:p w:rsidR="00BD5820" w:rsidRDefault="00F64314">
      <w:pPr>
        <w:topLinePunct w:val="0"/>
        <w:adjustRightInd/>
        <w:ind w:firstLineChars="0" w:firstLine="0"/>
        <w:jc w:val="center"/>
        <w:rPr>
          <w:rFonts w:ascii="Times New Roman" w:cs="Times New Roman"/>
          <w:b/>
          <w:bCs/>
          <w:kern w:val="2"/>
          <w:sz w:val="21"/>
        </w:rPr>
      </w:pPr>
      <w:r>
        <w:rPr>
          <w:rFonts w:ascii="Times New Roman" w:cs="Times New Roman"/>
          <w:b/>
          <w:kern w:val="2"/>
          <w:sz w:val="21"/>
        </w:rPr>
        <w:t>表</w:t>
      </w:r>
      <w:r>
        <w:rPr>
          <w:rFonts w:ascii="Times New Roman" w:cs="Times New Roman" w:hint="eastAsia"/>
          <w:b/>
          <w:kern w:val="2"/>
          <w:sz w:val="21"/>
        </w:rPr>
        <w:t>7.4-9</w:t>
      </w:r>
      <w:r>
        <w:rPr>
          <w:rFonts w:ascii="Times New Roman" w:cs="Times New Roman"/>
          <w:b/>
          <w:kern w:val="2"/>
          <w:sz w:val="21"/>
        </w:rPr>
        <w:t xml:space="preserve">   </w:t>
      </w:r>
      <w:r>
        <w:rPr>
          <w:rFonts w:ascii="Times New Roman" w:cs="Times New Roman"/>
          <w:b/>
          <w:bCs/>
          <w:kern w:val="2"/>
          <w:sz w:val="21"/>
        </w:rPr>
        <w:t>项目各环境要素环境敏感程度分级及环境潜势划分情况</w:t>
      </w:r>
    </w:p>
    <w:tbl>
      <w:tblPr>
        <w:tblW w:w="5000" w:type="pct"/>
        <w:jc w:val="center"/>
        <w:tblBorders>
          <w:top w:val="single" w:sz="12" w:space="0" w:color="auto"/>
          <w:bottom w:val="single" w:sz="12" w:space="0" w:color="auto"/>
          <w:insideH w:val="single" w:sz="2" w:space="0" w:color="auto"/>
          <w:insideV w:val="single" w:sz="2" w:space="0" w:color="auto"/>
        </w:tblBorders>
        <w:tblLook w:val="04A0"/>
      </w:tblPr>
      <w:tblGrid>
        <w:gridCol w:w="1318"/>
        <w:gridCol w:w="1478"/>
        <w:gridCol w:w="1478"/>
        <w:gridCol w:w="1478"/>
        <w:gridCol w:w="2770"/>
      </w:tblGrid>
      <w:tr w:rsidR="00BD5820">
        <w:trPr>
          <w:trHeight w:val="127"/>
          <w:jc w:val="center"/>
        </w:trPr>
        <w:tc>
          <w:tcPr>
            <w:tcW w:w="1419" w:type="dxa"/>
            <w:vAlign w:val="center"/>
          </w:tcPr>
          <w:p w:rsidR="00BD5820" w:rsidRDefault="00F64314">
            <w:pPr>
              <w:topLinePunct w:val="0"/>
              <w:snapToGrid w:val="0"/>
              <w:spacing w:line="240" w:lineRule="exact"/>
              <w:ind w:firstLineChars="0" w:firstLine="0"/>
              <w:jc w:val="center"/>
              <w:rPr>
                <w:rFonts w:ascii="Times New Roman" w:cs="Times New Roman"/>
                <w:b/>
                <w:kern w:val="2"/>
                <w:sz w:val="21"/>
                <w:szCs w:val="21"/>
              </w:rPr>
            </w:pPr>
            <w:r>
              <w:rPr>
                <w:rFonts w:ascii="Times New Roman" w:cs="Times New Roman"/>
                <w:b/>
                <w:kern w:val="2"/>
                <w:sz w:val="21"/>
                <w:szCs w:val="21"/>
              </w:rPr>
              <w:t>环境要素</w:t>
            </w:r>
          </w:p>
        </w:tc>
        <w:tc>
          <w:tcPr>
            <w:tcW w:w="1593" w:type="dxa"/>
            <w:vAlign w:val="center"/>
          </w:tcPr>
          <w:p w:rsidR="00BD5820" w:rsidRDefault="00F64314">
            <w:pPr>
              <w:topLinePunct w:val="0"/>
              <w:snapToGrid w:val="0"/>
              <w:spacing w:line="240" w:lineRule="exact"/>
              <w:ind w:firstLineChars="0" w:firstLine="0"/>
              <w:jc w:val="center"/>
              <w:rPr>
                <w:rFonts w:ascii="Times New Roman" w:cs="Times New Roman"/>
                <w:b/>
                <w:kern w:val="2"/>
                <w:sz w:val="21"/>
                <w:szCs w:val="21"/>
              </w:rPr>
            </w:pPr>
            <w:r>
              <w:rPr>
                <w:rFonts w:ascii="Times New Roman" w:cs="Times New Roman"/>
                <w:b/>
                <w:kern w:val="2"/>
                <w:sz w:val="21"/>
                <w:szCs w:val="21"/>
              </w:rPr>
              <w:t>大气环境</w:t>
            </w:r>
          </w:p>
        </w:tc>
        <w:tc>
          <w:tcPr>
            <w:tcW w:w="1594" w:type="dxa"/>
            <w:vAlign w:val="center"/>
          </w:tcPr>
          <w:p w:rsidR="00BD5820" w:rsidRDefault="00F64314">
            <w:pPr>
              <w:topLinePunct w:val="0"/>
              <w:snapToGrid w:val="0"/>
              <w:spacing w:line="240" w:lineRule="exact"/>
              <w:ind w:firstLineChars="0" w:firstLine="0"/>
              <w:jc w:val="center"/>
              <w:rPr>
                <w:rFonts w:ascii="Times New Roman" w:cs="Times New Roman"/>
                <w:b/>
                <w:kern w:val="2"/>
                <w:sz w:val="21"/>
                <w:szCs w:val="21"/>
              </w:rPr>
            </w:pPr>
            <w:r>
              <w:rPr>
                <w:rFonts w:ascii="Times New Roman" w:cs="Times New Roman"/>
                <w:b/>
                <w:kern w:val="2"/>
                <w:sz w:val="21"/>
                <w:szCs w:val="21"/>
              </w:rPr>
              <w:t>地表水环境</w:t>
            </w:r>
          </w:p>
        </w:tc>
        <w:tc>
          <w:tcPr>
            <w:tcW w:w="1593" w:type="dxa"/>
            <w:vAlign w:val="center"/>
          </w:tcPr>
          <w:p w:rsidR="00BD5820" w:rsidRDefault="00F64314">
            <w:pPr>
              <w:topLinePunct w:val="0"/>
              <w:snapToGrid w:val="0"/>
              <w:spacing w:line="240" w:lineRule="exact"/>
              <w:ind w:firstLineChars="0" w:firstLine="0"/>
              <w:jc w:val="center"/>
              <w:rPr>
                <w:rFonts w:ascii="Times New Roman" w:cs="Times New Roman"/>
                <w:b/>
                <w:kern w:val="2"/>
                <w:sz w:val="21"/>
                <w:szCs w:val="21"/>
              </w:rPr>
            </w:pPr>
            <w:r>
              <w:rPr>
                <w:rFonts w:ascii="Times New Roman" w:cs="Times New Roman"/>
                <w:b/>
                <w:kern w:val="2"/>
                <w:sz w:val="21"/>
                <w:szCs w:val="21"/>
              </w:rPr>
              <w:t>地下水环境</w:t>
            </w:r>
          </w:p>
        </w:tc>
        <w:tc>
          <w:tcPr>
            <w:tcW w:w="3009" w:type="dxa"/>
            <w:vMerge w:val="restart"/>
            <w:vAlign w:val="center"/>
          </w:tcPr>
          <w:p w:rsidR="00BD5820" w:rsidRDefault="00F64314">
            <w:pPr>
              <w:topLinePunct w:val="0"/>
              <w:snapToGrid w:val="0"/>
              <w:spacing w:line="240" w:lineRule="exact"/>
              <w:ind w:firstLineChars="0" w:firstLine="0"/>
              <w:jc w:val="center"/>
              <w:rPr>
                <w:rFonts w:ascii="Times New Roman" w:cs="Times New Roman"/>
                <w:b/>
                <w:kern w:val="2"/>
                <w:sz w:val="21"/>
                <w:szCs w:val="21"/>
              </w:rPr>
            </w:pPr>
            <w:r>
              <w:rPr>
                <w:rFonts w:ascii="Times New Roman" w:cs="Times New Roman"/>
                <w:b/>
                <w:kern w:val="2"/>
                <w:sz w:val="21"/>
                <w:szCs w:val="21"/>
              </w:rPr>
              <w:t>本项目环境风险潜势综合等级（取各要素等级相对高值）</w:t>
            </w:r>
          </w:p>
        </w:tc>
      </w:tr>
      <w:tr w:rsidR="00BD5820">
        <w:trPr>
          <w:trHeight w:val="126"/>
          <w:jc w:val="center"/>
        </w:trPr>
        <w:tc>
          <w:tcPr>
            <w:tcW w:w="1419" w:type="dxa"/>
            <w:vAlign w:val="center"/>
          </w:tcPr>
          <w:p w:rsidR="00BD5820" w:rsidRDefault="00F64314">
            <w:pPr>
              <w:topLinePunct w:val="0"/>
              <w:snapToGrid w:val="0"/>
              <w:spacing w:line="240" w:lineRule="exact"/>
              <w:ind w:firstLineChars="0" w:firstLine="0"/>
              <w:jc w:val="center"/>
              <w:rPr>
                <w:rFonts w:ascii="Times New Roman" w:cs="Times New Roman"/>
                <w:kern w:val="2"/>
                <w:sz w:val="21"/>
                <w:szCs w:val="21"/>
              </w:rPr>
            </w:pPr>
            <w:r>
              <w:rPr>
                <w:rFonts w:ascii="Times New Roman" w:cs="Times New Roman"/>
                <w:kern w:val="2"/>
                <w:sz w:val="21"/>
                <w:szCs w:val="21"/>
              </w:rPr>
              <w:t>敏感度分级</w:t>
            </w:r>
          </w:p>
        </w:tc>
        <w:tc>
          <w:tcPr>
            <w:tcW w:w="1593" w:type="dxa"/>
            <w:vAlign w:val="center"/>
          </w:tcPr>
          <w:p w:rsidR="00BD5820" w:rsidRPr="00EE7F91" w:rsidRDefault="00F64314" w:rsidP="00EE7F91">
            <w:pPr>
              <w:topLinePunct w:val="0"/>
              <w:snapToGrid w:val="0"/>
              <w:spacing w:line="240" w:lineRule="exact"/>
              <w:ind w:firstLineChars="0" w:firstLine="0"/>
              <w:jc w:val="center"/>
              <w:rPr>
                <w:rFonts w:ascii="Times New Roman" w:cs="Times New Roman"/>
                <w:color w:val="FF0000"/>
                <w:kern w:val="2"/>
                <w:sz w:val="21"/>
                <w:szCs w:val="21"/>
              </w:rPr>
            </w:pPr>
            <w:r w:rsidRPr="00EE7F91">
              <w:rPr>
                <w:rFonts w:ascii="Times New Roman" w:cs="Times New Roman"/>
                <w:color w:val="FF0000"/>
                <w:kern w:val="2"/>
                <w:sz w:val="21"/>
                <w:szCs w:val="21"/>
              </w:rPr>
              <w:t>E</w:t>
            </w:r>
            <w:r w:rsidR="00EE7F91" w:rsidRPr="00EE7F91">
              <w:rPr>
                <w:rFonts w:ascii="Times New Roman" w:cs="Times New Roman" w:hint="eastAsia"/>
                <w:color w:val="FF0000"/>
                <w:kern w:val="2"/>
                <w:sz w:val="21"/>
                <w:szCs w:val="21"/>
              </w:rPr>
              <w:t>2</w:t>
            </w:r>
          </w:p>
        </w:tc>
        <w:tc>
          <w:tcPr>
            <w:tcW w:w="1594" w:type="dxa"/>
            <w:vAlign w:val="center"/>
          </w:tcPr>
          <w:p w:rsidR="00BD5820" w:rsidRDefault="00F64314">
            <w:pPr>
              <w:topLinePunct w:val="0"/>
              <w:snapToGrid w:val="0"/>
              <w:spacing w:line="240" w:lineRule="exact"/>
              <w:ind w:firstLineChars="0" w:firstLine="0"/>
              <w:jc w:val="center"/>
              <w:rPr>
                <w:rFonts w:ascii="Times New Roman" w:cs="Times New Roman"/>
                <w:kern w:val="2"/>
                <w:sz w:val="21"/>
                <w:szCs w:val="21"/>
              </w:rPr>
            </w:pPr>
            <w:r>
              <w:rPr>
                <w:rFonts w:ascii="Times New Roman" w:cs="Times New Roman"/>
                <w:kern w:val="2"/>
                <w:sz w:val="21"/>
                <w:szCs w:val="21"/>
              </w:rPr>
              <w:t>E2</w:t>
            </w:r>
          </w:p>
        </w:tc>
        <w:tc>
          <w:tcPr>
            <w:tcW w:w="1593" w:type="dxa"/>
            <w:vAlign w:val="center"/>
          </w:tcPr>
          <w:p w:rsidR="00BD5820" w:rsidRDefault="00F64314">
            <w:pPr>
              <w:topLinePunct w:val="0"/>
              <w:snapToGrid w:val="0"/>
              <w:spacing w:line="240" w:lineRule="exact"/>
              <w:ind w:firstLineChars="0" w:firstLine="0"/>
              <w:jc w:val="center"/>
              <w:rPr>
                <w:rFonts w:ascii="Times New Roman" w:cs="Times New Roman"/>
                <w:kern w:val="2"/>
                <w:sz w:val="21"/>
                <w:szCs w:val="21"/>
              </w:rPr>
            </w:pPr>
            <w:r>
              <w:rPr>
                <w:rFonts w:ascii="Times New Roman" w:cs="Times New Roman"/>
                <w:kern w:val="2"/>
                <w:sz w:val="21"/>
                <w:szCs w:val="21"/>
              </w:rPr>
              <w:t>E</w:t>
            </w:r>
            <w:r>
              <w:rPr>
                <w:rFonts w:ascii="Times New Roman" w:cs="Times New Roman" w:hint="eastAsia"/>
                <w:kern w:val="2"/>
                <w:sz w:val="21"/>
                <w:szCs w:val="21"/>
              </w:rPr>
              <w:t>3</w:t>
            </w:r>
          </w:p>
        </w:tc>
        <w:tc>
          <w:tcPr>
            <w:tcW w:w="0" w:type="auto"/>
            <w:vMerge/>
            <w:vAlign w:val="center"/>
          </w:tcPr>
          <w:p w:rsidR="00BD5820" w:rsidRDefault="00BD5820">
            <w:pPr>
              <w:widowControl/>
              <w:topLinePunct w:val="0"/>
              <w:snapToGrid w:val="0"/>
              <w:spacing w:line="240" w:lineRule="exact"/>
              <w:ind w:firstLine="420"/>
              <w:jc w:val="center"/>
              <w:rPr>
                <w:rFonts w:ascii="Times New Roman" w:cs="Times New Roman"/>
                <w:kern w:val="2"/>
                <w:sz w:val="21"/>
                <w:szCs w:val="21"/>
              </w:rPr>
            </w:pPr>
          </w:p>
        </w:tc>
      </w:tr>
      <w:tr w:rsidR="00BD5820">
        <w:trPr>
          <w:trHeight w:val="184"/>
          <w:jc w:val="center"/>
        </w:trPr>
        <w:tc>
          <w:tcPr>
            <w:tcW w:w="1419" w:type="dxa"/>
            <w:vAlign w:val="center"/>
          </w:tcPr>
          <w:p w:rsidR="00BD5820" w:rsidRDefault="00F64314">
            <w:pPr>
              <w:topLinePunct w:val="0"/>
              <w:snapToGrid w:val="0"/>
              <w:spacing w:line="240" w:lineRule="exact"/>
              <w:ind w:firstLineChars="0" w:firstLine="0"/>
              <w:jc w:val="center"/>
              <w:rPr>
                <w:rFonts w:ascii="Times New Roman" w:cs="Times New Roman"/>
                <w:kern w:val="2"/>
                <w:sz w:val="21"/>
                <w:szCs w:val="21"/>
              </w:rPr>
            </w:pPr>
            <w:r>
              <w:rPr>
                <w:rFonts w:ascii="Times New Roman" w:cs="Times New Roman"/>
                <w:kern w:val="2"/>
                <w:sz w:val="21"/>
                <w:szCs w:val="21"/>
              </w:rPr>
              <w:t>环境潜势</w:t>
            </w:r>
          </w:p>
        </w:tc>
        <w:tc>
          <w:tcPr>
            <w:tcW w:w="1593" w:type="dxa"/>
            <w:vAlign w:val="center"/>
          </w:tcPr>
          <w:p w:rsidR="00BD5820" w:rsidRPr="00EE7F91" w:rsidRDefault="00EE7F91">
            <w:pPr>
              <w:topLinePunct w:val="0"/>
              <w:snapToGrid w:val="0"/>
              <w:spacing w:line="240" w:lineRule="exact"/>
              <w:ind w:firstLineChars="0" w:firstLine="0"/>
              <w:jc w:val="center"/>
              <w:rPr>
                <w:rFonts w:ascii="Times New Roman" w:cs="Times New Roman"/>
                <w:color w:val="FF0000"/>
                <w:kern w:val="2"/>
                <w:sz w:val="21"/>
                <w:szCs w:val="21"/>
              </w:rPr>
            </w:pPr>
            <w:r w:rsidRPr="00EE7F91">
              <w:rPr>
                <w:rFonts w:hAnsi="宋体" w:hint="eastAsia"/>
                <w:color w:val="FF0000"/>
                <w:kern w:val="2"/>
                <w:sz w:val="21"/>
                <w:szCs w:val="21"/>
              </w:rPr>
              <w:t>Ⅲ</w:t>
            </w:r>
          </w:p>
        </w:tc>
        <w:tc>
          <w:tcPr>
            <w:tcW w:w="1594" w:type="dxa"/>
            <w:vAlign w:val="center"/>
          </w:tcPr>
          <w:p w:rsidR="00BD5820" w:rsidRDefault="00F64314">
            <w:pPr>
              <w:topLinePunct w:val="0"/>
              <w:snapToGrid w:val="0"/>
              <w:spacing w:line="240" w:lineRule="exact"/>
              <w:ind w:firstLineChars="0" w:firstLine="0"/>
              <w:jc w:val="center"/>
              <w:rPr>
                <w:rFonts w:ascii="Times New Roman" w:cs="Times New Roman"/>
                <w:kern w:val="2"/>
                <w:sz w:val="21"/>
                <w:szCs w:val="21"/>
              </w:rPr>
            </w:pPr>
            <w:r>
              <w:rPr>
                <w:rFonts w:hAnsi="宋体" w:hint="eastAsia"/>
                <w:kern w:val="2"/>
                <w:sz w:val="21"/>
                <w:szCs w:val="21"/>
              </w:rPr>
              <w:t>Ⅲ</w:t>
            </w:r>
          </w:p>
        </w:tc>
        <w:tc>
          <w:tcPr>
            <w:tcW w:w="1593" w:type="dxa"/>
            <w:vAlign w:val="center"/>
          </w:tcPr>
          <w:p w:rsidR="00BD5820" w:rsidRDefault="00F64314">
            <w:pPr>
              <w:topLinePunct w:val="0"/>
              <w:snapToGrid w:val="0"/>
              <w:spacing w:line="240" w:lineRule="exact"/>
              <w:ind w:firstLineChars="0" w:firstLine="0"/>
              <w:jc w:val="center"/>
              <w:rPr>
                <w:rFonts w:ascii="Times New Roman" w:cs="Times New Roman"/>
                <w:kern w:val="2"/>
                <w:sz w:val="21"/>
                <w:szCs w:val="21"/>
              </w:rPr>
            </w:pPr>
            <w:r>
              <w:rPr>
                <w:rFonts w:hAnsi="宋体" w:hint="eastAsia"/>
                <w:kern w:val="2"/>
                <w:sz w:val="21"/>
                <w:szCs w:val="21"/>
              </w:rPr>
              <w:t>Ⅱ</w:t>
            </w:r>
          </w:p>
        </w:tc>
        <w:tc>
          <w:tcPr>
            <w:tcW w:w="3009" w:type="dxa"/>
            <w:vAlign w:val="center"/>
          </w:tcPr>
          <w:p w:rsidR="00BD5820" w:rsidRDefault="00F64314">
            <w:pPr>
              <w:topLinePunct w:val="0"/>
              <w:snapToGrid w:val="0"/>
              <w:spacing w:line="240" w:lineRule="exact"/>
              <w:ind w:firstLineChars="0" w:firstLine="0"/>
              <w:jc w:val="center"/>
              <w:rPr>
                <w:rFonts w:ascii="Times New Roman" w:cs="Times New Roman"/>
                <w:b/>
                <w:kern w:val="2"/>
                <w:sz w:val="21"/>
                <w:szCs w:val="21"/>
              </w:rPr>
            </w:pPr>
            <w:r>
              <w:rPr>
                <w:rFonts w:hAnsi="宋体" w:hint="eastAsia"/>
                <w:b/>
                <w:kern w:val="2"/>
                <w:sz w:val="21"/>
                <w:szCs w:val="21"/>
              </w:rPr>
              <w:t>Ⅲ</w:t>
            </w:r>
          </w:p>
        </w:tc>
      </w:tr>
    </w:tbl>
    <w:p w:rsidR="00BD5820" w:rsidRDefault="00F64314">
      <w:pPr>
        <w:pStyle w:val="2"/>
        <w:spacing w:before="120"/>
        <w:rPr>
          <w:rFonts w:cs="Times New Roman"/>
        </w:rPr>
      </w:pPr>
      <w:bookmarkStart w:id="428" w:name="_Toc19816099"/>
      <w:bookmarkStart w:id="429" w:name="_Toc12288725"/>
      <w:bookmarkStart w:id="430" w:name="_Toc28113"/>
      <w:r>
        <w:rPr>
          <w:rFonts w:cs="Times New Roman"/>
        </w:rPr>
        <w:t xml:space="preserve">7.5 </w:t>
      </w:r>
      <w:r>
        <w:rPr>
          <w:rFonts w:cs="Times New Roman"/>
        </w:rPr>
        <w:t>评价等级及评价范围</w:t>
      </w:r>
      <w:bookmarkEnd w:id="428"/>
      <w:bookmarkEnd w:id="429"/>
      <w:bookmarkEnd w:id="430"/>
    </w:p>
    <w:p w:rsidR="00BD5820" w:rsidRDefault="00F64314">
      <w:pPr>
        <w:pStyle w:val="3"/>
        <w:rPr>
          <w:rFonts w:eastAsia="宋体"/>
        </w:rPr>
      </w:pPr>
      <w:bookmarkStart w:id="431" w:name="_Toc19816100"/>
      <w:bookmarkStart w:id="432" w:name="_Toc12288726"/>
      <w:r>
        <w:rPr>
          <w:rFonts w:eastAsia="宋体"/>
        </w:rPr>
        <w:t xml:space="preserve">7.5.1 </w:t>
      </w:r>
      <w:r>
        <w:rPr>
          <w:rFonts w:eastAsia="宋体"/>
        </w:rPr>
        <w:t>环境风险评价等级</w:t>
      </w:r>
      <w:bookmarkEnd w:id="431"/>
      <w:bookmarkEnd w:id="432"/>
    </w:p>
    <w:p w:rsidR="00BD5820" w:rsidRDefault="00F64314">
      <w:pPr>
        <w:pStyle w:val="a1"/>
        <w:ind w:firstLine="480"/>
        <w:rPr>
          <w:rFonts w:ascii="Times New Roman" w:cs="Times New Roman"/>
        </w:rPr>
      </w:pPr>
      <w:r>
        <w:rPr>
          <w:rFonts w:ascii="Times New Roman" w:cs="Times New Roman"/>
        </w:rPr>
        <w:t>根据《建设项目环境风险评价技术导则》（</w:t>
      </w:r>
      <w:r>
        <w:rPr>
          <w:rFonts w:ascii="Times New Roman" w:cs="Times New Roman"/>
        </w:rPr>
        <w:t>HJ169-2018</w:t>
      </w:r>
      <w:r>
        <w:rPr>
          <w:rFonts w:ascii="Times New Roman" w:cs="Times New Roman"/>
        </w:rPr>
        <w:t>）中关于环境风险评价工作等级的划分方法，风险潜势为</w:t>
      </w:r>
      <w:r>
        <w:rPr>
          <w:rFonts w:ascii="Times New Roman" w:cs="Times New Roman"/>
        </w:rPr>
        <w:t>Ⅳ</w:t>
      </w:r>
      <w:r>
        <w:rPr>
          <w:rFonts w:ascii="Times New Roman" w:cs="Times New Roman"/>
        </w:rPr>
        <w:t>及以上，进行一级评价；风险潜势为</w:t>
      </w:r>
      <w:r>
        <w:rPr>
          <w:rFonts w:ascii="Times New Roman" w:cs="Times New Roman"/>
        </w:rPr>
        <w:t>Ⅲ</w:t>
      </w:r>
      <w:r>
        <w:rPr>
          <w:rFonts w:ascii="Times New Roman" w:cs="Times New Roman"/>
        </w:rPr>
        <w:t>，进行二级评价；风险潜势为</w:t>
      </w:r>
      <w:r>
        <w:rPr>
          <w:rFonts w:ascii="Times New Roman" w:cs="Times New Roman"/>
        </w:rPr>
        <w:t>Ⅱ</w:t>
      </w:r>
      <w:r>
        <w:rPr>
          <w:rFonts w:ascii="Times New Roman" w:cs="Times New Roman"/>
        </w:rPr>
        <w:t>，进行三级评价；风险潜势为</w:t>
      </w:r>
      <w:r>
        <w:rPr>
          <w:rFonts w:ascii="Times New Roman" w:cs="Times New Roman"/>
        </w:rPr>
        <w:t>Ⅰ</w:t>
      </w:r>
      <w:r>
        <w:rPr>
          <w:rFonts w:ascii="Times New Roman" w:cs="Times New Roman"/>
        </w:rPr>
        <w:t>，可展开简单分析。</w:t>
      </w:r>
    </w:p>
    <w:p w:rsidR="00BD5820" w:rsidRDefault="00F64314">
      <w:pPr>
        <w:pStyle w:val="10"/>
        <w:rPr>
          <w:rFonts w:cs="Times New Roman"/>
        </w:rPr>
      </w:pPr>
      <w:r>
        <w:rPr>
          <w:rFonts w:cs="Times New Roman"/>
        </w:rPr>
        <w:t>表</w:t>
      </w:r>
      <w:r>
        <w:rPr>
          <w:rFonts w:cs="Times New Roman"/>
        </w:rPr>
        <w:t xml:space="preserve">7.5-1  </w:t>
      </w:r>
      <w:r>
        <w:rPr>
          <w:rFonts w:cs="Times New Roman"/>
        </w:rPr>
        <w:t>环境风险评价工作等级划分</w:t>
      </w:r>
    </w:p>
    <w:tbl>
      <w:tblPr>
        <w:tblW w:w="8769" w:type="dxa"/>
        <w:jc w:val="center"/>
        <w:tblLayout w:type="fixed"/>
        <w:tblCellMar>
          <w:left w:w="0" w:type="dxa"/>
          <w:right w:w="0" w:type="dxa"/>
        </w:tblCellMar>
        <w:tblLook w:val="04A0"/>
      </w:tblPr>
      <w:tblGrid>
        <w:gridCol w:w="1741"/>
        <w:gridCol w:w="1291"/>
        <w:gridCol w:w="2037"/>
        <w:gridCol w:w="1921"/>
        <w:gridCol w:w="1779"/>
      </w:tblGrid>
      <w:tr w:rsidR="00BD5820">
        <w:trPr>
          <w:trHeight w:val="326"/>
          <w:jc w:val="center"/>
        </w:trPr>
        <w:tc>
          <w:tcPr>
            <w:tcW w:w="1741" w:type="dxa"/>
            <w:tcBorders>
              <w:top w:val="single" w:sz="12" w:space="0" w:color="000000"/>
              <w:left w:val="nil"/>
              <w:bottom w:val="single" w:sz="4" w:space="0" w:color="000000"/>
              <w:right w:val="single" w:sz="4" w:space="0" w:color="000000"/>
            </w:tcBorders>
            <w:vAlign w:val="center"/>
          </w:tcPr>
          <w:p w:rsidR="00BD5820" w:rsidRDefault="00F64314">
            <w:pPr>
              <w:pStyle w:val="TableParagraph"/>
              <w:spacing w:line="240" w:lineRule="auto"/>
              <w:ind w:firstLineChars="0" w:firstLine="0"/>
              <w:rPr>
                <w:rFonts w:ascii="Times New Roman" w:cs="Times New Roman"/>
                <w:b/>
                <w:bCs/>
                <w:kern w:val="2"/>
                <w:sz w:val="21"/>
                <w:szCs w:val="21"/>
              </w:rPr>
            </w:pPr>
            <w:r>
              <w:rPr>
                <w:rFonts w:ascii="Times New Roman" w:cs="Times New Roman"/>
                <w:b/>
                <w:bCs/>
                <w:kern w:val="2"/>
                <w:sz w:val="21"/>
                <w:szCs w:val="21"/>
              </w:rPr>
              <w:t>环境风险潜势</w:t>
            </w:r>
          </w:p>
        </w:tc>
        <w:tc>
          <w:tcPr>
            <w:tcW w:w="1291" w:type="dxa"/>
            <w:tcBorders>
              <w:top w:val="single" w:sz="12" w:space="0" w:color="000000"/>
              <w:left w:val="single" w:sz="4" w:space="0" w:color="000000"/>
              <w:bottom w:val="single" w:sz="4" w:space="0" w:color="000000"/>
              <w:right w:val="single" w:sz="4" w:space="0" w:color="000000"/>
            </w:tcBorders>
            <w:vAlign w:val="center"/>
          </w:tcPr>
          <w:p w:rsidR="00BD5820" w:rsidRDefault="00F64314">
            <w:pPr>
              <w:pStyle w:val="TableParagraph"/>
              <w:spacing w:line="240" w:lineRule="auto"/>
              <w:ind w:firstLineChars="0" w:firstLine="0"/>
              <w:rPr>
                <w:rFonts w:ascii="Times New Roman" w:cs="Times New Roman"/>
                <w:b/>
                <w:bCs/>
                <w:kern w:val="2"/>
                <w:sz w:val="21"/>
                <w:szCs w:val="21"/>
              </w:rPr>
            </w:pPr>
            <w:r>
              <w:rPr>
                <w:rFonts w:ascii="Times New Roman" w:cs="Times New Roman"/>
                <w:b/>
                <w:bCs/>
                <w:kern w:val="2"/>
                <w:sz w:val="21"/>
                <w:szCs w:val="21"/>
              </w:rPr>
              <w:t>Ⅳ</w:t>
            </w:r>
            <w:r>
              <w:rPr>
                <w:rFonts w:ascii="Times New Roman" w:cs="Times New Roman"/>
                <w:b/>
                <w:bCs/>
                <w:kern w:val="2"/>
                <w:sz w:val="21"/>
                <w:szCs w:val="21"/>
              </w:rPr>
              <w:t>、</w:t>
            </w:r>
            <w:r>
              <w:rPr>
                <w:rFonts w:ascii="Times New Roman" w:cs="Times New Roman"/>
                <w:b/>
                <w:bCs/>
                <w:kern w:val="2"/>
                <w:sz w:val="21"/>
                <w:szCs w:val="21"/>
              </w:rPr>
              <w:t>Ⅳ</w:t>
            </w:r>
            <w:r>
              <w:rPr>
                <w:rFonts w:ascii="Times New Roman" w:cs="Times New Roman"/>
                <w:b/>
                <w:bCs/>
                <w:kern w:val="2"/>
                <w:sz w:val="21"/>
                <w:szCs w:val="21"/>
              </w:rPr>
              <w:t>＋</w:t>
            </w:r>
          </w:p>
        </w:tc>
        <w:tc>
          <w:tcPr>
            <w:tcW w:w="2037" w:type="dxa"/>
            <w:tcBorders>
              <w:top w:val="single" w:sz="12" w:space="0" w:color="000000"/>
              <w:left w:val="single" w:sz="4" w:space="0" w:color="000000"/>
              <w:bottom w:val="single" w:sz="4" w:space="0" w:color="000000"/>
              <w:right w:val="single" w:sz="4" w:space="0" w:color="000000"/>
            </w:tcBorders>
            <w:vAlign w:val="center"/>
          </w:tcPr>
          <w:p w:rsidR="00BD5820" w:rsidRDefault="00F64314">
            <w:pPr>
              <w:pStyle w:val="TableParagraph"/>
              <w:spacing w:line="240" w:lineRule="auto"/>
              <w:ind w:firstLineChars="0" w:firstLine="0"/>
              <w:rPr>
                <w:rFonts w:ascii="Times New Roman" w:cs="Times New Roman"/>
                <w:b/>
                <w:bCs/>
                <w:kern w:val="2"/>
                <w:sz w:val="21"/>
                <w:szCs w:val="21"/>
              </w:rPr>
            </w:pPr>
            <w:r>
              <w:rPr>
                <w:rFonts w:ascii="Times New Roman" w:cs="Times New Roman"/>
                <w:b/>
                <w:bCs/>
                <w:kern w:val="2"/>
                <w:sz w:val="21"/>
                <w:szCs w:val="21"/>
              </w:rPr>
              <w:t>Ⅲ</w:t>
            </w:r>
          </w:p>
        </w:tc>
        <w:tc>
          <w:tcPr>
            <w:tcW w:w="1921" w:type="dxa"/>
            <w:tcBorders>
              <w:top w:val="single" w:sz="12" w:space="0" w:color="000000"/>
              <w:left w:val="single" w:sz="4" w:space="0" w:color="000000"/>
              <w:bottom w:val="single" w:sz="4" w:space="0" w:color="000000"/>
              <w:right w:val="single" w:sz="4" w:space="0" w:color="000000"/>
            </w:tcBorders>
            <w:vAlign w:val="center"/>
          </w:tcPr>
          <w:p w:rsidR="00BD5820" w:rsidRDefault="00F64314">
            <w:pPr>
              <w:pStyle w:val="TableParagraph"/>
              <w:spacing w:line="240" w:lineRule="auto"/>
              <w:ind w:firstLineChars="0" w:firstLine="0"/>
              <w:rPr>
                <w:rFonts w:ascii="Times New Roman" w:cs="Times New Roman"/>
                <w:b/>
                <w:bCs/>
                <w:kern w:val="2"/>
                <w:sz w:val="21"/>
                <w:szCs w:val="21"/>
              </w:rPr>
            </w:pPr>
            <w:r>
              <w:rPr>
                <w:rFonts w:ascii="Times New Roman" w:cs="Times New Roman"/>
                <w:b/>
                <w:bCs/>
                <w:kern w:val="2"/>
                <w:sz w:val="21"/>
                <w:szCs w:val="21"/>
              </w:rPr>
              <w:t>Ⅱ</w:t>
            </w:r>
          </w:p>
        </w:tc>
        <w:tc>
          <w:tcPr>
            <w:tcW w:w="1779" w:type="dxa"/>
            <w:tcBorders>
              <w:top w:val="single" w:sz="12" w:space="0" w:color="000000"/>
              <w:left w:val="single" w:sz="4" w:space="0" w:color="000000"/>
              <w:bottom w:val="single" w:sz="4" w:space="0" w:color="000000"/>
              <w:right w:val="nil"/>
            </w:tcBorders>
            <w:vAlign w:val="center"/>
          </w:tcPr>
          <w:p w:rsidR="00BD5820" w:rsidRDefault="00F64314">
            <w:pPr>
              <w:pStyle w:val="TableParagraph"/>
              <w:spacing w:line="240" w:lineRule="auto"/>
              <w:ind w:firstLineChars="0" w:firstLine="0"/>
              <w:rPr>
                <w:rFonts w:ascii="Times New Roman" w:cs="Times New Roman"/>
                <w:b/>
                <w:bCs/>
                <w:kern w:val="2"/>
                <w:sz w:val="21"/>
                <w:szCs w:val="21"/>
              </w:rPr>
            </w:pPr>
            <w:r>
              <w:rPr>
                <w:rFonts w:ascii="Times New Roman" w:cs="Times New Roman"/>
                <w:b/>
                <w:bCs/>
                <w:kern w:val="2"/>
                <w:sz w:val="21"/>
                <w:szCs w:val="21"/>
              </w:rPr>
              <w:t>Ⅰ</w:t>
            </w:r>
          </w:p>
        </w:tc>
      </w:tr>
      <w:tr w:rsidR="00BD5820">
        <w:trPr>
          <w:trHeight w:val="80"/>
          <w:jc w:val="center"/>
        </w:trPr>
        <w:tc>
          <w:tcPr>
            <w:tcW w:w="1741" w:type="dxa"/>
            <w:tcBorders>
              <w:top w:val="single" w:sz="4" w:space="0" w:color="000000"/>
              <w:left w:val="nil"/>
              <w:bottom w:val="single" w:sz="12" w:space="0" w:color="000000"/>
              <w:right w:val="single" w:sz="4" w:space="0" w:color="000000"/>
            </w:tcBorders>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评价工作等级</w:t>
            </w:r>
          </w:p>
        </w:tc>
        <w:tc>
          <w:tcPr>
            <w:tcW w:w="1291" w:type="dxa"/>
            <w:tcBorders>
              <w:top w:val="single" w:sz="4" w:space="0" w:color="000000"/>
              <w:left w:val="single" w:sz="4" w:space="0" w:color="000000"/>
              <w:bottom w:val="single" w:sz="12" w:space="0" w:color="000000"/>
              <w:right w:val="single" w:sz="4" w:space="0" w:color="000000"/>
            </w:tcBorders>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一</w:t>
            </w:r>
          </w:p>
        </w:tc>
        <w:tc>
          <w:tcPr>
            <w:tcW w:w="2037" w:type="dxa"/>
            <w:tcBorders>
              <w:top w:val="single" w:sz="4" w:space="0" w:color="000000"/>
              <w:left w:val="single" w:sz="4" w:space="0" w:color="000000"/>
              <w:bottom w:val="single" w:sz="12" w:space="0" w:color="000000"/>
              <w:right w:val="single" w:sz="4" w:space="0" w:color="000000"/>
            </w:tcBorders>
            <w:shd w:val="clear" w:color="auto" w:fill="auto"/>
            <w:vAlign w:val="center"/>
          </w:tcPr>
          <w:p w:rsidR="00BD5820" w:rsidRDefault="00F64314">
            <w:pPr>
              <w:pStyle w:val="TableParagraph"/>
              <w:spacing w:line="240" w:lineRule="auto"/>
              <w:ind w:firstLineChars="0" w:firstLine="0"/>
              <w:rPr>
                <w:rFonts w:ascii="Times New Roman" w:cs="Times New Roman"/>
                <w:b/>
                <w:kern w:val="2"/>
                <w:sz w:val="21"/>
                <w:szCs w:val="21"/>
              </w:rPr>
            </w:pPr>
            <w:r>
              <w:rPr>
                <w:rFonts w:ascii="Times New Roman" w:cs="Times New Roman"/>
                <w:b/>
                <w:kern w:val="2"/>
                <w:sz w:val="21"/>
                <w:szCs w:val="21"/>
              </w:rPr>
              <w:t>二（</w:t>
            </w:r>
            <w:r>
              <w:rPr>
                <w:rFonts w:ascii="Times New Roman" w:cs="Times New Roman"/>
                <w:b/>
                <w:kern w:val="2"/>
                <w:sz w:val="21"/>
                <w:szCs w:val="21"/>
              </w:rPr>
              <w:t>√</w:t>
            </w:r>
            <w:r>
              <w:rPr>
                <w:rFonts w:ascii="Times New Roman" w:cs="Times New Roman"/>
                <w:b/>
                <w:kern w:val="2"/>
                <w:sz w:val="21"/>
                <w:szCs w:val="21"/>
              </w:rPr>
              <w:t>）</w:t>
            </w:r>
          </w:p>
        </w:tc>
        <w:tc>
          <w:tcPr>
            <w:tcW w:w="1921" w:type="dxa"/>
            <w:tcBorders>
              <w:top w:val="single" w:sz="4" w:space="0" w:color="000000"/>
              <w:left w:val="single" w:sz="4" w:space="0" w:color="000000"/>
              <w:bottom w:val="single" w:sz="12" w:space="0" w:color="000000"/>
              <w:right w:val="single" w:sz="4" w:space="0" w:color="000000"/>
            </w:tcBorders>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三</w:t>
            </w:r>
          </w:p>
        </w:tc>
        <w:tc>
          <w:tcPr>
            <w:tcW w:w="1779" w:type="dxa"/>
            <w:tcBorders>
              <w:top w:val="single" w:sz="4" w:space="0" w:color="000000"/>
              <w:left w:val="single" w:sz="4" w:space="0" w:color="000000"/>
              <w:bottom w:val="single" w:sz="12" w:space="0" w:color="000000"/>
              <w:right w:val="nil"/>
            </w:tcBorders>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简单分析</w:t>
            </w:r>
          </w:p>
        </w:tc>
      </w:tr>
    </w:tbl>
    <w:p w:rsidR="00BD5820" w:rsidRDefault="00F64314">
      <w:pPr>
        <w:pStyle w:val="affa"/>
        <w:ind w:firstLine="480"/>
      </w:pPr>
      <w:r>
        <w:t>根据《建设项目环境风险评价技术导则》（</w:t>
      </w:r>
      <w:r>
        <w:t>HJ169-2018</w:t>
      </w:r>
      <w:r>
        <w:t>）中关于环境风险评价工作等级的划分方法，本项目风险潜势为</w:t>
      </w:r>
      <w:r>
        <w:t>Ⅲ</w:t>
      </w:r>
      <w:r>
        <w:t>，确定本项目环境风险评价等级为</w:t>
      </w:r>
      <w:r>
        <w:rPr>
          <w:rFonts w:hint="eastAsia"/>
        </w:rPr>
        <w:t>二级</w:t>
      </w:r>
      <w:r>
        <w:t>。</w:t>
      </w:r>
    </w:p>
    <w:p w:rsidR="00BD5820" w:rsidRDefault="00F64314">
      <w:pPr>
        <w:pStyle w:val="3"/>
        <w:rPr>
          <w:rFonts w:eastAsia="宋体"/>
        </w:rPr>
      </w:pPr>
      <w:bookmarkStart w:id="433" w:name="_Toc12288727"/>
      <w:bookmarkStart w:id="434" w:name="_Toc19816101"/>
      <w:bookmarkStart w:id="435" w:name="_Hlk41385142"/>
      <w:r>
        <w:rPr>
          <w:rFonts w:eastAsia="宋体"/>
        </w:rPr>
        <w:t xml:space="preserve">7.5.2 </w:t>
      </w:r>
      <w:r>
        <w:rPr>
          <w:rFonts w:eastAsia="宋体"/>
        </w:rPr>
        <w:t>环境风险评价范围</w:t>
      </w:r>
      <w:bookmarkEnd w:id="433"/>
      <w:bookmarkEnd w:id="434"/>
    </w:p>
    <w:p w:rsidR="00BD5820" w:rsidRDefault="00F64314">
      <w:pPr>
        <w:pStyle w:val="affa"/>
        <w:ind w:firstLine="480"/>
        <w:rPr>
          <w:szCs w:val="24"/>
        </w:rPr>
      </w:pPr>
      <w:bookmarkStart w:id="436" w:name="bookmark60"/>
      <w:bookmarkStart w:id="437" w:name="_Toc19816102"/>
      <w:bookmarkStart w:id="438" w:name="_Toc12288728"/>
      <w:bookmarkEnd w:id="435"/>
      <w:bookmarkEnd w:id="436"/>
      <w:r>
        <w:rPr>
          <w:szCs w:val="24"/>
        </w:rPr>
        <w:t>风险评价范围为沿管线两侧各</w:t>
      </w:r>
      <w:r>
        <w:rPr>
          <w:rFonts w:hint="eastAsia"/>
          <w:szCs w:val="24"/>
        </w:rPr>
        <w:t>2</w:t>
      </w:r>
      <w:r>
        <w:rPr>
          <w:szCs w:val="24"/>
        </w:rPr>
        <w:t>00m</w:t>
      </w:r>
      <w:r>
        <w:rPr>
          <w:szCs w:val="24"/>
        </w:rPr>
        <w:t>的带状区域和</w:t>
      </w:r>
      <w:r>
        <w:rPr>
          <w:bCs/>
          <w:szCs w:val="24"/>
        </w:rPr>
        <w:t>1#</w:t>
      </w:r>
      <w:r>
        <w:rPr>
          <w:rFonts w:hint="eastAsia"/>
          <w:bCs/>
          <w:szCs w:val="24"/>
        </w:rPr>
        <w:t>增压站、普光气田</w:t>
      </w:r>
      <w:r>
        <w:rPr>
          <w:rFonts w:hint="eastAsia"/>
          <w:bCs/>
          <w:szCs w:val="24"/>
        </w:rPr>
        <w:t>2</w:t>
      </w:r>
      <w:r>
        <w:rPr>
          <w:bCs/>
          <w:szCs w:val="24"/>
        </w:rPr>
        <w:t>#</w:t>
      </w:r>
      <w:r>
        <w:rPr>
          <w:rFonts w:hint="eastAsia"/>
          <w:bCs/>
          <w:szCs w:val="24"/>
        </w:rPr>
        <w:t>增压站</w:t>
      </w:r>
      <w:r>
        <w:rPr>
          <w:szCs w:val="24"/>
        </w:rPr>
        <w:t>周边</w:t>
      </w:r>
      <w:r>
        <w:rPr>
          <w:szCs w:val="24"/>
        </w:rPr>
        <w:t>5</w:t>
      </w:r>
      <w:r>
        <w:rPr>
          <w:rFonts w:hint="eastAsia"/>
          <w:szCs w:val="24"/>
        </w:rPr>
        <w:t>k</w:t>
      </w:r>
      <w:r>
        <w:rPr>
          <w:szCs w:val="24"/>
        </w:rPr>
        <w:t>m</w:t>
      </w:r>
      <w:r>
        <w:rPr>
          <w:szCs w:val="24"/>
        </w:rPr>
        <w:t>区域。</w:t>
      </w:r>
    </w:p>
    <w:p w:rsidR="00BD5820" w:rsidRDefault="00F64314">
      <w:pPr>
        <w:pStyle w:val="2"/>
        <w:spacing w:before="120"/>
        <w:rPr>
          <w:rFonts w:cs="Times New Roman"/>
        </w:rPr>
      </w:pPr>
      <w:bookmarkStart w:id="439" w:name="_Toc25462"/>
      <w:r>
        <w:rPr>
          <w:rFonts w:cs="Times New Roman"/>
        </w:rPr>
        <w:t xml:space="preserve">7.6 </w:t>
      </w:r>
      <w:r>
        <w:rPr>
          <w:rFonts w:cs="Times New Roman"/>
        </w:rPr>
        <w:t>风险识别</w:t>
      </w:r>
      <w:bookmarkEnd w:id="437"/>
      <w:bookmarkEnd w:id="438"/>
      <w:bookmarkEnd w:id="439"/>
    </w:p>
    <w:p w:rsidR="00BD5820" w:rsidRDefault="00F64314">
      <w:pPr>
        <w:ind w:firstLine="480"/>
        <w:rPr>
          <w:rFonts w:ascii="Times New Roman" w:cs="Times New Roman"/>
        </w:rPr>
      </w:pPr>
      <w:bookmarkStart w:id="440" w:name="_Toc19816103"/>
      <w:bookmarkStart w:id="441" w:name="_Toc12288729"/>
      <w:r>
        <w:rPr>
          <w:rFonts w:ascii="Times New Roman" w:cs="Times New Roman"/>
        </w:rPr>
        <w:t>根据《建设项目环境风险评价技术导则》（</w:t>
      </w:r>
      <w:r>
        <w:rPr>
          <w:rFonts w:ascii="Times New Roman" w:cs="Times New Roman"/>
        </w:rPr>
        <w:t>HJ169-2018</w:t>
      </w:r>
      <w:r>
        <w:rPr>
          <w:rFonts w:ascii="Times New Roman" w:cs="Times New Roman"/>
        </w:rPr>
        <w:t>），环境风险识别内容包括生产过程中涉及的物质危险性识别、生产系统危险性识别、危险物质向环境转移的途径识别。</w:t>
      </w:r>
    </w:p>
    <w:p w:rsidR="00BD5820" w:rsidRDefault="00F64314">
      <w:pPr>
        <w:pStyle w:val="3"/>
        <w:rPr>
          <w:rFonts w:eastAsia="宋体"/>
        </w:rPr>
      </w:pPr>
      <w:r>
        <w:rPr>
          <w:rFonts w:eastAsia="宋体"/>
        </w:rPr>
        <w:t xml:space="preserve">7.6.1 </w:t>
      </w:r>
      <w:r>
        <w:rPr>
          <w:rFonts w:eastAsia="宋体"/>
        </w:rPr>
        <w:t>物质风险识别</w:t>
      </w:r>
      <w:bookmarkEnd w:id="440"/>
      <w:bookmarkEnd w:id="441"/>
    </w:p>
    <w:p w:rsidR="00BD5820" w:rsidRDefault="00F64314">
      <w:pPr>
        <w:pStyle w:val="a1"/>
        <w:ind w:firstLine="480"/>
        <w:rPr>
          <w:rFonts w:ascii="Times New Roman" w:cs="Times New Roman"/>
        </w:rPr>
      </w:pPr>
      <w:r>
        <w:rPr>
          <w:rFonts w:ascii="Times New Roman" w:cs="Times New Roman"/>
        </w:rPr>
        <w:t>按照《石油天然气工程设计防火规范》（</w:t>
      </w:r>
      <w:r>
        <w:rPr>
          <w:rFonts w:ascii="Times New Roman" w:cs="Times New Roman"/>
        </w:rPr>
        <w:t>GB50183-2004</w:t>
      </w:r>
      <w:r>
        <w:rPr>
          <w:rFonts w:ascii="Times New Roman" w:cs="Times New Roman"/>
        </w:rPr>
        <w:t>）标准，天然气属</w:t>
      </w:r>
      <w:r>
        <w:rPr>
          <w:rFonts w:ascii="Times New Roman" w:cs="Times New Roman"/>
        </w:rPr>
        <w:lastRenderedPageBreak/>
        <w:t>于甲</w:t>
      </w:r>
      <w:r>
        <w:rPr>
          <w:rFonts w:ascii="Times New Roman" w:cs="Times New Roman"/>
        </w:rPr>
        <w:t>B</w:t>
      </w:r>
      <w:r>
        <w:rPr>
          <w:rFonts w:ascii="Times New Roman" w:cs="Times New Roman"/>
        </w:rPr>
        <w:t>类火灾危险物质。</w:t>
      </w:r>
    </w:p>
    <w:p w:rsidR="00BD5820" w:rsidRDefault="00F64314">
      <w:pPr>
        <w:pStyle w:val="affa"/>
        <w:ind w:firstLine="480"/>
      </w:pPr>
      <w:r>
        <w:rPr>
          <w:rFonts w:hint="eastAsia"/>
        </w:rPr>
        <w:t>本项目</w:t>
      </w:r>
      <w:r>
        <w:t>涉及的危险物质主要是输送的天然气所含的甲烷</w:t>
      </w:r>
      <w:r>
        <w:rPr>
          <w:rFonts w:hint="eastAsia"/>
        </w:rPr>
        <w:t>、</w:t>
      </w:r>
      <w:r>
        <w:t>H</w:t>
      </w:r>
      <w:r>
        <w:rPr>
          <w:vertAlign w:val="subscript"/>
        </w:rPr>
        <w:t>2</w:t>
      </w:r>
      <w:r>
        <w:t>S</w:t>
      </w:r>
      <w:r>
        <w:rPr>
          <w:rFonts w:hint="eastAsia"/>
        </w:rPr>
        <w:t>以及润滑油、气田水</w:t>
      </w:r>
      <w:r>
        <w:t>。</w:t>
      </w:r>
    </w:p>
    <w:p w:rsidR="00BD5820" w:rsidRDefault="00F64314">
      <w:pPr>
        <w:pStyle w:val="affa"/>
        <w:ind w:firstLine="482"/>
        <w:rPr>
          <w:b/>
        </w:rPr>
      </w:pPr>
      <w:r>
        <w:rPr>
          <w:b/>
        </w:rPr>
        <w:t>1</w:t>
      </w:r>
      <w:r>
        <w:rPr>
          <w:b/>
        </w:rPr>
        <w:t>、甲烷</w:t>
      </w:r>
    </w:p>
    <w:p w:rsidR="00BD5820" w:rsidRDefault="00F64314">
      <w:pPr>
        <w:pStyle w:val="affa"/>
        <w:ind w:firstLine="480"/>
      </w:pPr>
      <w:r>
        <w:t>天然气是一种易燃易爆混合性气体，其主要成分为甲烷，与空气混合能形成爆炸性混合物，天然气本身具有闪点低、易扩散、受热后迅速汽化，强热时剧烈汽化而喷发远射、燃烧值大、燃烧温度高、爆炸范围较宽且爆炸下限低等特点。主要物质甲烷的物理化学特性如表</w:t>
      </w:r>
      <w:r>
        <w:t>7.6-1</w:t>
      </w:r>
      <w:r>
        <w:t>。</w:t>
      </w:r>
    </w:p>
    <w:p w:rsidR="00BD5820" w:rsidRDefault="00F64314">
      <w:pPr>
        <w:pStyle w:val="TOC11"/>
        <w:rPr>
          <w:rFonts w:eastAsia="宋体"/>
        </w:rPr>
      </w:pPr>
      <w:r>
        <w:rPr>
          <w:rFonts w:eastAsia="宋体"/>
        </w:rPr>
        <w:t>表</w:t>
      </w:r>
      <w:r>
        <w:rPr>
          <w:rFonts w:eastAsia="宋体"/>
        </w:rPr>
        <w:t xml:space="preserve">7.6-1  </w:t>
      </w:r>
      <w:r>
        <w:rPr>
          <w:rFonts w:eastAsia="宋体"/>
        </w:rPr>
        <w:t>甲烷物化性质表</w:t>
      </w:r>
    </w:p>
    <w:tbl>
      <w:tblPr>
        <w:tblW w:w="8727" w:type="dxa"/>
        <w:jc w:val="center"/>
        <w:tblLayout w:type="fixed"/>
        <w:tblCellMar>
          <w:left w:w="0" w:type="dxa"/>
          <w:right w:w="0" w:type="dxa"/>
        </w:tblCellMar>
        <w:tblLook w:val="04A0"/>
      </w:tblPr>
      <w:tblGrid>
        <w:gridCol w:w="474"/>
        <w:gridCol w:w="2988"/>
        <w:gridCol w:w="2814"/>
        <w:gridCol w:w="2451"/>
      </w:tblGrid>
      <w:tr w:rsidR="00BD5820">
        <w:trPr>
          <w:trHeight w:val="20"/>
          <w:jc w:val="center"/>
        </w:trPr>
        <w:tc>
          <w:tcPr>
            <w:tcW w:w="474" w:type="dxa"/>
            <w:vMerge w:val="restart"/>
            <w:tcBorders>
              <w:top w:val="single" w:sz="12" w:space="0" w:color="000000"/>
              <w:left w:val="nil"/>
              <w:bottom w:val="single" w:sz="2" w:space="0" w:color="000000"/>
              <w:right w:val="single" w:sz="2" w:space="0" w:color="000000"/>
            </w:tcBorders>
            <w:vAlign w:val="center"/>
          </w:tcPr>
          <w:p w:rsidR="00BD5820" w:rsidRDefault="00F64314">
            <w:pPr>
              <w:pStyle w:val="afff1"/>
            </w:pPr>
            <w:r>
              <w:t>标识</w:t>
            </w:r>
          </w:p>
        </w:tc>
        <w:tc>
          <w:tcPr>
            <w:tcW w:w="2988" w:type="dxa"/>
            <w:tcBorders>
              <w:top w:val="single" w:sz="12" w:space="0" w:color="000000"/>
              <w:left w:val="single" w:sz="2" w:space="0" w:color="000000"/>
              <w:bottom w:val="single" w:sz="2" w:space="0" w:color="000000"/>
              <w:right w:val="single" w:sz="2" w:space="0" w:color="000000"/>
            </w:tcBorders>
            <w:vAlign w:val="center"/>
          </w:tcPr>
          <w:p w:rsidR="00BD5820" w:rsidRDefault="00F64314">
            <w:pPr>
              <w:pStyle w:val="afff1"/>
              <w:jc w:val="left"/>
            </w:pPr>
            <w:r>
              <w:t>中文名：甲烷</w:t>
            </w:r>
          </w:p>
        </w:tc>
        <w:tc>
          <w:tcPr>
            <w:tcW w:w="5264" w:type="dxa"/>
            <w:gridSpan w:val="2"/>
            <w:tcBorders>
              <w:top w:val="single" w:sz="12" w:space="0" w:color="000000"/>
              <w:left w:val="single" w:sz="2" w:space="0" w:color="000000"/>
              <w:bottom w:val="single" w:sz="2" w:space="0" w:color="000000"/>
              <w:right w:val="nil"/>
            </w:tcBorders>
            <w:vAlign w:val="center"/>
          </w:tcPr>
          <w:p w:rsidR="00BD5820" w:rsidRDefault="00F64314">
            <w:pPr>
              <w:pStyle w:val="afff1"/>
              <w:jc w:val="left"/>
            </w:pPr>
            <w:r>
              <w:t>英文名：</w:t>
            </w:r>
            <w:r>
              <w:t>Methane</w:t>
            </w:r>
          </w:p>
        </w:tc>
      </w:tr>
      <w:tr w:rsidR="00BD5820">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BD5820" w:rsidRDefault="00BD5820">
            <w:pPr>
              <w:pStyle w:val="afff1"/>
            </w:pPr>
          </w:p>
        </w:tc>
        <w:tc>
          <w:tcPr>
            <w:tcW w:w="2988"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afff1"/>
              <w:jc w:val="left"/>
            </w:pPr>
            <w:r>
              <w:t>分子式：</w:t>
            </w:r>
            <w:r>
              <w:t>CH</w:t>
            </w:r>
            <w:r>
              <w:rPr>
                <w:vertAlign w:val="subscript"/>
              </w:rPr>
              <w:t>4</w:t>
            </w:r>
          </w:p>
        </w:tc>
        <w:tc>
          <w:tcPr>
            <w:tcW w:w="2814"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afff1"/>
              <w:jc w:val="left"/>
            </w:pPr>
            <w:r>
              <w:t>分子量：</w:t>
            </w:r>
            <w:r>
              <w:t>16.04</w:t>
            </w:r>
          </w:p>
        </w:tc>
        <w:tc>
          <w:tcPr>
            <w:tcW w:w="2450" w:type="dxa"/>
            <w:tcBorders>
              <w:top w:val="single" w:sz="2" w:space="0" w:color="000000"/>
              <w:left w:val="single" w:sz="2" w:space="0" w:color="000000"/>
              <w:bottom w:val="single" w:sz="2" w:space="0" w:color="000000"/>
              <w:right w:val="nil"/>
            </w:tcBorders>
            <w:vAlign w:val="center"/>
          </w:tcPr>
          <w:p w:rsidR="00BD5820" w:rsidRDefault="00F64314">
            <w:pPr>
              <w:pStyle w:val="afff1"/>
              <w:jc w:val="left"/>
            </w:pPr>
            <w:r>
              <w:t>UN</w:t>
            </w:r>
            <w:r>
              <w:t>编号：</w:t>
            </w:r>
            <w:r>
              <w:t>1971</w:t>
            </w:r>
          </w:p>
        </w:tc>
      </w:tr>
      <w:tr w:rsidR="00BD5820">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BD5820" w:rsidRDefault="00BD5820">
            <w:pPr>
              <w:pStyle w:val="afff1"/>
            </w:pPr>
          </w:p>
        </w:tc>
        <w:tc>
          <w:tcPr>
            <w:tcW w:w="2988"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afff1"/>
              <w:jc w:val="left"/>
            </w:pPr>
            <w:r>
              <w:t>危规号：</w:t>
            </w:r>
            <w:r>
              <w:t>21007</w:t>
            </w:r>
          </w:p>
        </w:tc>
        <w:tc>
          <w:tcPr>
            <w:tcW w:w="2814"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afff1"/>
              <w:jc w:val="left"/>
            </w:pPr>
            <w:r>
              <w:t>RTEC</w:t>
            </w:r>
            <w:r>
              <w:t>号：</w:t>
            </w:r>
            <w:r>
              <w:t>PA1490000</w:t>
            </w:r>
          </w:p>
        </w:tc>
        <w:tc>
          <w:tcPr>
            <w:tcW w:w="2450" w:type="dxa"/>
            <w:tcBorders>
              <w:top w:val="single" w:sz="2" w:space="0" w:color="000000"/>
              <w:left w:val="single" w:sz="2" w:space="0" w:color="000000"/>
              <w:bottom w:val="single" w:sz="2" w:space="0" w:color="000000"/>
              <w:right w:val="nil"/>
            </w:tcBorders>
            <w:vAlign w:val="center"/>
          </w:tcPr>
          <w:p w:rsidR="00BD5820" w:rsidRDefault="00F64314">
            <w:pPr>
              <w:pStyle w:val="afff1"/>
              <w:jc w:val="left"/>
            </w:pPr>
            <w:r>
              <w:t>CAS</w:t>
            </w:r>
            <w:r>
              <w:t>号：</w:t>
            </w:r>
            <w:r>
              <w:t>74-82-8</w:t>
            </w:r>
          </w:p>
        </w:tc>
      </w:tr>
      <w:tr w:rsidR="00BD5820">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BD5820" w:rsidRDefault="00BD5820">
            <w:pPr>
              <w:pStyle w:val="afff1"/>
            </w:pPr>
          </w:p>
        </w:tc>
        <w:tc>
          <w:tcPr>
            <w:tcW w:w="2988"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afff1"/>
              <w:jc w:val="left"/>
            </w:pPr>
            <w:r>
              <w:t>危险性类别：第</w:t>
            </w:r>
            <w:r>
              <w:t>2.1</w:t>
            </w:r>
            <w:r>
              <w:t>类易燃气体</w:t>
            </w:r>
          </w:p>
        </w:tc>
        <w:tc>
          <w:tcPr>
            <w:tcW w:w="5264" w:type="dxa"/>
            <w:gridSpan w:val="2"/>
            <w:tcBorders>
              <w:top w:val="single" w:sz="2" w:space="0" w:color="000000"/>
              <w:left w:val="single" w:sz="2" w:space="0" w:color="000000"/>
              <w:bottom w:val="single" w:sz="2" w:space="0" w:color="000000"/>
              <w:right w:val="nil"/>
            </w:tcBorders>
            <w:vAlign w:val="center"/>
          </w:tcPr>
          <w:p w:rsidR="00BD5820" w:rsidRDefault="00F64314">
            <w:pPr>
              <w:pStyle w:val="afff1"/>
              <w:jc w:val="left"/>
            </w:pPr>
            <w:r>
              <w:t>化学类别：烷烃</w:t>
            </w:r>
          </w:p>
        </w:tc>
      </w:tr>
      <w:tr w:rsidR="00BD5820">
        <w:trPr>
          <w:trHeight w:val="20"/>
          <w:jc w:val="center"/>
        </w:trPr>
        <w:tc>
          <w:tcPr>
            <w:tcW w:w="474" w:type="dxa"/>
            <w:vMerge w:val="restart"/>
            <w:tcBorders>
              <w:top w:val="single" w:sz="2" w:space="0" w:color="000000"/>
              <w:left w:val="nil"/>
              <w:bottom w:val="single" w:sz="2" w:space="0" w:color="000000"/>
              <w:right w:val="single" w:sz="2" w:space="0" w:color="000000"/>
            </w:tcBorders>
            <w:vAlign w:val="center"/>
          </w:tcPr>
          <w:p w:rsidR="00BD5820" w:rsidRDefault="00F64314">
            <w:pPr>
              <w:pStyle w:val="afff1"/>
            </w:pPr>
            <w:r>
              <w:t>理化性质</w:t>
            </w:r>
          </w:p>
        </w:tc>
        <w:tc>
          <w:tcPr>
            <w:tcW w:w="8253" w:type="dxa"/>
            <w:gridSpan w:val="3"/>
            <w:tcBorders>
              <w:top w:val="single" w:sz="2" w:space="0" w:color="000000"/>
              <w:left w:val="single" w:sz="2" w:space="0" w:color="000000"/>
              <w:bottom w:val="single" w:sz="2" w:space="0" w:color="000000"/>
              <w:right w:val="nil"/>
            </w:tcBorders>
            <w:vAlign w:val="center"/>
          </w:tcPr>
          <w:p w:rsidR="00BD5820" w:rsidRDefault="00F64314">
            <w:pPr>
              <w:pStyle w:val="afff1"/>
              <w:jc w:val="left"/>
            </w:pPr>
            <w:r>
              <w:t>外观与性状：无色无臭气体</w:t>
            </w:r>
          </w:p>
        </w:tc>
      </w:tr>
      <w:tr w:rsidR="00BD5820">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BD5820" w:rsidRDefault="00BD5820">
            <w:pPr>
              <w:pStyle w:val="afff1"/>
            </w:pPr>
          </w:p>
        </w:tc>
        <w:tc>
          <w:tcPr>
            <w:tcW w:w="2988"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afff1"/>
              <w:jc w:val="left"/>
            </w:pPr>
            <w:r>
              <w:t>熔点（</w:t>
            </w:r>
            <w:r>
              <w:t>℃</w:t>
            </w:r>
            <w:r>
              <w:t>）：</w:t>
            </w:r>
            <w:r>
              <w:t>-182.5</w:t>
            </w:r>
          </w:p>
        </w:tc>
        <w:tc>
          <w:tcPr>
            <w:tcW w:w="5264" w:type="dxa"/>
            <w:gridSpan w:val="2"/>
            <w:tcBorders>
              <w:top w:val="single" w:sz="2" w:space="0" w:color="000000"/>
              <w:left w:val="single" w:sz="2" w:space="0" w:color="000000"/>
              <w:bottom w:val="single" w:sz="2" w:space="0" w:color="000000"/>
              <w:right w:val="nil"/>
            </w:tcBorders>
            <w:vAlign w:val="center"/>
          </w:tcPr>
          <w:p w:rsidR="00BD5820" w:rsidRDefault="00F64314">
            <w:pPr>
              <w:pStyle w:val="afff1"/>
              <w:jc w:val="left"/>
            </w:pPr>
            <w:r>
              <w:t>溶解性：微溶于水，溶于乙醇、乙醚</w:t>
            </w:r>
          </w:p>
        </w:tc>
      </w:tr>
      <w:tr w:rsidR="00BD5820">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BD5820" w:rsidRDefault="00BD5820">
            <w:pPr>
              <w:pStyle w:val="afff1"/>
            </w:pPr>
          </w:p>
        </w:tc>
        <w:tc>
          <w:tcPr>
            <w:tcW w:w="2988"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afff1"/>
              <w:jc w:val="left"/>
            </w:pPr>
            <w:r>
              <w:t>沸点（</w:t>
            </w:r>
            <w:r>
              <w:t>℃</w:t>
            </w:r>
            <w:r>
              <w:t>）：</w:t>
            </w:r>
            <w:r>
              <w:t>-161.5</w:t>
            </w:r>
          </w:p>
        </w:tc>
        <w:tc>
          <w:tcPr>
            <w:tcW w:w="5264" w:type="dxa"/>
            <w:gridSpan w:val="2"/>
            <w:tcBorders>
              <w:top w:val="single" w:sz="2" w:space="0" w:color="000000"/>
              <w:left w:val="single" w:sz="2" w:space="0" w:color="000000"/>
              <w:bottom w:val="single" w:sz="2" w:space="0" w:color="000000"/>
              <w:right w:val="nil"/>
            </w:tcBorders>
            <w:vAlign w:val="center"/>
          </w:tcPr>
          <w:p w:rsidR="00BD5820" w:rsidRDefault="00F64314">
            <w:pPr>
              <w:pStyle w:val="afff1"/>
              <w:jc w:val="left"/>
            </w:pPr>
            <w:r>
              <w:t>相对密度（水</w:t>
            </w:r>
            <w:r>
              <w:t>=1</w:t>
            </w:r>
            <w:r>
              <w:t>）：</w:t>
            </w:r>
            <w:r>
              <w:t>0.42/-164℃</w:t>
            </w:r>
          </w:p>
        </w:tc>
      </w:tr>
      <w:tr w:rsidR="00BD5820">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BD5820" w:rsidRDefault="00BD5820">
            <w:pPr>
              <w:pStyle w:val="afff1"/>
            </w:pPr>
          </w:p>
        </w:tc>
        <w:tc>
          <w:tcPr>
            <w:tcW w:w="2988"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afff1"/>
              <w:jc w:val="left"/>
            </w:pPr>
            <w:r>
              <w:t>饱和蒸气压（</w:t>
            </w:r>
            <w:r>
              <w:t>KPa</w:t>
            </w:r>
            <w:r>
              <w:t>）：</w:t>
            </w:r>
            <w:r>
              <w:t>53.32/-168.8</w:t>
            </w:r>
          </w:p>
        </w:tc>
        <w:tc>
          <w:tcPr>
            <w:tcW w:w="5264" w:type="dxa"/>
            <w:gridSpan w:val="2"/>
            <w:tcBorders>
              <w:top w:val="single" w:sz="2" w:space="0" w:color="000000"/>
              <w:left w:val="single" w:sz="2" w:space="0" w:color="000000"/>
              <w:bottom w:val="single" w:sz="2" w:space="0" w:color="000000"/>
              <w:right w:val="nil"/>
            </w:tcBorders>
            <w:vAlign w:val="center"/>
          </w:tcPr>
          <w:p w:rsidR="00BD5820" w:rsidRDefault="00F64314">
            <w:pPr>
              <w:pStyle w:val="afff1"/>
              <w:jc w:val="left"/>
            </w:pPr>
            <w:r>
              <w:t>相对密度（空气</w:t>
            </w:r>
            <w:r>
              <w:t>=1</w:t>
            </w:r>
            <w:r>
              <w:t>）：</w:t>
            </w:r>
            <w:r>
              <w:t>0.55</w:t>
            </w:r>
          </w:p>
        </w:tc>
      </w:tr>
      <w:tr w:rsidR="00BD5820">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BD5820" w:rsidRDefault="00BD5820">
            <w:pPr>
              <w:pStyle w:val="afff1"/>
            </w:pPr>
          </w:p>
        </w:tc>
        <w:tc>
          <w:tcPr>
            <w:tcW w:w="2988"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afff1"/>
              <w:jc w:val="left"/>
            </w:pPr>
            <w:r>
              <w:t>临界温度（</w:t>
            </w:r>
            <w:r>
              <w:t>℃</w:t>
            </w:r>
            <w:r>
              <w:t>）：</w:t>
            </w:r>
            <w:r>
              <w:t>-82.6</w:t>
            </w:r>
          </w:p>
        </w:tc>
        <w:tc>
          <w:tcPr>
            <w:tcW w:w="5264" w:type="dxa"/>
            <w:gridSpan w:val="2"/>
            <w:tcBorders>
              <w:top w:val="single" w:sz="2" w:space="0" w:color="000000"/>
              <w:left w:val="single" w:sz="2" w:space="0" w:color="000000"/>
              <w:bottom w:val="single" w:sz="2" w:space="0" w:color="000000"/>
              <w:right w:val="nil"/>
            </w:tcBorders>
            <w:vAlign w:val="center"/>
          </w:tcPr>
          <w:p w:rsidR="00BD5820" w:rsidRDefault="00F64314">
            <w:pPr>
              <w:pStyle w:val="afff1"/>
              <w:jc w:val="left"/>
            </w:pPr>
            <w:r>
              <w:t>燃烧热（</w:t>
            </w:r>
            <w:r>
              <w:t>kJ/mol</w:t>
            </w:r>
            <w:r>
              <w:t>）：</w:t>
            </w:r>
            <w:r>
              <w:t>889.5</w:t>
            </w:r>
          </w:p>
        </w:tc>
      </w:tr>
      <w:tr w:rsidR="00BD5820">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BD5820" w:rsidRDefault="00BD5820">
            <w:pPr>
              <w:pStyle w:val="afff1"/>
            </w:pPr>
          </w:p>
        </w:tc>
        <w:tc>
          <w:tcPr>
            <w:tcW w:w="2988"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afff1"/>
              <w:jc w:val="left"/>
            </w:pPr>
            <w:r>
              <w:t>临界压力（</w:t>
            </w:r>
            <w:r>
              <w:t>MPa</w:t>
            </w:r>
            <w:r>
              <w:t>）：</w:t>
            </w:r>
            <w:r>
              <w:t>4.59</w:t>
            </w:r>
          </w:p>
        </w:tc>
        <w:tc>
          <w:tcPr>
            <w:tcW w:w="5264" w:type="dxa"/>
            <w:gridSpan w:val="2"/>
            <w:tcBorders>
              <w:top w:val="single" w:sz="2" w:space="0" w:color="000000"/>
              <w:left w:val="single" w:sz="2" w:space="0" w:color="000000"/>
              <w:bottom w:val="single" w:sz="2" w:space="0" w:color="000000"/>
              <w:right w:val="nil"/>
            </w:tcBorders>
            <w:vAlign w:val="center"/>
          </w:tcPr>
          <w:p w:rsidR="00BD5820" w:rsidRDefault="00F64314">
            <w:pPr>
              <w:pStyle w:val="afff1"/>
              <w:jc w:val="left"/>
            </w:pPr>
            <w:r>
              <w:t>最小引燃能量（</w:t>
            </w:r>
            <w:r>
              <w:t>mJ</w:t>
            </w:r>
            <w:r>
              <w:t>）：</w:t>
            </w:r>
            <w:r>
              <w:t>0.28</w:t>
            </w:r>
          </w:p>
        </w:tc>
      </w:tr>
      <w:tr w:rsidR="00BD5820">
        <w:trPr>
          <w:trHeight w:val="20"/>
          <w:jc w:val="center"/>
        </w:trPr>
        <w:tc>
          <w:tcPr>
            <w:tcW w:w="474" w:type="dxa"/>
            <w:vMerge w:val="restart"/>
            <w:tcBorders>
              <w:top w:val="single" w:sz="2" w:space="0" w:color="000000"/>
              <w:left w:val="nil"/>
              <w:bottom w:val="single" w:sz="2" w:space="0" w:color="000000"/>
              <w:right w:val="single" w:sz="2" w:space="0" w:color="000000"/>
            </w:tcBorders>
            <w:vAlign w:val="center"/>
          </w:tcPr>
          <w:p w:rsidR="00BD5820" w:rsidRDefault="00F64314">
            <w:pPr>
              <w:pStyle w:val="afff1"/>
            </w:pPr>
            <w:r>
              <w:t>燃烧爆炸危险性</w:t>
            </w:r>
          </w:p>
        </w:tc>
        <w:tc>
          <w:tcPr>
            <w:tcW w:w="2988"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afff1"/>
              <w:jc w:val="left"/>
            </w:pPr>
            <w:r>
              <w:t>燃烧性：易燃气体</w:t>
            </w:r>
          </w:p>
        </w:tc>
        <w:tc>
          <w:tcPr>
            <w:tcW w:w="5264" w:type="dxa"/>
            <w:gridSpan w:val="2"/>
            <w:tcBorders>
              <w:top w:val="single" w:sz="2" w:space="0" w:color="000000"/>
              <w:left w:val="single" w:sz="2" w:space="0" w:color="000000"/>
              <w:bottom w:val="single" w:sz="2" w:space="0" w:color="000000"/>
              <w:right w:val="nil"/>
            </w:tcBorders>
            <w:vAlign w:val="center"/>
          </w:tcPr>
          <w:p w:rsidR="00BD5820" w:rsidRDefault="00F64314">
            <w:pPr>
              <w:pStyle w:val="afff1"/>
              <w:jc w:val="left"/>
            </w:pPr>
            <w:r>
              <w:t>燃烧分解产物：</w:t>
            </w:r>
            <w:r>
              <w:t>CO</w:t>
            </w:r>
            <w:r>
              <w:t>、</w:t>
            </w:r>
            <w:r>
              <w:t>CO</w:t>
            </w:r>
            <w:r>
              <w:rPr>
                <w:vertAlign w:val="subscript"/>
              </w:rPr>
              <w:t>2</w:t>
            </w:r>
            <w:r>
              <w:t>、</w:t>
            </w:r>
            <w:r>
              <w:t>H</w:t>
            </w:r>
            <w:r>
              <w:rPr>
                <w:vertAlign w:val="subscript"/>
              </w:rPr>
              <w:t>2</w:t>
            </w:r>
            <w:r>
              <w:t>O</w:t>
            </w:r>
          </w:p>
        </w:tc>
      </w:tr>
      <w:tr w:rsidR="00BD5820">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BD5820" w:rsidRDefault="00BD5820">
            <w:pPr>
              <w:pStyle w:val="afff1"/>
            </w:pPr>
          </w:p>
        </w:tc>
        <w:tc>
          <w:tcPr>
            <w:tcW w:w="2988"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afff1"/>
              <w:jc w:val="left"/>
            </w:pPr>
            <w:r>
              <w:t>闪点（</w:t>
            </w:r>
            <w:r>
              <w:t>℃</w:t>
            </w:r>
            <w:r>
              <w:t>）：＜</w:t>
            </w:r>
            <w:r>
              <w:t>-50</w:t>
            </w:r>
          </w:p>
        </w:tc>
        <w:tc>
          <w:tcPr>
            <w:tcW w:w="5264" w:type="dxa"/>
            <w:gridSpan w:val="2"/>
            <w:tcBorders>
              <w:top w:val="single" w:sz="2" w:space="0" w:color="000000"/>
              <w:left w:val="single" w:sz="2" w:space="0" w:color="000000"/>
              <w:bottom w:val="single" w:sz="2" w:space="0" w:color="000000"/>
              <w:right w:val="nil"/>
            </w:tcBorders>
            <w:vAlign w:val="center"/>
          </w:tcPr>
          <w:p w:rsidR="00BD5820" w:rsidRDefault="00F64314">
            <w:pPr>
              <w:pStyle w:val="afff1"/>
              <w:jc w:val="left"/>
            </w:pPr>
            <w:r>
              <w:t>聚合危害：不会出现</w:t>
            </w:r>
          </w:p>
        </w:tc>
      </w:tr>
      <w:tr w:rsidR="00BD5820">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BD5820" w:rsidRDefault="00BD5820">
            <w:pPr>
              <w:pStyle w:val="afff1"/>
            </w:pPr>
          </w:p>
        </w:tc>
        <w:tc>
          <w:tcPr>
            <w:tcW w:w="2988"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afff1"/>
              <w:jc w:val="left"/>
            </w:pPr>
            <w:r>
              <w:t>爆炸极限（</w:t>
            </w:r>
            <w:r>
              <w:t>V</w:t>
            </w:r>
            <w:r>
              <w:t>％）：</w:t>
            </w:r>
            <w:r>
              <w:t>5.3</w:t>
            </w:r>
            <w:r>
              <w:t>～</w:t>
            </w:r>
            <w:r>
              <w:t>15</w:t>
            </w:r>
          </w:p>
        </w:tc>
        <w:tc>
          <w:tcPr>
            <w:tcW w:w="5264" w:type="dxa"/>
            <w:gridSpan w:val="2"/>
            <w:tcBorders>
              <w:top w:val="single" w:sz="2" w:space="0" w:color="000000"/>
              <w:left w:val="single" w:sz="2" w:space="0" w:color="000000"/>
              <w:bottom w:val="single" w:sz="2" w:space="0" w:color="000000"/>
              <w:right w:val="nil"/>
            </w:tcBorders>
            <w:vAlign w:val="center"/>
          </w:tcPr>
          <w:p w:rsidR="00BD5820" w:rsidRDefault="00F64314">
            <w:pPr>
              <w:pStyle w:val="afff1"/>
              <w:jc w:val="left"/>
            </w:pPr>
            <w:r>
              <w:t>稳定性：稳定</w:t>
            </w:r>
          </w:p>
        </w:tc>
      </w:tr>
      <w:tr w:rsidR="00BD5820">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BD5820" w:rsidRDefault="00BD5820">
            <w:pPr>
              <w:pStyle w:val="afff1"/>
            </w:pPr>
          </w:p>
        </w:tc>
        <w:tc>
          <w:tcPr>
            <w:tcW w:w="2988"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afff1"/>
              <w:jc w:val="left"/>
            </w:pPr>
            <w:r>
              <w:t>自燃温度（</w:t>
            </w:r>
            <w:r>
              <w:t>℃</w:t>
            </w:r>
            <w:r>
              <w:t>）：</w:t>
            </w:r>
            <w:r>
              <w:t>538</w:t>
            </w:r>
          </w:p>
        </w:tc>
        <w:tc>
          <w:tcPr>
            <w:tcW w:w="5264" w:type="dxa"/>
            <w:gridSpan w:val="2"/>
            <w:tcBorders>
              <w:top w:val="single" w:sz="2" w:space="0" w:color="000000"/>
              <w:left w:val="single" w:sz="2" w:space="0" w:color="000000"/>
              <w:bottom w:val="single" w:sz="2" w:space="0" w:color="000000"/>
              <w:right w:val="nil"/>
            </w:tcBorders>
            <w:vAlign w:val="center"/>
          </w:tcPr>
          <w:p w:rsidR="00BD5820" w:rsidRDefault="00F64314">
            <w:pPr>
              <w:pStyle w:val="afff1"/>
              <w:jc w:val="left"/>
            </w:pPr>
            <w:r>
              <w:t>禁忌物：强氧化剂、卤素</w:t>
            </w:r>
          </w:p>
        </w:tc>
      </w:tr>
      <w:tr w:rsidR="00BD5820">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BD5820" w:rsidRDefault="00BD5820">
            <w:pPr>
              <w:pStyle w:val="afff1"/>
            </w:pPr>
          </w:p>
        </w:tc>
        <w:tc>
          <w:tcPr>
            <w:tcW w:w="8253" w:type="dxa"/>
            <w:gridSpan w:val="3"/>
            <w:tcBorders>
              <w:top w:val="single" w:sz="2" w:space="0" w:color="000000"/>
              <w:left w:val="single" w:sz="2" w:space="0" w:color="000000"/>
              <w:bottom w:val="single" w:sz="2" w:space="0" w:color="000000"/>
              <w:right w:val="nil"/>
            </w:tcBorders>
            <w:vAlign w:val="center"/>
          </w:tcPr>
          <w:p w:rsidR="00BD5820" w:rsidRDefault="00F64314">
            <w:pPr>
              <w:pStyle w:val="afff1"/>
              <w:jc w:val="left"/>
            </w:pPr>
            <w:r>
              <w:t>危险特性：与空气混合形成爆炸性混合物，遇明火、高热能引起燃烧爆炸，与五氧化溴、氯气、次氯酸、三氟化氮及其它氧化剂接触剧烈反应。若遇高热，容器内压增大，有开裂和爆炸的危险。</w:t>
            </w:r>
          </w:p>
          <w:p w:rsidR="00BD5820" w:rsidRDefault="00F64314">
            <w:pPr>
              <w:pStyle w:val="afff1"/>
              <w:jc w:val="left"/>
            </w:pPr>
            <w:r>
              <w:t>爆炸性气体分类、分级、分组：</w:t>
            </w:r>
            <w:r>
              <w:t>ⅡAT1</w:t>
            </w:r>
          </w:p>
        </w:tc>
      </w:tr>
      <w:tr w:rsidR="00BD5820">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BD5820" w:rsidRDefault="00BD5820">
            <w:pPr>
              <w:pStyle w:val="afff1"/>
            </w:pPr>
          </w:p>
        </w:tc>
        <w:tc>
          <w:tcPr>
            <w:tcW w:w="8253" w:type="dxa"/>
            <w:gridSpan w:val="3"/>
            <w:tcBorders>
              <w:top w:val="single" w:sz="2" w:space="0" w:color="000000"/>
              <w:left w:val="single" w:sz="2" w:space="0" w:color="000000"/>
              <w:bottom w:val="single" w:sz="2" w:space="0" w:color="000000"/>
              <w:right w:val="nil"/>
            </w:tcBorders>
            <w:vAlign w:val="center"/>
          </w:tcPr>
          <w:p w:rsidR="00BD5820" w:rsidRDefault="00F64314">
            <w:pPr>
              <w:pStyle w:val="afff1"/>
              <w:jc w:val="left"/>
            </w:pPr>
            <w:r>
              <w:t>灭火方法：切断气源。若不能立即切断气源，则不允许熄灭正在燃烧的气体。喷水冷却容器。</w:t>
            </w:r>
          </w:p>
          <w:p w:rsidR="00BD5820" w:rsidRDefault="00F64314">
            <w:pPr>
              <w:pStyle w:val="afff1"/>
              <w:jc w:val="left"/>
            </w:pPr>
            <w:r>
              <w:t>灭火剂：雾状水、泡沫、二氧化碳、干粉。</w:t>
            </w:r>
          </w:p>
        </w:tc>
      </w:tr>
      <w:tr w:rsidR="00BD5820">
        <w:trPr>
          <w:trHeight w:val="20"/>
          <w:jc w:val="center"/>
        </w:trPr>
        <w:tc>
          <w:tcPr>
            <w:tcW w:w="474" w:type="dxa"/>
            <w:vMerge w:val="restart"/>
            <w:tcBorders>
              <w:top w:val="single" w:sz="2" w:space="0" w:color="000000"/>
              <w:left w:val="nil"/>
              <w:bottom w:val="single" w:sz="2" w:space="0" w:color="000000"/>
              <w:right w:val="single" w:sz="2" w:space="0" w:color="000000"/>
            </w:tcBorders>
            <w:vAlign w:val="center"/>
          </w:tcPr>
          <w:p w:rsidR="00BD5820" w:rsidRDefault="00F64314">
            <w:pPr>
              <w:pStyle w:val="afff1"/>
            </w:pPr>
            <w:r>
              <w:t>毒性</w:t>
            </w:r>
          </w:p>
        </w:tc>
        <w:tc>
          <w:tcPr>
            <w:tcW w:w="8253" w:type="dxa"/>
            <w:gridSpan w:val="3"/>
            <w:tcBorders>
              <w:top w:val="single" w:sz="2" w:space="0" w:color="000000"/>
              <w:left w:val="single" w:sz="2" w:space="0" w:color="000000"/>
              <w:bottom w:val="single" w:sz="2" w:space="0" w:color="000000"/>
              <w:right w:val="nil"/>
            </w:tcBorders>
            <w:vAlign w:val="center"/>
          </w:tcPr>
          <w:p w:rsidR="00BD5820" w:rsidRDefault="00F64314">
            <w:pPr>
              <w:pStyle w:val="afff1"/>
              <w:jc w:val="left"/>
            </w:pPr>
            <w:r>
              <w:t>接触限值：中国：未制定前苏联</w:t>
            </w:r>
            <w:r>
              <w:t>MAC</w:t>
            </w:r>
            <w:r>
              <w:t>：</w:t>
            </w:r>
            <w:r>
              <w:t>300mg/m</w:t>
            </w:r>
            <w:r>
              <w:rPr>
                <w:vertAlign w:val="superscript"/>
              </w:rPr>
              <w:t>3</w:t>
            </w:r>
            <w:r>
              <w:t>美国</w:t>
            </w:r>
            <w:r>
              <w:t>TWA</w:t>
            </w:r>
            <w:r>
              <w:t>（</w:t>
            </w:r>
            <w:r>
              <w:t>ACGIH</w:t>
            </w:r>
            <w:r>
              <w:t>）：窒息性气体</w:t>
            </w:r>
          </w:p>
        </w:tc>
      </w:tr>
      <w:tr w:rsidR="00BD5820">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BD5820" w:rsidRDefault="00BD5820">
            <w:pPr>
              <w:pStyle w:val="afff1"/>
            </w:pPr>
          </w:p>
        </w:tc>
        <w:tc>
          <w:tcPr>
            <w:tcW w:w="8253" w:type="dxa"/>
            <w:gridSpan w:val="3"/>
            <w:tcBorders>
              <w:top w:val="single" w:sz="2" w:space="0" w:color="000000"/>
              <w:left w:val="single" w:sz="2" w:space="0" w:color="000000"/>
              <w:bottom w:val="single" w:sz="2" w:space="0" w:color="000000"/>
              <w:right w:val="nil"/>
            </w:tcBorders>
            <w:vAlign w:val="center"/>
          </w:tcPr>
          <w:p w:rsidR="00BD5820" w:rsidRDefault="00F64314">
            <w:pPr>
              <w:pStyle w:val="afff1"/>
              <w:jc w:val="left"/>
            </w:pPr>
            <w:r>
              <w:t>毒性：属低毒性</w:t>
            </w:r>
          </w:p>
        </w:tc>
      </w:tr>
      <w:tr w:rsidR="00BD5820">
        <w:trPr>
          <w:trHeight w:val="20"/>
          <w:jc w:val="center"/>
        </w:trPr>
        <w:tc>
          <w:tcPr>
            <w:tcW w:w="474" w:type="dxa"/>
            <w:vMerge/>
            <w:tcBorders>
              <w:top w:val="single" w:sz="2" w:space="0" w:color="000000"/>
              <w:left w:val="nil"/>
              <w:bottom w:val="single" w:sz="2" w:space="0" w:color="000000"/>
              <w:right w:val="single" w:sz="2" w:space="0" w:color="000000"/>
            </w:tcBorders>
            <w:vAlign w:val="center"/>
          </w:tcPr>
          <w:p w:rsidR="00BD5820" w:rsidRDefault="00BD5820">
            <w:pPr>
              <w:pStyle w:val="afff1"/>
            </w:pPr>
          </w:p>
        </w:tc>
        <w:tc>
          <w:tcPr>
            <w:tcW w:w="8253" w:type="dxa"/>
            <w:gridSpan w:val="3"/>
            <w:tcBorders>
              <w:top w:val="single" w:sz="2" w:space="0" w:color="000000"/>
              <w:left w:val="single" w:sz="2" w:space="0" w:color="000000"/>
              <w:bottom w:val="single" w:sz="2" w:space="0" w:color="000000"/>
              <w:right w:val="nil"/>
            </w:tcBorders>
            <w:vAlign w:val="center"/>
          </w:tcPr>
          <w:p w:rsidR="00BD5820" w:rsidRDefault="00F64314">
            <w:pPr>
              <w:pStyle w:val="afff1"/>
              <w:jc w:val="left"/>
            </w:pPr>
            <w:r>
              <w:t>侵入途径：吸入</w:t>
            </w:r>
          </w:p>
        </w:tc>
      </w:tr>
      <w:tr w:rsidR="00BD5820">
        <w:trPr>
          <w:trHeight w:val="20"/>
          <w:jc w:val="center"/>
        </w:trPr>
        <w:tc>
          <w:tcPr>
            <w:tcW w:w="474" w:type="dxa"/>
            <w:tcBorders>
              <w:top w:val="single" w:sz="2" w:space="0" w:color="000000"/>
              <w:left w:val="nil"/>
              <w:bottom w:val="single" w:sz="2" w:space="0" w:color="000000"/>
              <w:right w:val="single" w:sz="2" w:space="0" w:color="000000"/>
            </w:tcBorders>
            <w:vAlign w:val="center"/>
          </w:tcPr>
          <w:p w:rsidR="00BD5820" w:rsidRDefault="00F64314">
            <w:pPr>
              <w:pStyle w:val="afff1"/>
            </w:pPr>
            <w:r>
              <w:t>健康危害</w:t>
            </w:r>
          </w:p>
        </w:tc>
        <w:tc>
          <w:tcPr>
            <w:tcW w:w="8253" w:type="dxa"/>
            <w:gridSpan w:val="3"/>
            <w:tcBorders>
              <w:top w:val="single" w:sz="2" w:space="0" w:color="000000"/>
              <w:left w:val="single" w:sz="2" w:space="0" w:color="000000"/>
              <w:bottom w:val="single" w:sz="2" w:space="0" w:color="000000"/>
              <w:right w:val="nil"/>
            </w:tcBorders>
            <w:vAlign w:val="center"/>
          </w:tcPr>
          <w:p w:rsidR="00BD5820" w:rsidRDefault="00F64314">
            <w:pPr>
              <w:pStyle w:val="afff1"/>
              <w:jc w:val="left"/>
            </w:pPr>
            <w:r>
              <w:t>空气中甲烷浓度过高，使人窒息，当空气中甲烷达</w:t>
            </w:r>
            <w:r>
              <w:t>25</w:t>
            </w:r>
            <w:r>
              <w:t>～</w:t>
            </w:r>
            <w:r>
              <w:t>30%</w:t>
            </w:r>
            <w:r>
              <w:t>时，可引起头痛、头晕乏力、注意力不集中、呼吸和心跳加快、精细动作障碍等，甚至因缺氧而窒息，昏迷，甲烷量高达</w:t>
            </w:r>
            <w:r>
              <w:t>2%</w:t>
            </w:r>
            <w:r>
              <w:t>时，工作人员应立即离开该区域。</w:t>
            </w:r>
          </w:p>
        </w:tc>
      </w:tr>
      <w:tr w:rsidR="00BD5820">
        <w:trPr>
          <w:trHeight w:val="20"/>
          <w:jc w:val="center"/>
        </w:trPr>
        <w:tc>
          <w:tcPr>
            <w:tcW w:w="474" w:type="dxa"/>
            <w:tcBorders>
              <w:top w:val="single" w:sz="2" w:space="0" w:color="000000"/>
              <w:left w:val="nil"/>
              <w:bottom w:val="single" w:sz="2" w:space="0" w:color="000000"/>
              <w:right w:val="single" w:sz="2" w:space="0" w:color="000000"/>
            </w:tcBorders>
            <w:vAlign w:val="center"/>
          </w:tcPr>
          <w:p w:rsidR="00BD5820" w:rsidRDefault="00F64314">
            <w:pPr>
              <w:pStyle w:val="afff1"/>
            </w:pPr>
            <w:r>
              <w:t>急救方案</w:t>
            </w:r>
          </w:p>
        </w:tc>
        <w:tc>
          <w:tcPr>
            <w:tcW w:w="8253" w:type="dxa"/>
            <w:gridSpan w:val="3"/>
            <w:tcBorders>
              <w:top w:val="single" w:sz="2" w:space="0" w:color="000000"/>
              <w:left w:val="single" w:sz="2" w:space="0" w:color="000000"/>
              <w:bottom w:val="single" w:sz="2" w:space="0" w:color="000000"/>
              <w:right w:val="nil"/>
            </w:tcBorders>
            <w:vAlign w:val="center"/>
          </w:tcPr>
          <w:p w:rsidR="00BD5820" w:rsidRDefault="00F64314">
            <w:pPr>
              <w:pStyle w:val="afff1"/>
              <w:jc w:val="left"/>
            </w:pPr>
            <w:r>
              <w:t>吸入：应迅速离开现场至空气新鲜处，注意保暖，呼吸困难时给输氧。呼吸及心跳停止者应立即进行人工呼吸和心脏按压术。就医。对症治疗，注意防止脑水肿。</w:t>
            </w:r>
          </w:p>
          <w:p w:rsidR="00BD5820" w:rsidRDefault="00F64314">
            <w:pPr>
              <w:pStyle w:val="afff1"/>
              <w:jc w:val="left"/>
            </w:pPr>
            <w:r>
              <w:t>皮肤接触：若有冻伤，就医治疗。</w:t>
            </w:r>
          </w:p>
        </w:tc>
      </w:tr>
      <w:tr w:rsidR="00BD5820">
        <w:trPr>
          <w:trHeight w:val="20"/>
          <w:jc w:val="center"/>
        </w:trPr>
        <w:tc>
          <w:tcPr>
            <w:tcW w:w="474" w:type="dxa"/>
            <w:tcBorders>
              <w:top w:val="single" w:sz="2" w:space="0" w:color="000000"/>
              <w:left w:val="nil"/>
              <w:bottom w:val="single" w:sz="2" w:space="0" w:color="000000"/>
              <w:right w:val="single" w:sz="2" w:space="0" w:color="000000"/>
            </w:tcBorders>
            <w:vAlign w:val="center"/>
          </w:tcPr>
          <w:p w:rsidR="00BD5820" w:rsidRDefault="00F64314">
            <w:pPr>
              <w:pStyle w:val="afff1"/>
            </w:pPr>
            <w:r>
              <w:t>防护措施</w:t>
            </w:r>
          </w:p>
        </w:tc>
        <w:tc>
          <w:tcPr>
            <w:tcW w:w="8253" w:type="dxa"/>
            <w:gridSpan w:val="3"/>
            <w:tcBorders>
              <w:top w:val="single" w:sz="2" w:space="0" w:color="000000"/>
              <w:left w:val="single" w:sz="2" w:space="0" w:color="000000"/>
              <w:bottom w:val="single" w:sz="2" w:space="0" w:color="000000"/>
              <w:right w:val="nil"/>
            </w:tcBorders>
            <w:vAlign w:val="center"/>
          </w:tcPr>
          <w:p w:rsidR="00BD5820" w:rsidRDefault="00F64314">
            <w:pPr>
              <w:pStyle w:val="afff1"/>
              <w:jc w:val="left"/>
            </w:pPr>
            <w:r>
              <w:t>工程控制：生产过程密闭，全面通风。进入罐内或高浓度区作业，应有人监护。</w:t>
            </w:r>
          </w:p>
          <w:p w:rsidR="00BD5820" w:rsidRDefault="00F64314">
            <w:pPr>
              <w:pStyle w:val="afff1"/>
              <w:jc w:val="left"/>
            </w:pPr>
            <w:r>
              <w:t>个体防护：高浓度环境，佩戴自给式呼吸器；一般可戴安全防护眼镜、防护手套、穿防静电工作服。</w:t>
            </w:r>
          </w:p>
          <w:p w:rsidR="00BD5820" w:rsidRDefault="00F64314">
            <w:pPr>
              <w:pStyle w:val="afff1"/>
              <w:jc w:val="left"/>
            </w:pPr>
            <w:r>
              <w:t>其他：工作现场严禁吸烟。避免长期反复接触。进入限制性空间或其他高浓度作业区，须有人监护。</w:t>
            </w:r>
          </w:p>
        </w:tc>
      </w:tr>
      <w:tr w:rsidR="00BD5820">
        <w:trPr>
          <w:trHeight w:val="20"/>
          <w:jc w:val="center"/>
        </w:trPr>
        <w:tc>
          <w:tcPr>
            <w:tcW w:w="474" w:type="dxa"/>
            <w:tcBorders>
              <w:top w:val="single" w:sz="2" w:space="0" w:color="000000"/>
              <w:left w:val="nil"/>
              <w:bottom w:val="single" w:sz="12" w:space="0" w:color="000000"/>
              <w:right w:val="single" w:sz="2" w:space="0" w:color="000000"/>
            </w:tcBorders>
            <w:vAlign w:val="center"/>
          </w:tcPr>
          <w:p w:rsidR="00BD5820" w:rsidRDefault="00F64314">
            <w:pPr>
              <w:pStyle w:val="afff1"/>
            </w:pPr>
            <w:r>
              <w:lastRenderedPageBreak/>
              <w:t>泄漏处理</w:t>
            </w:r>
          </w:p>
        </w:tc>
        <w:tc>
          <w:tcPr>
            <w:tcW w:w="8253" w:type="dxa"/>
            <w:gridSpan w:val="3"/>
            <w:tcBorders>
              <w:top w:val="single" w:sz="2" w:space="0" w:color="000000"/>
              <w:left w:val="single" w:sz="2" w:space="0" w:color="000000"/>
              <w:bottom w:val="single" w:sz="12" w:space="0" w:color="000000"/>
              <w:right w:val="nil"/>
            </w:tcBorders>
            <w:vAlign w:val="center"/>
          </w:tcPr>
          <w:p w:rsidR="00BD5820" w:rsidRDefault="00F64314">
            <w:pPr>
              <w:pStyle w:val="afff1"/>
              <w:jc w:val="left"/>
            </w:pPr>
            <w:r>
              <w:t>迅速撤离泄漏污染区人员至上风处，并进行隔离，严格限制出入。切断火源。尽可能切断泄漏源，合理通风，加速扩散。</w:t>
            </w:r>
          </w:p>
          <w:p w:rsidR="00BD5820" w:rsidRDefault="00F64314">
            <w:pPr>
              <w:pStyle w:val="afff1"/>
              <w:jc w:val="left"/>
            </w:pPr>
            <w:r>
              <w:t>建议应急处理人员戴自给式呼吸器，穿一般消防防护服．切断气源，喷雾状水稀释、溶解，抽排（室内）或强力通风（室外）。如有可能，将漏出气用排风机送至空旷地方或装设适当喷头烧掉．也可以将漏气的容器移至空旷处，注意通风．漏气容器不能再用，且要经过技术处理以清除可能剩下的气体，修复、检验后再用。</w:t>
            </w:r>
          </w:p>
        </w:tc>
      </w:tr>
    </w:tbl>
    <w:p w:rsidR="00BD5820" w:rsidRDefault="00F64314">
      <w:pPr>
        <w:pStyle w:val="affa"/>
        <w:ind w:firstLine="480"/>
      </w:pPr>
      <w:r>
        <w:t>甲烷其危险有害因素分析如下：</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1</w:t>
      </w:r>
      <w:r>
        <w:rPr>
          <w:rFonts w:ascii="Times New Roman" w:cs="Times New Roman"/>
        </w:rPr>
        <w:t>）易燃性：天然气属于甲类火灾危险物质。对于石油蒸汽、天然气常常在作业场所或储存区弥散、扩散或在低洼处聚集，在空气中只要较小的点燃能量就会燃烧，因此具有较大的火灾危险性。</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2</w:t>
      </w:r>
      <w:r>
        <w:rPr>
          <w:rFonts w:ascii="Times New Roman" w:cs="Times New Roman"/>
        </w:rPr>
        <w:t>）易爆性：天然气与空气组成混合气体，其浓度处于一定范围时，连火即发生爆炸。天然气（甲烷）的爆炸极限范围为</w:t>
      </w:r>
      <w:r>
        <w:rPr>
          <w:rFonts w:ascii="Times New Roman" w:cs="Times New Roman"/>
        </w:rPr>
        <w:t>5%~14%</w:t>
      </w:r>
      <w:r>
        <w:rPr>
          <w:rFonts w:ascii="Times New Roman" w:cs="Times New Roman"/>
        </w:rPr>
        <w:t>，爆炸浓度极限范围愈宽，爆炸下限浓度值越低，物质爆炸危险性</w:t>
      </w:r>
      <w:r>
        <w:rPr>
          <w:rFonts w:ascii="Times New Roman" w:cs="Times New Roman"/>
        </w:rPr>
        <w:t xml:space="preserve"> </w:t>
      </w:r>
      <w:r>
        <w:rPr>
          <w:rFonts w:ascii="Times New Roman" w:cs="Times New Roman"/>
        </w:rPr>
        <w:t>就越大。上表列出了在</w:t>
      </w:r>
      <w:r>
        <w:rPr>
          <w:rFonts w:ascii="Times New Roman" w:cs="Times New Roman"/>
        </w:rPr>
        <w:t>0℃</w:t>
      </w:r>
      <w:r>
        <w:rPr>
          <w:rFonts w:ascii="Times New Roman" w:cs="Times New Roman"/>
        </w:rPr>
        <w:t>、</w:t>
      </w:r>
      <w:r>
        <w:rPr>
          <w:rFonts w:ascii="Times New Roman" w:cs="Times New Roman"/>
        </w:rPr>
        <w:t>101.325kPa</w:t>
      </w:r>
      <w:r>
        <w:rPr>
          <w:rFonts w:ascii="Times New Roman" w:cs="Times New Roman"/>
        </w:rPr>
        <w:t>条件下天然气主要成分的爆炸、燃烧特性。</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3</w:t>
      </w:r>
      <w:r>
        <w:rPr>
          <w:rFonts w:ascii="Times New Roman" w:cs="Times New Roman"/>
        </w:rPr>
        <w:t>）毒性：天然气为烃类混合物，属低毒性物质，但长期接触可导致神经衰弱综合症。甲烷属</w:t>
      </w:r>
      <w:r>
        <w:rPr>
          <w:rFonts w:ascii="Times New Roman" w:cs="Times New Roman"/>
        </w:rPr>
        <w:t>“</w:t>
      </w:r>
      <w:r>
        <w:rPr>
          <w:rFonts w:ascii="Times New Roman" w:cs="Times New Roman"/>
        </w:rPr>
        <w:t>单纯窒息性</w:t>
      </w:r>
      <w:r>
        <w:rPr>
          <w:rFonts w:ascii="Times New Roman" w:cs="Times New Roman"/>
        </w:rPr>
        <w:t>”</w:t>
      </w:r>
      <w:r>
        <w:rPr>
          <w:rFonts w:ascii="Times New Roman" w:cs="Times New Roman"/>
        </w:rPr>
        <w:t>气体，高浓度时因缺氧窒息而引起中毒，空气中甲烷浓度达到</w:t>
      </w:r>
      <w:r>
        <w:rPr>
          <w:rFonts w:ascii="Times New Roman" w:cs="Times New Roman"/>
        </w:rPr>
        <w:t>25%~30%</w:t>
      </w:r>
      <w:r>
        <w:rPr>
          <w:rFonts w:ascii="Times New Roman" w:cs="Times New Roman"/>
        </w:rPr>
        <w:t>时出现头晕，呼吸加速、运动失调。</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4</w:t>
      </w:r>
      <w:r>
        <w:rPr>
          <w:rFonts w:ascii="Times New Roman" w:cs="Times New Roman"/>
        </w:rPr>
        <w:t>）热膨胀性：石油及石油产品、天然气的体积随着温度的升高而膨胀，特别是天然气随温度升高膨胀特别明显．如果站场储存容器受暴晒或靠近高温热源，容器内的介质受热膨胀造成容器内压增大而膨胀。这种热胀冷缩作用往往损坏储存容器，造成介质泄漏。天然气储存容器在低温下还可能引起外压失稳。</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5</w:t>
      </w:r>
      <w:r>
        <w:rPr>
          <w:rFonts w:ascii="Times New Roman" w:cs="Times New Roman"/>
        </w:rPr>
        <w:t>）静电荷聚集性：虽然静电荷主要发生在油品的运输、流动、装卸等工艺中，但是压缩气体从管口或破损处高速喷出时，由于强烈的摩擦作用，也会产生静电；静电的危害主要是静电放电。如果静电放电产生的电火花能量达到或大于可燃物的最小点火能，就会立即引起燃烧、爆炸。</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6</w:t>
      </w:r>
      <w:r>
        <w:rPr>
          <w:rFonts w:ascii="Times New Roman" w:cs="Times New Roman"/>
        </w:rPr>
        <w:t>）易扩散性：天然气的泄漏不仅会影响管道的正常输送，污染周围的环境，甚至使人中毒，更为严重的是增加了火灾爆炸的危险。当管道系统密封不严时，天然气极易发生泄漏，并可随风四处扩散，遇到明火极易引起火灾或爆炸。甲烷特性见下表：</w:t>
      </w:r>
    </w:p>
    <w:p w:rsidR="00BD5820" w:rsidRDefault="00F64314">
      <w:pPr>
        <w:pStyle w:val="TOC11"/>
        <w:rPr>
          <w:rFonts w:eastAsia="宋体"/>
        </w:rPr>
      </w:pPr>
      <w:r>
        <w:rPr>
          <w:rFonts w:eastAsia="宋体"/>
        </w:rPr>
        <w:t>表</w:t>
      </w:r>
      <w:r>
        <w:rPr>
          <w:rFonts w:eastAsia="宋体"/>
        </w:rPr>
        <w:t xml:space="preserve">7.6-2  </w:t>
      </w:r>
      <w:r>
        <w:rPr>
          <w:rFonts w:eastAsia="宋体"/>
        </w:rPr>
        <w:t>甲烷的危险特性</w:t>
      </w:r>
    </w:p>
    <w:tbl>
      <w:tblPr>
        <w:tblW w:w="8822" w:type="dxa"/>
        <w:jc w:val="center"/>
        <w:tblBorders>
          <w:top w:val="single" w:sz="12" w:space="0" w:color="000000"/>
          <w:bottom w:val="single" w:sz="12" w:space="0" w:color="000000"/>
          <w:insideH w:val="single" w:sz="4" w:space="0" w:color="000000"/>
          <w:insideV w:val="single" w:sz="4" w:space="0" w:color="000000"/>
        </w:tblBorders>
        <w:tblLook w:val="04A0"/>
      </w:tblPr>
      <w:tblGrid>
        <w:gridCol w:w="1723"/>
        <w:gridCol w:w="1024"/>
        <w:gridCol w:w="1657"/>
        <w:gridCol w:w="2596"/>
        <w:gridCol w:w="1822"/>
      </w:tblGrid>
      <w:tr w:rsidR="00BD5820">
        <w:trPr>
          <w:trHeight w:val="269"/>
          <w:jc w:val="center"/>
        </w:trPr>
        <w:tc>
          <w:tcPr>
            <w:tcW w:w="2747" w:type="dxa"/>
            <w:gridSpan w:val="2"/>
            <w:vAlign w:val="center"/>
          </w:tcPr>
          <w:p w:rsidR="00BD5820" w:rsidRDefault="00F64314">
            <w:pPr>
              <w:pStyle w:val="afff1"/>
            </w:pPr>
            <w:r>
              <w:t>临界温度</w:t>
            </w:r>
            <w:r>
              <w:t>℃</w:t>
            </w:r>
          </w:p>
        </w:tc>
        <w:tc>
          <w:tcPr>
            <w:tcW w:w="1657" w:type="dxa"/>
            <w:vAlign w:val="center"/>
          </w:tcPr>
          <w:p w:rsidR="00BD5820" w:rsidRDefault="00F64314">
            <w:pPr>
              <w:pStyle w:val="afff1"/>
            </w:pPr>
            <w:r>
              <w:t>-79.48</w:t>
            </w:r>
          </w:p>
        </w:tc>
        <w:tc>
          <w:tcPr>
            <w:tcW w:w="2596" w:type="dxa"/>
            <w:vAlign w:val="center"/>
          </w:tcPr>
          <w:p w:rsidR="00BD5820" w:rsidRDefault="00F64314">
            <w:pPr>
              <w:pStyle w:val="afff1"/>
            </w:pPr>
            <w:r>
              <w:t>燃烧热</w:t>
            </w:r>
            <w:r>
              <w:t>j/kmol</w:t>
            </w:r>
          </w:p>
        </w:tc>
        <w:tc>
          <w:tcPr>
            <w:tcW w:w="1821" w:type="dxa"/>
            <w:vAlign w:val="center"/>
          </w:tcPr>
          <w:p w:rsidR="00BD5820" w:rsidRDefault="00F64314">
            <w:pPr>
              <w:pStyle w:val="afff1"/>
            </w:pPr>
            <w:r>
              <w:t>884768.6</w:t>
            </w:r>
          </w:p>
        </w:tc>
      </w:tr>
      <w:tr w:rsidR="00BD5820">
        <w:trPr>
          <w:trHeight w:val="253"/>
          <w:jc w:val="center"/>
        </w:trPr>
        <w:tc>
          <w:tcPr>
            <w:tcW w:w="2747" w:type="dxa"/>
            <w:gridSpan w:val="2"/>
            <w:vAlign w:val="center"/>
          </w:tcPr>
          <w:p w:rsidR="00BD5820" w:rsidRDefault="00F64314">
            <w:pPr>
              <w:pStyle w:val="afff1"/>
            </w:pPr>
            <w:r>
              <w:t>临界压力</w:t>
            </w:r>
            <w:r>
              <w:t>bar</w:t>
            </w:r>
          </w:p>
        </w:tc>
        <w:tc>
          <w:tcPr>
            <w:tcW w:w="1657" w:type="dxa"/>
            <w:vAlign w:val="center"/>
          </w:tcPr>
          <w:p w:rsidR="00BD5820" w:rsidRDefault="00F64314">
            <w:pPr>
              <w:pStyle w:val="afff1"/>
            </w:pPr>
            <w:r>
              <w:t>46.5</w:t>
            </w:r>
          </w:p>
        </w:tc>
        <w:tc>
          <w:tcPr>
            <w:tcW w:w="2596" w:type="dxa"/>
            <w:vAlign w:val="center"/>
          </w:tcPr>
          <w:p w:rsidR="00BD5820" w:rsidRDefault="00F64314">
            <w:pPr>
              <w:pStyle w:val="afff1"/>
            </w:pPr>
            <w:r>
              <w:t>LEF</w:t>
            </w:r>
            <w:r>
              <w:t>（</w:t>
            </w:r>
            <w:r>
              <w:t>%V/V</w:t>
            </w:r>
            <w:r>
              <w:t>）</w:t>
            </w:r>
          </w:p>
        </w:tc>
        <w:tc>
          <w:tcPr>
            <w:tcW w:w="1821" w:type="dxa"/>
            <w:vAlign w:val="center"/>
          </w:tcPr>
          <w:p w:rsidR="00BD5820" w:rsidRDefault="00F64314">
            <w:pPr>
              <w:pStyle w:val="afff1"/>
            </w:pPr>
            <w:r>
              <w:t>4.56</w:t>
            </w:r>
          </w:p>
        </w:tc>
      </w:tr>
      <w:tr w:rsidR="00BD5820">
        <w:trPr>
          <w:trHeight w:val="269"/>
          <w:jc w:val="center"/>
        </w:trPr>
        <w:tc>
          <w:tcPr>
            <w:tcW w:w="2747" w:type="dxa"/>
            <w:gridSpan w:val="2"/>
            <w:vAlign w:val="center"/>
          </w:tcPr>
          <w:p w:rsidR="00BD5820" w:rsidRDefault="00F64314">
            <w:pPr>
              <w:pStyle w:val="afff1"/>
            </w:pPr>
            <w:r>
              <w:t>标准沸点</w:t>
            </w:r>
            <w:r>
              <w:t>℃</w:t>
            </w:r>
          </w:p>
        </w:tc>
        <w:tc>
          <w:tcPr>
            <w:tcW w:w="1657" w:type="dxa"/>
            <w:vAlign w:val="center"/>
          </w:tcPr>
          <w:p w:rsidR="00BD5820" w:rsidRDefault="00F64314">
            <w:pPr>
              <w:pStyle w:val="afff1"/>
            </w:pPr>
            <w:r>
              <w:t>-161.5</w:t>
            </w:r>
          </w:p>
        </w:tc>
        <w:tc>
          <w:tcPr>
            <w:tcW w:w="2596" w:type="dxa"/>
            <w:vAlign w:val="center"/>
          </w:tcPr>
          <w:p w:rsidR="00BD5820" w:rsidRDefault="00F64314">
            <w:pPr>
              <w:pStyle w:val="afff1"/>
            </w:pPr>
            <w:r>
              <w:t>UFL</w:t>
            </w:r>
            <w:r>
              <w:t>（</w:t>
            </w:r>
            <w:r>
              <w:t>%V/V</w:t>
            </w:r>
            <w:r>
              <w:t>）</w:t>
            </w:r>
          </w:p>
        </w:tc>
        <w:tc>
          <w:tcPr>
            <w:tcW w:w="1821" w:type="dxa"/>
            <w:vAlign w:val="center"/>
          </w:tcPr>
          <w:p w:rsidR="00BD5820" w:rsidRDefault="00F64314">
            <w:pPr>
              <w:pStyle w:val="afff1"/>
            </w:pPr>
            <w:r>
              <w:t>19.13</w:t>
            </w:r>
          </w:p>
        </w:tc>
      </w:tr>
      <w:tr w:rsidR="00BD5820">
        <w:trPr>
          <w:trHeight w:val="253"/>
          <w:jc w:val="center"/>
        </w:trPr>
        <w:tc>
          <w:tcPr>
            <w:tcW w:w="2747" w:type="dxa"/>
            <w:gridSpan w:val="2"/>
            <w:vAlign w:val="center"/>
          </w:tcPr>
          <w:p w:rsidR="00BD5820" w:rsidRDefault="00F64314">
            <w:pPr>
              <w:pStyle w:val="afff1"/>
            </w:pPr>
            <w:r>
              <w:lastRenderedPageBreak/>
              <w:t>熔点</w:t>
            </w:r>
            <w:r>
              <w:t>℃</w:t>
            </w:r>
          </w:p>
        </w:tc>
        <w:tc>
          <w:tcPr>
            <w:tcW w:w="1657" w:type="dxa"/>
            <w:vAlign w:val="center"/>
          </w:tcPr>
          <w:p w:rsidR="00BD5820" w:rsidRDefault="00F64314">
            <w:pPr>
              <w:pStyle w:val="afff1"/>
            </w:pPr>
            <w:r>
              <w:t>-182.5</w:t>
            </w:r>
          </w:p>
        </w:tc>
        <w:tc>
          <w:tcPr>
            <w:tcW w:w="2596" w:type="dxa"/>
            <w:vAlign w:val="center"/>
          </w:tcPr>
          <w:p w:rsidR="00BD5820" w:rsidRDefault="00F64314">
            <w:pPr>
              <w:pStyle w:val="afff1"/>
            </w:pPr>
            <w:r>
              <w:t>分子量</w:t>
            </w:r>
            <w:r>
              <w:t>kg/kmol</w:t>
            </w:r>
          </w:p>
        </w:tc>
        <w:tc>
          <w:tcPr>
            <w:tcW w:w="1821" w:type="dxa"/>
            <w:vAlign w:val="center"/>
          </w:tcPr>
          <w:p w:rsidR="00BD5820" w:rsidRDefault="00F64314">
            <w:pPr>
              <w:pStyle w:val="afff1"/>
            </w:pPr>
            <w:r>
              <w:t>16.98</w:t>
            </w:r>
          </w:p>
        </w:tc>
      </w:tr>
      <w:tr w:rsidR="00BD5820">
        <w:trPr>
          <w:trHeight w:val="253"/>
          <w:jc w:val="center"/>
        </w:trPr>
        <w:tc>
          <w:tcPr>
            <w:tcW w:w="2747" w:type="dxa"/>
            <w:gridSpan w:val="2"/>
            <w:vAlign w:val="center"/>
          </w:tcPr>
          <w:p w:rsidR="00BD5820" w:rsidRDefault="00F64314">
            <w:pPr>
              <w:pStyle w:val="afff1"/>
            </w:pPr>
            <w:r>
              <w:t>最大辐射能</w:t>
            </w:r>
            <w:r>
              <w:t>kw/m</w:t>
            </w:r>
            <w:r>
              <w:rPr>
                <w:vertAlign w:val="superscript"/>
              </w:rPr>
              <w:t>2</w:t>
            </w:r>
          </w:p>
        </w:tc>
        <w:tc>
          <w:tcPr>
            <w:tcW w:w="1657" w:type="dxa"/>
            <w:vAlign w:val="center"/>
          </w:tcPr>
          <w:p w:rsidR="00BD5820" w:rsidRDefault="00F64314">
            <w:pPr>
              <w:pStyle w:val="afff1"/>
            </w:pPr>
            <w:r>
              <w:t>200.28</w:t>
            </w:r>
          </w:p>
        </w:tc>
        <w:tc>
          <w:tcPr>
            <w:tcW w:w="2596" w:type="dxa"/>
            <w:vAlign w:val="center"/>
          </w:tcPr>
          <w:p w:rsidR="00BD5820" w:rsidRDefault="00F64314">
            <w:pPr>
              <w:pStyle w:val="afff1"/>
            </w:pPr>
            <w:r>
              <w:t>最大燃烧率</w:t>
            </w:r>
            <w:r>
              <w:t>kg/m</w:t>
            </w:r>
            <w:r>
              <w:rPr>
                <w:vertAlign w:val="superscript"/>
              </w:rPr>
              <w:t>2</w:t>
            </w:r>
            <w:r>
              <w:t>·s</w:t>
            </w:r>
          </w:p>
        </w:tc>
        <w:tc>
          <w:tcPr>
            <w:tcW w:w="1821" w:type="dxa"/>
            <w:vAlign w:val="center"/>
          </w:tcPr>
          <w:p w:rsidR="00BD5820" w:rsidRDefault="00F64314">
            <w:pPr>
              <w:pStyle w:val="afff1"/>
            </w:pPr>
            <w:r>
              <w:t>0.13</w:t>
            </w:r>
          </w:p>
        </w:tc>
      </w:tr>
      <w:tr w:rsidR="00BD5820">
        <w:trPr>
          <w:trHeight w:val="269"/>
          <w:jc w:val="center"/>
        </w:trPr>
        <w:tc>
          <w:tcPr>
            <w:tcW w:w="1723" w:type="dxa"/>
            <w:vMerge w:val="restart"/>
            <w:vAlign w:val="center"/>
          </w:tcPr>
          <w:p w:rsidR="00BD5820" w:rsidRDefault="00F64314">
            <w:pPr>
              <w:pStyle w:val="afff1"/>
            </w:pPr>
            <w:r>
              <w:t>爆炸极限</w:t>
            </w:r>
            <w:r>
              <w:t>%</w:t>
            </w:r>
            <w:r>
              <w:t>（</w:t>
            </w:r>
            <w:r>
              <w:t>v</w:t>
            </w:r>
            <w:r>
              <w:t>）</w:t>
            </w:r>
          </w:p>
        </w:tc>
        <w:tc>
          <w:tcPr>
            <w:tcW w:w="1024" w:type="dxa"/>
            <w:vAlign w:val="center"/>
          </w:tcPr>
          <w:p w:rsidR="00BD5820" w:rsidRDefault="00F64314">
            <w:pPr>
              <w:pStyle w:val="afff1"/>
            </w:pPr>
            <w:r>
              <w:t>上限</w:t>
            </w:r>
          </w:p>
        </w:tc>
        <w:tc>
          <w:tcPr>
            <w:tcW w:w="1657" w:type="dxa"/>
            <w:vAlign w:val="center"/>
          </w:tcPr>
          <w:p w:rsidR="00BD5820" w:rsidRDefault="00F64314">
            <w:pPr>
              <w:pStyle w:val="afff1"/>
            </w:pPr>
            <w:r>
              <w:t>5.0</w:t>
            </w:r>
          </w:p>
        </w:tc>
        <w:tc>
          <w:tcPr>
            <w:tcW w:w="2596" w:type="dxa"/>
            <w:vAlign w:val="center"/>
          </w:tcPr>
          <w:p w:rsidR="00BD5820" w:rsidRDefault="00F64314">
            <w:pPr>
              <w:pStyle w:val="afff1"/>
            </w:pPr>
            <w:r>
              <w:t>燃烧爆炸危险度</w:t>
            </w:r>
          </w:p>
        </w:tc>
        <w:tc>
          <w:tcPr>
            <w:tcW w:w="1821" w:type="dxa"/>
            <w:vAlign w:val="center"/>
          </w:tcPr>
          <w:p w:rsidR="00BD5820" w:rsidRDefault="00F64314">
            <w:pPr>
              <w:pStyle w:val="afff1"/>
            </w:pPr>
            <w:r>
              <w:t>0.13</w:t>
            </w:r>
          </w:p>
        </w:tc>
      </w:tr>
      <w:tr w:rsidR="00BD5820">
        <w:trPr>
          <w:trHeight w:val="269"/>
          <w:jc w:val="center"/>
        </w:trPr>
        <w:tc>
          <w:tcPr>
            <w:tcW w:w="1723" w:type="dxa"/>
            <w:vMerge/>
            <w:vAlign w:val="center"/>
          </w:tcPr>
          <w:p w:rsidR="00BD5820" w:rsidRDefault="00BD5820">
            <w:pPr>
              <w:pStyle w:val="afff1"/>
            </w:pPr>
          </w:p>
        </w:tc>
        <w:tc>
          <w:tcPr>
            <w:tcW w:w="1024" w:type="dxa"/>
            <w:vAlign w:val="center"/>
          </w:tcPr>
          <w:p w:rsidR="00BD5820" w:rsidRDefault="00F64314">
            <w:pPr>
              <w:pStyle w:val="afff1"/>
            </w:pPr>
            <w:r>
              <w:t>下限</w:t>
            </w:r>
          </w:p>
        </w:tc>
        <w:tc>
          <w:tcPr>
            <w:tcW w:w="1657" w:type="dxa"/>
            <w:vAlign w:val="center"/>
          </w:tcPr>
          <w:p w:rsidR="00BD5820" w:rsidRDefault="00F64314">
            <w:pPr>
              <w:pStyle w:val="afff1"/>
            </w:pPr>
            <w:r>
              <w:t>14.0</w:t>
            </w:r>
          </w:p>
        </w:tc>
        <w:tc>
          <w:tcPr>
            <w:tcW w:w="2596" w:type="dxa"/>
            <w:vAlign w:val="center"/>
          </w:tcPr>
          <w:p w:rsidR="00BD5820" w:rsidRDefault="00F64314">
            <w:pPr>
              <w:pStyle w:val="afff1"/>
            </w:pPr>
            <w:r>
              <w:t>危险性类别</w:t>
            </w:r>
          </w:p>
        </w:tc>
        <w:tc>
          <w:tcPr>
            <w:tcW w:w="1821" w:type="dxa"/>
            <w:vAlign w:val="center"/>
          </w:tcPr>
          <w:p w:rsidR="00BD5820" w:rsidRDefault="00F64314">
            <w:pPr>
              <w:pStyle w:val="afff1"/>
            </w:pPr>
            <w:r>
              <w:t>1.8</w:t>
            </w:r>
          </w:p>
        </w:tc>
      </w:tr>
      <w:tr w:rsidR="00BD5820">
        <w:trPr>
          <w:trHeight w:val="269"/>
          <w:jc w:val="center"/>
        </w:trPr>
        <w:tc>
          <w:tcPr>
            <w:tcW w:w="2747" w:type="dxa"/>
            <w:gridSpan w:val="2"/>
            <w:vAlign w:val="center"/>
          </w:tcPr>
          <w:p w:rsidR="00BD5820" w:rsidRDefault="00F64314">
            <w:pPr>
              <w:pStyle w:val="afff1"/>
            </w:pPr>
            <w:r>
              <w:t>密度</w:t>
            </w:r>
            <w:r>
              <w:t>kg/m</w:t>
            </w:r>
            <w:r>
              <w:rPr>
                <w:vertAlign w:val="superscript"/>
              </w:rPr>
              <w:t>3</w:t>
            </w:r>
          </w:p>
        </w:tc>
        <w:tc>
          <w:tcPr>
            <w:tcW w:w="6075" w:type="dxa"/>
            <w:gridSpan w:val="3"/>
            <w:vAlign w:val="center"/>
          </w:tcPr>
          <w:p w:rsidR="00BD5820" w:rsidRDefault="00F64314">
            <w:pPr>
              <w:pStyle w:val="afff1"/>
            </w:pPr>
            <w:r>
              <w:t>0.72</w:t>
            </w:r>
            <w:r>
              <w:t>（标准状态下）</w:t>
            </w:r>
          </w:p>
        </w:tc>
      </w:tr>
    </w:tbl>
    <w:p w:rsidR="00BD5820" w:rsidRDefault="00F64314">
      <w:pPr>
        <w:pStyle w:val="affa"/>
        <w:ind w:firstLine="482"/>
        <w:rPr>
          <w:b/>
        </w:rPr>
      </w:pPr>
      <w:r>
        <w:rPr>
          <w:b/>
        </w:rPr>
        <w:t>2</w:t>
      </w:r>
      <w:r>
        <w:rPr>
          <w:b/>
        </w:rPr>
        <w:t>、硫化氢</w:t>
      </w:r>
    </w:p>
    <w:p w:rsidR="00BD5820" w:rsidRDefault="00F64314">
      <w:pPr>
        <w:pStyle w:val="affa"/>
        <w:ind w:firstLine="480"/>
      </w:pPr>
      <w:r>
        <w:rPr>
          <w:rFonts w:hint="eastAsia"/>
        </w:rPr>
        <w:t>本项目</w:t>
      </w:r>
      <w:r>
        <w:t>天然气为含硫气，可能对环境造成危害的物质为硫化氢。硫化氢为强烈的神经性毒物，对粘膜有强烈的刺激作用。硫化氢对人的生理影响及危害见表</w:t>
      </w:r>
      <w:r>
        <w:t>7.6-3</w:t>
      </w:r>
      <w:r>
        <w:t>。</w:t>
      </w:r>
    </w:p>
    <w:p w:rsidR="00BD5820" w:rsidRDefault="00F64314">
      <w:pPr>
        <w:pStyle w:val="TOC11"/>
        <w:rPr>
          <w:rFonts w:eastAsia="宋体"/>
        </w:rPr>
      </w:pPr>
      <w:r>
        <w:rPr>
          <w:rFonts w:eastAsia="宋体"/>
        </w:rPr>
        <w:t>表</w:t>
      </w:r>
      <w:r>
        <w:rPr>
          <w:rFonts w:eastAsia="宋体"/>
        </w:rPr>
        <w:t xml:space="preserve">7.6-3  </w:t>
      </w:r>
      <w:r>
        <w:rPr>
          <w:rFonts w:eastAsia="宋体"/>
        </w:rPr>
        <w:t>硫化氢物化性质表</w:t>
      </w:r>
    </w:p>
    <w:tbl>
      <w:tblPr>
        <w:tblW w:w="8856" w:type="dxa"/>
        <w:jc w:val="center"/>
        <w:tblLayout w:type="fixed"/>
        <w:tblCellMar>
          <w:left w:w="0" w:type="dxa"/>
          <w:right w:w="0" w:type="dxa"/>
        </w:tblCellMar>
        <w:tblLook w:val="04A0"/>
      </w:tblPr>
      <w:tblGrid>
        <w:gridCol w:w="604"/>
        <w:gridCol w:w="1360"/>
        <w:gridCol w:w="2267"/>
        <w:gridCol w:w="2121"/>
        <w:gridCol w:w="17"/>
        <w:gridCol w:w="193"/>
        <w:gridCol w:w="2294"/>
      </w:tblGrid>
      <w:tr w:rsidR="00BD5820">
        <w:trPr>
          <w:trHeight w:val="19"/>
          <w:jc w:val="center"/>
        </w:trPr>
        <w:tc>
          <w:tcPr>
            <w:tcW w:w="604" w:type="dxa"/>
            <w:vMerge w:val="restart"/>
            <w:tcBorders>
              <w:top w:val="single" w:sz="12" w:space="0" w:color="000000"/>
              <w:left w:val="nil"/>
              <w:bottom w:val="single" w:sz="2" w:space="0" w:color="000000"/>
              <w:right w:val="single" w:sz="2" w:space="0" w:color="000000"/>
            </w:tcBorders>
            <w:vAlign w:val="center"/>
          </w:tcPr>
          <w:p w:rsidR="00BD5820" w:rsidRDefault="00F64314">
            <w:pPr>
              <w:pStyle w:val="afff1"/>
            </w:pPr>
            <w:r>
              <w:t>标识</w:t>
            </w:r>
          </w:p>
        </w:tc>
        <w:tc>
          <w:tcPr>
            <w:tcW w:w="1360" w:type="dxa"/>
            <w:tcBorders>
              <w:top w:val="single" w:sz="12" w:space="0" w:color="000000"/>
              <w:left w:val="single" w:sz="2" w:space="0" w:color="000000"/>
              <w:bottom w:val="single" w:sz="2" w:space="0" w:color="000000"/>
              <w:right w:val="single" w:sz="2" w:space="0" w:color="000000"/>
            </w:tcBorders>
            <w:vAlign w:val="center"/>
          </w:tcPr>
          <w:p w:rsidR="00BD5820" w:rsidRDefault="00F64314">
            <w:pPr>
              <w:pStyle w:val="afff1"/>
            </w:pPr>
            <w:r>
              <w:t>中文名</w:t>
            </w:r>
          </w:p>
        </w:tc>
        <w:tc>
          <w:tcPr>
            <w:tcW w:w="2267" w:type="dxa"/>
            <w:tcBorders>
              <w:top w:val="single" w:sz="12" w:space="0" w:color="000000"/>
              <w:left w:val="single" w:sz="2" w:space="0" w:color="000000"/>
              <w:bottom w:val="single" w:sz="2" w:space="0" w:color="000000"/>
              <w:right w:val="single" w:sz="2" w:space="0" w:color="000000"/>
            </w:tcBorders>
            <w:vAlign w:val="center"/>
          </w:tcPr>
          <w:p w:rsidR="00BD5820" w:rsidRDefault="00F64314">
            <w:pPr>
              <w:pStyle w:val="afff1"/>
            </w:pPr>
            <w:r>
              <w:t>硫化氢</w:t>
            </w:r>
          </w:p>
        </w:tc>
        <w:tc>
          <w:tcPr>
            <w:tcW w:w="2121" w:type="dxa"/>
            <w:tcBorders>
              <w:top w:val="single" w:sz="12" w:space="0" w:color="000000"/>
              <w:left w:val="single" w:sz="2" w:space="0" w:color="000000"/>
              <w:bottom w:val="single" w:sz="2" w:space="0" w:color="000000"/>
              <w:right w:val="single" w:sz="2" w:space="0" w:color="000000"/>
            </w:tcBorders>
            <w:vAlign w:val="center"/>
          </w:tcPr>
          <w:p w:rsidR="00BD5820" w:rsidRDefault="00F64314">
            <w:pPr>
              <w:pStyle w:val="afff1"/>
            </w:pPr>
            <w:r>
              <w:t>英文名</w:t>
            </w:r>
          </w:p>
        </w:tc>
        <w:tc>
          <w:tcPr>
            <w:tcW w:w="2502" w:type="dxa"/>
            <w:gridSpan w:val="3"/>
            <w:tcBorders>
              <w:top w:val="single" w:sz="12" w:space="0" w:color="000000"/>
              <w:left w:val="single" w:sz="2" w:space="0" w:color="000000"/>
              <w:bottom w:val="single" w:sz="2" w:space="0" w:color="000000"/>
              <w:right w:val="nil"/>
            </w:tcBorders>
            <w:vAlign w:val="center"/>
          </w:tcPr>
          <w:p w:rsidR="00BD5820" w:rsidRDefault="00F64314">
            <w:pPr>
              <w:pStyle w:val="afff1"/>
            </w:pPr>
            <w:r>
              <w:t>Hydrogen Sulfide</w:t>
            </w:r>
          </w:p>
        </w:tc>
      </w:tr>
      <w:tr w:rsidR="00BD5820">
        <w:trPr>
          <w:trHeight w:val="19"/>
          <w:jc w:val="center"/>
        </w:trPr>
        <w:tc>
          <w:tcPr>
            <w:tcW w:w="604" w:type="dxa"/>
            <w:vMerge/>
            <w:tcBorders>
              <w:top w:val="single" w:sz="2" w:space="0" w:color="000000"/>
              <w:left w:val="nil"/>
              <w:bottom w:val="single" w:sz="2" w:space="0" w:color="000000"/>
              <w:right w:val="single" w:sz="2" w:space="0" w:color="000000"/>
            </w:tcBorders>
            <w:vAlign w:val="center"/>
          </w:tcPr>
          <w:p w:rsidR="00BD5820" w:rsidRDefault="00BD5820">
            <w:pPr>
              <w:pStyle w:val="afff1"/>
            </w:pPr>
          </w:p>
        </w:tc>
        <w:tc>
          <w:tcPr>
            <w:tcW w:w="1360"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afff1"/>
            </w:pPr>
            <w:r>
              <w:t>分子式</w:t>
            </w:r>
          </w:p>
        </w:tc>
        <w:tc>
          <w:tcPr>
            <w:tcW w:w="2267"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afff1"/>
            </w:pPr>
            <w:r>
              <w:t>H</w:t>
            </w:r>
            <w:r>
              <w:rPr>
                <w:vertAlign w:val="subscript"/>
              </w:rPr>
              <w:t>2</w:t>
            </w:r>
            <w:r>
              <w:t>S</w:t>
            </w:r>
          </w:p>
        </w:tc>
        <w:tc>
          <w:tcPr>
            <w:tcW w:w="2138" w:type="dxa"/>
            <w:gridSpan w:val="2"/>
            <w:tcBorders>
              <w:top w:val="single" w:sz="2" w:space="0" w:color="000000"/>
              <w:left w:val="single" w:sz="2" w:space="0" w:color="000000"/>
              <w:bottom w:val="single" w:sz="2" w:space="0" w:color="000000"/>
              <w:right w:val="single" w:sz="2" w:space="0" w:color="000000"/>
            </w:tcBorders>
            <w:vAlign w:val="center"/>
          </w:tcPr>
          <w:p w:rsidR="00BD5820" w:rsidRDefault="00F64314">
            <w:pPr>
              <w:pStyle w:val="afff1"/>
            </w:pPr>
            <w:r>
              <w:t>危险货物：</w:t>
            </w:r>
            <w:r>
              <w:t>UN</w:t>
            </w:r>
            <w:r>
              <w:t>编号</w:t>
            </w:r>
          </w:p>
        </w:tc>
        <w:tc>
          <w:tcPr>
            <w:tcW w:w="2486" w:type="dxa"/>
            <w:gridSpan w:val="2"/>
            <w:tcBorders>
              <w:top w:val="single" w:sz="2" w:space="0" w:color="000000"/>
              <w:left w:val="single" w:sz="2" w:space="0" w:color="000000"/>
              <w:bottom w:val="single" w:sz="2" w:space="0" w:color="000000"/>
              <w:right w:val="nil"/>
            </w:tcBorders>
            <w:vAlign w:val="center"/>
          </w:tcPr>
          <w:p w:rsidR="00BD5820" w:rsidRDefault="00F64314">
            <w:pPr>
              <w:pStyle w:val="afff1"/>
            </w:pPr>
            <w:r>
              <w:t>21006:1053</w:t>
            </w:r>
          </w:p>
        </w:tc>
      </w:tr>
      <w:tr w:rsidR="00BD5820">
        <w:trPr>
          <w:trHeight w:val="19"/>
          <w:jc w:val="center"/>
        </w:trPr>
        <w:tc>
          <w:tcPr>
            <w:tcW w:w="604" w:type="dxa"/>
            <w:vMerge/>
            <w:tcBorders>
              <w:top w:val="single" w:sz="2" w:space="0" w:color="000000"/>
              <w:left w:val="nil"/>
              <w:bottom w:val="single" w:sz="2" w:space="0" w:color="000000"/>
              <w:right w:val="single" w:sz="2" w:space="0" w:color="000000"/>
            </w:tcBorders>
            <w:vAlign w:val="center"/>
          </w:tcPr>
          <w:p w:rsidR="00BD5820" w:rsidRDefault="00BD5820">
            <w:pPr>
              <w:pStyle w:val="afff1"/>
            </w:pPr>
          </w:p>
        </w:tc>
        <w:tc>
          <w:tcPr>
            <w:tcW w:w="1360"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afff1"/>
            </w:pPr>
            <w:r>
              <w:t>沸点</w:t>
            </w:r>
          </w:p>
        </w:tc>
        <w:tc>
          <w:tcPr>
            <w:tcW w:w="2267"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afff1"/>
            </w:pPr>
            <w:r>
              <w:t>-60.4℃</w:t>
            </w:r>
          </w:p>
        </w:tc>
        <w:tc>
          <w:tcPr>
            <w:tcW w:w="2138" w:type="dxa"/>
            <w:gridSpan w:val="2"/>
            <w:tcBorders>
              <w:top w:val="single" w:sz="2" w:space="0" w:color="000000"/>
              <w:left w:val="single" w:sz="2" w:space="0" w:color="000000"/>
              <w:bottom w:val="single" w:sz="2" w:space="0" w:color="000000"/>
              <w:right w:val="single" w:sz="2" w:space="0" w:color="000000"/>
            </w:tcBorders>
            <w:vAlign w:val="center"/>
          </w:tcPr>
          <w:p w:rsidR="00BD5820" w:rsidRDefault="00F64314">
            <w:pPr>
              <w:pStyle w:val="afff1"/>
            </w:pPr>
            <w:r>
              <w:t>临界温度</w:t>
            </w:r>
          </w:p>
        </w:tc>
        <w:tc>
          <w:tcPr>
            <w:tcW w:w="2486" w:type="dxa"/>
            <w:gridSpan w:val="2"/>
            <w:tcBorders>
              <w:top w:val="single" w:sz="2" w:space="0" w:color="000000"/>
              <w:left w:val="single" w:sz="2" w:space="0" w:color="000000"/>
              <w:bottom w:val="single" w:sz="2" w:space="0" w:color="000000"/>
              <w:right w:val="nil"/>
            </w:tcBorders>
            <w:vAlign w:val="center"/>
          </w:tcPr>
          <w:p w:rsidR="00BD5820" w:rsidRDefault="00F64314">
            <w:pPr>
              <w:pStyle w:val="afff1"/>
            </w:pPr>
            <w:r>
              <w:t>100.4℃</w:t>
            </w:r>
          </w:p>
        </w:tc>
      </w:tr>
      <w:tr w:rsidR="00BD5820">
        <w:trPr>
          <w:trHeight w:val="19"/>
          <w:jc w:val="center"/>
        </w:trPr>
        <w:tc>
          <w:tcPr>
            <w:tcW w:w="604" w:type="dxa"/>
            <w:vMerge/>
            <w:tcBorders>
              <w:top w:val="single" w:sz="2" w:space="0" w:color="000000"/>
              <w:left w:val="nil"/>
              <w:bottom w:val="single" w:sz="2" w:space="0" w:color="000000"/>
              <w:right w:val="single" w:sz="2" w:space="0" w:color="000000"/>
            </w:tcBorders>
            <w:vAlign w:val="center"/>
          </w:tcPr>
          <w:p w:rsidR="00BD5820" w:rsidRDefault="00BD5820">
            <w:pPr>
              <w:pStyle w:val="afff1"/>
            </w:pPr>
          </w:p>
        </w:tc>
        <w:tc>
          <w:tcPr>
            <w:tcW w:w="1360"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afff1"/>
            </w:pPr>
            <w:r>
              <w:t>相对密度</w:t>
            </w:r>
          </w:p>
          <w:p w:rsidR="00BD5820" w:rsidRDefault="00F64314">
            <w:pPr>
              <w:pStyle w:val="afff1"/>
            </w:pPr>
            <w:r>
              <w:t>（水</w:t>
            </w:r>
            <w:r>
              <w:t>=1</w:t>
            </w:r>
            <w:r>
              <w:t>）</w:t>
            </w:r>
          </w:p>
        </w:tc>
        <w:tc>
          <w:tcPr>
            <w:tcW w:w="2267"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afff1"/>
            </w:pPr>
            <w:r>
              <w:t>/</w:t>
            </w:r>
          </w:p>
        </w:tc>
        <w:tc>
          <w:tcPr>
            <w:tcW w:w="2138" w:type="dxa"/>
            <w:gridSpan w:val="2"/>
            <w:tcBorders>
              <w:top w:val="single" w:sz="2" w:space="0" w:color="000000"/>
              <w:left w:val="single" w:sz="2" w:space="0" w:color="000000"/>
              <w:bottom w:val="single" w:sz="2" w:space="0" w:color="000000"/>
              <w:right w:val="single" w:sz="2" w:space="0" w:color="000000"/>
            </w:tcBorders>
            <w:vAlign w:val="center"/>
          </w:tcPr>
          <w:p w:rsidR="00BD5820" w:rsidRDefault="00F64314">
            <w:pPr>
              <w:pStyle w:val="afff1"/>
            </w:pPr>
            <w:r>
              <w:t>相对密度</w:t>
            </w:r>
          </w:p>
          <w:p w:rsidR="00BD5820" w:rsidRDefault="00F64314">
            <w:pPr>
              <w:pStyle w:val="afff1"/>
            </w:pPr>
            <w:r>
              <w:t>（空气</w:t>
            </w:r>
            <w:r>
              <w:t>=1</w:t>
            </w:r>
            <w:r>
              <w:t>）</w:t>
            </w:r>
          </w:p>
        </w:tc>
        <w:tc>
          <w:tcPr>
            <w:tcW w:w="2486" w:type="dxa"/>
            <w:gridSpan w:val="2"/>
            <w:tcBorders>
              <w:top w:val="single" w:sz="2" w:space="0" w:color="000000"/>
              <w:left w:val="single" w:sz="2" w:space="0" w:color="000000"/>
              <w:bottom w:val="single" w:sz="2" w:space="0" w:color="000000"/>
              <w:right w:val="nil"/>
            </w:tcBorders>
            <w:vAlign w:val="center"/>
          </w:tcPr>
          <w:p w:rsidR="00BD5820" w:rsidRDefault="00F64314">
            <w:pPr>
              <w:pStyle w:val="afff1"/>
            </w:pPr>
            <w:r>
              <w:t>1.19</w:t>
            </w:r>
          </w:p>
        </w:tc>
      </w:tr>
      <w:tr w:rsidR="00BD5820">
        <w:trPr>
          <w:trHeight w:val="19"/>
          <w:jc w:val="center"/>
        </w:trPr>
        <w:tc>
          <w:tcPr>
            <w:tcW w:w="604" w:type="dxa"/>
            <w:vMerge/>
            <w:tcBorders>
              <w:top w:val="single" w:sz="2" w:space="0" w:color="000000"/>
              <w:left w:val="nil"/>
              <w:bottom w:val="single" w:sz="2" w:space="0" w:color="000000"/>
              <w:right w:val="single" w:sz="2" w:space="0" w:color="000000"/>
            </w:tcBorders>
            <w:vAlign w:val="center"/>
          </w:tcPr>
          <w:p w:rsidR="00BD5820" w:rsidRDefault="00BD5820">
            <w:pPr>
              <w:pStyle w:val="afff1"/>
            </w:pPr>
          </w:p>
        </w:tc>
        <w:tc>
          <w:tcPr>
            <w:tcW w:w="1360"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afff1"/>
            </w:pPr>
            <w:r>
              <w:t>外观性状</w:t>
            </w:r>
          </w:p>
        </w:tc>
        <w:tc>
          <w:tcPr>
            <w:tcW w:w="6891" w:type="dxa"/>
            <w:gridSpan w:val="5"/>
            <w:tcBorders>
              <w:top w:val="single" w:sz="2" w:space="0" w:color="000000"/>
              <w:left w:val="single" w:sz="2" w:space="0" w:color="000000"/>
              <w:bottom w:val="single" w:sz="2" w:space="0" w:color="000000"/>
            </w:tcBorders>
            <w:vAlign w:val="center"/>
          </w:tcPr>
          <w:p w:rsidR="00BD5820" w:rsidRDefault="00F64314">
            <w:pPr>
              <w:pStyle w:val="afff1"/>
            </w:pPr>
            <w:r>
              <w:t>无色、有恶臭的气体</w:t>
            </w:r>
          </w:p>
        </w:tc>
      </w:tr>
      <w:tr w:rsidR="00BD5820">
        <w:trPr>
          <w:trHeight w:val="19"/>
          <w:jc w:val="center"/>
        </w:trPr>
        <w:tc>
          <w:tcPr>
            <w:tcW w:w="604" w:type="dxa"/>
            <w:vMerge/>
            <w:tcBorders>
              <w:top w:val="single" w:sz="2" w:space="0" w:color="000000"/>
              <w:left w:val="nil"/>
              <w:bottom w:val="single" w:sz="2" w:space="0" w:color="000000"/>
              <w:right w:val="single" w:sz="2" w:space="0" w:color="000000"/>
            </w:tcBorders>
            <w:vAlign w:val="center"/>
          </w:tcPr>
          <w:p w:rsidR="00BD5820" w:rsidRDefault="00BD5820">
            <w:pPr>
              <w:pStyle w:val="afff1"/>
            </w:pPr>
          </w:p>
        </w:tc>
        <w:tc>
          <w:tcPr>
            <w:tcW w:w="1360"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afff1"/>
            </w:pPr>
            <w:r>
              <w:t>溶解性</w:t>
            </w:r>
          </w:p>
        </w:tc>
        <w:tc>
          <w:tcPr>
            <w:tcW w:w="6891" w:type="dxa"/>
            <w:gridSpan w:val="5"/>
            <w:tcBorders>
              <w:top w:val="single" w:sz="2" w:space="0" w:color="000000"/>
              <w:left w:val="single" w:sz="2" w:space="0" w:color="000000"/>
              <w:bottom w:val="single" w:sz="2" w:space="0" w:color="000000"/>
            </w:tcBorders>
            <w:vAlign w:val="center"/>
          </w:tcPr>
          <w:p w:rsidR="00BD5820" w:rsidRDefault="00F64314">
            <w:pPr>
              <w:pStyle w:val="afff1"/>
            </w:pPr>
            <w:r>
              <w:t>溶于水、乙醇</w:t>
            </w:r>
          </w:p>
        </w:tc>
      </w:tr>
      <w:tr w:rsidR="00BD5820">
        <w:trPr>
          <w:trHeight w:val="19"/>
          <w:jc w:val="center"/>
        </w:trPr>
        <w:tc>
          <w:tcPr>
            <w:tcW w:w="604" w:type="dxa"/>
            <w:vMerge/>
            <w:tcBorders>
              <w:top w:val="single" w:sz="2" w:space="0" w:color="000000"/>
              <w:left w:val="nil"/>
              <w:bottom w:val="single" w:sz="2" w:space="0" w:color="000000"/>
              <w:right w:val="single" w:sz="2" w:space="0" w:color="000000"/>
            </w:tcBorders>
            <w:vAlign w:val="center"/>
          </w:tcPr>
          <w:p w:rsidR="00BD5820" w:rsidRDefault="00BD5820">
            <w:pPr>
              <w:pStyle w:val="afff1"/>
            </w:pPr>
          </w:p>
        </w:tc>
        <w:tc>
          <w:tcPr>
            <w:tcW w:w="8252" w:type="dxa"/>
            <w:gridSpan w:val="6"/>
            <w:tcBorders>
              <w:top w:val="single" w:sz="2" w:space="0" w:color="000000"/>
              <w:left w:val="single" w:sz="2" w:space="0" w:color="000000"/>
              <w:bottom w:val="single" w:sz="2" w:space="0" w:color="000000"/>
              <w:right w:val="nil"/>
            </w:tcBorders>
            <w:vAlign w:val="center"/>
          </w:tcPr>
          <w:p w:rsidR="00BD5820" w:rsidRDefault="00F64314">
            <w:pPr>
              <w:pStyle w:val="afff1"/>
            </w:pPr>
            <w:r>
              <w:t>外观与性状：无色无臭气体</w:t>
            </w:r>
          </w:p>
        </w:tc>
      </w:tr>
      <w:tr w:rsidR="00BD5820">
        <w:trPr>
          <w:trHeight w:val="19"/>
          <w:jc w:val="center"/>
        </w:trPr>
        <w:tc>
          <w:tcPr>
            <w:tcW w:w="604" w:type="dxa"/>
            <w:vMerge w:val="restart"/>
            <w:tcBorders>
              <w:top w:val="single" w:sz="2" w:space="0" w:color="000000"/>
              <w:left w:val="nil"/>
              <w:bottom w:val="single" w:sz="2" w:space="0" w:color="000000"/>
              <w:right w:val="single" w:sz="2" w:space="0" w:color="000000"/>
            </w:tcBorders>
            <w:vAlign w:val="center"/>
          </w:tcPr>
          <w:p w:rsidR="00BD5820" w:rsidRDefault="00F64314">
            <w:pPr>
              <w:pStyle w:val="afff1"/>
            </w:pPr>
            <w:r>
              <w:t>危险性参数</w:t>
            </w:r>
          </w:p>
        </w:tc>
        <w:tc>
          <w:tcPr>
            <w:tcW w:w="1360"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afff1"/>
            </w:pPr>
            <w:r>
              <w:t>闪点</w:t>
            </w:r>
          </w:p>
        </w:tc>
        <w:tc>
          <w:tcPr>
            <w:tcW w:w="2267"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afff1"/>
            </w:pPr>
            <w:r>
              <w:t>/</w:t>
            </w:r>
          </w:p>
        </w:tc>
        <w:tc>
          <w:tcPr>
            <w:tcW w:w="2331" w:type="dxa"/>
            <w:gridSpan w:val="3"/>
            <w:tcBorders>
              <w:top w:val="single" w:sz="2" w:space="0" w:color="000000"/>
              <w:left w:val="single" w:sz="2" w:space="0" w:color="000000"/>
              <w:bottom w:val="single" w:sz="2" w:space="0" w:color="000000"/>
              <w:right w:val="single" w:sz="2" w:space="0" w:color="000000"/>
            </w:tcBorders>
            <w:vAlign w:val="center"/>
          </w:tcPr>
          <w:p w:rsidR="00BD5820" w:rsidRDefault="00F64314">
            <w:pPr>
              <w:pStyle w:val="afff1"/>
            </w:pPr>
            <w:r>
              <w:t>爆炸上限</w:t>
            </w:r>
          </w:p>
        </w:tc>
        <w:tc>
          <w:tcPr>
            <w:tcW w:w="2292" w:type="dxa"/>
            <w:tcBorders>
              <w:top w:val="single" w:sz="2" w:space="0" w:color="000000"/>
              <w:left w:val="single" w:sz="2" w:space="0" w:color="000000"/>
              <w:bottom w:val="single" w:sz="2" w:space="0" w:color="000000"/>
              <w:right w:val="nil"/>
            </w:tcBorders>
            <w:vAlign w:val="center"/>
          </w:tcPr>
          <w:p w:rsidR="00BD5820" w:rsidRDefault="00F64314">
            <w:pPr>
              <w:pStyle w:val="afff1"/>
            </w:pPr>
            <w:r>
              <w:t>46%(V/V)</w:t>
            </w:r>
          </w:p>
        </w:tc>
      </w:tr>
      <w:tr w:rsidR="00BD5820">
        <w:trPr>
          <w:trHeight w:val="19"/>
          <w:jc w:val="center"/>
        </w:trPr>
        <w:tc>
          <w:tcPr>
            <w:tcW w:w="604" w:type="dxa"/>
            <w:vMerge/>
            <w:tcBorders>
              <w:top w:val="single" w:sz="2" w:space="0" w:color="000000"/>
              <w:left w:val="nil"/>
              <w:bottom w:val="single" w:sz="2" w:space="0" w:color="000000"/>
              <w:right w:val="single" w:sz="2" w:space="0" w:color="000000"/>
            </w:tcBorders>
            <w:vAlign w:val="center"/>
          </w:tcPr>
          <w:p w:rsidR="00BD5820" w:rsidRDefault="00BD5820">
            <w:pPr>
              <w:pStyle w:val="afff1"/>
            </w:pPr>
          </w:p>
        </w:tc>
        <w:tc>
          <w:tcPr>
            <w:tcW w:w="1360"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afff1"/>
            </w:pPr>
            <w:r>
              <w:t>引燃温度</w:t>
            </w:r>
          </w:p>
        </w:tc>
        <w:tc>
          <w:tcPr>
            <w:tcW w:w="2267"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afff1"/>
            </w:pPr>
            <w:r>
              <w:t>260℃</w:t>
            </w:r>
          </w:p>
        </w:tc>
        <w:tc>
          <w:tcPr>
            <w:tcW w:w="2331" w:type="dxa"/>
            <w:gridSpan w:val="3"/>
            <w:tcBorders>
              <w:top w:val="single" w:sz="2" w:space="0" w:color="000000"/>
              <w:left w:val="single" w:sz="2" w:space="0" w:color="000000"/>
              <w:bottom w:val="single" w:sz="2" w:space="0" w:color="000000"/>
              <w:right w:val="single" w:sz="2" w:space="0" w:color="000000"/>
            </w:tcBorders>
            <w:vAlign w:val="center"/>
          </w:tcPr>
          <w:p w:rsidR="00BD5820" w:rsidRDefault="00F64314">
            <w:pPr>
              <w:pStyle w:val="afff1"/>
            </w:pPr>
            <w:r>
              <w:t>爆炸下限</w:t>
            </w:r>
          </w:p>
        </w:tc>
        <w:tc>
          <w:tcPr>
            <w:tcW w:w="2292" w:type="dxa"/>
            <w:tcBorders>
              <w:top w:val="single" w:sz="2" w:space="0" w:color="000000"/>
              <w:left w:val="single" w:sz="2" w:space="0" w:color="000000"/>
              <w:bottom w:val="single" w:sz="2" w:space="0" w:color="000000"/>
              <w:right w:val="nil"/>
            </w:tcBorders>
            <w:vAlign w:val="center"/>
          </w:tcPr>
          <w:p w:rsidR="00BD5820" w:rsidRDefault="00F64314">
            <w:pPr>
              <w:pStyle w:val="afff1"/>
            </w:pPr>
            <w:r>
              <w:t>4%(V/V)</w:t>
            </w:r>
          </w:p>
        </w:tc>
      </w:tr>
      <w:tr w:rsidR="00BD5820">
        <w:trPr>
          <w:trHeight w:val="19"/>
          <w:jc w:val="center"/>
        </w:trPr>
        <w:tc>
          <w:tcPr>
            <w:tcW w:w="604" w:type="dxa"/>
            <w:vMerge/>
            <w:tcBorders>
              <w:top w:val="single" w:sz="2" w:space="0" w:color="000000"/>
              <w:left w:val="nil"/>
              <w:bottom w:val="single" w:sz="2" w:space="0" w:color="000000"/>
              <w:right w:val="single" w:sz="2" w:space="0" w:color="000000"/>
            </w:tcBorders>
            <w:vAlign w:val="center"/>
          </w:tcPr>
          <w:p w:rsidR="00BD5820" w:rsidRDefault="00BD5820">
            <w:pPr>
              <w:pStyle w:val="afff1"/>
            </w:pPr>
          </w:p>
        </w:tc>
        <w:tc>
          <w:tcPr>
            <w:tcW w:w="1360"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afff1"/>
            </w:pPr>
            <w:r>
              <w:t>危险特性</w:t>
            </w:r>
          </w:p>
        </w:tc>
        <w:tc>
          <w:tcPr>
            <w:tcW w:w="6891" w:type="dxa"/>
            <w:gridSpan w:val="5"/>
            <w:tcBorders>
              <w:top w:val="single" w:sz="2" w:space="0" w:color="000000"/>
              <w:left w:val="single" w:sz="2" w:space="0" w:color="000000"/>
              <w:bottom w:val="single" w:sz="2" w:space="0" w:color="000000"/>
            </w:tcBorders>
            <w:vAlign w:val="center"/>
          </w:tcPr>
          <w:p w:rsidR="00BD5820" w:rsidRDefault="00F64314">
            <w:pPr>
              <w:pStyle w:val="afff1"/>
              <w:jc w:val="left"/>
            </w:pPr>
            <w:r>
              <w:t>易燃，与空气混合能形成爆炸性混合物，遇明火、高热能引起燃烧爆炸。与浓硝酸、发烟硝酸或其它强氧化剂剧烈反应，发生爆炸。气体比空气重，能在较低处扩散到相当远的地方，遇火源会着火回燃。</w:t>
            </w:r>
          </w:p>
        </w:tc>
      </w:tr>
      <w:tr w:rsidR="00BD5820">
        <w:trPr>
          <w:trHeight w:val="19"/>
          <w:jc w:val="center"/>
        </w:trPr>
        <w:tc>
          <w:tcPr>
            <w:tcW w:w="604" w:type="dxa"/>
            <w:vMerge/>
            <w:tcBorders>
              <w:top w:val="single" w:sz="2" w:space="0" w:color="000000"/>
              <w:left w:val="nil"/>
              <w:bottom w:val="single" w:sz="2" w:space="0" w:color="000000"/>
              <w:right w:val="single" w:sz="2" w:space="0" w:color="000000"/>
            </w:tcBorders>
            <w:vAlign w:val="center"/>
          </w:tcPr>
          <w:p w:rsidR="00BD5820" w:rsidRDefault="00BD5820">
            <w:pPr>
              <w:pStyle w:val="afff1"/>
            </w:pPr>
          </w:p>
        </w:tc>
        <w:tc>
          <w:tcPr>
            <w:tcW w:w="1360"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afff1"/>
            </w:pPr>
            <w:r>
              <w:t>燃烧产物</w:t>
            </w:r>
          </w:p>
        </w:tc>
        <w:tc>
          <w:tcPr>
            <w:tcW w:w="6891" w:type="dxa"/>
            <w:gridSpan w:val="5"/>
            <w:tcBorders>
              <w:top w:val="single" w:sz="2" w:space="0" w:color="000000"/>
              <w:left w:val="single" w:sz="2" w:space="0" w:color="000000"/>
              <w:bottom w:val="single" w:sz="2" w:space="0" w:color="000000"/>
            </w:tcBorders>
            <w:vAlign w:val="center"/>
          </w:tcPr>
          <w:p w:rsidR="00BD5820" w:rsidRDefault="00F64314">
            <w:pPr>
              <w:pStyle w:val="afff1"/>
              <w:jc w:val="left"/>
            </w:pPr>
            <w:r>
              <w:t>二氧化硫</w:t>
            </w:r>
          </w:p>
        </w:tc>
      </w:tr>
      <w:tr w:rsidR="00BD5820">
        <w:trPr>
          <w:trHeight w:val="19"/>
          <w:jc w:val="center"/>
        </w:trPr>
        <w:tc>
          <w:tcPr>
            <w:tcW w:w="604" w:type="dxa"/>
            <w:vMerge w:val="restart"/>
            <w:tcBorders>
              <w:top w:val="single" w:sz="2" w:space="0" w:color="000000"/>
              <w:left w:val="nil"/>
              <w:bottom w:val="single" w:sz="2" w:space="0" w:color="000000"/>
              <w:right w:val="single" w:sz="2" w:space="0" w:color="000000"/>
            </w:tcBorders>
            <w:vAlign w:val="center"/>
          </w:tcPr>
          <w:p w:rsidR="00BD5820" w:rsidRDefault="00F64314">
            <w:pPr>
              <w:pStyle w:val="afff1"/>
            </w:pPr>
            <w:r>
              <w:t>灭火</w:t>
            </w:r>
          </w:p>
        </w:tc>
        <w:tc>
          <w:tcPr>
            <w:tcW w:w="1360"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afff1"/>
            </w:pPr>
            <w:r>
              <w:t>灭火剂</w:t>
            </w:r>
          </w:p>
        </w:tc>
        <w:tc>
          <w:tcPr>
            <w:tcW w:w="6891" w:type="dxa"/>
            <w:gridSpan w:val="5"/>
            <w:tcBorders>
              <w:top w:val="single" w:sz="2" w:space="0" w:color="000000"/>
              <w:left w:val="single" w:sz="2" w:space="0" w:color="000000"/>
              <w:bottom w:val="single" w:sz="2" w:space="0" w:color="000000"/>
            </w:tcBorders>
            <w:vAlign w:val="center"/>
          </w:tcPr>
          <w:p w:rsidR="00BD5820" w:rsidRDefault="00F64314">
            <w:pPr>
              <w:pStyle w:val="afff1"/>
              <w:jc w:val="left"/>
            </w:pPr>
            <w:r>
              <w:t>雾状水、抗溶性泡沫、干粉。</w:t>
            </w:r>
          </w:p>
        </w:tc>
      </w:tr>
      <w:tr w:rsidR="00BD5820">
        <w:trPr>
          <w:trHeight w:val="19"/>
          <w:jc w:val="center"/>
        </w:trPr>
        <w:tc>
          <w:tcPr>
            <w:tcW w:w="604" w:type="dxa"/>
            <w:vMerge/>
            <w:tcBorders>
              <w:top w:val="single" w:sz="2" w:space="0" w:color="000000"/>
              <w:left w:val="nil"/>
              <w:bottom w:val="single" w:sz="2" w:space="0" w:color="000000"/>
              <w:right w:val="single" w:sz="2" w:space="0" w:color="000000"/>
            </w:tcBorders>
            <w:vAlign w:val="center"/>
          </w:tcPr>
          <w:p w:rsidR="00BD5820" w:rsidRDefault="00BD5820">
            <w:pPr>
              <w:pStyle w:val="afff1"/>
            </w:pPr>
          </w:p>
        </w:tc>
        <w:tc>
          <w:tcPr>
            <w:tcW w:w="1360"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afff1"/>
            </w:pPr>
            <w:r>
              <w:t>灭火方法</w:t>
            </w:r>
          </w:p>
        </w:tc>
        <w:tc>
          <w:tcPr>
            <w:tcW w:w="6891" w:type="dxa"/>
            <w:gridSpan w:val="5"/>
            <w:tcBorders>
              <w:top w:val="single" w:sz="2" w:space="0" w:color="000000"/>
              <w:left w:val="single" w:sz="2" w:space="0" w:color="000000"/>
              <w:bottom w:val="single" w:sz="2" w:space="0" w:color="000000"/>
            </w:tcBorders>
            <w:vAlign w:val="center"/>
          </w:tcPr>
          <w:p w:rsidR="00BD5820" w:rsidRDefault="00F64314">
            <w:pPr>
              <w:pStyle w:val="afff1"/>
              <w:jc w:val="left"/>
            </w:pPr>
            <w:r>
              <w:t>消防人员必须穿全身防火防毒服，在上风向灭火。切断气源。若不能切断气源，则不允许熄灭泄漏处的火焰。喷水冷却容器，可能的话将容器从火场移至空旷处。</w:t>
            </w:r>
          </w:p>
        </w:tc>
      </w:tr>
      <w:tr w:rsidR="00BD5820">
        <w:trPr>
          <w:trHeight w:val="19"/>
          <w:jc w:val="center"/>
        </w:trPr>
        <w:tc>
          <w:tcPr>
            <w:tcW w:w="604" w:type="dxa"/>
            <w:vMerge w:val="restart"/>
            <w:tcBorders>
              <w:top w:val="single" w:sz="2" w:space="0" w:color="000000"/>
              <w:left w:val="nil"/>
              <w:bottom w:val="single" w:sz="2" w:space="0" w:color="000000"/>
              <w:right w:val="single" w:sz="2" w:space="0" w:color="000000"/>
            </w:tcBorders>
            <w:vAlign w:val="center"/>
          </w:tcPr>
          <w:p w:rsidR="00BD5820" w:rsidRDefault="00F64314">
            <w:pPr>
              <w:pStyle w:val="afff1"/>
            </w:pPr>
            <w:r>
              <w:t>毒性及健康危害</w:t>
            </w:r>
          </w:p>
        </w:tc>
        <w:tc>
          <w:tcPr>
            <w:tcW w:w="1360"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afff1"/>
            </w:pPr>
            <w:r>
              <w:rPr>
                <w:szCs w:val="21"/>
              </w:rPr>
              <w:t>毒性</w:t>
            </w:r>
          </w:p>
        </w:tc>
        <w:tc>
          <w:tcPr>
            <w:tcW w:w="6891" w:type="dxa"/>
            <w:gridSpan w:val="5"/>
            <w:tcBorders>
              <w:top w:val="single" w:sz="2" w:space="0" w:color="000000"/>
              <w:left w:val="single" w:sz="2" w:space="0" w:color="000000"/>
              <w:bottom w:val="single" w:sz="2" w:space="0" w:color="000000"/>
            </w:tcBorders>
            <w:vAlign w:val="center"/>
          </w:tcPr>
          <w:p w:rsidR="00BD5820" w:rsidRDefault="00F64314">
            <w:pPr>
              <w:pStyle w:val="afff1"/>
              <w:jc w:val="left"/>
            </w:pPr>
            <w:r>
              <w:t>LC50</w:t>
            </w:r>
            <w:r>
              <w:t>：</w:t>
            </w:r>
            <w:r>
              <w:t>618mg/m</w:t>
            </w:r>
            <w:r>
              <w:rPr>
                <w:vertAlign w:val="superscript"/>
              </w:rPr>
              <w:t>3</w:t>
            </w:r>
            <w:r>
              <w:t>(</w:t>
            </w:r>
            <w:r>
              <w:t>大鼠吸入</w:t>
            </w:r>
            <w:r>
              <w:t>)</w:t>
            </w:r>
          </w:p>
        </w:tc>
      </w:tr>
      <w:tr w:rsidR="00BD5820">
        <w:trPr>
          <w:trHeight w:val="19"/>
          <w:jc w:val="center"/>
        </w:trPr>
        <w:tc>
          <w:tcPr>
            <w:tcW w:w="604" w:type="dxa"/>
            <w:vMerge/>
            <w:tcBorders>
              <w:top w:val="single" w:sz="2" w:space="0" w:color="000000"/>
              <w:left w:val="nil"/>
              <w:bottom w:val="single" w:sz="2" w:space="0" w:color="000000"/>
              <w:right w:val="single" w:sz="2" w:space="0" w:color="000000"/>
            </w:tcBorders>
            <w:vAlign w:val="center"/>
          </w:tcPr>
          <w:p w:rsidR="00BD5820" w:rsidRDefault="00BD5820">
            <w:pPr>
              <w:pStyle w:val="afff1"/>
            </w:pPr>
          </w:p>
        </w:tc>
        <w:tc>
          <w:tcPr>
            <w:tcW w:w="1360"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afff1"/>
            </w:pPr>
            <w:r>
              <w:t>健康危害</w:t>
            </w:r>
          </w:p>
        </w:tc>
        <w:tc>
          <w:tcPr>
            <w:tcW w:w="6891" w:type="dxa"/>
            <w:gridSpan w:val="5"/>
            <w:tcBorders>
              <w:top w:val="single" w:sz="2" w:space="0" w:color="000000"/>
              <w:left w:val="single" w:sz="2" w:space="0" w:color="000000"/>
              <w:bottom w:val="single" w:sz="2" w:space="0" w:color="000000"/>
            </w:tcBorders>
            <w:vAlign w:val="center"/>
          </w:tcPr>
          <w:p w:rsidR="00BD5820" w:rsidRDefault="00F64314">
            <w:pPr>
              <w:pStyle w:val="afff1"/>
              <w:jc w:val="left"/>
            </w:pPr>
            <w:r>
              <w:t>本品是强烈的神经毒物，对粘膜有强烈刺激作用。急性中毒：短期内吸入高浓度硫化氢后出现流泪、眼痛、眼内异物感、畏光、视物模糊、流涕、咽喉部灼热感、咳嗽、胸闷、头痛、头晕、乏力、意识模糊等。部分患者可有心肌损害。重者可出现脑水肿、肺水肿。极高浓度</w:t>
            </w:r>
            <w:r>
              <w:t>(1000mg/m</w:t>
            </w:r>
            <w:r>
              <w:rPr>
                <w:vertAlign w:val="superscript"/>
              </w:rPr>
              <w:t>3</w:t>
            </w:r>
            <w:r>
              <w:t>以上</w:t>
            </w:r>
            <w:r>
              <w:t>)</w:t>
            </w:r>
            <w:r>
              <w:t>时可在数秒钟内突然昏迷，呼吸和心跳骤停，发生闪电型死亡。高浓度接触眼结膜发生水肿和角膜溃疡。长期低浓度接触，引起神经衰弱综合征和植物神经功能紊乱。</w:t>
            </w:r>
          </w:p>
        </w:tc>
      </w:tr>
      <w:tr w:rsidR="00BD5820">
        <w:trPr>
          <w:trHeight w:val="19"/>
          <w:jc w:val="center"/>
        </w:trPr>
        <w:tc>
          <w:tcPr>
            <w:tcW w:w="604" w:type="dxa"/>
            <w:vMerge w:val="restart"/>
            <w:tcBorders>
              <w:top w:val="single" w:sz="2" w:space="0" w:color="000000"/>
              <w:left w:val="nil"/>
              <w:bottom w:val="single" w:sz="2" w:space="0" w:color="000000"/>
              <w:right w:val="single" w:sz="2" w:space="0" w:color="000000"/>
            </w:tcBorders>
            <w:vAlign w:val="center"/>
          </w:tcPr>
          <w:p w:rsidR="00BD5820" w:rsidRDefault="00F64314">
            <w:pPr>
              <w:pStyle w:val="afff1"/>
            </w:pPr>
            <w:r>
              <w:t>应急处理处置方法</w:t>
            </w:r>
          </w:p>
        </w:tc>
        <w:tc>
          <w:tcPr>
            <w:tcW w:w="1360"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afff1"/>
            </w:pPr>
            <w:r>
              <w:t>泄漏应急处理</w:t>
            </w:r>
          </w:p>
        </w:tc>
        <w:tc>
          <w:tcPr>
            <w:tcW w:w="6891" w:type="dxa"/>
            <w:gridSpan w:val="5"/>
            <w:tcBorders>
              <w:top w:val="single" w:sz="2" w:space="0" w:color="000000"/>
              <w:left w:val="single" w:sz="2" w:space="0" w:color="000000"/>
              <w:bottom w:val="single" w:sz="2" w:space="0" w:color="000000"/>
            </w:tcBorders>
            <w:vAlign w:val="center"/>
          </w:tcPr>
          <w:p w:rsidR="00BD5820" w:rsidRDefault="00F64314">
            <w:pPr>
              <w:pStyle w:val="afff1"/>
              <w:jc w:val="left"/>
            </w:pPr>
            <w:r>
              <w:t>迅速撤离泄漏污染区人员至上风处，并立即进行隔离，小泄漏时隔离</w:t>
            </w:r>
            <w:r>
              <w:t>150m</w:t>
            </w:r>
            <w:r>
              <w:t>，大泄漏时隔离</w:t>
            </w:r>
            <w:r>
              <w:t>300m</w:t>
            </w:r>
            <w:r>
              <w:t>，严格限制出入。切断火源。建议应急处理人员戴自给正压式呼吸器，穿防静电工作服。从上风处进入现场。尽可能切断泄漏源。合理通风，加速扩散。喷雾状水稀释、溶解。构筑围堤或挖坑收容产生的大量废水。如有可能，将残余气或漏出气用排风机送至水洗塔或与塔相连的通风橱内。或使其通过三氯化铁水溶液，管路装止回装置以防溶液吸回。漏气容器要妥善处理，修复、检验后再用。</w:t>
            </w:r>
          </w:p>
        </w:tc>
      </w:tr>
      <w:tr w:rsidR="00BD5820">
        <w:trPr>
          <w:trHeight w:val="19"/>
          <w:jc w:val="center"/>
        </w:trPr>
        <w:tc>
          <w:tcPr>
            <w:tcW w:w="604" w:type="dxa"/>
            <w:vMerge/>
            <w:tcBorders>
              <w:top w:val="single" w:sz="2" w:space="0" w:color="000000"/>
              <w:left w:val="nil"/>
              <w:bottom w:val="single" w:sz="2" w:space="0" w:color="000000"/>
              <w:right w:val="single" w:sz="2" w:space="0" w:color="000000"/>
            </w:tcBorders>
            <w:vAlign w:val="center"/>
          </w:tcPr>
          <w:p w:rsidR="00BD5820" w:rsidRDefault="00BD5820">
            <w:pPr>
              <w:pStyle w:val="afff1"/>
            </w:pPr>
          </w:p>
        </w:tc>
        <w:tc>
          <w:tcPr>
            <w:tcW w:w="1360" w:type="dxa"/>
            <w:tcBorders>
              <w:top w:val="single" w:sz="2" w:space="0" w:color="000000"/>
              <w:left w:val="single" w:sz="2" w:space="0" w:color="000000"/>
              <w:bottom w:val="single" w:sz="2" w:space="0" w:color="000000"/>
              <w:right w:val="single" w:sz="2" w:space="0" w:color="000000"/>
            </w:tcBorders>
            <w:vAlign w:val="center"/>
          </w:tcPr>
          <w:p w:rsidR="00BD5820" w:rsidRDefault="00F64314">
            <w:pPr>
              <w:pStyle w:val="afff1"/>
            </w:pPr>
            <w:r>
              <w:t>眼睛接触</w:t>
            </w:r>
          </w:p>
        </w:tc>
        <w:tc>
          <w:tcPr>
            <w:tcW w:w="6891" w:type="dxa"/>
            <w:gridSpan w:val="5"/>
            <w:tcBorders>
              <w:top w:val="single" w:sz="2" w:space="0" w:color="000000"/>
              <w:left w:val="single" w:sz="2" w:space="0" w:color="000000"/>
              <w:bottom w:val="single" w:sz="2" w:space="0" w:color="000000"/>
            </w:tcBorders>
            <w:vAlign w:val="center"/>
          </w:tcPr>
          <w:p w:rsidR="00BD5820" w:rsidRDefault="00F64314">
            <w:pPr>
              <w:pStyle w:val="afff1"/>
              <w:jc w:val="left"/>
            </w:pPr>
            <w:r>
              <w:t>立即提起眼睑，用大量流动清水或生理盐水彻底冲洗至少</w:t>
            </w:r>
            <w:r>
              <w:t>15</w:t>
            </w:r>
            <w:r>
              <w:t>分钟。就医。</w:t>
            </w:r>
          </w:p>
        </w:tc>
      </w:tr>
      <w:tr w:rsidR="00BD5820">
        <w:trPr>
          <w:trHeight w:val="19"/>
          <w:jc w:val="center"/>
        </w:trPr>
        <w:tc>
          <w:tcPr>
            <w:tcW w:w="604" w:type="dxa"/>
            <w:vMerge/>
            <w:tcBorders>
              <w:top w:val="single" w:sz="2" w:space="0" w:color="000000"/>
              <w:left w:val="nil"/>
              <w:bottom w:val="single" w:sz="12" w:space="0" w:color="000000"/>
              <w:right w:val="single" w:sz="2" w:space="0" w:color="000000"/>
            </w:tcBorders>
            <w:vAlign w:val="center"/>
          </w:tcPr>
          <w:p w:rsidR="00BD5820" w:rsidRDefault="00BD5820">
            <w:pPr>
              <w:pStyle w:val="afff1"/>
            </w:pPr>
          </w:p>
        </w:tc>
        <w:tc>
          <w:tcPr>
            <w:tcW w:w="1360" w:type="dxa"/>
            <w:tcBorders>
              <w:top w:val="single" w:sz="2" w:space="0" w:color="000000"/>
              <w:left w:val="single" w:sz="2" w:space="0" w:color="000000"/>
              <w:bottom w:val="single" w:sz="12" w:space="0" w:color="000000"/>
              <w:right w:val="single" w:sz="2" w:space="0" w:color="000000"/>
            </w:tcBorders>
            <w:vAlign w:val="center"/>
          </w:tcPr>
          <w:p w:rsidR="00BD5820" w:rsidRDefault="00F64314">
            <w:pPr>
              <w:pStyle w:val="afff1"/>
            </w:pPr>
            <w:r>
              <w:t>吸入</w:t>
            </w:r>
          </w:p>
        </w:tc>
        <w:tc>
          <w:tcPr>
            <w:tcW w:w="6891" w:type="dxa"/>
            <w:gridSpan w:val="5"/>
            <w:tcBorders>
              <w:top w:val="single" w:sz="2" w:space="0" w:color="000000"/>
              <w:left w:val="single" w:sz="2" w:space="0" w:color="000000"/>
              <w:bottom w:val="single" w:sz="12" w:space="0" w:color="000000"/>
            </w:tcBorders>
            <w:vAlign w:val="center"/>
          </w:tcPr>
          <w:p w:rsidR="00BD5820" w:rsidRDefault="00F64314">
            <w:pPr>
              <w:pStyle w:val="afff1"/>
              <w:jc w:val="left"/>
            </w:pPr>
            <w:r>
              <w:t>迅速脱离现场至空气新鲜处。保持呼吸道通畅。如呼吸困难，给输氧。如呼吸停止，立即进行人工呼吸。就医。</w:t>
            </w:r>
          </w:p>
        </w:tc>
      </w:tr>
    </w:tbl>
    <w:p w:rsidR="00BD5820" w:rsidRDefault="00F64314">
      <w:pPr>
        <w:pStyle w:val="TOC11"/>
        <w:rPr>
          <w:rFonts w:eastAsia="宋体"/>
        </w:rPr>
      </w:pPr>
      <w:r>
        <w:rPr>
          <w:rFonts w:eastAsia="宋体"/>
        </w:rPr>
        <w:lastRenderedPageBreak/>
        <w:t>表</w:t>
      </w:r>
      <w:r>
        <w:rPr>
          <w:rFonts w:eastAsia="宋体"/>
        </w:rPr>
        <w:t xml:space="preserve">7.6-4  </w:t>
      </w:r>
      <w:r>
        <w:rPr>
          <w:rFonts w:eastAsia="宋体"/>
        </w:rPr>
        <w:t>硫化氢对人的生理影响及危害</w:t>
      </w:r>
    </w:p>
    <w:tbl>
      <w:tblPr>
        <w:tblW w:w="8798" w:type="dxa"/>
        <w:jc w:val="center"/>
        <w:tblBorders>
          <w:top w:val="single" w:sz="12" w:space="0" w:color="auto"/>
          <w:bottom w:val="single" w:sz="12" w:space="0" w:color="auto"/>
          <w:insideH w:val="single" w:sz="4" w:space="0" w:color="auto"/>
          <w:insideV w:val="single" w:sz="4" w:space="0" w:color="auto"/>
        </w:tblBorders>
        <w:tblLayout w:type="fixed"/>
        <w:tblLook w:val="04A0"/>
      </w:tblPr>
      <w:tblGrid>
        <w:gridCol w:w="2933"/>
        <w:gridCol w:w="2608"/>
        <w:gridCol w:w="3257"/>
      </w:tblGrid>
      <w:tr w:rsidR="00BD5820">
        <w:trPr>
          <w:trHeight w:val="261"/>
          <w:jc w:val="center"/>
        </w:trPr>
        <w:tc>
          <w:tcPr>
            <w:tcW w:w="2933" w:type="dxa"/>
            <w:vAlign w:val="center"/>
          </w:tcPr>
          <w:p w:rsidR="00BD5820" w:rsidRDefault="00F64314">
            <w:pPr>
              <w:pStyle w:val="afff1"/>
              <w:rPr>
                <w:b/>
              </w:rPr>
            </w:pPr>
            <w:r>
              <w:rPr>
                <w:b/>
              </w:rPr>
              <w:t>空气中</w:t>
            </w:r>
            <w:r>
              <w:rPr>
                <w:b/>
              </w:rPr>
              <w:t>H</w:t>
            </w:r>
            <w:r>
              <w:rPr>
                <w:b/>
                <w:vertAlign w:val="subscript"/>
              </w:rPr>
              <w:t>2</w:t>
            </w:r>
            <w:r>
              <w:rPr>
                <w:b/>
              </w:rPr>
              <w:t>S</w:t>
            </w:r>
            <w:r>
              <w:rPr>
                <w:b/>
              </w:rPr>
              <w:t>浓度（</w:t>
            </w:r>
            <w:r>
              <w:rPr>
                <w:b/>
              </w:rPr>
              <w:t>mg/m</w:t>
            </w:r>
            <w:r>
              <w:rPr>
                <w:b/>
                <w:vertAlign w:val="superscript"/>
              </w:rPr>
              <w:t>3</w:t>
            </w:r>
            <w:r>
              <w:rPr>
                <w:b/>
              </w:rPr>
              <w:t>）</w:t>
            </w:r>
          </w:p>
        </w:tc>
        <w:tc>
          <w:tcPr>
            <w:tcW w:w="2608" w:type="dxa"/>
            <w:vAlign w:val="center"/>
          </w:tcPr>
          <w:p w:rsidR="00BD5820" w:rsidRDefault="00F64314">
            <w:pPr>
              <w:pStyle w:val="afff1"/>
              <w:rPr>
                <w:b/>
              </w:rPr>
            </w:pPr>
            <w:r>
              <w:rPr>
                <w:b/>
              </w:rPr>
              <w:t>接触时间</w:t>
            </w:r>
          </w:p>
        </w:tc>
        <w:tc>
          <w:tcPr>
            <w:tcW w:w="3257" w:type="dxa"/>
            <w:vAlign w:val="center"/>
          </w:tcPr>
          <w:p w:rsidR="00BD5820" w:rsidRDefault="00F64314">
            <w:pPr>
              <w:pStyle w:val="afff1"/>
              <w:rPr>
                <w:b/>
              </w:rPr>
            </w:pPr>
            <w:r>
              <w:rPr>
                <w:b/>
              </w:rPr>
              <w:t>生理影响及危害</w:t>
            </w:r>
          </w:p>
        </w:tc>
      </w:tr>
      <w:tr w:rsidR="00BD5820">
        <w:trPr>
          <w:trHeight w:val="261"/>
          <w:jc w:val="center"/>
        </w:trPr>
        <w:tc>
          <w:tcPr>
            <w:tcW w:w="2933" w:type="dxa"/>
            <w:vAlign w:val="center"/>
          </w:tcPr>
          <w:p w:rsidR="00BD5820" w:rsidRDefault="00F64314">
            <w:pPr>
              <w:pStyle w:val="afff1"/>
            </w:pPr>
            <w:r>
              <w:t>0.04</w:t>
            </w:r>
          </w:p>
        </w:tc>
        <w:tc>
          <w:tcPr>
            <w:tcW w:w="2608" w:type="dxa"/>
            <w:vAlign w:val="center"/>
          </w:tcPr>
          <w:p w:rsidR="00BD5820" w:rsidRDefault="00F64314">
            <w:pPr>
              <w:pStyle w:val="afff1"/>
            </w:pPr>
            <w:r>
              <w:t>/</w:t>
            </w:r>
          </w:p>
        </w:tc>
        <w:tc>
          <w:tcPr>
            <w:tcW w:w="3257" w:type="dxa"/>
            <w:vAlign w:val="center"/>
          </w:tcPr>
          <w:p w:rsidR="00BD5820" w:rsidRDefault="00F64314">
            <w:pPr>
              <w:pStyle w:val="afff1"/>
            </w:pPr>
            <w:r>
              <w:t>感到臭味</w:t>
            </w:r>
          </w:p>
        </w:tc>
      </w:tr>
      <w:tr w:rsidR="00BD5820">
        <w:trPr>
          <w:trHeight w:val="261"/>
          <w:jc w:val="center"/>
        </w:trPr>
        <w:tc>
          <w:tcPr>
            <w:tcW w:w="2933" w:type="dxa"/>
            <w:vAlign w:val="center"/>
          </w:tcPr>
          <w:p w:rsidR="00BD5820" w:rsidRDefault="00F64314">
            <w:pPr>
              <w:pStyle w:val="afff1"/>
            </w:pPr>
            <w:r>
              <w:t>0.5</w:t>
            </w:r>
          </w:p>
        </w:tc>
        <w:tc>
          <w:tcPr>
            <w:tcW w:w="2608" w:type="dxa"/>
            <w:vAlign w:val="center"/>
          </w:tcPr>
          <w:p w:rsidR="00BD5820" w:rsidRDefault="00F64314">
            <w:pPr>
              <w:pStyle w:val="afff1"/>
            </w:pPr>
            <w:r>
              <w:t>/</w:t>
            </w:r>
          </w:p>
        </w:tc>
        <w:tc>
          <w:tcPr>
            <w:tcW w:w="3257" w:type="dxa"/>
            <w:vAlign w:val="center"/>
          </w:tcPr>
          <w:p w:rsidR="00BD5820" w:rsidRDefault="00F64314">
            <w:pPr>
              <w:pStyle w:val="afff1"/>
            </w:pPr>
            <w:r>
              <w:t>感到明显臭味</w:t>
            </w:r>
          </w:p>
        </w:tc>
      </w:tr>
      <w:tr w:rsidR="00BD5820">
        <w:trPr>
          <w:trHeight w:val="261"/>
          <w:jc w:val="center"/>
        </w:trPr>
        <w:tc>
          <w:tcPr>
            <w:tcW w:w="2933" w:type="dxa"/>
            <w:vAlign w:val="center"/>
          </w:tcPr>
          <w:p w:rsidR="00BD5820" w:rsidRDefault="00F64314">
            <w:pPr>
              <w:pStyle w:val="afff1"/>
            </w:pPr>
            <w:r>
              <w:t>5.0</w:t>
            </w:r>
          </w:p>
        </w:tc>
        <w:tc>
          <w:tcPr>
            <w:tcW w:w="2608" w:type="dxa"/>
            <w:vAlign w:val="center"/>
          </w:tcPr>
          <w:p w:rsidR="00BD5820" w:rsidRDefault="00F64314">
            <w:pPr>
              <w:pStyle w:val="afff1"/>
            </w:pPr>
            <w:r>
              <w:t>/</w:t>
            </w:r>
          </w:p>
        </w:tc>
        <w:tc>
          <w:tcPr>
            <w:tcW w:w="3257" w:type="dxa"/>
            <w:vAlign w:val="center"/>
          </w:tcPr>
          <w:p w:rsidR="00BD5820" w:rsidRDefault="00F64314">
            <w:pPr>
              <w:pStyle w:val="afff1"/>
            </w:pPr>
            <w:r>
              <w:t>有强烈臭味</w:t>
            </w:r>
          </w:p>
        </w:tc>
      </w:tr>
      <w:tr w:rsidR="00BD5820">
        <w:trPr>
          <w:trHeight w:val="246"/>
          <w:jc w:val="center"/>
        </w:trPr>
        <w:tc>
          <w:tcPr>
            <w:tcW w:w="2933" w:type="dxa"/>
            <w:vAlign w:val="center"/>
          </w:tcPr>
          <w:p w:rsidR="00BD5820" w:rsidRDefault="00F64314">
            <w:pPr>
              <w:pStyle w:val="afff1"/>
            </w:pPr>
            <w:r>
              <w:t>7.5</w:t>
            </w:r>
          </w:p>
        </w:tc>
        <w:tc>
          <w:tcPr>
            <w:tcW w:w="2608" w:type="dxa"/>
            <w:vAlign w:val="center"/>
          </w:tcPr>
          <w:p w:rsidR="00BD5820" w:rsidRDefault="00F64314">
            <w:pPr>
              <w:pStyle w:val="afff1"/>
            </w:pPr>
            <w:r>
              <w:t>/</w:t>
            </w:r>
          </w:p>
        </w:tc>
        <w:tc>
          <w:tcPr>
            <w:tcW w:w="3257" w:type="dxa"/>
            <w:vAlign w:val="center"/>
          </w:tcPr>
          <w:p w:rsidR="00BD5820" w:rsidRDefault="00F64314">
            <w:pPr>
              <w:pStyle w:val="afff1"/>
            </w:pPr>
            <w:r>
              <w:t>有不快感</w:t>
            </w:r>
          </w:p>
        </w:tc>
      </w:tr>
      <w:tr w:rsidR="00BD5820">
        <w:trPr>
          <w:trHeight w:val="261"/>
          <w:jc w:val="center"/>
        </w:trPr>
        <w:tc>
          <w:tcPr>
            <w:tcW w:w="2933" w:type="dxa"/>
            <w:vAlign w:val="center"/>
          </w:tcPr>
          <w:p w:rsidR="00BD5820" w:rsidRDefault="00F64314">
            <w:pPr>
              <w:pStyle w:val="afff1"/>
            </w:pPr>
            <w:r>
              <w:t>15</w:t>
            </w:r>
          </w:p>
        </w:tc>
        <w:tc>
          <w:tcPr>
            <w:tcW w:w="2608" w:type="dxa"/>
            <w:vAlign w:val="center"/>
          </w:tcPr>
          <w:p w:rsidR="00BD5820" w:rsidRDefault="00F64314">
            <w:pPr>
              <w:pStyle w:val="afff1"/>
            </w:pPr>
            <w:r>
              <w:t>/</w:t>
            </w:r>
          </w:p>
        </w:tc>
        <w:tc>
          <w:tcPr>
            <w:tcW w:w="3257" w:type="dxa"/>
            <w:vAlign w:val="center"/>
          </w:tcPr>
          <w:p w:rsidR="00BD5820" w:rsidRDefault="00F64314">
            <w:pPr>
              <w:pStyle w:val="afff1"/>
            </w:pPr>
            <w:r>
              <w:t>刺激眼睛</w:t>
            </w:r>
          </w:p>
        </w:tc>
      </w:tr>
      <w:tr w:rsidR="00BD5820">
        <w:trPr>
          <w:trHeight w:val="261"/>
          <w:jc w:val="center"/>
        </w:trPr>
        <w:tc>
          <w:tcPr>
            <w:tcW w:w="2933" w:type="dxa"/>
            <w:vAlign w:val="center"/>
          </w:tcPr>
          <w:p w:rsidR="00BD5820" w:rsidRDefault="00F64314">
            <w:pPr>
              <w:pStyle w:val="afff1"/>
            </w:pPr>
            <w:r>
              <w:t>35</w:t>
            </w:r>
            <w:r>
              <w:t>～</w:t>
            </w:r>
            <w:r>
              <w:t>45</w:t>
            </w:r>
          </w:p>
        </w:tc>
        <w:tc>
          <w:tcPr>
            <w:tcW w:w="2608" w:type="dxa"/>
            <w:vAlign w:val="center"/>
          </w:tcPr>
          <w:p w:rsidR="00BD5820" w:rsidRDefault="00F64314">
            <w:pPr>
              <w:pStyle w:val="afff1"/>
            </w:pPr>
            <w:r>
              <w:t>/</w:t>
            </w:r>
          </w:p>
        </w:tc>
        <w:tc>
          <w:tcPr>
            <w:tcW w:w="3257" w:type="dxa"/>
            <w:vAlign w:val="center"/>
          </w:tcPr>
          <w:p w:rsidR="00BD5820" w:rsidRDefault="00F64314">
            <w:pPr>
              <w:pStyle w:val="afff1"/>
            </w:pPr>
            <w:r>
              <w:t>强烈刺激粘膜</w:t>
            </w:r>
          </w:p>
        </w:tc>
      </w:tr>
      <w:tr w:rsidR="00BD5820">
        <w:trPr>
          <w:trHeight w:val="261"/>
          <w:jc w:val="center"/>
        </w:trPr>
        <w:tc>
          <w:tcPr>
            <w:tcW w:w="2933" w:type="dxa"/>
            <w:vAlign w:val="center"/>
          </w:tcPr>
          <w:p w:rsidR="00BD5820" w:rsidRDefault="00F64314">
            <w:pPr>
              <w:pStyle w:val="afff1"/>
            </w:pPr>
            <w:r>
              <w:t>75</w:t>
            </w:r>
            <w:r>
              <w:t>～</w:t>
            </w:r>
            <w:r>
              <w:t>150</w:t>
            </w:r>
          </w:p>
        </w:tc>
        <w:tc>
          <w:tcPr>
            <w:tcW w:w="2608" w:type="dxa"/>
            <w:vAlign w:val="center"/>
          </w:tcPr>
          <w:p w:rsidR="00BD5820" w:rsidRDefault="00F64314">
            <w:pPr>
              <w:pStyle w:val="afff1"/>
            </w:pPr>
            <w:r>
              <w:t>/</w:t>
            </w:r>
          </w:p>
        </w:tc>
        <w:tc>
          <w:tcPr>
            <w:tcW w:w="3257" w:type="dxa"/>
            <w:vAlign w:val="center"/>
          </w:tcPr>
          <w:p w:rsidR="00BD5820" w:rsidRDefault="00F64314">
            <w:pPr>
              <w:pStyle w:val="afff1"/>
            </w:pPr>
            <w:r>
              <w:t>刺激呼吸道</w:t>
            </w:r>
          </w:p>
        </w:tc>
      </w:tr>
      <w:tr w:rsidR="00BD5820">
        <w:trPr>
          <w:trHeight w:val="261"/>
          <w:jc w:val="center"/>
        </w:trPr>
        <w:tc>
          <w:tcPr>
            <w:tcW w:w="2933" w:type="dxa"/>
            <w:vAlign w:val="center"/>
          </w:tcPr>
          <w:p w:rsidR="00BD5820" w:rsidRDefault="00F64314">
            <w:pPr>
              <w:pStyle w:val="afff1"/>
            </w:pPr>
            <w:r>
              <w:t>150</w:t>
            </w:r>
            <w:r>
              <w:t>～</w:t>
            </w:r>
            <w:r>
              <w:t>300</w:t>
            </w:r>
          </w:p>
        </w:tc>
        <w:tc>
          <w:tcPr>
            <w:tcW w:w="2608" w:type="dxa"/>
            <w:vAlign w:val="center"/>
          </w:tcPr>
          <w:p w:rsidR="00BD5820" w:rsidRDefault="00F64314">
            <w:pPr>
              <w:pStyle w:val="afff1"/>
            </w:pPr>
            <w:r>
              <w:t>15min</w:t>
            </w:r>
          </w:p>
        </w:tc>
        <w:tc>
          <w:tcPr>
            <w:tcW w:w="3257" w:type="dxa"/>
            <w:vAlign w:val="center"/>
          </w:tcPr>
          <w:p w:rsidR="00BD5820" w:rsidRDefault="00F64314">
            <w:pPr>
              <w:pStyle w:val="afff1"/>
            </w:pPr>
            <w:r>
              <w:t>嗅觉麻痹</w:t>
            </w:r>
          </w:p>
        </w:tc>
      </w:tr>
      <w:tr w:rsidR="00BD5820">
        <w:trPr>
          <w:trHeight w:val="261"/>
          <w:jc w:val="center"/>
        </w:trPr>
        <w:tc>
          <w:tcPr>
            <w:tcW w:w="2933" w:type="dxa"/>
            <w:vAlign w:val="center"/>
          </w:tcPr>
          <w:p w:rsidR="00BD5820" w:rsidRDefault="00F64314">
            <w:pPr>
              <w:pStyle w:val="afff1"/>
            </w:pPr>
            <w:r>
              <w:t>300</w:t>
            </w:r>
          </w:p>
        </w:tc>
        <w:tc>
          <w:tcPr>
            <w:tcW w:w="2608" w:type="dxa"/>
            <w:vAlign w:val="center"/>
          </w:tcPr>
          <w:p w:rsidR="00BD5820" w:rsidRDefault="00F64314">
            <w:pPr>
              <w:pStyle w:val="afff1"/>
            </w:pPr>
            <w:r>
              <w:t>/</w:t>
            </w:r>
          </w:p>
        </w:tc>
        <w:tc>
          <w:tcPr>
            <w:tcW w:w="3257" w:type="dxa"/>
            <w:vAlign w:val="center"/>
          </w:tcPr>
          <w:p w:rsidR="00BD5820" w:rsidRDefault="00F64314">
            <w:pPr>
              <w:pStyle w:val="afff1"/>
            </w:pPr>
            <w:r>
              <w:t>暴露时间长有中毒症状</w:t>
            </w:r>
          </w:p>
        </w:tc>
      </w:tr>
      <w:tr w:rsidR="00BD5820">
        <w:trPr>
          <w:trHeight w:val="246"/>
          <w:jc w:val="center"/>
        </w:trPr>
        <w:tc>
          <w:tcPr>
            <w:tcW w:w="2933" w:type="dxa"/>
            <w:vAlign w:val="center"/>
          </w:tcPr>
          <w:p w:rsidR="00BD5820" w:rsidRDefault="00F64314">
            <w:pPr>
              <w:pStyle w:val="afff1"/>
            </w:pPr>
            <w:r>
              <w:t>300</w:t>
            </w:r>
            <w:r>
              <w:t>～</w:t>
            </w:r>
            <w:r>
              <w:t>450</w:t>
            </w:r>
          </w:p>
        </w:tc>
        <w:tc>
          <w:tcPr>
            <w:tcW w:w="2608" w:type="dxa"/>
            <w:vAlign w:val="center"/>
          </w:tcPr>
          <w:p w:rsidR="00BD5820" w:rsidRDefault="00F64314">
            <w:pPr>
              <w:pStyle w:val="afff1"/>
            </w:pPr>
            <w:r>
              <w:t>1h</w:t>
            </w:r>
          </w:p>
        </w:tc>
        <w:tc>
          <w:tcPr>
            <w:tcW w:w="3257" w:type="dxa"/>
            <w:vAlign w:val="center"/>
          </w:tcPr>
          <w:p w:rsidR="00BD5820" w:rsidRDefault="00F64314">
            <w:pPr>
              <w:pStyle w:val="afff1"/>
            </w:pPr>
            <w:r>
              <w:t>引起亚急性中毒</w:t>
            </w:r>
          </w:p>
        </w:tc>
      </w:tr>
      <w:tr w:rsidR="00BD5820">
        <w:trPr>
          <w:trHeight w:val="261"/>
          <w:jc w:val="center"/>
        </w:trPr>
        <w:tc>
          <w:tcPr>
            <w:tcW w:w="2933" w:type="dxa"/>
            <w:vAlign w:val="center"/>
          </w:tcPr>
          <w:p w:rsidR="00BD5820" w:rsidRDefault="00F64314">
            <w:pPr>
              <w:pStyle w:val="afff1"/>
            </w:pPr>
            <w:r>
              <w:t>375</w:t>
            </w:r>
            <w:r>
              <w:t>～</w:t>
            </w:r>
            <w:r>
              <w:t>525</w:t>
            </w:r>
          </w:p>
        </w:tc>
        <w:tc>
          <w:tcPr>
            <w:tcW w:w="2608" w:type="dxa"/>
            <w:vAlign w:val="center"/>
          </w:tcPr>
          <w:p w:rsidR="00BD5820" w:rsidRDefault="00F64314">
            <w:pPr>
              <w:pStyle w:val="afff1"/>
            </w:pPr>
            <w:r>
              <w:t>4</w:t>
            </w:r>
            <w:r>
              <w:t>～</w:t>
            </w:r>
            <w:r>
              <w:t>8h</w:t>
            </w:r>
          </w:p>
        </w:tc>
        <w:tc>
          <w:tcPr>
            <w:tcW w:w="3257" w:type="dxa"/>
            <w:vAlign w:val="center"/>
          </w:tcPr>
          <w:p w:rsidR="00BD5820" w:rsidRDefault="00F64314">
            <w:pPr>
              <w:pStyle w:val="afff1"/>
            </w:pPr>
            <w:r>
              <w:t>有生命危险</w:t>
            </w:r>
          </w:p>
        </w:tc>
      </w:tr>
      <w:tr w:rsidR="00BD5820">
        <w:trPr>
          <w:trHeight w:val="261"/>
          <w:jc w:val="center"/>
        </w:trPr>
        <w:tc>
          <w:tcPr>
            <w:tcW w:w="2933" w:type="dxa"/>
            <w:vAlign w:val="center"/>
          </w:tcPr>
          <w:p w:rsidR="00BD5820" w:rsidRDefault="00F64314">
            <w:pPr>
              <w:pStyle w:val="afff1"/>
            </w:pPr>
            <w:r>
              <w:t>525</w:t>
            </w:r>
            <w:r>
              <w:t>～</w:t>
            </w:r>
            <w:r>
              <w:t>600</w:t>
            </w:r>
          </w:p>
        </w:tc>
        <w:tc>
          <w:tcPr>
            <w:tcW w:w="2608" w:type="dxa"/>
            <w:vAlign w:val="center"/>
          </w:tcPr>
          <w:p w:rsidR="00BD5820" w:rsidRDefault="00F64314">
            <w:pPr>
              <w:pStyle w:val="afff1"/>
            </w:pPr>
            <w:r>
              <w:t>1</w:t>
            </w:r>
            <w:r>
              <w:t>～</w:t>
            </w:r>
            <w:r>
              <w:t>4h</w:t>
            </w:r>
          </w:p>
        </w:tc>
        <w:tc>
          <w:tcPr>
            <w:tcW w:w="3257" w:type="dxa"/>
            <w:vAlign w:val="center"/>
          </w:tcPr>
          <w:p w:rsidR="00BD5820" w:rsidRDefault="00F64314">
            <w:pPr>
              <w:pStyle w:val="afff1"/>
            </w:pPr>
            <w:r>
              <w:t>有生命危险</w:t>
            </w:r>
          </w:p>
        </w:tc>
      </w:tr>
      <w:tr w:rsidR="00BD5820">
        <w:trPr>
          <w:trHeight w:val="261"/>
          <w:jc w:val="center"/>
        </w:trPr>
        <w:tc>
          <w:tcPr>
            <w:tcW w:w="2933" w:type="dxa"/>
            <w:vAlign w:val="center"/>
          </w:tcPr>
          <w:p w:rsidR="00BD5820" w:rsidRDefault="00F64314">
            <w:pPr>
              <w:pStyle w:val="afff1"/>
            </w:pPr>
            <w:r>
              <w:t>900</w:t>
            </w:r>
          </w:p>
        </w:tc>
        <w:tc>
          <w:tcPr>
            <w:tcW w:w="2608" w:type="dxa"/>
            <w:vAlign w:val="center"/>
          </w:tcPr>
          <w:p w:rsidR="00BD5820" w:rsidRDefault="00F64314">
            <w:pPr>
              <w:pStyle w:val="afff1"/>
            </w:pPr>
            <w:r>
              <w:t>30min</w:t>
            </w:r>
          </w:p>
        </w:tc>
        <w:tc>
          <w:tcPr>
            <w:tcW w:w="3257" w:type="dxa"/>
            <w:vAlign w:val="center"/>
          </w:tcPr>
          <w:p w:rsidR="00BD5820" w:rsidRDefault="00F64314">
            <w:pPr>
              <w:pStyle w:val="afff1"/>
            </w:pPr>
            <w:r>
              <w:t>引起致命性中毒</w:t>
            </w:r>
          </w:p>
        </w:tc>
      </w:tr>
      <w:tr w:rsidR="00BD5820">
        <w:trPr>
          <w:trHeight w:val="261"/>
          <w:jc w:val="center"/>
        </w:trPr>
        <w:tc>
          <w:tcPr>
            <w:tcW w:w="2933" w:type="dxa"/>
            <w:vAlign w:val="center"/>
          </w:tcPr>
          <w:p w:rsidR="00BD5820" w:rsidRDefault="00F64314">
            <w:pPr>
              <w:pStyle w:val="afff1"/>
            </w:pPr>
            <w:r>
              <w:t>1500</w:t>
            </w:r>
          </w:p>
        </w:tc>
        <w:tc>
          <w:tcPr>
            <w:tcW w:w="2608" w:type="dxa"/>
            <w:vAlign w:val="center"/>
          </w:tcPr>
          <w:p w:rsidR="00BD5820" w:rsidRDefault="00F64314">
            <w:pPr>
              <w:pStyle w:val="afff1"/>
            </w:pPr>
            <w:r>
              <w:t>/</w:t>
            </w:r>
          </w:p>
        </w:tc>
        <w:tc>
          <w:tcPr>
            <w:tcW w:w="3257" w:type="dxa"/>
            <w:vAlign w:val="center"/>
          </w:tcPr>
          <w:p w:rsidR="00BD5820" w:rsidRDefault="00F64314">
            <w:pPr>
              <w:pStyle w:val="afff1"/>
            </w:pPr>
            <w:r>
              <w:t>引起呼吸道麻痹、有生命危险</w:t>
            </w:r>
          </w:p>
        </w:tc>
      </w:tr>
      <w:tr w:rsidR="00BD5820">
        <w:trPr>
          <w:trHeight w:val="261"/>
          <w:jc w:val="center"/>
        </w:trPr>
        <w:tc>
          <w:tcPr>
            <w:tcW w:w="2933" w:type="dxa"/>
            <w:vAlign w:val="center"/>
          </w:tcPr>
          <w:p w:rsidR="00BD5820" w:rsidRDefault="00F64314">
            <w:pPr>
              <w:pStyle w:val="afff1"/>
            </w:pPr>
            <w:r>
              <w:t>1500</w:t>
            </w:r>
            <w:r>
              <w:t>～</w:t>
            </w:r>
            <w:r>
              <w:t>2250</w:t>
            </w:r>
          </w:p>
        </w:tc>
        <w:tc>
          <w:tcPr>
            <w:tcW w:w="2608" w:type="dxa"/>
            <w:vAlign w:val="center"/>
          </w:tcPr>
          <w:p w:rsidR="00BD5820" w:rsidRDefault="00F64314">
            <w:pPr>
              <w:pStyle w:val="afff1"/>
            </w:pPr>
            <w:r>
              <w:t>数分钟</w:t>
            </w:r>
          </w:p>
        </w:tc>
        <w:tc>
          <w:tcPr>
            <w:tcW w:w="3257" w:type="dxa"/>
            <w:vAlign w:val="center"/>
          </w:tcPr>
          <w:p w:rsidR="00BD5820" w:rsidRDefault="00F64314">
            <w:pPr>
              <w:pStyle w:val="afff1"/>
            </w:pPr>
            <w:r>
              <w:t>死亡</w:t>
            </w:r>
          </w:p>
        </w:tc>
      </w:tr>
    </w:tbl>
    <w:p w:rsidR="00BD5820" w:rsidRDefault="00F64314">
      <w:pPr>
        <w:pStyle w:val="affa"/>
        <w:ind w:firstLine="482"/>
        <w:rPr>
          <w:b/>
        </w:rPr>
      </w:pPr>
      <w:bookmarkStart w:id="442" w:name="_Toc12288731"/>
      <w:bookmarkStart w:id="443" w:name="_Toc19816104"/>
      <w:r>
        <w:rPr>
          <w:rFonts w:hint="eastAsia"/>
          <w:b/>
        </w:rPr>
        <w:t>3</w:t>
      </w:r>
      <w:r>
        <w:rPr>
          <w:b/>
        </w:rPr>
        <w:t>、</w:t>
      </w:r>
      <w:r>
        <w:rPr>
          <w:rFonts w:hint="eastAsia"/>
          <w:b/>
        </w:rPr>
        <w:t>润滑油</w:t>
      </w:r>
    </w:p>
    <w:p w:rsidR="00BD5820" w:rsidRDefault="00F64314">
      <w:pPr>
        <w:pStyle w:val="affa"/>
        <w:ind w:firstLine="480"/>
      </w:pPr>
      <w:r>
        <w:rPr>
          <w:rFonts w:hint="eastAsia"/>
        </w:rPr>
        <w:t>润滑油为</w:t>
      </w:r>
      <w:r>
        <w:t>油状液体</w:t>
      </w:r>
      <w:r>
        <w:rPr>
          <w:rFonts w:hint="eastAsia"/>
        </w:rPr>
        <w:t>，</w:t>
      </w:r>
      <w:r>
        <w:t>淡黄色至褐色</w:t>
      </w:r>
      <w:r>
        <w:rPr>
          <w:rFonts w:hint="eastAsia"/>
        </w:rPr>
        <w:t>，</w:t>
      </w:r>
      <w:r>
        <w:t>无气味或略带异味</w:t>
      </w:r>
      <w:r>
        <w:rPr>
          <w:rFonts w:hint="eastAsia"/>
        </w:rPr>
        <w:t>。不溶于水，溶于有机溶剂。</w:t>
      </w:r>
      <w:r>
        <w:t>急性吸入，可出现乏力、头晕、头痛、恶心，严重者可引起油脂性肺炎。</w:t>
      </w:r>
      <w:r>
        <w:t xml:space="preserve"> </w:t>
      </w:r>
      <w:r>
        <w:t>慢接触者，暴露部位可发生油性痤疮和接触性皮炎。可引起神经衰弱综合征，呼吸道和眼刺激症状及慢性油脂性肺炎</w:t>
      </w:r>
      <w:r>
        <w:rPr>
          <w:rFonts w:hint="eastAsia"/>
        </w:rPr>
        <w:t>。</w:t>
      </w:r>
    </w:p>
    <w:p w:rsidR="00BD5820" w:rsidRDefault="00F64314">
      <w:pPr>
        <w:pStyle w:val="affa"/>
        <w:ind w:firstLine="480"/>
      </w:pPr>
      <w:r>
        <w:rPr>
          <w:rFonts w:hint="eastAsia"/>
        </w:rPr>
        <w:t>毒性：</w:t>
      </w:r>
      <w:r>
        <w:rPr>
          <w:rFonts w:hint="eastAsia"/>
        </w:rPr>
        <w:t>LD</w:t>
      </w:r>
      <w:r>
        <w:rPr>
          <w:rFonts w:hint="eastAsia"/>
          <w:vertAlign w:val="subscript"/>
        </w:rPr>
        <w:t>50</w:t>
      </w:r>
      <w:r>
        <w:rPr>
          <w:rFonts w:hint="eastAsia"/>
        </w:rPr>
        <w:t>、</w:t>
      </w:r>
      <w:r>
        <w:rPr>
          <w:rFonts w:hint="eastAsia"/>
        </w:rPr>
        <w:t>LC</w:t>
      </w:r>
      <w:r>
        <w:rPr>
          <w:rFonts w:hint="eastAsia"/>
          <w:vertAlign w:val="subscript"/>
        </w:rPr>
        <w:t>50</w:t>
      </w:r>
      <w:r>
        <w:rPr>
          <w:rFonts w:hint="eastAsia"/>
        </w:rPr>
        <w:t>无资料。</w:t>
      </w:r>
    </w:p>
    <w:p w:rsidR="00BD5820" w:rsidRDefault="00F64314">
      <w:pPr>
        <w:pStyle w:val="affa"/>
        <w:ind w:firstLine="480"/>
      </w:pPr>
      <w:r>
        <w:rPr>
          <w:rFonts w:hint="eastAsia"/>
        </w:rPr>
        <w:t>危险特性：</w:t>
      </w:r>
      <w:r>
        <w:t>遇明火、高热可燃</w:t>
      </w:r>
      <w:r>
        <w:rPr>
          <w:rFonts w:hint="eastAsia"/>
        </w:rPr>
        <w:t>。</w:t>
      </w:r>
    </w:p>
    <w:p w:rsidR="00BD5820" w:rsidRDefault="00F64314">
      <w:pPr>
        <w:topLinePunct w:val="0"/>
        <w:adjustRightInd/>
        <w:spacing w:line="240" w:lineRule="auto"/>
        <w:ind w:firstLineChars="0" w:firstLine="0"/>
        <w:jc w:val="center"/>
        <w:rPr>
          <w:rFonts w:ascii="Times New Roman" w:hAnsi="宋体" w:cs="Times New Roman"/>
          <w:b/>
          <w:bCs/>
          <w:kern w:val="2"/>
          <w:sz w:val="21"/>
          <w:szCs w:val="21"/>
        </w:rPr>
      </w:pPr>
      <w:bookmarkStart w:id="444" w:name="_Toc499634210"/>
      <w:r>
        <w:rPr>
          <w:rFonts w:ascii="Times New Roman" w:hAnsi="宋体" w:cs="Times New Roman"/>
          <w:b/>
          <w:bCs/>
          <w:kern w:val="2"/>
          <w:sz w:val="21"/>
          <w:szCs w:val="21"/>
        </w:rPr>
        <w:t>表</w:t>
      </w:r>
      <w:r>
        <w:rPr>
          <w:rFonts w:ascii="Times New Roman" w:hAnsi="宋体" w:cs="Times New Roman"/>
          <w:b/>
          <w:bCs/>
          <w:kern w:val="2"/>
          <w:sz w:val="21"/>
          <w:szCs w:val="21"/>
        </w:rPr>
        <w:t>7.6-</w:t>
      </w:r>
      <w:r>
        <w:rPr>
          <w:rFonts w:ascii="Times New Roman" w:hAnsi="宋体" w:cs="Times New Roman" w:hint="eastAsia"/>
          <w:b/>
          <w:bCs/>
          <w:kern w:val="2"/>
          <w:sz w:val="21"/>
          <w:szCs w:val="21"/>
        </w:rPr>
        <w:t>5</w:t>
      </w:r>
      <w:r>
        <w:rPr>
          <w:rFonts w:ascii="Times New Roman" w:hAnsi="宋体" w:cs="Times New Roman"/>
          <w:b/>
          <w:bCs/>
          <w:kern w:val="2"/>
          <w:sz w:val="21"/>
          <w:szCs w:val="21"/>
        </w:rPr>
        <w:t xml:space="preserve"> </w:t>
      </w:r>
      <w:r>
        <w:rPr>
          <w:rFonts w:ascii="Times New Roman" w:hAnsi="宋体" w:cs="Times New Roman" w:hint="eastAsia"/>
          <w:b/>
          <w:kern w:val="2"/>
          <w:sz w:val="21"/>
          <w:szCs w:val="21"/>
        </w:rPr>
        <w:t xml:space="preserve"> </w:t>
      </w:r>
      <w:r>
        <w:rPr>
          <w:rFonts w:ascii="Times New Roman" w:hAnsi="宋体" w:cs="Times New Roman"/>
          <w:b/>
          <w:kern w:val="2"/>
          <w:sz w:val="21"/>
          <w:szCs w:val="21"/>
        </w:rPr>
        <w:t>润滑油</w:t>
      </w:r>
      <w:bookmarkEnd w:id="444"/>
      <w:r>
        <w:rPr>
          <w:rFonts w:ascii="Times New Roman" w:hAnsi="宋体" w:cs="Times New Roman"/>
          <w:b/>
          <w:bCs/>
          <w:kern w:val="2"/>
          <w:sz w:val="21"/>
          <w:szCs w:val="21"/>
        </w:rPr>
        <w:t>理化性质及危险特性</w:t>
      </w:r>
    </w:p>
    <w:tbl>
      <w:tblPr>
        <w:tblW w:w="0" w:type="auto"/>
        <w:tblBorders>
          <w:top w:val="single" w:sz="12" w:space="0" w:color="auto"/>
          <w:bottom w:val="single" w:sz="12" w:space="0" w:color="auto"/>
          <w:insideH w:val="single" w:sz="4" w:space="0" w:color="auto"/>
          <w:insideV w:val="single" w:sz="4" w:space="0" w:color="auto"/>
        </w:tblBorders>
        <w:tblLayout w:type="fixed"/>
        <w:tblLook w:val="04A0"/>
      </w:tblPr>
      <w:tblGrid>
        <w:gridCol w:w="1551"/>
        <w:gridCol w:w="6978"/>
      </w:tblGrid>
      <w:tr w:rsidR="00BD5820">
        <w:trPr>
          <w:cantSplit/>
          <w:trHeight w:val="20"/>
          <w:tblHeader/>
        </w:trPr>
        <w:tc>
          <w:tcPr>
            <w:tcW w:w="1551" w:type="dxa"/>
            <w:shd w:val="clear" w:color="auto" w:fill="auto"/>
            <w:vAlign w:val="center"/>
          </w:tcPr>
          <w:p w:rsidR="00BD5820" w:rsidRDefault="00F64314">
            <w:pPr>
              <w:widowControl/>
              <w:topLinePunct w:val="0"/>
              <w:adjustRightInd/>
              <w:spacing w:line="240" w:lineRule="auto"/>
              <w:ind w:firstLineChars="0" w:firstLine="0"/>
              <w:jc w:val="center"/>
              <w:rPr>
                <w:rFonts w:ascii="Times New Roman" w:cs="Times New Roman"/>
                <w:color w:val="000000"/>
                <w:sz w:val="21"/>
                <w:szCs w:val="21"/>
              </w:rPr>
            </w:pPr>
            <w:r>
              <w:rPr>
                <w:rFonts w:ascii="Times New Roman" w:hAnsi="宋体" w:cs="Times New Roman"/>
                <w:color w:val="000000"/>
                <w:sz w:val="21"/>
                <w:szCs w:val="21"/>
              </w:rPr>
              <w:t>项目</w:t>
            </w:r>
          </w:p>
        </w:tc>
        <w:tc>
          <w:tcPr>
            <w:tcW w:w="6978" w:type="dxa"/>
            <w:shd w:val="clear" w:color="auto" w:fill="auto"/>
            <w:vAlign w:val="center"/>
          </w:tcPr>
          <w:p w:rsidR="00BD5820" w:rsidRDefault="00F64314">
            <w:pPr>
              <w:widowControl/>
              <w:topLinePunct w:val="0"/>
              <w:adjustRightInd/>
              <w:spacing w:line="240" w:lineRule="auto"/>
              <w:ind w:firstLineChars="0" w:firstLine="0"/>
              <w:jc w:val="center"/>
              <w:rPr>
                <w:rFonts w:ascii="Times New Roman" w:cs="Times New Roman"/>
                <w:bCs/>
                <w:color w:val="000000"/>
                <w:kern w:val="2"/>
                <w:sz w:val="21"/>
                <w:szCs w:val="21"/>
              </w:rPr>
            </w:pPr>
            <w:r>
              <w:rPr>
                <w:rFonts w:ascii="Times New Roman" w:hAnsi="宋体" w:cs="Times New Roman"/>
                <w:color w:val="000000"/>
                <w:kern w:val="2"/>
                <w:sz w:val="21"/>
                <w:szCs w:val="21"/>
              </w:rPr>
              <w:t>内容</w:t>
            </w:r>
          </w:p>
        </w:tc>
      </w:tr>
      <w:tr w:rsidR="00BD5820">
        <w:trPr>
          <w:cantSplit/>
          <w:trHeight w:val="20"/>
        </w:trPr>
        <w:tc>
          <w:tcPr>
            <w:tcW w:w="8529" w:type="dxa"/>
            <w:gridSpan w:val="2"/>
            <w:shd w:val="clear" w:color="auto" w:fill="auto"/>
            <w:vAlign w:val="center"/>
          </w:tcPr>
          <w:p w:rsidR="00BD5820" w:rsidRDefault="00F64314">
            <w:pPr>
              <w:widowControl/>
              <w:topLinePunct w:val="0"/>
              <w:adjustRightInd/>
              <w:spacing w:line="240" w:lineRule="auto"/>
              <w:ind w:firstLineChars="0" w:firstLine="0"/>
              <w:jc w:val="center"/>
              <w:rPr>
                <w:rFonts w:ascii="Times New Roman" w:cs="Times New Roman"/>
                <w:color w:val="000000"/>
                <w:kern w:val="2"/>
                <w:sz w:val="21"/>
                <w:szCs w:val="21"/>
              </w:rPr>
            </w:pPr>
            <w:r>
              <w:rPr>
                <w:rFonts w:ascii="Times New Roman" w:hAnsi="宋体" w:cs="Times New Roman"/>
                <w:color w:val="000000"/>
                <w:kern w:val="2"/>
                <w:sz w:val="21"/>
                <w:szCs w:val="21"/>
              </w:rPr>
              <w:t>性状与用途</w:t>
            </w:r>
          </w:p>
        </w:tc>
      </w:tr>
      <w:tr w:rsidR="00BD5820">
        <w:trPr>
          <w:cantSplit/>
          <w:trHeight w:val="20"/>
        </w:trPr>
        <w:tc>
          <w:tcPr>
            <w:tcW w:w="1551" w:type="dxa"/>
            <w:shd w:val="clear" w:color="auto" w:fill="auto"/>
            <w:vAlign w:val="center"/>
          </w:tcPr>
          <w:p w:rsidR="00BD5820" w:rsidRDefault="00F64314">
            <w:pPr>
              <w:widowControl/>
              <w:topLinePunct w:val="0"/>
              <w:adjustRightInd/>
              <w:spacing w:line="240" w:lineRule="auto"/>
              <w:ind w:firstLineChars="0" w:firstLine="0"/>
              <w:jc w:val="center"/>
              <w:rPr>
                <w:rFonts w:ascii="Times New Roman" w:cs="Times New Roman"/>
                <w:color w:val="000000"/>
                <w:sz w:val="21"/>
                <w:szCs w:val="21"/>
              </w:rPr>
            </w:pPr>
            <w:r>
              <w:rPr>
                <w:rFonts w:ascii="Times New Roman" w:hAnsi="宋体" w:cs="Times New Roman"/>
                <w:color w:val="000000"/>
                <w:sz w:val="21"/>
                <w:szCs w:val="21"/>
              </w:rPr>
              <w:t>外观与性状</w:t>
            </w:r>
          </w:p>
        </w:tc>
        <w:tc>
          <w:tcPr>
            <w:tcW w:w="6978" w:type="dxa"/>
            <w:shd w:val="clear" w:color="auto" w:fill="auto"/>
            <w:vAlign w:val="center"/>
          </w:tcPr>
          <w:p w:rsidR="00BD5820" w:rsidRDefault="00F64314">
            <w:pPr>
              <w:topLinePunct w:val="0"/>
              <w:snapToGrid w:val="0"/>
              <w:spacing w:line="240" w:lineRule="auto"/>
              <w:ind w:firstLineChars="0" w:firstLine="0"/>
              <w:jc w:val="center"/>
              <w:rPr>
                <w:rFonts w:ascii="Times New Roman" w:cs="Times New Roman"/>
                <w:kern w:val="2"/>
                <w:sz w:val="21"/>
                <w:szCs w:val="21"/>
              </w:rPr>
            </w:pPr>
            <w:r>
              <w:rPr>
                <w:rFonts w:ascii="Times New Roman" w:hAnsi="宋体" w:cs="Times New Roman"/>
                <w:kern w:val="2"/>
                <w:sz w:val="21"/>
                <w:szCs w:val="21"/>
              </w:rPr>
              <w:t>油状液体</w:t>
            </w:r>
            <w:r>
              <w:rPr>
                <w:rFonts w:ascii="Times New Roman" w:cs="Times New Roman" w:hint="eastAsia"/>
                <w:kern w:val="2"/>
                <w:sz w:val="21"/>
                <w:szCs w:val="21"/>
              </w:rPr>
              <w:t>，</w:t>
            </w:r>
            <w:r>
              <w:rPr>
                <w:rFonts w:ascii="Times New Roman" w:hAnsi="宋体" w:cs="Times New Roman"/>
                <w:kern w:val="2"/>
                <w:sz w:val="21"/>
                <w:szCs w:val="21"/>
              </w:rPr>
              <w:t>淡黄色至褐色</w:t>
            </w:r>
            <w:r>
              <w:rPr>
                <w:rFonts w:ascii="Times New Roman" w:cs="Times New Roman" w:hint="eastAsia"/>
                <w:kern w:val="2"/>
                <w:sz w:val="21"/>
                <w:szCs w:val="21"/>
              </w:rPr>
              <w:t>，</w:t>
            </w:r>
            <w:r>
              <w:rPr>
                <w:rFonts w:ascii="Times New Roman" w:hAnsi="宋体" w:cs="Times New Roman"/>
                <w:kern w:val="2"/>
                <w:sz w:val="21"/>
                <w:szCs w:val="21"/>
              </w:rPr>
              <w:t>无气味或略带异味。</w:t>
            </w:r>
          </w:p>
        </w:tc>
      </w:tr>
      <w:tr w:rsidR="00BD5820">
        <w:trPr>
          <w:cantSplit/>
          <w:trHeight w:val="20"/>
        </w:trPr>
        <w:tc>
          <w:tcPr>
            <w:tcW w:w="1551" w:type="dxa"/>
            <w:shd w:val="clear" w:color="auto" w:fill="auto"/>
            <w:vAlign w:val="center"/>
          </w:tcPr>
          <w:p w:rsidR="00BD5820" w:rsidRDefault="00F64314">
            <w:pPr>
              <w:widowControl/>
              <w:topLinePunct w:val="0"/>
              <w:adjustRightInd/>
              <w:spacing w:line="240" w:lineRule="auto"/>
              <w:ind w:firstLineChars="0" w:firstLine="0"/>
              <w:jc w:val="center"/>
              <w:rPr>
                <w:rFonts w:ascii="Times New Roman" w:cs="Times New Roman"/>
                <w:color w:val="000000"/>
                <w:sz w:val="21"/>
                <w:szCs w:val="21"/>
              </w:rPr>
            </w:pPr>
            <w:r>
              <w:rPr>
                <w:rFonts w:ascii="Times New Roman" w:hAnsi="宋体" w:cs="Times New Roman"/>
                <w:color w:val="000000"/>
                <w:sz w:val="21"/>
                <w:szCs w:val="21"/>
              </w:rPr>
              <w:t>主要用途</w:t>
            </w:r>
          </w:p>
        </w:tc>
        <w:tc>
          <w:tcPr>
            <w:tcW w:w="6978" w:type="dxa"/>
            <w:shd w:val="clear" w:color="auto" w:fill="auto"/>
            <w:vAlign w:val="center"/>
          </w:tcPr>
          <w:p w:rsidR="00BD5820" w:rsidRDefault="00F64314">
            <w:pPr>
              <w:topLinePunct w:val="0"/>
              <w:snapToGrid w:val="0"/>
              <w:spacing w:line="240" w:lineRule="auto"/>
              <w:ind w:firstLineChars="0" w:firstLine="0"/>
              <w:jc w:val="center"/>
              <w:rPr>
                <w:rFonts w:ascii="Times New Roman" w:cs="Times New Roman"/>
                <w:kern w:val="2"/>
                <w:sz w:val="21"/>
                <w:szCs w:val="21"/>
              </w:rPr>
            </w:pPr>
            <w:r>
              <w:rPr>
                <w:rFonts w:ascii="Times New Roman" w:hAnsi="宋体" w:cs="Times New Roman"/>
                <w:kern w:val="2"/>
                <w:sz w:val="21"/>
                <w:szCs w:val="21"/>
              </w:rPr>
              <w:t>用于机械的摩擦部分</w:t>
            </w:r>
            <w:r>
              <w:rPr>
                <w:rFonts w:ascii="Times New Roman" w:cs="Times New Roman" w:hint="eastAsia"/>
                <w:kern w:val="2"/>
                <w:sz w:val="21"/>
                <w:szCs w:val="21"/>
              </w:rPr>
              <w:t>，</w:t>
            </w:r>
            <w:r>
              <w:rPr>
                <w:rFonts w:ascii="Times New Roman" w:hAnsi="宋体" w:cs="Times New Roman"/>
                <w:kern w:val="2"/>
                <w:sz w:val="21"/>
                <w:szCs w:val="21"/>
              </w:rPr>
              <w:t>起润滑、冷却和密封作用。</w:t>
            </w:r>
          </w:p>
        </w:tc>
      </w:tr>
      <w:tr w:rsidR="00BD5820">
        <w:trPr>
          <w:cantSplit/>
          <w:trHeight w:val="20"/>
        </w:trPr>
        <w:tc>
          <w:tcPr>
            <w:tcW w:w="8529" w:type="dxa"/>
            <w:gridSpan w:val="2"/>
            <w:shd w:val="clear" w:color="auto" w:fill="auto"/>
            <w:vAlign w:val="center"/>
          </w:tcPr>
          <w:p w:rsidR="00BD5820" w:rsidRDefault="00F64314">
            <w:pPr>
              <w:widowControl/>
              <w:topLinePunct w:val="0"/>
              <w:adjustRightInd/>
              <w:spacing w:line="240" w:lineRule="auto"/>
              <w:ind w:firstLineChars="0" w:firstLine="0"/>
              <w:jc w:val="center"/>
              <w:rPr>
                <w:rFonts w:ascii="Times New Roman" w:cs="Times New Roman"/>
                <w:color w:val="000000"/>
                <w:kern w:val="2"/>
                <w:sz w:val="21"/>
                <w:szCs w:val="21"/>
              </w:rPr>
            </w:pPr>
            <w:r>
              <w:rPr>
                <w:rFonts w:ascii="Times New Roman" w:hAnsi="宋体" w:cs="Times New Roman"/>
                <w:color w:val="000000"/>
                <w:kern w:val="2"/>
                <w:sz w:val="21"/>
                <w:szCs w:val="21"/>
              </w:rPr>
              <w:t>理化性质</w:t>
            </w:r>
          </w:p>
        </w:tc>
      </w:tr>
      <w:tr w:rsidR="00BD5820">
        <w:trPr>
          <w:cantSplit/>
          <w:trHeight w:val="20"/>
        </w:trPr>
        <w:tc>
          <w:tcPr>
            <w:tcW w:w="1551" w:type="dxa"/>
            <w:shd w:val="clear" w:color="auto" w:fill="auto"/>
            <w:vAlign w:val="center"/>
          </w:tcPr>
          <w:p w:rsidR="00BD5820" w:rsidRDefault="00F64314">
            <w:pPr>
              <w:widowControl/>
              <w:topLinePunct w:val="0"/>
              <w:adjustRightInd/>
              <w:spacing w:line="240" w:lineRule="auto"/>
              <w:ind w:firstLineChars="0" w:firstLine="0"/>
              <w:jc w:val="center"/>
              <w:rPr>
                <w:rFonts w:ascii="Times New Roman" w:cs="Times New Roman"/>
                <w:color w:val="000000"/>
                <w:sz w:val="21"/>
                <w:szCs w:val="21"/>
              </w:rPr>
            </w:pPr>
            <w:r>
              <w:rPr>
                <w:rFonts w:ascii="Times New Roman" w:hAnsi="宋体" w:cs="Times New Roman"/>
                <w:color w:val="000000"/>
                <w:sz w:val="21"/>
                <w:szCs w:val="21"/>
              </w:rPr>
              <w:t>闪点（</w:t>
            </w:r>
            <w:r>
              <w:rPr>
                <w:rFonts w:ascii="Times New Roman" w:cs="Times New Roman"/>
                <w:color w:val="000000"/>
                <w:sz w:val="21"/>
                <w:szCs w:val="21"/>
              </w:rPr>
              <w:t>℃</w:t>
            </w:r>
            <w:r>
              <w:rPr>
                <w:rFonts w:ascii="Times New Roman" w:hAnsi="宋体" w:cs="Times New Roman"/>
                <w:color w:val="000000"/>
                <w:sz w:val="21"/>
                <w:szCs w:val="21"/>
              </w:rPr>
              <w:t>）</w:t>
            </w:r>
          </w:p>
        </w:tc>
        <w:tc>
          <w:tcPr>
            <w:tcW w:w="6978" w:type="dxa"/>
            <w:shd w:val="clear" w:color="auto" w:fill="auto"/>
            <w:vAlign w:val="center"/>
          </w:tcPr>
          <w:p w:rsidR="00BD5820" w:rsidRDefault="00F64314">
            <w:pPr>
              <w:widowControl/>
              <w:topLinePunct w:val="0"/>
              <w:adjustRightInd/>
              <w:spacing w:line="240" w:lineRule="auto"/>
              <w:ind w:firstLineChars="0" w:firstLine="0"/>
              <w:jc w:val="center"/>
              <w:rPr>
                <w:rFonts w:ascii="Times New Roman" w:cs="Times New Roman"/>
                <w:color w:val="000000"/>
                <w:kern w:val="2"/>
                <w:sz w:val="21"/>
                <w:szCs w:val="21"/>
              </w:rPr>
            </w:pPr>
            <w:r>
              <w:rPr>
                <w:rFonts w:ascii="Times New Roman" w:cs="Times New Roman"/>
                <w:kern w:val="2"/>
                <w:sz w:val="21"/>
                <w:szCs w:val="21"/>
              </w:rPr>
              <w:t>76</w:t>
            </w:r>
          </w:p>
        </w:tc>
      </w:tr>
      <w:tr w:rsidR="00BD5820">
        <w:trPr>
          <w:cantSplit/>
          <w:trHeight w:val="20"/>
        </w:trPr>
        <w:tc>
          <w:tcPr>
            <w:tcW w:w="1551" w:type="dxa"/>
            <w:shd w:val="clear" w:color="auto" w:fill="auto"/>
            <w:vAlign w:val="center"/>
          </w:tcPr>
          <w:p w:rsidR="00BD5820" w:rsidRDefault="00F64314">
            <w:pPr>
              <w:widowControl/>
              <w:topLinePunct w:val="0"/>
              <w:adjustRightInd/>
              <w:spacing w:line="240" w:lineRule="auto"/>
              <w:ind w:firstLineChars="0" w:firstLine="0"/>
              <w:jc w:val="center"/>
              <w:rPr>
                <w:rFonts w:ascii="Times New Roman" w:cs="Times New Roman"/>
                <w:color w:val="000000"/>
                <w:sz w:val="21"/>
                <w:szCs w:val="21"/>
              </w:rPr>
            </w:pPr>
            <w:r>
              <w:rPr>
                <w:rFonts w:ascii="Times New Roman" w:hAnsi="宋体" w:cs="Times New Roman"/>
                <w:color w:val="000000"/>
                <w:sz w:val="21"/>
                <w:szCs w:val="21"/>
              </w:rPr>
              <w:t>燃点（</w:t>
            </w:r>
            <w:r>
              <w:rPr>
                <w:rFonts w:ascii="Times New Roman" w:cs="Times New Roman"/>
                <w:color w:val="000000"/>
                <w:sz w:val="21"/>
                <w:szCs w:val="21"/>
              </w:rPr>
              <w:t>℃</w:t>
            </w:r>
            <w:r>
              <w:rPr>
                <w:rFonts w:ascii="Times New Roman" w:hAnsi="宋体" w:cs="Times New Roman"/>
                <w:color w:val="000000"/>
                <w:sz w:val="21"/>
                <w:szCs w:val="21"/>
              </w:rPr>
              <w:t>）</w:t>
            </w:r>
          </w:p>
        </w:tc>
        <w:tc>
          <w:tcPr>
            <w:tcW w:w="6978" w:type="dxa"/>
            <w:shd w:val="clear" w:color="auto" w:fill="auto"/>
            <w:vAlign w:val="center"/>
          </w:tcPr>
          <w:p w:rsidR="00BD5820" w:rsidRDefault="00F64314">
            <w:pPr>
              <w:topLinePunct w:val="0"/>
              <w:snapToGrid w:val="0"/>
              <w:spacing w:line="240" w:lineRule="auto"/>
              <w:ind w:firstLineChars="0" w:firstLine="0"/>
              <w:jc w:val="center"/>
              <w:rPr>
                <w:rFonts w:ascii="Times New Roman" w:cs="Times New Roman"/>
                <w:color w:val="000000"/>
                <w:kern w:val="2"/>
                <w:sz w:val="21"/>
                <w:szCs w:val="21"/>
              </w:rPr>
            </w:pPr>
            <w:r>
              <w:rPr>
                <w:rFonts w:ascii="Times New Roman" w:cs="Times New Roman"/>
                <w:kern w:val="2"/>
                <w:sz w:val="21"/>
                <w:szCs w:val="21"/>
              </w:rPr>
              <w:t>248</w:t>
            </w:r>
          </w:p>
        </w:tc>
      </w:tr>
      <w:tr w:rsidR="00BD5820">
        <w:trPr>
          <w:cantSplit/>
          <w:trHeight w:val="20"/>
        </w:trPr>
        <w:tc>
          <w:tcPr>
            <w:tcW w:w="1551" w:type="dxa"/>
            <w:shd w:val="clear" w:color="auto" w:fill="auto"/>
            <w:vAlign w:val="center"/>
          </w:tcPr>
          <w:p w:rsidR="00BD5820" w:rsidRDefault="00F64314">
            <w:pPr>
              <w:widowControl/>
              <w:topLinePunct w:val="0"/>
              <w:adjustRightInd/>
              <w:spacing w:line="240" w:lineRule="auto"/>
              <w:ind w:firstLineChars="0" w:firstLine="0"/>
              <w:jc w:val="center"/>
              <w:rPr>
                <w:rFonts w:ascii="Times New Roman" w:cs="Times New Roman"/>
                <w:color w:val="000000"/>
                <w:sz w:val="21"/>
                <w:szCs w:val="21"/>
              </w:rPr>
            </w:pPr>
            <w:r>
              <w:rPr>
                <w:rFonts w:ascii="Times New Roman" w:hAnsi="宋体" w:cs="Times New Roman"/>
                <w:color w:val="000000"/>
                <w:sz w:val="21"/>
                <w:szCs w:val="21"/>
              </w:rPr>
              <w:t>相对密度</w:t>
            </w:r>
          </w:p>
          <w:p w:rsidR="00BD5820" w:rsidRDefault="00F64314">
            <w:pPr>
              <w:widowControl/>
              <w:topLinePunct w:val="0"/>
              <w:adjustRightInd/>
              <w:spacing w:line="240" w:lineRule="auto"/>
              <w:ind w:firstLineChars="0" w:firstLine="0"/>
              <w:jc w:val="center"/>
              <w:rPr>
                <w:rFonts w:ascii="Times New Roman" w:cs="Times New Roman"/>
                <w:color w:val="000000"/>
                <w:sz w:val="21"/>
                <w:szCs w:val="21"/>
              </w:rPr>
            </w:pPr>
            <w:r>
              <w:rPr>
                <w:rFonts w:ascii="Times New Roman" w:hAnsi="宋体" w:cs="Times New Roman"/>
                <w:color w:val="000000"/>
                <w:sz w:val="21"/>
                <w:szCs w:val="21"/>
              </w:rPr>
              <w:t>（水</w:t>
            </w:r>
            <w:r>
              <w:rPr>
                <w:rFonts w:ascii="Times New Roman" w:cs="Times New Roman"/>
                <w:color w:val="000000"/>
                <w:sz w:val="21"/>
                <w:szCs w:val="21"/>
              </w:rPr>
              <w:t>=1</w:t>
            </w:r>
            <w:r>
              <w:rPr>
                <w:rFonts w:ascii="Times New Roman" w:hAnsi="宋体" w:cs="Times New Roman"/>
                <w:color w:val="000000"/>
                <w:sz w:val="21"/>
                <w:szCs w:val="21"/>
              </w:rPr>
              <w:t>）</w:t>
            </w:r>
          </w:p>
        </w:tc>
        <w:tc>
          <w:tcPr>
            <w:tcW w:w="6978" w:type="dxa"/>
            <w:shd w:val="clear" w:color="auto" w:fill="auto"/>
            <w:vAlign w:val="center"/>
          </w:tcPr>
          <w:p w:rsidR="00BD5820" w:rsidRDefault="00F64314">
            <w:pPr>
              <w:topLinePunct w:val="0"/>
              <w:adjustRightInd/>
              <w:spacing w:line="240" w:lineRule="auto"/>
              <w:ind w:leftChars="-61" w:left="-146" w:firstLineChars="0" w:firstLine="0"/>
              <w:jc w:val="center"/>
              <w:rPr>
                <w:rFonts w:ascii="Times New Roman" w:cs="Times New Roman"/>
                <w:color w:val="000000"/>
                <w:kern w:val="2"/>
                <w:sz w:val="21"/>
                <w:szCs w:val="21"/>
              </w:rPr>
            </w:pPr>
            <w:r>
              <w:rPr>
                <w:rFonts w:ascii="Times New Roman" w:hAnsi="宋体" w:cs="Times New Roman"/>
                <w:color w:val="000000"/>
                <w:kern w:val="2"/>
                <w:sz w:val="21"/>
                <w:szCs w:val="21"/>
              </w:rPr>
              <w:t>＜</w:t>
            </w:r>
            <w:r>
              <w:rPr>
                <w:rFonts w:ascii="Times New Roman" w:cs="Times New Roman"/>
                <w:color w:val="000000"/>
                <w:kern w:val="2"/>
                <w:sz w:val="21"/>
                <w:szCs w:val="21"/>
              </w:rPr>
              <w:t>1</w:t>
            </w:r>
          </w:p>
        </w:tc>
      </w:tr>
      <w:tr w:rsidR="00BD5820">
        <w:trPr>
          <w:cantSplit/>
          <w:trHeight w:val="20"/>
        </w:trPr>
        <w:tc>
          <w:tcPr>
            <w:tcW w:w="1551" w:type="dxa"/>
            <w:shd w:val="clear" w:color="auto" w:fill="auto"/>
            <w:vAlign w:val="center"/>
          </w:tcPr>
          <w:p w:rsidR="00BD5820" w:rsidRDefault="00F64314">
            <w:pPr>
              <w:widowControl/>
              <w:topLinePunct w:val="0"/>
              <w:adjustRightInd/>
              <w:spacing w:line="240" w:lineRule="auto"/>
              <w:ind w:firstLineChars="0" w:firstLine="0"/>
              <w:jc w:val="center"/>
              <w:rPr>
                <w:rFonts w:ascii="Times New Roman" w:cs="Times New Roman"/>
                <w:color w:val="000000"/>
                <w:sz w:val="21"/>
                <w:szCs w:val="21"/>
              </w:rPr>
            </w:pPr>
            <w:r>
              <w:rPr>
                <w:rFonts w:ascii="Times New Roman" w:hAnsi="宋体" w:cs="Times New Roman"/>
                <w:color w:val="000000"/>
                <w:sz w:val="21"/>
                <w:szCs w:val="21"/>
              </w:rPr>
              <w:t>相对蒸汽密度</w:t>
            </w:r>
          </w:p>
          <w:p w:rsidR="00BD5820" w:rsidRDefault="00F64314">
            <w:pPr>
              <w:widowControl/>
              <w:topLinePunct w:val="0"/>
              <w:adjustRightInd/>
              <w:spacing w:line="240" w:lineRule="auto"/>
              <w:ind w:firstLineChars="0" w:firstLine="0"/>
              <w:jc w:val="center"/>
              <w:rPr>
                <w:rFonts w:ascii="Times New Roman" w:cs="Times New Roman"/>
                <w:color w:val="000000"/>
                <w:sz w:val="21"/>
                <w:szCs w:val="21"/>
              </w:rPr>
            </w:pPr>
            <w:r>
              <w:rPr>
                <w:rFonts w:ascii="Times New Roman" w:hAnsi="宋体" w:cs="Times New Roman"/>
                <w:color w:val="000000"/>
                <w:sz w:val="21"/>
                <w:szCs w:val="21"/>
              </w:rPr>
              <w:t>（空气</w:t>
            </w:r>
            <w:r>
              <w:rPr>
                <w:rFonts w:ascii="Times New Roman" w:cs="Times New Roman"/>
                <w:color w:val="000000"/>
                <w:sz w:val="21"/>
                <w:szCs w:val="21"/>
              </w:rPr>
              <w:t>=1</w:t>
            </w:r>
            <w:r>
              <w:rPr>
                <w:rFonts w:ascii="Times New Roman" w:hAnsi="宋体" w:cs="Times New Roman"/>
                <w:color w:val="000000"/>
                <w:sz w:val="21"/>
                <w:szCs w:val="21"/>
              </w:rPr>
              <w:t>）</w:t>
            </w:r>
          </w:p>
        </w:tc>
        <w:tc>
          <w:tcPr>
            <w:tcW w:w="6978" w:type="dxa"/>
            <w:shd w:val="clear" w:color="auto" w:fill="auto"/>
            <w:vAlign w:val="center"/>
          </w:tcPr>
          <w:p w:rsidR="00BD5820" w:rsidRDefault="00F64314">
            <w:pPr>
              <w:topLinePunct w:val="0"/>
              <w:snapToGrid w:val="0"/>
              <w:spacing w:line="240" w:lineRule="auto"/>
              <w:ind w:leftChars="-61" w:left="-146" w:firstLineChars="0" w:firstLine="0"/>
              <w:jc w:val="center"/>
              <w:rPr>
                <w:rFonts w:ascii="Times New Roman" w:cs="Times New Roman"/>
                <w:color w:val="000000"/>
                <w:kern w:val="2"/>
                <w:sz w:val="21"/>
                <w:szCs w:val="21"/>
              </w:rPr>
            </w:pPr>
            <w:r>
              <w:rPr>
                <w:rFonts w:ascii="Times New Roman" w:hAnsi="宋体" w:cs="Times New Roman"/>
                <w:color w:val="000000"/>
                <w:kern w:val="2"/>
                <w:sz w:val="21"/>
                <w:szCs w:val="21"/>
              </w:rPr>
              <w:t>无资料</w:t>
            </w:r>
          </w:p>
        </w:tc>
      </w:tr>
      <w:tr w:rsidR="00BD5820">
        <w:trPr>
          <w:cantSplit/>
          <w:trHeight w:val="20"/>
        </w:trPr>
        <w:tc>
          <w:tcPr>
            <w:tcW w:w="1551" w:type="dxa"/>
            <w:shd w:val="clear" w:color="auto" w:fill="auto"/>
            <w:vAlign w:val="center"/>
          </w:tcPr>
          <w:p w:rsidR="00BD5820" w:rsidRDefault="00F64314">
            <w:pPr>
              <w:widowControl/>
              <w:topLinePunct w:val="0"/>
              <w:adjustRightInd/>
              <w:spacing w:line="240" w:lineRule="auto"/>
              <w:ind w:firstLineChars="0" w:firstLine="0"/>
              <w:jc w:val="center"/>
              <w:rPr>
                <w:rFonts w:ascii="Times New Roman" w:cs="Times New Roman"/>
                <w:color w:val="000000"/>
                <w:sz w:val="21"/>
                <w:szCs w:val="21"/>
              </w:rPr>
            </w:pPr>
            <w:r>
              <w:rPr>
                <w:rFonts w:ascii="Times New Roman" w:hAnsi="宋体" w:cs="Times New Roman"/>
                <w:color w:val="000000"/>
                <w:sz w:val="21"/>
                <w:szCs w:val="21"/>
              </w:rPr>
              <w:t>溶解性</w:t>
            </w:r>
          </w:p>
        </w:tc>
        <w:tc>
          <w:tcPr>
            <w:tcW w:w="6978" w:type="dxa"/>
            <w:shd w:val="clear" w:color="auto" w:fill="auto"/>
            <w:vAlign w:val="center"/>
          </w:tcPr>
          <w:p w:rsidR="00BD5820" w:rsidRDefault="00F64314">
            <w:pPr>
              <w:topLinePunct w:val="0"/>
              <w:snapToGrid w:val="0"/>
              <w:spacing w:line="240" w:lineRule="auto"/>
              <w:ind w:leftChars="-61" w:left="-146" w:firstLineChars="0" w:firstLine="0"/>
              <w:jc w:val="center"/>
              <w:rPr>
                <w:rFonts w:ascii="Times New Roman" w:cs="Times New Roman"/>
                <w:color w:val="000000"/>
                <w:kern w:val="2"/>
                <w:sz w:val="21"/>
                <w:szCs w:val="21"/>
              </w:rPr>
            </w:pPr>
            <w:r>
              <w:rPr>
                <w:rFonts w:ascii="Times New Roman" w:hAnsi="宋体" w:cs="Times New Roman"/>
                <w:color w:val="000000"/>
                <w:kern w:val="2"/>
                <w:sz w:val="21"/>
                <w:szCs w:val="21"/>
              </w:rPr>
              <w:t>不溶于水</w:t>
            </w:r>
          </w:p>
        </w:tc>
      </w:tr>
      <w:tr w:rsidR="00BD5820">
        <w:trPr>
          <w:cantSplit/>
          <w:trHeight w:val="20"/>
        </w:trPr>
        <w:tc>
          <w:tcPr>
            <w:tcW w:w="8529" w:type="dxa"/>
            <w:gridSpan w:val="2"/>
            <w:shd w:val="clear" w:color="auto" w:fill="auto"/>
            <w:vAlign w:val="center"/>
          </w:tcPr>
          <w:p w:rsidR="00BD5820" w:rsidRDefault="00F64314">
            <w:pPr>
              <w:topLinePunct w:val="0"/>
              <w:adjustRightInd/>
              <w:spacing w:line="240" w:lineRule="auto"/>
              <w:ind w:firstLineChars="0" w:firstLine="0"/>
              <w:jc w:val="center"/>
              <w:rPr>
                <w:rFonts w:ascii="Times New Roman" w:cs="Times New Roman"/>
                <w:color w:val="000000"/>
                <w:kern w:val="2"/>
                <w:sz w:val="21"/>
                <w:szCs w:val="21"/>
              </w:rPr>
            </w:pPr>
            <w:r>
              <w:rPr>
                <w:rFonts w:ascii="Times New Roman" w:hAnsi="宋体" w:cs="Times New Roman"/>
                <w:color w:val="000000"/>
                <w:kern w:val="2"/>
                <w:sz w:val="21"/>
                <w:szCs w:val="21"/>
              </w:rPr>
              <w:t>健康危害</w:t>
            </w:r>
          </w:p>
        </w:tc>
      </w:tr>
      <w:tr w:rsidR="00BD5820">
        <w:trPr>
          <w:cantSplit/>
          <w:trHeight w:val="20"/>
        </w:trPr>
        <w:tc>
          <w:tcPr>
            <w:tcW w:w="1551" w:type="dxa"/>
            <w:shd w:val="clear" w:color="auto" w:fill="auto"/>
            <w:vAlign w:val="center"/>
          </w:tcPr>
          <w:p w:rsidR="00BD5820" w:rsidRDefault="00F64314">
            <w:pPr>
              <w:widowControl/>
              <w:topLinePunct w:val="0"/>
              <w:adjustRightInd/>
              <w:spacing w:line="240" w:lineRule="auto"/>
              <w:ind w:firstLineChars="0" w:firstLine="0"/>
              <w:jc w:val="center"/>
              <w:rPr>
                <w:rFonts w:ascii="Times New Roman" w:cs="Times New Roman"/>
                <w:color w:val="000000"/>
                <w:sz w:val="21"/>
                <w:szCs w:val="21"/>
              </w:rPr>
            </w:pPr>
            <w:r>
              <w:rPr>
                <w:rFonts w:ascii="Times New Roman" w:hAnsi="宋体" w:cs="Times New Roman"/>
                <w:color w:val="000000"/>
                <w:sz w:val="21"/>
                <w:szCs w:val="21"/>
              </w:rPr>
              <w:t>侵入途径</w:t>
            </w:r>
          </w:p>
        </w:tc>
        <w:tc>
          <w:tcPr>
            <w:tcW w:w="6978" w:type="dxa"/>
            <w:shd w:val="clear" w:color="auto" w:fill="auto"/>
            <w:vAlign w:val="center"/>
          </w:tcPr>
          <w:p w:rsidR="00BD5820" w:rsidRDefault="00F64314">
            <w:pPr>
              <w:topLinePunct w:val="0"/>
              <w:adjustRightInd/>
              <w:spacing w:line="240" w:lineRule="auto"/>
              <w:ind w:firstLineChars="0" w:firstLine="0"/>
              <w:jc w:val="center"/>
              <w:rPr>
                <w:rFonts w:ascii="Times New Roman" w:cs="Times New Roman"/>
                <w:color w:val="000000"/>
                <w:kern w:val="2"/>
                <w:sz w:val="21"/>
                <w:szCs w:val="21"/>
              </w:rPr>
            </w:pPr>
            <w:r>
              <w:rPr>
                <w:rFonts w:ascii="Times New Roman" w:hAnsi="宋体" w:cs="Times New Roman"/>
                <w:color w:val="000000"/>
                <w:kern w:val="2"/>
                <w:sz w:val="21"/>
                <w:szCs w:val="21"/>
              </w:rPr>
              <w:t>吸入、食入</w:t>
            </w:r>
          </w:p>
        </w:tc>
      </w:tr>
      <w:tr w:rsidR="00BD5820">
        <w:trPr>
          <w:cantSplit/>
          <w:trHeight w:val="20"/>
        </w:trPr>
        <w:tc>
          <w:tcPr>
            <w:tcW w:w="1551" w:type="dxa"/>
            <w:shd w:val="clear" w:color="auto" w:fill="auto"/>
            <w:vAlign w:val="center"/>
          </w:tcPr>
          <w:p w:rsidR="00BD5820" w:rsidRDefault="00F64314">
            <w:pPr>
              <w:widowControl/>
              <w:topLinePunct w:val="0"/>
              <w:adjustRightInd/>
              <w:spacing w:line="240" w:lineRule="auto"/>
              <w:ind w:firstLineChars="0" w:firstLine="0"/>
              <w:jc w:val="center"/>
              <w:rPr>
                <w:rFonts w:ascii="Times New Roman" w:cs="Times New Roman"/>
                <w:color w:val="000000"/>
                <w:sz w:val="21"/>
                <w:szCs w:val="21"/>
              </w:rPr>
            </w:pPr>
            <w:r>
              <w:rPr>
                <w:rFonts w:ascii="Times New Roman" w:hAnsi="宋体" w:cs="Times New Roman"/>
                <w:color w:val="000000"/>
                <w:sz w:val="21"/>
                <w:szCs w:val="21"/>
              </w:rPr>
              <w:lastRenderedPageBreak/>
              <w:t>健康危害</w:t>
            </w:r>
          </w:p>
        </w:tc>
        <w:tc>
          <w:tcPr>
            <w:tcW w:w="6978" w:type="dxa"/>
            <w:shd w:val="clear" w:color="auto" w:fill="auto"/>
            <w:vAlign w:val="center"/>
          </w:tcPr>
          <w:p w:rsidR="00BD5820" w:rsidRDefault="00F64314">
            <w:pPr>
              <w:topLinePunct w:val="0"/>
              <w:adjustRightInd/>
              <w:spacing w:line="240" w:lineRule="auto"/>
              <w:ind w:firstLineChars="0" w:firstLine="0"/>
              <w:rPr>
                <w:rFonts w:ascii="Times New Roman" w:cs="Times New Roman"/>
                <w:color w:val="000000"/>
                <w:kern w:val="2"/>
                <w:sz w:val="21"/>
                <w:szCs w:val="21"/>
              </w:rPr>
            </w:pPr>
            <w:r>
              <w:rPr>
                <w:rFonts w:ascii="Times New Roman" w:hAnsi="宋体" w:cs="Times New Roman"/>
                <w:color w:val="000000"/>
                <w:kern w:val="2"/>
                <w:sz w:val="21"/>
                <w:szCs w:val="21"/>
              </w:rPr>
              <w:t>急性吸入，可出现乏力、头晕、头痛、恶心，严重者可引起油脂性肺炎。</w:t>
            </w:r>
            <w:r>
              <w:rPr>
                <w:rFonts w:ascii="Times New Roman" w:cs="Times New Roman"/>
                <w:color w:val="000000"/>
                <w:kern w:val="2"/>
                <w:sz w:val="21"/>
                <w:szCs w:val="21"/>
              </w:rPr>
              <w:t xml:space="preserve"> </w:t>
            </w:r>
            <w:r>
              <w:rPr>
                <w:rFonts w:ascii="Times New Roman" w:hAnsi="宋体" w:cs="Times New Roman"/>
                <w:color w:val="000000"/>
                <w:kern w:val="2"/>
                <w:sz w:val="21"/>
                <w:szCs w:val="21"/>
              </w:rPr>
              <w:t>慢接触者，暴露部位可发生油性痤疮和接触性皮炎。可引起神经衰弱综合征，呼吸道和眼刺激症状及慢性油脂性肺炎。有资料报道，接触石油润滑油类的工人，有致癌的病例报告。</w:t>
            </w:r>
          </w:p>
        </w:tc>
      </w:tr>
      <w:tr w:rsidR="00BD5820">
        <w:trPr>
          <w:cantSplit/>
          <w:trHeight w:val="20"/>
        </w:trPr>
        <w:tc>
          <w:tcPr>
            <w:tcW w:w="8529" w:type="dxa"/>
            <w:gridSpan w:val="2"/>
            <w:shd w:val="clear" w:color="auto" w:fill="auto"/>
            <w:vAlign w:val="center"/>
          </w:tcPr>
          <w:p w:rsidR="00BD5820" w:rsidRDefault="00F64314">
            <w:pPr>
              <w:topLinePunct w:val="0"/>
              <w:adjustRightInd/>
              <w:spacing w:line="240" w:lineRule="auto"/>
              <w:ind w:firstLineChars="0" w:firstLine="0"/>
              <w:jc w:val="center"/>
              <w:rPr>
                <w:rFonts w:ascii="Times New Roman" w:cs="Times New Roman"/>
                <w:color w:val="000000"/>
                <w:kern w:val="2"/>
                <w:sz w:val="21"/>
                <w:szCs w:val="21"/>
              </w:rPr>
            </w:pPr>
            <w:r>
              <w:rPr>
                <w:rFonts w:ascii="Times New Roman" w:hAnsi="宋体" w:cs="Times New Roman"/>
                <w:color w:val="000000"/>
                <w:kern w:val="2"/>
                <w:sz w:val="21"/>
                <w:szCs w:val="21"/>
              </w:rPr>
              <w:t>环境资料</w:t>
            </w:r>
          </w:p>
        </w:tc>
      </w:tr>
      <w:tr w:rsidR="00BD5820">
        <w:trPr>
          <w:cantSplit/>
          <w:trHeight w:val="20"/>
        </w:trPr>
        <w:tc>
          <w:tcPr>
            <w:tcW w:w="8529" w:type="dxa"/>
            <w:gridSpan w:val="2"/>
            <w:shd w:val="clear" w:color="auto" w:fill="auto"/>
            <w:vAlign w:val="center"/>
          </w:tcPr>
          <w:p w:rsidR="00BD5820" w:rsidRDefault="00F64314">
            <w:pPr>
              <w:widowControl/>
              <w:shd w:val="clear" w:color="auto" w:fill="FFFFFF"/>
              <w:topLinePunct w:val="0"/>
              <w:adjustRightInd/>
              <w:spacing w:line="240" w:lineRule="auto"/>
              <w:ind w:firstLineChars="0" w:firstLine="0"/>
              <w:jc w:val="center"/>
              <w:rPr>
                <w:rFonts w:ascii="Times New Roman" w:cs="Times New Roman"/>
                <w:color w:val="000000"/>
                <w:kern w:val="2"/>
                <w:sz w:val="21"/>
                <w:szCs w:val="21"/>
              </w:rPr>
            </w:pPr>
            <w:r>
              <w:rPr>
                <w:rFonts w:ascii="Times New Roman" w:hAnsi="宋体" w:cs="Times New Roman"/>
                <w:color w:val="000000"/>
                <w:kern w:val="2"/>
                <w:sz w:val="21"/>
                <w:szCs w:val="21"/>
              </w:rPr>
              <w:t>对环境有危害，对水体和大气可造成污染</w:t>
            </w:r>
          </w:p>
        </w:tc>
      </w:tr>
      <w:tr w:rsidR="00BD5820">
        <w:trPr>
          <w:cantSplit/>
          <w:trHeight w:val="20"/>
        </w:trPr>
        <w:tc>
          <w:tcPr>
            <w:tcW w:w="8529" w:type="dxa"/>
            <w:gridSpan w:val="2"/>
            <w:shd w:val="clear" w:color="auto" w:fill="auto"/>
            <w:vAlign w:val="center"/>
          </w:tcPr>
          <w:p w:rsidR="00BD5820" w:rsidRDefault="00F64314">
            <w:pPr>
              <w:widowControl/>
              <w:topLinePunct w:val="0"/>
              <w:adjustRightInd/>
              <w:spacing w:line="240" w:lineRule="auto"/>
              <w:ind w:firstLineChars="0" w:firstLine="0"/>
              <w:jc w:val="center"/>
              <w:rPr>
                <w:rFonts w:ascii="Times New Roman" w:cs="Times New Roman"/>
                <w:color w:val="000000"/>
                <w:kern w:val="2"/>
                <w:sz w:val="21"/>
                <w:szCs w:val="21"/>
              </w:rPr>
            </w:pPr>
            <w:r>
              <w:rPr>
                <w:rFonts w:ascii="Times New Roman" w:hAnsi="宋体" w:cs="Times New Roman"/>
                <w:color w:val="000000"/>
                <w:kern w:val="2"/>
                <w:sz w:val="21"/>
                <w:szCs w:val="21"/>
              </w:rPr>
              <w:t>燃爆特性与消防要求</w:t>
            </w:r>
          </w:p>
        </w:tc>
      </w:tr>
      <w:tr w:rsidR="00BD5820">
        <w:trPr>
          <w:cantSplit/>
          <w:trHeight w:val="20"/>
        </w:trPr>
        <w:tc>
          <w:tcPr>
            <w:tcW w:w="1551" w:type="dxa"/>
            <w:shd w:val="clear" w:color="auto" w:fill="auto"/>
            <w:vAlign w:val="center"/>
          </w:tcPr>
          <w:p w:rsidR="00BD5820" w:rsidRDefault="00F64314">
            <w:pPr>
              <w:widowControl/>
              <w:topLinePunct w:val="0"/>
              <w:adjustRightInd/>
              <w:spacing w:line="240" w:lineRule="auto"/>
              <w:ind w:firstLineChars="0" w:firstLine="0"/>
              <w:jc w:val="center"/>
              <w:rPr>
                <w:rFonts w:ascii="Times New Roman" w:cs="Times New Roman"/>
                <w:color w:val="000000"/>
                <w:sz w:val="21"/>
                <w:szCs w:val="21"/>
              </w:rPr>
            </w:pPr>
            <w:r>
              <w:rPr>
                <w:rFonts w:ascii="Times New Roman" w:hAnsi="宋体" w:cs="Times New Roman"/>
                <w:color w:val="000000"/>
                <w:sz w:val="21"/>
                <w:szCs w:val="21"/>
              </w:rPr>
              <w:t>燃爆危险</w:t>
            </w:r>
          </w:p>
        </w:tc>
        <w:tc>
          <w:tcPr>
            <w:tcW w:w="6978" w:type="dxa"/>
            <w:shd w:val="clear" w:color="auto" w:fill="auto"/>
            <w:vAlign w:val="center"/>
          </w:tcPr>
          <w:p w:rsidR="00BD5820" w:rsidRDefault="00F64314">
            <w:pPr>
              <w:widowControl/>
              <w:shd w:val="clear" w:color="auto" w:fill="FFFFFF"/>
              <w:topLinePunct w:val="0"/>
              <w:adjustRightInd/>
              <w:spacing w:line="240" w:lineRule="auto"/>
              <w:ind w:firstLineChars="0" w:firstLine="0"/>
              <w:jc w:val="center"/>
              <w:rPr>
                <w:rFonts w:ascii="Times New Roman" w:cs="Times New Roman"/>
                <w:color w:val="000000"/>
                <w:kern w:val="2"/>
                <w:sz w:val="21"/>
                <w:szCs w:val="21"/>
              </w:rPr>
            </w:pPr>
            <w:r>
              <w:rPr>
                <w:rFonts w:ascii="Times New Roman" w:hAnsi="宋体" w:cs="Times New Roman"/>
                <w:color w:val="000000"/>
                <w:kern w:val="2"/>
                <w:sz w:val="21"/>
                <w:szCs w:val="21"/>
              </w:rPr>
              <w:t>本品可燃，具刺激性。</w:t>
            </w:r>
          </w:p>
        </w:tc>
      </w:tr>
      <w:tr w:rsidR="00BD5820">
        <w:trPr>
          <w:cantSplit/>
          <w:trHeight w:val="20"/>
        </w:trPr>
        <w:tc>
          <w:tcPr>
            <w:tcW w:w="1551" w:type="dxa"/>
            <w:shd w:val="clear" w:color="auto" w:fill="auto"/>
            <w:vAlign w:val="center"/>
          </w:tcPr>
          <w:p w:rsidR="00BD5820" w:rsidRDefault="00F64314">
            <w:pPr>
              <w:widowControl/>
              <w:topLinePunct w:val="0"/>
              <w:adjustRightInd/>
              <w:spacing w:line="240" w:lineRule="auto"/>
              <w:ind w:firstLineChars="0" w:firstLine="0"/>
              <w:jc w:val="center"/>
              <w:rPr>
                <w:rFonts w:ascii="Times New Roman" w:cs="Times New Roman"/>
                <w:color w:val="000000"/>
                <w:sz w:val="21"/>
                <w:szCs w:val="21"/>
              </w:rPr>
            </w:pPr>
            <w:r>
              <w:rPr>
                <w:rFonts w:ascii="Times New Roman" w:hAnsi="宋体" w:cs="Times New Roman"/>
                <w:color w:val="000000"/>
                <w:sz w:val="21"/>
                <w:szCs w:val="21"/>
              </w:rPr>
              <w:t>危险特性</w:t>
            </w:r>
          </w:p>
        </w:tc>
        <w:tc>
          <w:tcPr>
            <w:tcW w:w="6978" w:type="dxa"/>
            <w:shd w:val="clear" w:color="auto" w:fill="auto"/>
            <w:vAlign w:val="center"/>
          </w:tcPr>
          <w:p w:rsidR="00BD5820" w:rsidRDefault="00F64314">
            <w:pPr>
              <w:widowControl/>
              <w:shd w:val="clear" w:color="auto" w:fill="FFFFFF"/>
              <w:topLinePunct w:val="0"/>
              <w:adjustRightInd/>
              <w:spacing w:line="240" w:lineRule="auto"/>
              <w:ind w:firstLineChars="0" w:firstLine="0"/>
              <w:jc w:val="center"/>
              <w:rPr>
                <w:rFonts w:ascii="Times New Roman" w:cs="Times New Roman"/>
                <w:color w:val="000000"/>
                <w:kern w:val="2"/>
                <w:sz w:val="21"/>
                <w:szCs w:val="21"/>
              </w:rPr>
            </w:pPr>
            <w:r>
              <w:rPr>
                <w:rFonts w:ascii="Times New Roman" w:hAnsi="宋体" w:cs="Times New Roman"/>
                <w:color w:val="000000"/>
                <w:kern w:val="2"/>
                <w:sz w:val="21"/>
                <w:szCs w:val="21"/>
              </w:rPr>
              <w:t>遇明火、高热可燃。</w:t>
            </w:r>
          </w:p>
        </w:tc>
      </w:tr>
      <w:tr w:rsidR="00BD5820">
        <w:trPr>
          <w:cantSplit/>
          <w:trHeight w:val="20"/>
        </w:trPr>
        <w:tc>
          <w:tcPr>
            <w:tcW w:w="1551" w:type="dxa"/>
            <w:shd w:val="clear" w:color="auto" w:fill="auto"/>
            <w:vAlign w:val="center"/>
          </w:tcPr>
          <w:p w:rsidR="00BD5820" w:rsidRDefault="00F64314">
            <w:pPr>
              <w:widowControl/>
              <w:topLinePunct w:val="0"/>
              <w:adjustRightInd/>
              <w:spacing w:line="240" w:lineRule="auto"/>
              <w:ind w:firstLineChars="0" w:firstLine="0"/>
              <w:jc w:val="center"/>
              <w:rPr>
                <w:rFonts w:ascii="Times New Roman" w:cs="Times New Roman"/>
                <w:color w:val="000000"/>
                <w:kern w:val="2"/>
                <w:sz w:val="21"/>
                <w:szCs w:val="21"/>
              </w:rPr>
            </w:pPr>
            <w:r>
              <w:rPr>
                <w:rFonts w:ascii="Times New Roman" w:hAnsi="宋体" w:cs="Times New Roman"/>
                <w:color w:val="000000"/>
                <w:kern w:val="2"/>
                <w:sz w:val="21"/>
                <w:szCs w:val="21"/>
              </w:rPr>
              <w:t>灭火方法</w:t>
            </w:r>
          </w:p>
        </w:tc>
        <w:tc>
          <w:tcPr>
            <w:tcW w:w="6978" w:type="dxa"/>
            <w:shd w:val="clear" w:color="auto" w:fill="auto"/>
            <w:vAlign w:val="center"/>
          </w:tcPr>
          <w:p w:rsidR="00BD5820" w:rsidRDefault="00F64314">
            <w:pPr>
              <w:widowControl/>
              <w:shd w:val="clear" w:color="auto" w:fill="FFFFFF"/>
              <w:topLinePunct w:val="0"/>
              <w:adjustRightInd/>
              <w:spacing w:line="240" w:lineRule="auto"/>
              <w:ind w:firstLineChars="0" w:firstLine="0"/>
              <w:jc w:val="left"/>
              <w:rPr>
                <w:rFonts w:ascii="Times New Roman" w:cs="Times New Roman"/>
                <w:color w:val="000000"/>
                <w:kern w:val="2"/>
                <w:sz w:val="21"/>
                <w:szCs w:val="21"/>
              </w:rPr>
            </w:pPr>
            <w:r>
              <w:rPr>
                <w:rFonts w:ascii="Times New Roman" w:hAnsi="宋体" w:cs="Times New Roman"/>
                <w:color w:val="000000"/>
                <w:kern w:val="2"/>
                <w:sz w:val="21"/>
                <w:szCs w:val="21"/>
              </w:rPr>
              <w:t>消防人员须佩戴防毒面具、穿全身消防服，在上风向灭火。尽可能将容器从火场移至空旷处。喷水保持火场容器冷却，直至灭火结束。处在火场中的容器若已变色或从安全泄压装置中产生声音，必须马上撤离。灭火剂：雾状水、泡沫、干粉、二氧化碳、砂土。</w:t>
            </w:r>
          </w:p>
        </w:tc>
      </w:tr>
      <w:tr w:rsidR="00BD5820">
        <w:trPr>
          <w:cantSplit/>
          <w:trHeight w:val="20"/>
        </w:trPr>
        <w:tc>
          <w:tcPr>
            <w:tcW w:w="8529" w:type="dxa"/>
            <w:gridSpan w:val="2"/>
            <w:shd w:val="clear" w:color="auto" w:fill="auto"/>
            <w:vAlign w:val="center"/>
          </w:tcPr>
          <w:p w:rsidR="00BD5820" w:rsidRDefault="00F64314">
            <w:pPr>
              <w:topLinePunct w:val="0"/>
              <w:adjustRightInd/>
              <w:spacing w:line="240" w:lineRule="auto"/>
              <w:ind w:firstLineChars="0" w:firstLine="0"/>
              <w:jc w:val="center"/>
              <w:rPr>
                <w:rFonts w:ascii="Times New Roman" w:cs="Times New Roman"/>
                <w:color w:val="000000"/>
                <w:kern w:val="2"/>
                <w:sz w:val="21"/>
                <w:szCs w:val="21"/>
              </w:rPr>
            </w:pPr>
            <w:r>
              <w:rPr>
                <w:rFonts w:ascii="Times New Roman" w:hAnsi="宋体" w:cs="Times New Roman"/>
                <w:color w:val="000000"/>
                <w:kern w:val="2"/>
                <w:sz w:val="21"/>
                <w:szCs w:val="21"/>
              </w:rPr>
              <w:t>稳定性和反应活性</w:t>
            </w:r>
          </w:p>
        </w:tc>
      </w:tr>
      <w:tr w:rsidR="00BD5820">
        <w:trPr>
          <w:cantSplit/>
          <w:trHeight w:val="20"/>
        </w:trPr>
        <w:tc>
          <w:tcPr>
            <w:tcW w:w="1551" w:type="dxa"/>
            <w:shd w:val="clear" w:color="auto" w:fill="auto"/>
            <w:vAlign w:val="center"/>
          </w:tcPr>
          <w:p w:rsidR="00BD5820" w:rsidRDefault="00F64314">
            <w:pPr>
              <w:widowControl/>
              <w:topLinePunct w:val="0"/>
              <w:adjustRightInd/>
              <w:spacing w:line="240" w:lineRule="auto"/>
              <w:ind w:firstLineChars="0" w:firstLine="0"/>
              <w:jc w:val="center"/>
              <w:rPr>
                <w:rFonts w:ascii="Times New Roman" w:cs="Times New Roman"/>
                <w:color w:val="000000"/>
                <w:sz w:val="21"/>
                <w:szCs w:val="21"/>
              </w:rPr>
            </w:pPr>
            <w:r>
              <w:rPr>
                <w:rFonts w:ascii="Times New Roman" w:hAnsi="宋体" w:cs="Times New Roman"/>
                <w:color w:val="000000"/>
                <w:sz w:val="21"/>
                <w:szCs w:val="21"/>
              </w:rPr>
              <w:t>稳定性</w:t>
            </w:r>
          </w:p>
        </w:tc>
        <w:tc>
          <w:tcPr>
            <w:tcW w:w="6978" w:type="dxa"/>
            <w:shd w:val="clear" w:color="auto" w:fill="auto"/>
            <w:vAlign w:val="center"/>
          </w:tcPr>
          <w:p w:rsidR="00BD5820" w:rsidRDefault="00F64314">
            <w:pPr>
              <w:topLinePunct w:val="0"/>
              <w:adjustRightInd/>
              <w:spacing w:line="240" w:lineRule="auto"/>
              <w:ind w:firstLineChars="0" w:firstLine="0"/>
              <w:jc w:val="center"/>
              <w:rPr>
                <w:rFonts w:ascii="Times New Roman" w:cs="Times New Roman"/>
                <w:kern w:val="2"/>
                <w:sz w:val="21"/>
                <w:szCs w:val="21"/>
              </w:rPr>
            </w:pPr>
            <w:r>
              <w:rPr>
                <w:rFonts w:ascii="Times New Roman" w:hAnsi="宋体" w:cs="Times New Roman"/>
                <w:color w:val="000000"/>
                <w:sz w:val="21"/>
                <w:szCs w:val="21"/>
              </w:rPr>
              <w:t>稳定</w:t>
            </w:r>
          </w:p>
        </w:tc>
      </w:tr>
      <w:tr w:rsidR="00BD5820">
        <w:trPr>
          <w:cantSplit/>
          <w:trHeight w:val="20"/>
        </w:trPr>
        <w:tc>
          <w:tcPr>
            <w:tcW w:w="1551" w:type="dxa"/>
            <w:shd w:val="clear" w:color="auto" w:fill="auto"/>
            <w:vAlign w:val="center"/>
          </w:tcPr>
          <w:p w:rsidR="00BD5820" w:rsidRDefault="00F64314">
            <w:pPr>
              <w:widowControl/>
              <w:topLinePunct w:val="0"/>
              <w:adjustRightInd/>
              <w:spacing w:line="240" w:lineRule="auto"/>
              <w:ind w:firstLineChars="0" w:firstLine="0"/>
              <w:jc w:val="center"/>
              <w:rPr>
                <w:rFonts w:ascii="Times New Roman" w:cs="Times New Roman"/>
                <w:color w:val="000000"/>
                <w:sz w:val="21"/>
                <w:szCs w:val="21"/>
              </w:rPr>
            </w:pPr>
            <w:r>
              <w:rPr>
                <w:rFonts w:ascii="Times New Roman" w:hAnsi="宋体" w:cs="Times New Roman"/>
                <w:color w:val="000000"/>
                <w:sz w:val="21"/>
                <w:szCs w:val="21"/>
              </w:rPr>
              <w:t>禁配物</w:t>
            </w:r>
          </w:p>
        </w:tc>
        <w:tc>
          <w:tcPr>
            <w:tcW w:w="6978" w:type="dxa"/>
            <w:shd w:val="clear" w:color="auto" w:fill="auto"/>
            <w:vAlign w:val="center"/>
          </w:tcPr>
          <w:p w:rsidR="00BD5820" w:rsidRDefault="00F64314">
            <w:pPr>
              <w:topLinePunct w:val="0"/>
              <w:adjustRightInd/>
              <w:spacing w:line="240" w:lineRule="auto"/>
              <w:ind w:firstLineChars="0" w:firstLine="0"/>
              <w:jc w:val="center"/>
              <w:rPr>
                <w:rFonts w:ascii="Times New Roman" w:cs="Times New Roman"/>
                <w:color w:val="000000"/>
                <w:sz w:val="21"/>
                <w:szCs w:val="21"/>
              </w:rPr>
            </w:pPr>
            <w:r>
              <w:rPr>
                <w:rFonts w:ascii="Times New Roman" w:hAnsi="宋体" w:cs="Times New Roman"/>
                <w:color w:val="000000"/>
                <w:sz w:val="21"/>
                <w:szCs w:val="21"/>
              </w:rPr>
              <w:t>强氧化物</w:t>
            </w:r>
          </w:p>
        </w:tc>
      </w:tr>
      <w:tr w:rsidR="00BD5820">
        <w:trPr>
          <w:cantSplit/>
          <w:trHeight w:val="20"/>
        </w:trPr>
        <w:tc>
          <w:tcPr>
            <w:tcW w:w="1551" w:type="dxa"/>
            <w:shd w:val="clear" w:color="auto" w:fill="auto"/>
            <w:vAlign w:val="center"/>
          </w:tcPr>
          <w:p w:rsidR="00BD5820" w:rsidRDefault="00F64314">
            <w:pPr>
              <w:widowControl/>
              <w:topLinePunct w:val="0"/>
              <w:adjustRightInd/>
              <w:spacing w:line="240" w:lineRule="auto"/>
              <w:ind w:firstLineChars="0" w:firstLine="0"/>
              <w:jc w:val="center"/>
              <w:rPr>
                <w:rFonts w:ascii="Times New Roman" w:cs="Times New Roman"/>
                <w:color w:val="000000"/>
                <w:sz w:val="21"/>
                <w:szCs w:val="21"/>
              </w:rPr>
            </w:pPr>
            <w:r>
              <w:rPr>
                <w:rFonts w:ascii="Times New Roman" w:hAnsi="宋体" w:cs="Times New Roman"/>
                <w:color w:val="000000"/>
                <w:sz w:val="21"/>
                <w:szCs w:val="21"/>
              </w:rPr>
              <w:t>避免接触</w:t>
            </w:r>
          </w:p>
          <w:p w:rsidR="00BD5820" w:rsidRDefault="00F64314">
            <w:pPr>
              <w:widowControl/>
              <w:topLinePunct w:val="0"/>
              <w:adjustRightInd/>
              <w:spacing w:line="240" w:lineRule="auto"/>
              <w:ind w:firstLineChars="0" w:firstLine="0"/>
              <w:jc w:val="center"/>
              <w:rPr>
                <w:rFonts w:ascii="Times New Roman" w:cs="Times New Roman"/>
                <w:color w:val="000000"/>
                <w:sz w:val="21"/>
                <w:szCs w:val="21"/>
              </w:rPr>
            </w:pPr>
            <w:r>
              <w:rPr>
                <w:rFonts w:ascii="Times New Roman" w:hAnsi="宋体" w:cs="Times New Roman"/>
                <w:color w:val="000000"/>
                <w:sz w:val="21"/>
                <w:szCs w:val="21"/>
              </w:rPr>
              <w:t>的条件</w:t>
            </w:r>
          </w:p>
        </w:tc>
        <w:tc>
          <w:tcPr>
            <w:tcW w:w="6978" w:type="dxa"/>
            <w:shd w:val="clear" w:color="auto" w:fill="auto"/>
            <w:vAlign w:val="center"/>
          </w:tcPr>
          <w:p w:rsidR="00BD5820" w:rsidRDefault="00F64314">
            <w:pPr>
              <w:topLinePunct w:val="0"/>
              <w:adjustRightInd/>
              <w:spacing w:line="240" w:lineRule="auto"/>
              <w:ind w:firstLineChars="0" w:firstLine="0"/>
              <w:jc w:val="center"/>
              <w:rPr>
                <w:rFonts w:ascii="Times New Roman" w:cs="Times New Roman"/>
                <w:color w:val="000000"/>
                <w:sz w:val="21"/>
                <w:szCs w:val="21"/>
              </w:rPr>
            </w:pPr>
            <w:r>
              <w:rPr>
                <w:rFonts w:ascii="Times New Roman" w:hAnsi="宋体" w:cs="Times New Roman"/>
                <w:color w:val="000000"/>
                <w:sz w:val="21"/>
                <w:szCs w:val="21"/>
              </w:rPr>
              <w:t>受热</w:t>
            </w:r>
          </w:p>
        </w:tc>
      </w:tr>
      <w:tr w:rsidR="00BD5820">
        <w:trPr>
          <w:cantSplit/>
          <w:trHeight w:val="20"/>
        </w:trPr>
        <w:tc>
          <w:tcPr>
            <w:tcW w:w="1551" w:type="dxa"/>
            <w:shd w:val="clear" w:color="auto" w:fill="auto"/>
            <w:vAlign w:val="center"/>
          </w:tcPr>
          <w:p w:rsidR="00BD5820" w:rsidRDefault="00F64314">
            <w:pPr>
              <w:widowControl/>
              <w:topLinePunct w:val="0"/>
              <w:adjustRightInd/>
              <w:spacing w:line="240" w:lineRule="auto"/>
              <w:ind w:firstLineChars="0" w:firstLine="0"/>
              <w:jc w:val="center"/>
              <w:rPr>
                <w:rFonts w:ascii="Times New Roman" w:cs="Times New Roman"/>
                <w:color w:val="000000"/>
                <w:sz w:val="21"/>
                <w:szCs w:val="21"/>
              </w:rPr>
            </w:pPr>
            <w:r>
              <w:rPr>
                <w:rFonts w:ascii="Times New Roman" w:hAnsi="宋体" w:cs="Times New Roman"/>
                <w:color w:val="000000"/>
                <w:sz w:val="21"/>
                <w:szCs w:val="21"/>
              </w:rPr>
              <w:t>聚合危害</w:t>
            </w:r>
          </w:p>
        </w:tc>
        <w:tc>
          <w:tcPr>
            <w:tcW w:w="6978" w:type="dxa"/>
            <w:shd w:val="clear" w:color="auto" w:fill="auto"/>
            <w:vAlign w:val="center"/>
          </w:tcPr>
          <w:p w:rsidR="00BD5820" w:rsidRDefault="00F64314">
            <w:pPr>
              <w:widowControl/>
              <w:topLinePunct w:val="0"/>
              <w:adjustRightInd/>
              <w:spacing w:line="240" w:lineRule="auto"/>
              <w:ind w:firstLineChars="0" w:firstLine="0"/>
              <w:jc w:val="center"/>
              <w:rPr>
                <w:rFonts w:ascii="Times New Roman" w:cs="Times New Roman"/>
                <w:color w:val="000000"/>
                <w:sz w:val="21"/>
                <w:szCs w:val="21"/>
              </w:rPr>
            </w:pPr>
            <w:r>
              <w:rPr>
                <w:rFonts w:ascii="Times New Roman" w:cs="Times New Roman"/>
                <w:color w:val="000000"/>
                <w:sz w:val="21"/>
                <w:szCs w:val="21"/>
              </w:rPr>
              <w:t>/</w:t>
            </w:r>
          </w:p>
        </w:tc>
      </w:tr>
      <w:tr w:rsidR="00BD5820">
        <w:trPr>
          <w:cantSplit/>
          <w:trHeight w:val="20"/>
        </w:trPr>
        <w:tc>
          <w:tcPr>
            <w:tcW w:w="1551" w:type="dxa"/>
            <w:shd w:val="clear" w:color="auto" w:fill="auto"/>
            <w:vAlign w:val="center"/>
          </w:tcPr>
          <w:p w:rsidR="00BD5820" w:rsidRDefault="00F64314">
            <w:pPr>
              <w:widowControl/>
              <w:topLinePunct w:val="0"/>
              <w:adjustRightInd/>
              <w:spacing w:line="240" w:lineRule="auto"/>
              <w:ind w:firstLineChars="0" w:firstLine="0"/>
              <w:jc w:val="center"/>
              <w:rPr>
                <w:rFonts w:ascii="Times New Roman" w:cs="Times New Roman"/>
                <w:color w:val="000000"/>
                <w:sz w:val="21"/>
                <w:szCs w:val="21"/>
              </w:rPr>
            </w:pPr>
            <w:r>
              <w:rPr>
                <w:rFonts w:ascii="Times New Roman" w:hAnsi="宋体" w:cs="Times New Roman"/>
                <w:color w:val="000000"/>
                <w:sz w:val="21"/>
                <w:szCs w:val="21"/>
              </w:rPr>
              <w:t>燃烧（分解）产物</w:t>
            </w:r>
          </w:p>
        </w:tc>
        <w:tc>
          <w:tcPr>
            <w:tcW w:w="6978" w:type="dxa"/>
            <w:shd w:val="clear" w:color="auto" w:fill="auto"/>
            <w:vAlign w:val="center"/>
          </w:tcPr>
          <w:p w:rsidR="00BD5820" w:rsidRDefault="00F64314">
            <w:pPr>
              <w:widowControl/>
              <w:topLinePunct w:val="0"/>
              <w:adjustRightInd/>
              <w:spacing w:line="240" w:lineRule="auto"/>
              <w:ind w:firstLineChars="0" w:firstLine="0"/>
              <w:jc w:val="center"/>
              <w:rPr>
                <w:rFonts w:ascii="Times New Roman" w:cs="Times New Roman"/>
                <w:color w:val="000000"/>
                <w:kern w:val="2"/>
                <w:sz w:val="21"/>
                <w:szCs w:val="21"/>
              </w:rPr>
            </w:pPr>
            <w:r>
              <w:rPr>
                <w:rFonts w:ascii="Times New Roman" w:hAnsi="宋体" w:cs="Times New Roman"/>
                <w:color w:val="000000"/>
                <w:kern w:val="2"/>
                <w:sz w:val="21"/>
                <w:szCs w:val="21"/>
              </w:rPr>
              <w:t>一氧化碳、二氧化碳</w:t>
            </w:r>
          </w:p>
        </w:tc>
      </w:tr>
      <w:tr w:rsidR="00BD5820">
        <w:trPr>
          <w:cantSplit/>
          <w:trHeight w:val="20"/>
        </w:trPr>
        <w:tc>
          <w:tcPr>
            <w:tcW w:w="8529" w:type="dxa"/>
            <w:gridSpan w:val="2"/>
            <w:shd w:val="clear" w:color="auto" w:fill="auto"/>
            <w:vAlign w:val="center"/>
          </w:tcPr>
          <w:p w:rsidR="00BD5820" w:rsidRDefault="00F64314">
            <w:pPr>
              <w:widowControl/>
              <w:topLinePunct w:val="0"/>
              <w:adjustRightInd/>
              <w:spacing w:line="240" w:lineRule="auto"/>
              <w:ind w:firstLineChars="0" w:firstLine="0"/>
              <w:jc w:val="center"/>
              <w:rPr>
                <w:rFonts w:ascii="Times New Roman" w:cs="Times New Roman"/>
                <w:color w:val="000000"/>
                <w:sz w:val="21"/>
                <w:szCs w:val="21"/>
              </w:rPr>
            </w:pPr>
            <w:r>
              <w:rPr>
                <w:rFonts w:ascii="Times New Roman" w:hAnsi="宋体" w:cs="Times New Roman"/>
                <w:color w:val="000000"/>
                <w:sz w:val="21"/>
                <w:szCs w:val="21"/>
              </w:rPr>
              <w:t>储运注意事项</w:t>
            </w:r>
          </w:p>
        </w:tc>
      </w:tr>
      <w:tr w:rsidR="00BD5820">
        <w:trPr>
          <w:cantSplit/>
          <w:trHeight w:val="20"/>
        </w:trPr>
        <w:tc>
          <w:tcPr>
            <w:tcW w:w="8529" w:type="dxa"/>
            <w:gridSpan w:val="2"/>
            <w:shd w:val="clear" w:color="auto" w:fill="auto"/>
            <w:vAlign w:val="center"/>
          </w:tcPr>
          <w:p w:rsidR="00BD5820" w:rsidRDefault="00F64314">
            <w:pPr>
              <w:widowControl/>
              <w:shd w:val="clear" w:color="auto" w:fill="FFFFFF"/>
              <w:topLinePunct w:val="0"/>
              <w:adjustRightInd/>
              <w:spacing w:line="240" w:lineRule="auto"/>
              <w:ind w:firstLineChars="0" w:firstLine="0"/>
              <w:jc w:val="left"/>
              <w:rPr>
                <w:rFonts w:ascii="Times New Roman" w:cs="Times New Roman"/>
                <w:color w:val="000000"/>
                <w:sz w:val="21"/>
                <w:szCs w:val="21"/>
              </w:rPr>
            </w:pPr>
            <w:r>
              <w:rPr>
                <w:rFonts w:ascii="Times New Roman" w:hAnsi="宋体" w:cs="Times New Roman"/>
                <w:color w:val="000000"/>
                <w:sz w:val="21"/>
                <w:szCs w:val="21"/>
              </w:rPr>
              <w:t>储存于阴凉、通风的库房。远离火种、热源。应与氧化剂分开存放，切忌混储。配备相应品种和数量的消防器材。储区应备有泄漏应急处理设备和合适的收容材料。运输前应先检查包装容器是否完整、密封，运输过程中要确保容器不泄漏、不倒塌、不坠落、不损坏。严禁与氧化剂、食用化学品等混装混运。运输车船必须彻底清洗、消毒，否则不得装运其它物品。船运时，配装位置应远离卧室、厨房，并与机舱、电源、火源等部位隔离。公路运输时要按规定路线行驶。</w:t>
            </w:r>
          </w:p>
        </w:tc>
      </w:tr>
      <w:tr w:rsidR="00BD5820">
        <w:trPr>
          <w:cantSplit/>
          <w:trHeight w:val="20"/>
        </w:trPr>
        <w:tc>
          <w:tcPr>
            <w:tcW w:w="8529" w:type="dxa"/>
            <w:gridSpan w:val="2"/>
            <w:shd w:val="clear" w:color="auto" w:fill="auto"/>
            <w:vAlign w:val="center"/>
          </w:tcPr>
          <w:p w:rsidR="00BD5820" w:rsidRDefault="00F64314">
            <w:pPr>
              <w:widowControl/>
              <w:topLinePunct w:val="0"/>
              <w:adjustRightInd/>
              <w:spacing w:line="240" w:lineRule="auto"/>
              <w:ind w:firstLineChars="0" w:firstLine="0"/>
              <w:jc w:val="center"/>
              <w:rPr>
                <w:rFonts w:ascii="Times New Roman" w:cs="Times New Roman"/>
                <w:color w:val="000000"/>
                <w:sz w:val="21"/>
                <w:szCs w:val="21"/>
              </w:rPr>
            </w:pPr>
            <w:r>
              <w:rPr>
                <w:rFonts w:ascii="Times New Roman" w:hAnsi="宋体" w:cs="Times New Roman"/>
                <w:color w:val="000000"/>
                <w:sz w:val="21"/>
                <w:szCs w:val="21"/>
              </w:rPr>
              <w:t>急救措施</w:t>
            </w:r>
          </w:p>
        </w:tc>
      </w:tr>
      <w:tr w:rsidR="00BD5820">
        <w:trPr>
          <w:cantSplit/>
          <w:trHeight w:val="20"/>
        </w:trPr>
        <w:tc>
          <w:tcPr>
            <w:tcW w:w="1551" w:type="dxa"/>
            <w:shd w:val="clear" w:color="auto" w:fill="auto"/>
            <w:vAlign w:val="center"/>
          </w:tcPr>
          <w:p w:rsidR="00BD5820" w:rsidRDefault="00F64314">
            <w:pPr>
              <w:widowControl/>
              <w:topLinePunct w:val="0"/>
              <w:adjustRightInd/>
              <w:spacing w:line="240" w:lineRule="auto"/>
              <w:ind w:firstLineChars="0" w:firstLine="0"/>
              <w:jc w:val="center"/>
              <w:rPr>
                <w:rFonts w:ascii="Times New Roman" w:cs="Times New Roman"/>
                <w:color w:val="000000"/>
                <w:sz w:val="21"/>
                <w:szCs w:val="21"/>
              </w:rPr>
            </w:pPr>
            <w:r>
              <w:rPr>
                <w:rFonts w:ascii="Times New Roman" w:hAnsi="宋体" w:cs="Times New Roman"/>
                <w:color w:val="000000"/>
                <w:sz w:val="21"/>
                <w:szCs w:val="21"/>
              </w:rPr>
              <w:t>皮肤接触</w:t>
            </w:r>
          </w:p>
        </w:tc>
        <w:tc>
          <w:tcPr>
            <w:tcW w:w="6978" w:type="dxa"/>
            <w:shd w:val="clear" w:color="auto" w:fill="auto"/>
            <w:vAlign w:val="center"/>
          </w:tcPr>
          <w:p w:rsidR="00BD5820" w:rsidRDefault="00F64314">
            <w:pPr>
              <w:widowControl/>
              <w:shd w:val="clear" w:color="auto" w:fill="FFFFFF"/>
              <w:topLinePunct w:val="0"/>
              <w:adjustRightInd/>
              <w:spacing w:line="240" w:lineRule="auto"/>
              <w:ind w:firstLineChars="0" w:firstLine="0"/>
              <w:jc w:val="center"/>
              <w:rPr>
                <w:rFonts w:ascii="Times New Roman" w:cs="Times New Roman"/>
                <w:color w:val="000000"/>
                <w:spacing w:val="6"/>
                <w:sz w:val="21"/>
                <w:szCs w:val="21"/>
              </w:rPr>
            </w:pPr>
            <w:r>
              <w:rPr>
                <w:rFonts w:ascii="Times New Roman" w:hAnsi="宋体" w:cs="Times New Roman"/>
                <w:color w:val="000000"/>
                <w:spacing w:val="6"/>
                <w:sz w:val="21"/>
                <w:szCs w:val="21"/>
              </w:rPr>
              <w:t>脱去污染的衣着，用大量流动清水冲洗。就医。</w:t>
            </w:r>
          </w:p>
        </w:tc>
      </w:tr>
      <w:tr w:rsidR="00BD5820">
        <w:trPr>
          <w:cantSplit/>
          <w:trHeight w:val="20"/>
        </w:trPr>
        <w:tc>
          <w:tcPr>
            <w:tcW w:w="1551" w:type="dxa"/>
            <w:shd w:val="clear" w:color="auto" w:fill="auto"/>
            <w:vAlign w:val="center"/>
          </w:tcPr>
          <w:p w:rsidR="00BD5820" w:rsidRDefault="00F64314">
            <w:pPr>
              <w:widowControl/>
              <w:topLinePunct w:val="0"/>
              <w:adjustRightInd/>
              <w:spacing w:line="240" w:lineRule="auto"/>
              <w:ind w:firstLineChars="0" w:firstLine="0"/>
              <w:jc w:val="center"/>
              <w:rPr>
                <w:rFonts w:ascii="Times New Roman" w:cs="Times New Roman"/>
                <w:color w:val="000000"/>
                <w:sz w:val="21"/>
                <w:szCs w:val="21"/>
              </w:rPr>
            </w:pPr>
            <w:r>
              <w:rPr>
                <w:rFonts w:ascii="Times New Roman" w:hAnsi="宋体" w:cs="Times New Roman"/>
                <w:color w:val="000000"/>
                <w:sz w:val="21"/>
                <w:szCs w:val="21"/>
              </w:rPr>
              <w:t>眼睛接触</w:t>
            </w:r>
          </w:p>
        </w:tc>
        <w:tc>
          <w:tcPr>
            <w:tcW w:w="6978" w:type="dxa"/>
            <w:shd w:val="clear" w:color="auto" w:fill="auto"/>
            <w:vAlign w:val="center"/>
          </w:tcPr>
          <w:p w:rsidR="00BD5820" w:rsidRDefault="00F64314">
            <w:pPr>
              <w:widowControl/>
              <w:topLinePunct w:val="0"/>
              <w:adjustRightInd/>
              <w:spacing w:line="240" w:lineRule="auto"/>
              <w:ind w:firstLineChars="0" w:firstLine="0"/>
              <w:jc w:val="center"/>
              <w:rPr>
                <w:rFonts w:ascii="Times New Roman" w:cs="Times New Roman"/>
                <w:color w:val="000000"/>
                <w:spacing w:val="6"/>
                <w:sz w:val="21"/>
                <w:szCs w:val="21"/>
              </w:rPr>
            </w:pPr>
            <w:r>
              <w:rPr>
                <w:rFonts w:ascii="Times New Roman" w:hAnsi="宋体" w:cs="Times New Roman"/>
                <w:color w:val="000000"/>
                <w:spacing w:val="6"/>
                <w:sz w:val="21"/>
                <w:szCs w:val="21"/>
              </w:rPr>
              <w:t>提起眼睑，用流动清水或生理盐水冲洗。就医。</w:t>
            </w:r>
          </w:p>
        </w:tc>
      </w:tr>
      <w:tr w:rsidR="00BD5820">
        <w:trPr>
          <w:cantSplit/>
          <w:trHeight w:val="20"/>
        </w:trPr>
        <w:tc>
          <w:tcPr>
            <w:tcW w:w="1551" w:type="dxa"/>
            <w:shd w:val="clear" w:color="auto" w:fill="auto"/>
            <w:vAlign w:val="center"/>
          </w:tcPr>
          <w:p w:rsidR="00BD5820" w:rsidRDefault="00F64314">
            <w:pPr>
              <w:widowControl/>
              <w:topLinePunct w:val="0"/>
              <w:adjustRightInd/>
              <w:spacing w:line="240" w:lineRule="auto"/>
              <w:ind w:firstLineChars="0" w:firstLine="0"/>
              <w:jc w:val="center"/>
              <w:rPr>
                <w:rFonts w:ascii="Times New Roman" w:cs="Times New Roman"/>
                <w:color w:val="000000"/>
                <w:sz w:val="21"/>
                <w:szCs w:val="21"/>
              </w:rPr>
            </w:pPr>
            <w:r>
              <w:rPr>
                <w:rFonts w:ascii="Times New Roman" w:hAnsi="宋体" w:cs="Times New Roman"/>
                <w:color w:val="000000"/>
                <w:sz w:val="21"/>
                <w:szCs w:val="21"/>
              </w:rPr>
              <w:t>吸入</w:t>
            </w:r>
          </w:p>
        </w:tc>
        <w:tc>
          <w:tcPr>
            <w:tcW w:w="6978" w:type="dxa"/>
            <w:shd w:val="clear" w:color="auto" w:fill="auto"/>
            <w:vAlign w:val="center"/>
          </w:tcPr>
          <w:p w:rsidR="00BD5820" w:rsidRDefault="00F64314">
            <w:pPr>
              <w:widowControl/>
              <w:topLinePunct w:val="0"/>
              <w:adjustRightInd/>
              <w:spacing w:line="240" w:lineRule="auto"/>
              <w:ind w:firstLineChars="0" w:firstLine="0"/>
              <w:rPr>
                <w:rFonts w:ascii="Times New Roman" w:cs="Times New Roman"/>
                <w:color w:val="000000"/>
                <w:spacing w:val="6"/>
                <w:sz w:val="21"/>
                <w:szCs w:val="21"/>
              </w:rPr>
            </w:pPr>
            <w:r>
              <w:rPr>
                <w:rFonts w:ascii="Times New Roman" w:hAnsi="宋体" w:cs="Times New Roman"/>
                <w:color w:val="000000"/>
                <w:spacing w:val="6"/>
                <w:sz w:val="21"/>
                <w:szCs w:val="21"/>
              </w:rPr>
              <w:t>迅速脱离现场至空气新鲜处。保持呼吸道通畅。如呼吸困难，给输氧。如呼吸停止，立即进行人工呼吸。就医。</w:t>
            </w:r>
          </w:p>
        </w:tc>
      </w:tr>
      <w:tr w:rsidR="00BD5820">
        <w:trPr>
          <w:cantSplit/>
          <w:trHeight w:val="20"/>
        </w:trPr>
        <w:tc>
          <w:tcPr>
            <w:tcW w:w="1551" w:type="dxa"/>
            <w:shd w:val="clear" w:color="auto" w:fill="auto"/>
            <w:vAlign w:val="center"/>
          </w:tcPr>
          <w:p w:rsidR="00BD5820" w:rsidRDefault="00F64314">
            <w:pPr>
              <w:widowControl/>
              <w:topLinePunct w:val="0"/>
              <w:adjustRightInd/>
              <w:spacing w:line="240" w:lineRule="auto"/>
              <w:ind w:firstLineChars="0" w:firstLine="0"/>
              <w:jc w:val="center"/>
              <w:rPr>
                <w:rFonts w:ascii="Times New Roman" w:cs="Times New Roman"/>
                <w:color w:val="000000"/>
                <w:sz w:val="21"/>
                <w:szCs w:val="21"/>
              </w:rPr>
            </w:pPr>
            <w:r>
              <w:rPr>
                <w:rFonts w:ascii="Times New Roman" w:hAnsi="宋体" w:cs="Times New Roman"/>
                <w:color w:val="000000"/>
                <w:sz w:val="21"/>
                <w:szCs w:val="21"/>
              </w:rPr>
              <w:t>食入</w:t>
            </w:r>
          </w:p>
        </w:tc>
        <w:tc>
          <w:tcPr>
            <w:tcW w:w="6978" w:type="dxa"/>
            <w:shd w:val="clear" w:color="auto" w:fill="auto"/>
            <w:vAlign w:val="center"/>
          </w:tcPr>
          <w:p w:rsidR="00BD5820" w:rsidRDefault="00F64314">
            <w:pPr>
              <w:widowControl/>
              <w:topLinePunct w:val="0"/>
              <w:adjustRightInd/>
              <w:spacing w:line="240" w:lineRule="auto"/>
              <w:ind w:firstLineChars="0" w:firstLine="0"/>
              <w:jc w:val="center"/>
              <w:rPr>
                <w:rFonts w:ascii="Times New Roman" w:cs="Times New Roman"/>
                <w:color w:val="000000"/>
                <w:spacing w:val="6"/>
                <w:sz w:val="21"/>
                <w:szCs w:val="21"/>
              </w:rPr>
            </w:pPr>
            <w:r>
              <w:rPr>
                <w:rFonts w:ascii="Times New Roman" w:hAnsi="宋体" w:cs="Times New Roman"/>
                <w:color w:val="000000"/>
                <w:spacing w:val="6"/>
                <w:sz w:val="21"/>
                <w:szCs w:val="21"/>
              </w:rPr>
              <w:t>饮足量温水，催吐。就医。</w:t>
            </w:r>
          </w:p>
        </w:tc>
      </w:tr>
      <w:tr w:rsidR="00BD5820">
        <w:trPr>
          <w:cantSplit/>
          <w:trHeight w:val="20"/>
        </w:trPr>
        <w:tc>
          <w:tcPr>
            <w:tcW w:w="8529" w:type="dxa"/>
            <w:gridSpan w:val="2"/>
            <w:shd w:val="clear" w:color="auto" w:fill="auto"/>
            <w:vAlign w:val="center"/>
          </w:tcPr>
          <w:p w:rsidR="00BD5820" w:rsidRDefault="00F64314">
            <w:pPr>
              <w:widowControl/>
              <w:topLinePunct w:val="0"/>
              <w:adjustRightInd/>
              <w:spacing w:line="240" w:lineRule="auto"/>
              <w:ind w:firstLineChars="0" w:firstLine="0"/>
              <w:jc w:val="center"/>
              <w:rPr>
                <w:rFonts w:ascii="Times New Roman" w:cs="Times New Roman"/>
                <w:kern w:val="2"/>
                <w:sz w:val="21"/>
                <w:szCs w:val="21"/>
              </w:rPr>
            </w:pPr>
            <w:r>
              <w:rPr>
                <w:rFonts w:ascii="Times New Roman" w:hAnsi="宋体" w:cs="Times New Roman"/>
                <w:kern w:val="2"/>
                <w:sz w:val="21"/>
                <w:szCs w:val="21"/>
              </w:rPr>
              <w:t>泄漏应急处置</w:t>
            </w:r>
          </w:p>
        </w:tc>
      </w:tr>
      <w:tr w:rsidR="00BD5820">
        <w:trPr>
          <w:cantSplit/>
          <w:trHeight w:val="20"/>
        </w:trPr>
        <w:tc>
          <w:tcPr>
            <w:tcW w:w="8529" w:type="dxa"/>
            <w:gridSpan w:val="2"/>
            <w:shd w:val="clear" w:color="auto" w:fill="auto"/>
            <w:vAlign w:val="center"/>
          </w:tcPr>
          <w:p w:rsidR="00BD5820" w:rsidRDefault="00F64314">
            <w:pPr>
              <w:widowControl/>
              <w:shd w:val="clear" w:color="auto" w:fill="FFFFFF"/>
              <w:topLinePunct w:val="0"/>
              <w:adjustRightInd/>
              <w:spacing w:line="240" w:lineRule="auto"/>
              <w:ind w:firstLineChars="0" w:firstLine="0"/>
              <w:rPr>
                <w:rFonts w:ascii="Times New Roman" w:cs="Times New Roman"/>
                <w:color w:val="000000"/>
                <w:spacing w:val="-14"/>
                <w:sz w:val="21"/>
                <w:szCs w:val="21"/>
              </w:rPr>
            </w:pPr>
            <w:r>
              <w:rPr>
                <w:rFonts w:ascii="Times New Roman" w:hAnsi="宋体" w:cs="Times New Roman"/>
                <w:color w:val="000000"/>
                <w:spacing w:val="6"/>
                <w:sz w:val="21"/>
                <w:szCs w:val="21"/>
              </w:rPr>
              <w:t>迅速撤离泄漏污染区人员至安全区，并进行隔离，严格限制出入。切断火源。建议应急处理人员戴自给正压式呼吸器，穿防毒服。尽可能切断泄漏源。防止流入下水道、排洪沟等限制性空间。小量泄漏：用砂土或其它不燃材料吸附或吸收。大量泄漏：构筑围堤或挖坑收容。用泵转移至槽车或专用收集器内，回收或运至废物处理场所处置。</w:t>
            </w:r>
          </w:p>
        </w:tc>
      </w:tr>
    </w:tbl>
    <w:p w:rsidR="00BD5820" w:rsidRDefault="00F64314">
      <w:pPr>
        <w:pStyle w:val="affa"/>
        <w:ind w:firstLine="482"/>
        <w:rPr>
          <w:b/>
          <w:bCs/>
        </w:rPr>
      </w:pPr>
      <w:r>
        <w:rPr>
          <w:rFonts w:hint="eastAsia"/>
          <w:b/>
          <w:bCs/>
        </w:rPr>
        <w:t>4</w:t>
      </w:r>
      <w:r>
        <w:rPr>
          <w:b/>
          <w:bCs/>
        </w:rPr>
        <w:t>、</w:t>
      </w:r>
      <w:r>
        <w:rPr>
          <w:rFonts w:hint="eastAsia"/>
          <w:b/>
          <w:bCs/>
        </w:rPr>
        <w:t>气田水</w:t>
      </w:r>
    </w:p>
    <w:p w:rsidR="00BD5820" w:rsidRDefault="00F64314">
      <w:pPr>
        <w:pStyle w:val="affa"/>
        <w:ind w:firstLine="480"/>
      </w:pPr>
      <w:r>
        <w:rPr>
          <w:rFonts w:hint="eastAsia"/>
        </w:rPr>
        <w:t>气田水</w:t>
      </w:r>
      <w:r>
        <w:t>中包含有大量的离子及微量元素，阳离子主要为</w:t>
      </w:r>
      <w:r>
        <w:t>K</w:t>
      </w:r>
      <w:r>
        <w:rPr>
          <w:vertAlign w:val="superscript"/>
        </w:rPr>
        <w:t>+</w:t>
      </w:r>
      <w:r>
        <w:t>、</w:t>
      </w:r>
      <w:r>
        <w:t>Na</w:t>
      </w:r>
      <w:r>
        <w:rPr>
          <w:vertAlign w:val="superscript"/>
        </w:rPr>
        <w:t>+</w:t>
      </w:r>
      <w:r>
        <w:t>、</w:t>
      </w:r>
      <w:r>
        <w:t>Ca</w:t>
      </w:r>
      <w:r>
        <w:rPr>
          <w:vertAlign w:val="superscript"/>
        </w:rPr>
        <w:t>2+</w:t>
      </w:r>
      <w:r>
        <w:t>、</w:t>
      </w:r>
      <w:r>
        <w:t>Mg</w:t>
      </w:r>
      <w:r>
        <w:rPr>
          <w:vertAlign w:val="superscript"/>
        </w:rPr>
        <w:t>2+</w:t>
      </w:r>
      <w:r>
        <w:t>、</w:t>
      </w:r>
      <w:r>
        <w:lastRenderedPageBreak/>
        <w:t>Ba</w:t>
      </w:r>
      <w:r>
        <w:rPr>
          <w:vertAlign w:val="superscript"/>
        </w:rPr>
        <w:t>2+</w:t>
      </w:r>
      <w:r>
        <w:t>、</w:t>
      </w:r>
      <w:r>
        <w:t>Sr</w:t>
      </w:r>
      <w:r>
        <w:rPr>
          <w:vertAlign w:val="superscript"/>
        </w:rPr>
        <w:t>2+</w:t>
      </w:r>
      <w:r>
        <w:t>，阴离子主要为</w:t>
      </w:r>
      <w:r>
        <w:t>Cl</w:t>
      </w:r>
      <w:r>
        <w:rPr>
          <w:vertAlign w:val="superscript"/>
        </w:rPr>
        <w:t>-</w:t>
      </w:r>
      <w:r>
        <w:t>、</w:t>
      </w:r>
      <w:r>
        <w:t>Br</w:t>
      </w:r>
      <w:r>
        <w:rPr>
          <w:vertAlign w:val="superscript"/>
        </w:rPr>
        <w:t>-</w:t>
      </w:r>
      <w:r>
        <w:t>等，具有一定的腐蚀能力，从环境方面</w:t>
      </w:r>
      <w:r>
        <w:rPr>
          <w:rFonts w:hint="eastAsia"/>
        </w:rPr>
        <w:t>气田水</w:t>
      </w:r>
      <w:r>
        <w:t>主要表现的危害为腐蚀性和毒性，属于危害水环境物质，但不属于急性毒性类别</w:t>
      </w:r>
      <w:r>
        <w:t>1</w:t>
      </w:r>
      <w:r>
        <w:t>中物质。</w:t>
      </w:r>
    </w:p>
    <w:p w:rsidR="00BD5820" w:rsidRDefault="00F64314">
      <w:pPr>
        <w:pStyle w:val="3"/>
        <w:rPr>
          <w:rFonts w:eastAsia="宋体"/>
        </w:rPr>
      </w:pPr>
      <w:r>
        <w:rPr>
          <w:rFonts w:eastAsia="宋体"/>
        </w:rPr>
        <w:t xml:space="preserve">7.6.2 </w:t>
      </w:r>
      <w:r>
        <w:rPr>
          <w:rFonts w:eastAsia="宋体"/>
        </w:rPr>
        <w:t>生产系统危险性识别</w:t>
      </w:r>
      <w:bookmarkEnd w:id="442"/>
      <w:bookmarkEnd w:id="443"/>
    </w:p>
    <w:p w:rsidR="00BD5820" w:rsidRDefault="00F64314">
      <w:pPr>
        <w:pStyle w:val="affa"/>
        <w:ind w:firstLine="480"/>
      </w:pPr>
      <w:r>
        <w:t>生产系统危险性识别首先参照</w:t>
      </w:r>
      <w:r>
        <w:rPr>
          <w:rFonts w:hint="eastAsia"/>
        </w:rPr>
        <w:t>本项目</w:t>
      </w:r>
      <w:r>
        <w:t>各生产装置、储运设施、公用工程和辅助生产设施以及环境保护措施，由此可识别工程建设生产过程中的风险源。</w:t>
      </w:r>
    </w:p>
    <w:p w:rsidR="00BD5820" w:rsidRDefault="00F64314">
      <w:pPr>
        <w:pStyle w:val="affa"/>
        <w:ind w:firstLine="480"/>
      </w:pPr>
      <w:r>
        <w:t>危险单元是由一个或多个风险源构成的具有相对独立功能的单元，一个独立的危险单元在事故状况下应可实现与其他功能单元的分割。本项目通过管线</w:t>
      </w:r>
      <w:r>
        <w:rPr>
          <w:rFonts w:hint="eastAsia"/>
        </w:rPr>
        <w:t>涉及</w:t>
      </w:r>
      <w:r>
        <w:t>站场划分危险单元，共划分为</w:t>
      </w:r>
      <w:r>
        <w:rPr>
          <w:rFonts w:hint="eastAsia"/>
        </w:rPr>
        <w:t>5</w:t>
      </w:r>
      <w:r>
        <w:t>个危险单元，分别为：</w:t>
      </w:r>
    </w:p>
    <w:p w:rsidR="00BD5820" w:rsidRDefault="00F64314">
      <w:pPr>
        <w:pStyle w:val="affa"/>
        <w:ind w:firstLine="480"/>
      </w:pPr>
      <w:r>
        <w:rPr>
          <w:rFonts w:ascii="宋体" w:hAnsi="宋体" w:cs="宋体" w:hint="eastAsia"/>
        </w:rPr>
        <w:t>①</w:t>
      </w:r>
      <w:r>
        <w:rPr>
          <w:rFonts w:hint="eastAsia"/>
        </w:rPr>
        <w:t>本项目</w:t>
      </w:r>
      <w:r>
        <w:rPr>
          <w:rFonts w:hint="eastAsia"/>
          <w:bCs/>
        </w:rPr>
        <w:t>普光气田</w:t>
      </w:r>
      <w:r>
        <w:rPr>
          <w:bCs/>
        </w:rPr>
        <w:t>1#</w:t>
      </w:r>
      <w:r>
        <w:rPr>
          <w:rFonts w:hint="eastAsia"/>
          <w:bCs/>
        </w:rPr>
        <w:t>增压站</w:t>
      </w:r>
      <w:r>
        <w:t>；</w:t>
      </w:r>
    </w:p>
    <w:p w:rsidR="00BD5820" w:rsidRDefault="00F64314">
      <w:pPr>
        <w:pStyle w:val="affa"/>
        <w:ind w:firstLine="480"/>
      </w:pPr>
      <w:r>
        <w:rPr>
          <w:rFonts w:ascii="宋体" w:hAnsi="宋体" w:cs="宋体" w:hint="eastAsia"/>
        </w:rPr>
        <w:t>②</w:t>
      </w:r>
      <w:r>
        <w:rPr>
          <w:rFonts w:hint="eastAsia"/>
        </w:rPr>
        <w:t>本项目</w:t>
      </w:r>
      <w:r>
        <w:rPr>
          <w:rFonts w:hint="eastAsia"/>
          <w:bCs/>
        </w:rPr>
        <w:t>普光气田</w:t>
      </w:r>
      <w:r>
        <w:rPr>
          <w:rFonts w:hint="eastAsia"/>
          <w:bCs/>
        </w:rPr>
        <w:t>2</w:t>
      </w:r>
      <w:r>
        <w:rPr>
          <w:bCs/>
        </w:rPr>
        <w:t>#</w:t>
      </w:r>
      <w:r>
        <w:rPr>
          <w:rFonts w:hint="eastAsia"/>
          <w:bCs/>
        </w:rPr>
        <w:t>增压站</w:t>
      </w:r>
      <w:r>
        <w:t>；</w:t>
      </w:r>
    </w:p>
    <w:p w:rsidR="00BD5820" w:rsidRDefault="00F64314">
      <w:pPr>
        <w:pStyle w:val="affa"/>
        <w:ind w:firstLine="480"/>
      </w:pPr>
      <w:r>
        <w:rPr>
          <w:rFonts w:ascii="宋体" w:hAnsi="宋体" w:cs="宋体" w:hint="eastAsia"/>
        </w:rPr>
        <w:t>③</w:t>
      </w:r>
      <w:r>
        <w:t>新建</w:t>
      </w:r>
      <w:r>
        <w:rPr>
          <w:rFonts w:hint="eastAsia"/>
        </w:rPr>
        <w:t>P106-P104-1#</w:t>
      </w:r>
      <w:r>
        <w:rPr>
          <w:rFonts w:hint="eastAsia"/>
        </w:rPr>
        <w:t>增压站集输管道；</w:t>
      </w:r>
    </w:p>
    <w:p w:rsidR="00BD5820" w:rsidRDefault="00F64314">
      <w:pPr>
        <w:pStyle w:val="affa"/>
        <w:ind w:firstLine="480"/>
      </w:pPr>
      <w:r>
        <w:rPr>
          <w:rFonts w:ascii="宋体" w:hAnsi="宋体" w:hint="eastAsia"/>
        </w:rPr>
        <w:t>④</w:t>
      </w:r>
      <w:r>
        <w:rPr>
          <w:rFonts w:hint="eastAsia"/>
        </w:rPr>
        <w:t>润滑油储罐；</w:t>
      </w:r>
    </w:p>
    <w:p w:rsidR="00BD5820" w:rsidRDefault="00F64314">
      <w:pPr>
        <w:pStyle w:val="affa"/>
        <w:ind w:firstLine="480"/>
      </w:pPr>
      <w:r>
        <w:rPr>
          <w:rFonts w:ascii="宋体" w:hAnsi="宋体" w:hint="eastAsia"/>
        </w:rPr>
        <w:t>⑤污水罐</w:t>
      </w:r>
      <w:r>
        <w:t>。</w:t>
      </w:r>
    </w:p>
    <w:p w:rsidR="00BD5820" w:rsidRDefault="00F64314">
      <w:pPr>
        <w:pStyle w:val="affa"/>
        <w:ind w:firstLine="480"/>
      </w:pPr>
      <w:r>
        <w:t>结合各单元工艺流程，对各危险单元的风险源进行识别，并分析风险源的危险性、存在条件和转化为事故的触发因素，识别结果见表</w:t>
      </w:r>
      <w:r>
        <w:t>7.6-</w:t>
      </w:r>
      <w:r>
        <w:rPr>
          <w:rFonts w:hint="eastAsia"/>
        </w:rPr>
        <w:t>6</w:t>
      </w:r>
      <w:r>
        <w:t>。</w:t>
      </w:r>
    </w:p>
    <w:p w:rsidR="00BD5820" w:rsidRDefault="00F64314">
      <w:pPr>
        <w:pStyle w:val="3"/>
        <w:rPr>
          <w:rFonts w:eastAsia="宋体"/>
        </w:rPr>
      </w:pPr>
      <w:bookmarkStart w:id="445" w:name="_Toc12288732"/>
      <w:bookmarkStart w:id="446" w:name="_Toc19816105"/>
      <w:r>
        <w:rPr>
          <w:rFonts w:eastAsia="宋体"/>
        </w:rPr>
        <w:t xml:space="preserve">7.6.3 </w:t>
      </w:r>
      <w:r>
        <w:rPr>
          <w:rFonts w:eastAsia="宋体"/>
        </w:rPr>
        <w:t>危险物质扩散途径识别</w:t>
      </w:r>
      <w:bookmarkEnd w:id="445"/>
      <w:bookmarkEnd w:id="446"/>
    </w:p>
    <w:p w:rsidR="00BD5820" w:rsidRDefault="00F64314">
      <w:pPr>
        <w:pStyle w:val="affa"/>
        <w:ind w:firstLine="480"/>
      </w:pPr>
      <w:r>
        <w:t>环境风险类型包括危险物质泄漏，火灾、爆炸等引发的伴生</w:t>
      </w:r>
      <w:r>
        <w:t>/</w:t>
      </w:r>
      <w:r>
        <w:t>次生污染物排放，同一种危险物质可能有多种环境风险类型。本项目主要环境风险物质为</w:t>
      </w:r>
      <w:r>
        <w:t>CH</w:t>
      </w:r>
      <w:r>
        <w:rPr>
          <w:vertAlign w:val="subscript"/>
        </w:rPr>
        <w:t>4</w:t>
      </w:r>
      <w:r>
        <w:rPr>
          <w:rFonts w:hint="eastAsia"/>
        </w:rPr>
        <w:t>、</w:t>
      </w:r>
      <w:r>
        <w:t>硫化氢和润滑油，还要考虑</w:t>
      </w:r>
      <w:r w:rsidR="00E153CC">
        <w:rPr>
          <w:rFonts w:hint="eastAsia"/>
          <w:bCs/>
          <w:kern w:val="2"/>
          <w:sz w:val="21"/>
          <w:szCs w:val="21"/>
        </w:rPr>
        <w:t>增压站和</w:t>
      </w:r>
      <w:r>
        <w:t>天然气管道泄漏后的火灾事故中未完全燃烧产生的伴生污染物</w:t>
      </w:r>
      <w:r>
        <w:t>CO</w:t>
      </w:r>
      <w:r>
        <w:t>，以及火灾事故时产生的消防废水和事故后维修作业废水，此外还需考虑润滑油储罐泄漏</w:t>
      </w:r>
      <w:r>
        <w:rPr>
          <w:rFonts w:hint="eastAsia"/>
        </w:rPr>
        <w:t>、气田水</w:t>
      </w:r>
      <w:r>
        <w:t>泄漏，导致润滑油</w:t>
      </w:r>
      <w:r>
        <w:rPr>
          <w:rFonts w:hint="eastAsia"/>
        </w:rPr>
        <w:t>、气田水</w:t>
      </w:r>
      <w:r>
        <w:t>进入地表水、地下水、土壤环境，对项目周围环境造成危害。</w:t>
      </w:r>
      <w:r>
        <w:rPr>
          <w:rFonts w:hint="eastAsia"/>
        </w:rPr>
        <w:t>本项目</w:t>
      </w:r>
      <w:r>
        <w:t>涉及的危险物质及每种危险物质涉及的风险类型、扩散途径和可能影响方式见下表。</w:t>
      </w:r>
    </w:p>
    <w:p w:rsidR="00BD5820" w:rsidRDefault="00F64314">
      <w:pPr>
        <w:pStyle w:val="TOC11"/>
        <w:rPr>
          <w:rFonts w:eastAsia="宋体"/>
        </w:rPr>
      </w:pPr>
      <w:r>
        <w:rPr>
          <w:rFonts w:eastAsia="宋体"/>
        </w:rPr>
        <w:t>表</w:t>
      </w:r>
      <w:r>
        <w:rPr>
          <w:rFonts w:eastAsia="宋体"/>
        </w:rPr>
        <w:t>7.6-</w:t>
      </w:r>
      <w:r>
        <w:rPr>
          <w:rFonts w:eastAsia="宋体" w:hint="eastAsia"/>
        </w:rPr>
        <w:t>6</w:t>
      </w:r>
      <w:r>
        <w:rPr>
          <w:rFonts w:eastAsia="宋体"/>
        </w:rPr>
        <w:t xml:space="preserve">  </w:t>
      </w:r>
      <w:r>
        <w:rPr>
          <w:rFonts w:eastAsia="宋体"/>
        </w:rPr>
        <w:t>本项目环境风险识别表</w:t>
      </w:r>
    </w:p>
    <w:tbl>
      <w:tblPr>
        <w:tblW w:w="8630" w:type="dxa"/>
        <w:jc w:val="center"/>
        <w:tblBorders>
          <w:top w:val="single" w:sz="12" w:space="0" w:color="000000"/>
          <w:bottom w:val="single" w:sz="12" w:space="0" w:color="000000"/>
          <w:insideH w:val="single" w:sz="2" w:space="0" w:color="000000"/>
          <w:insideV w:val="single" w:sz="2" w:space="0" w:color="000000"/>
        </w:tblBorders>
        <w:tblLayout w:type="fixed"/>
        <w:tblCellMar>
          <w:left w:w="0" w:type="dxa"/>
          <w:right w:w="0" w:type="dxa"/>
        </w:tblCellMar>
        <w:tblLook w:val="04A0"/>
      </w:tblPr>
      <w:tblGrid>
        <w:gridCol w:w="1022"/>
        <w:gridCol w:w="1388"/>
        <w:gridCol w:w="1559"/>
        <w:gridCol w:w="4661"/>
      </w:tblGrid>
      <w:tr w:rsidR="00BD5820">
        <w:trPr>
          <w:trHeight w:val="18"/>
          <w:jc w:val="center"/>
        </w:trPr>
        <w:tc>
          <w:tcPr>
            <w:tcW w:w="1022" w:type="dxa"/>
            <w:vAlign w:val="center"/>
          </w:tcPr>
          <w:p w:rsidR="00BD5820" w:rsidRDefault="00F64314">
            <w:pPr>
              <w:pStyle w:val="TableParagraph"/>
              <w:spacing w:line="240" w:lineRule="auto"/>
              <w:ind w:firstLineChars="0" w:firstLine="0"/>
              <w:rPr>
                <w:rFonts w:ascii="Times New Roman" w:cs="Times New Roman"/>
                <w:b/>
                <w:kern w:val="2"/>
                <w:sz w:val="21"/>
                <w:szCs w:val="21"/>
              </w:rPr>
            </w:pPr>
            <w:r>
              <w:rPr>
                <w:rFonts w:ascii="Times New Roman" w:cs="Times New Roman"/>
                <w:b/>
                <w:kern w:val="2"/>
                <w:sz w:val="21"/>
                <w:szCs w:val="21"/>
              </w:rPr>
              <w:t>危险物质</w:t>
            </w:r>
          </w:p>
        </w:tc>
        <w:tc>
          <w:tcPr>
            <w:tcW w:w="1388" w:type="dxa"/>
            <w:vAlign w:val="center"/>
          </w:tcPr>
          <w:p w:rsidR="00BD5820" w:rsidRDefault="00F64314">
            <w:pPr>
              <w:pStyle w:val="TableParagraph"/>
              <w:spacing w:line="240" w:lineRule="auto"/>
              <w:ind w:firstLineChars="0" w:firstLine="0"/>
              <w:rPr>
                <w:rFonts w:ascii="Times New Roman" w:cs="Times New Roman"/>
                <w:b/>
                <w:kern w:val="2"/>
                <w:sz w:val="21"/>
                <w:szCs w:val="21"/>
              </w:rPr>
            </w:pPr>
            <w:r>
              <w:rPr>
                <w:rFonts w:ascii="Times New Roman" w:cs="Times New Roman"/>
                <w:b/>
                <w:kern w:val="2"/>
                <w:sz w:val="21"/>
                <w:szCs w:val="21"/>
              </w:rPr>
              <w:t>环境风险类型</w:t>
            </w:r>
          </w:p>
        </w:tc>
        <w:tc>
          <w:tcPr>
            <w:tcW w:w="1559" w:type="dxa"/>
            <w:vAlign w:val="center"/>
          </w:tcPr>
          <w:p w:rsidR="00BD5820" w:rsidRDefault="00F64314">
            <w:pPr>
              <w:pStyle w:val="TableParagraph"/>
              <w:spacing w:line="240" w:lineRule="auto"/>
              <w:ind w:firstLineChars="0" w:firstLine="0"/>
              <w:rPr>
                <w:rFonts w:ascii="Times New Roman" w:cs="Times New Roman"/>
                <w:b/>
                <w:kern w:val="2"/>
                <w:sz w:val="21"/>
                <w:szCs w:val="21"/>
              </w:rPr>
            </w:pPr>
            <w:r>
              <w:rPr>
                <w:rFonts w:ascii="Times New Roman" w:cs="Times New Roman"/>
                <w:b/>
                <w:kern w:val="2"/>
                <w:sz w:val="21"/>
                <w:szCs w:val="21"/>
              </w:rPr>
              <w:t>环境要素影响</w:t>
            </w:r>
          </w:p>
        </w:tc>
        <w:tc>
          <w:tcPr>
            <w:tcW w:w="4661" w:type="dxa"/>
            <w:vAlign w:val="center"/>
          </w:tcPr>
          <w:p w:rsidR="00BD5820" w:rsidRDefault="00F64314">
            <w:pPr>
              <w:pStyle w:val="TableParagraph"/>
              <w:spacing w:line="240" w:lineRule="auto"/>
              <w:ind w:firstLineChars="0" w:firstLine="0"/>
              <w:rPr>
                <w:rFonts w:ascii="Times New Roman" w:cs="Times New Roman"/>
                <w:b/>
                <w:kern w:val="2"/>
                <w:sz w:val="21"/>
                <w:szCs w:val="21"/>
              </w:rPr>
            </w:pPr>
            <w:r>
              <w:rPr>
                <w:rFonts w:ascii="Times New Roman" w:cs="Times New Roman"/>
                <w:b/>
                <w:kern w:val="2"/>
                <w:sz w:val="21"/>
                <w:szCs w:val="21"/>
              </w:rPr>
              <w:t>扩散途径和可能影响方式</w:t>
            </w:r>
          </w:p>
        </w:tc>
      </w:tr>
      <w:tr w:rsidR="00BD5820">
        <w:trPr>
          <w:trHeight w:val="18"/>
          <w:jc w:val="center"/>
        </w:trPr>
        <w:tc>
          <w:tcPr>
            <w:tcW w:w="1022" w:type="dxa"/>
            <w:vMerge w:val="restart"/>
            <w:vAlign w:val="center"/>
          </w:tcPr>
          <w:p w:rsidR="00BD5820" w:rsidRDefault="00F64314">
            <w:pPr>
              <w:pStyle w:val="TableParagraph"/>
              <w:spacing w:line="240" w:lineRule="auto"/>
              <w:ind w:firstLineChars="0" w:firstLine="0"/>
              <w:rPr>
                <w:rFonts w:ascii="Times New Roman" w:cs="Times New Roman"/>
                <w:b/>
                <w:kern w:val="2"/>
                <w:sz w:val="21"/>
                <w:szCs w:val="21"/>
              </w:rPr>
            </w:pPr>
            <w:r>
              <w:rPr>
                <w:rFonts w:ascii="Times New Roman" w:cs="Times New Roman" w:hint="eastAsia"/>
                <w:bCs/>
                <w:kern w:val="2"/>
                <w:sz w:val="21"/>
                <w:szCs w:val="21"/>
              </w:rPr>
              <w:t>增压站</w:t>
            </w:r>
            <w:r>
              <w:rPr>
                <w:rFonts w:ascii="Times New Roman" w:cs="Times New Roman"/>
                <w:kern w:val="2"/>
                <w:sz w:val="21"/>
                <w:szCs w:val="21"/>
              </w:rPr>
              <w:t>泄漏的天然气</w:t>
            </w:r>
          </w:p>
        </w:tc>
        <w:tc>
          <w:tcPr>
            <w:tcW w:w="1388" w:type="dxa"/>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泄漏</w:t>
            </w:r>
          </w:p>
        </w:tc>
        <w:tc>
          <w:tcPr>
            <w:tcW w:w="1559" w:type="dxa"/>
            <w:vAlign w:val="center"/>
          </w:tcPr>
          <w:p w:rsidR="00BD5820" w:rsidRDefault="00F64314">
            <w:pPr>
              <w:pStyle w:val="TableParagraph"/>
              <w:spacing w:line="240" w:lineRule="auto"/>
              <w:ind w:firstLineChars="0" w:firstLine="0"/>
              <w:rPr>
                <w:rFonts w:ascii="Times New Roman" w:cs="Times New Roman"/>
                <w:b/>
                <w:kern w:val="2"/>
                <w:sz w:val="21"/>
                <w:szCs w:val="21"/>
              </w:rPr>
            </w:pPr>
            <w:r>
              <w:rPr>
                <w:rFonts w:ascii="Times New Roman" w:cs="Times New Roman"/>
                <w:kern w:val="2"/>
                <w:sz w:val="21"/>
                <w:szCs w:val="21"/>
              </w:rPr>
              <w:t>大气</w:t>
            </w:r>
          </w:p>
        </w:tc>
        <w:tc>
          <w:tcPr>
            <w:tcW w:w="4661" w:type="dxa"/>
            <w:vAlign w:val="center"/>
          </w:tcPr>
          <w:p w:rsidR="00BD5820" w:rsidRDefault="00F64314">
            <w:pPr>
              <w:pStyle w:val="TableParagraph"/>
              <w:spacing w:line="240" w:lineRule="auto"/>
              <w:ind w:firstLineChars="0" w:firstLine="0"/>
              <w:rPr>
                <w:rFonts w:ascii="Times New Roman" w:cs="Times New Roman"/>
                <w:b/>
                <w:kern w:val="2"/>
                <w:sz w:val="21"/>
                <w:szCs w:val="21"/>
              </w:rPr>
            </w:pPr>
            <w:r>
              <w:rPr>
                <w:rFonts w:ascii="Times New Roman" w:cs="Times New Roman" w:hint="eastAsia"/>
                <w:bCs/>
                <w:kern w:val="2"/>
                <w:sz w:val="21"/>
                <w:szCs w:val="21"/>
              </w:rPr>
              <w:t>增压站泄漏</w:t>
            </w:r>
            <w:r>
              <w:rPr>
                <w:rFonts w:ascii="Times New Roman" w:cs="Times New Roman"/>
                <w:kern w:val="2"/>
                <w:sz w:val="21"/>
                <w:szCs w:val="21"/>
              </w:rPr>
              <w:t>事故导致天然气泄漏后直接进入大气环境，通过大气扩散对项目周围环境造成危害，致使居民甲烷窒息或硫化氢中毒。</w:t>
            </w:r>
          </w:p>
        </w:tc>
      </w:tr>
      <w:tr w:rsidR="00BD5820">
        <w:trPr>
          <w:trHeight w:val="18"/>
          <w:jc w:val="center"/>
        </w:trPr>
        <w:tc>
          <w:tcPr>
            <w:tcW w:w="1022" w:type="dxa"/>
            <w:vMerge/>
            <w:vAlign w:val="center"/>
          </w:tcPr>
          <w:p w:rsidR="00BD5820" w:rsidRDefault="00BD5820">
            <w:pPr>
              <w:pStyle w:val="TableParagraph"/>
              <w:spacing w:line="240" w:lineRule="auto"/>
              <w:ind w:firstLineChars="0" w:firstLine="0"/>
              <w:rPr>
                <w:rFonts w:ascii="Times New Roman" w:cs="Times New Roman"/>
                <w:kern w:val="2"/>
                <w:sz w:val="21"/>
                <w:szCs w:val="21"/>
              </w:rPr>
            </w:pPr>
          </w:p>
        </w:tc>
        <w:tc>
          <w:tcPr>
            <w:tcW w:w="1388" w:type="dxa"/>
            <w:vMerge w:val="restart"/>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火灾</w:t>
            </w:r>
          </w:p>
        </w:tc>
        <w:tc>
          <w:tcPr>
            <w:tcW w:w="1559" w:type="dxa"/>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大气</w:t>
            </w:r>
          </w:p>
        </w:tc>
        <w:tc>
          <w:tcPr>
            <w:tcW w:w="4661" w:type="dxa"/>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hint="eastAsia"/>
                <w:bCs/>
                <w:kern w:val="2"/>
                <w:sz w:val="21"/>
                <w:szCs w:val="21"/>
              </w:rPr>
              <w:t>增压站泄漏</w:t>
            </w:r>
            <w:r>
              <w:rPr>
                <w:rFonts w:ascii="Times New Roman" w:cs="Times New Roman"/>
                <w:kern w:val="2"/>
                <w:sz w:val="21"/>
                <w:szCs w:val="21"/>
              </w:rPr>
              <w:t>事故导致天然气泄漏</w:t>
            </w:r>
            <w:r>
              <w:rPr>
                <w:rFonts w:ascii="Times New Roman" w:cs="Times New Roman" w:hint="eastAsia"/>
                <w:kern w:val="2"/>
                <w:sz w:val="21"/>
                <w:szCs w:val="21"/>
              </w:rPr>
              <w:t>，经</w:t>
            </w:r>
            <w:r>
              <w:rPr>
                <w:rFonts w:ascii="Times New Roman" w:cs="Times New Roman"/>
                <w:kern w:val="2"/>
                <w:sz w:val="21"/>
                <w:szCs w:val="21"/>
              </w:rPr>
              <w:t>点燃后</w:t>
            </w:r>
            <w:r>
              <w:rPr>
                <w:rFonts w:ascii="Times New Roman" w:cs="Times New Roman" w:hint="eastAsia"/>
                <w:kern w:val="2"/>
                <w:sz w:val="21"/>
                <w:szCs w:val="21"/>
              </w:rPr>
              <w:t>伴生污染物</w:t>
            </w:r>
            <w:r>
              <w:rPr>
                <w:rFonts w:ascii="Times New Roman" w:cs="Times New Roman"/>
                <w:kern w:val="2"/>
                <w:sz w:val="21"/>
                <w:szCs w:val="21"/>
              </w:rPr>
              <w:t>CO</w:t>
            </w:r>
            <w:r>
              <w:rPr>
                <w:rFonts w:ascii="Times New Roman" w:cs="Times New Roman"/>
                <w:kern w:val="2"/>
                <w:sz w:val="21"/>
                <w:szCs w:val="21"/>
              </w:rPr>
              <w:t>、</w:t>
            </w:r>
            <w:r>
              <w:rPr>
                <w:rFonts w:ascii="Times New Roman" w:cs="Times New Roman"/>
                <w:kern w:val="2"/>
                <w:sz w:val="21"/>
                <w:szCs w:val="21"/>
              </w:rPr>
              <w:t>SO</w:t>
            </w:r>
            <w:r>
              <w:rPr>
                <w:rFonts w:ascii="Times New Roman" w:cs="Times New Roman"/>
                <w:kern w:val="2"/>
                <w:sz w:val="21"/>
                <w:szCs w:val="21"/>
                <w:vertAlign w:val="subscript"/>
              </w:rPr>
              <w:t>2</w:t>
            </w:r>
            <w:r>
              <w:rPr>
                <w:rFonts w:ascii="Times New Roman" w:cs="Times New Roman"/>
                <w:kern w:val="2"/>
                <w:sz w:val="21"/>
                <w:szCs w:val="21"/>
              </w:rPr>
              <w:t>等</w:t>
            </w:r>
            <w:r>
              <w:rPr>
                <w:rFonts w:ascii="Times New Roman" w:cs="Times New Roman" w:hint="eastAsia"/>
                <w:kern w:val="2"/>
                <w:sz w:val="21"/>
                <w:szCs w:val="21"/>
              </w:rPr>
              <w:t>进入大气环境，通过大气扩散对项目周围环境造成危害。</w:t>
            </w:r>
          </w:p>
        </w:tc>
      </w:tr>
      <w:tr w:rsidR="00BD5820">
        <w:trPr>
          <w:trHeight w:val="18"/>
          <w:jc w:val="center"/>
        </w:trPr>
        <w:tc>
          <w:tcPr>
            <w:tcW w:w="1022" w:type="dxa"/>
            <w:vMerge/>
            <w:vAlign w:val="center"/>
          </w:tcPr>
          <w:p w:rsidR="00BD5820" w:rsidRDefault="00BD5820">
            <w:pPr>
              <w:pStyle w:val="TableParagraph"/>
              <w:spacing w:line="240" w:lineRule="auto"/>
              <w:ind w:firstLineChars="0" w:firstLine="0"/>
              <w:rPr>
                <w:rFonts w:ascii="Times New Roman" w:cs="Times New Roman"/>
                <w:kern w:val="2"/>
                <w:sz w:val="21"/>
                <w:szCs w:val="21"/>
              </w:rPr>
            </w:pPr>
          </w:p>
        </w:tc>
        <w:tc>
          <w:tcPr>
            <w:tcW w:w="1388" w:type="dxa"/>
            <w:vMerge/>
            <w:vAlign w:val="center"/>
          </w:tcPr>
          <w:p w:rsidR="00BD5820" w:rsidRDefault="00BD5820">
            <w:pPr>
              <w:pStyle w:val="TableParagraph"/>
              <w:spacing w:line="240" w:lineRule="auto"/>
              <w:ind w:firstLineChars="0" w:firstLine="0"/>
              <w:rPr>
                <w:rFonts w:ascii="Times New Roman" w:cs="Times New Roman"/>
                <w:kern w:val="2"/>
                <w:sz w:val="21"/>
                <w:szCs w:val="21"/>
              </w:rPr>
            </w:pPr>
          </w:p>
        </w:tc>
        <w:tc>
          <w:tcPr>
            <w:tcW w:w="1559" w:type="dxa"/>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地表水</w:t>
            </w:r>
          </w:p>
        </w:tc>
        <w:tc>
          <w:tcPr>
            <w:tcW w:w="4661" w:type="dxa"/>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hint="eastAsia"/>
                <w:bCs/>
                <w:kern w:val="2"/>
                <w:sz w:val="21"/>
                <w:szCs w:val="21"/>
              </w:rPr>
              <w:t>增压站泄漏</w:t>
            </w:r>
            <w:r>
              <w:rPr>
                <w:rFonts w:ascii="Times New Roman" w:cs="Times New Roman"/>
                <w:kern w:val="2"/>
                <w:sz w:val="21"/>
                <w:szCs w:val="21"/>
              </w:rPr>
              <w:t>事故后维修作业对地表水环境造成影响。</w:t>
            </w:r>
          </w:p>
        </w:tc>
      </w:tr>
      <w:tr w:rsidR="00BD5820">
        <w:trPr>
          <w:trHeight w:val="18"/>
          <w:jc w:val="center"/>
        </w:trPr>
        <w:tc>
          <w:tcPr>
            <w:tcW w:w="1022" w:type="dxa"/>
            <w:vMerge/>
            <w:vAlign w:val="center"/>
          </w:tcPr>
          <w:p w:rsidR="00BD5820" w:rsidRDefault="00BD5820">
            <w:pPr>
              <w:pStyle w:val="TableParagraph"/>
              <w:spacing w:line="240" w:lineRule="auto"/>
              <w:ind w:firstLineChars="0" w:firstLine="0"/>
              <w:rPr>
                <w:rFonts w:ascii="Times New Roman" w:cs="Times New Roman"/>
                <w:kern w:val="2"/>
                <w:sz w:val="21"/>
                <w:szCs w:val="21"/>
              </w:rPr>
            </w:pPr>
          </w:p>
        </w:tc>
        <w:tc>
          <w:tcPr>
            <w:tcW w:w="1388" w:type="dxa"/>
            <w:vMerge w:val="restart"/>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爆炸</w:t>
            </w:r>
          </w:p>
        </w:tc>
        <w:tc>
          <w:tcPr>
            <w:tcW w:w="1559" w:type="dxa"/>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大气</w:t>
            </w:r>
          </w:p>
        </w:tc>
        <w:tc>
          <w:tcPr>
            <w:tcW w:w="4661" w:type="dxa"/>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hint="eastAsia"/>
                <w:bCs/>
                <w:kern w:val="2"/>
                <w:sz w:val="21"/>
                <w:szCs w:val="21"/>
              </w:rPr>
              <w:t>增压站泄漏</w:t>
            </w:r>
            <w:r>
              <w:rPr>
                <w:rFonts w:ascii="Times New Roman" w:cs="Times New Roman"/>
                <w:kern w:val="2"/>
                <w:sz w:val="21"/>
                <w:szCs w:val="21"/>
              </w:rPr>
              <w:t>事故导致天然气泄漏发生爆炸事故，引发伴生污染物</w:t>
            </w:r>
            <w:r>
              <w:rPr>
                <w:rFonts w:ascii="Times New Roman" w:cs="Times New Roman"/>
                <w:kern w:val="2"/>
                <w:sz w:val="21"/>
                <w:szCs w:val="21"/>
              </w:rPr>
              <w:t>CO</w:t>
            </w:r>
            <w:r>
              <w:rPr>
                <w:rFonts w:ascii="Times New Roman" w:cs="Times New Roman"/>
                <w:kern w:val="2"/>
                <w:sz w:val="21"/>
                <w:szCs w:val="21"/>
              </w:rPr>
              <w:t>、</w:t>
            </w:r>
            <w:r>
              <w:rPr>
                <w:rFonts w:ascii="Times New Roman" w:cs="Times New Roman"/>
                <w:kern w:val="2"/>
                <w:sz w:val="21"/>
                <w:szCs w:val="21"/>
              </w:rPr>
              <w:t>SO</w:t>
            </w:r>
            <w:r>
              <w:rPr>
                <w:rFonts w:ascii="Times New Roman" w:cs="Times New Roman"/>
                <w:kern w:val="2"/>
                <w:sz w:val="21"/>
                <w:szCs w:val="21"/>
                <w:vertAlign w:val="subscript"/>
              </w:rPr>
              <w:t>2</w:t>
            </w:r>
            <w:r>
              <w:rPr>
                <w:rFonts w:ascii="Times New Roman" w:cs="Times New Roman"/>
                <w:kern w:val="2"/>
                <w:sz w:val="21"/>
                <w:szCs w:val="21"/>
              </w:rPr>
              <w:t>等进入大气环境，对项目周围环境造成危害。</w:t>
            </w:r>
          </w:p>
        </w:tc>
      </w:tr>
      <w:tr w:rsidR="00BD5820">
        <w:trPr>
          <w:trHeight w:val="18"/>
          <w:jc w:val="center"/>
        </w:trPr>
        <w:tc>
          <w:tcPr>
            <w:tcW w:w="1022" w:type="dxa"/>
            <w:vMerge/>
            <w:tcBorders>
              <w:bottom w:val="single" w:sz="4" w:space="0" w:color="auto"/>
            </w:tcBorders>
            <w:vAlign w:val="center"/>
          </w:tcPr>
          <w:p w:rsidR="00BD5820" w:rsidRDefault="00BD5820">
            <w:pPr>
              <w:pStyle w:val="TableParagraph"/>
              <w:spacing w:line="240" w:lineRule="auto"/>
              <w:ind w:firstLineChars="0" w:firstLine="0"/>
              <w:rPr>
                <w:rFonts w:ascii="Times New Roman" w:cs="Times New Roman"/>
                <w:kern w:val="2"/>
                <w:sz w:val="21"/>
                <w:szCs w:val="21"/>
              </w:rPr>
            </w:pPr>
          </w:p>
        </w:tc>
        <w:tc>
          <w:tcPr>
            <w:tcW w:w="1388" w:type="dxa"/>
            <w:vMerge/>
            <w:vAlign w:val="center"/>
          </w:tcPr>
          <w:p w:rsidR="00BD5820" w:rsidRDefault="00BD5820">
            <w:pPr>
              <w:pStyle w:val="TableParagraph"/>
              <w:spacing w:line="240" w:lineRule="auto"/>
              <w:ind w:firstLineChars="0" w:firstLine="0"/>
              <w:rPr>
                <w:rFonts w:ascii="Times New Roman" w:cs="Times New Roman"/>
                <w:kern w:val="2"/>
                <w:sz w:val="21"/>
                <w:szCs w:val="21"/>
              </w:rPr>
            </w:pPr>
          </w:p>
        </w:tc>
        <w:tc>
          <w:tcPr>
            <w:tcW w:w="1559" w:type="dxa"/>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地表水</w:t>
            </w:r>
          </w:p>
        </w:tc>
        <w:tc>
          <w:tcPr>
            <w:tcW w:w="4661" w:type="dxa"/>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hint="eastAsia"/>
                <w:bCs/>
                <w:kern w:val="2"/>
                <w:sz w:val="21"/>
                <w:szCs w:val="21"/>
              </w:rPr>
              <w:t>增压站泄漏</w:t>
            </w:r>
            <w:r>
              <w:rPr>
                <w:rFonts w:ascii="Times New Roman" w:cs="Times New Roman"/>
                <w:kern w:val="2"/>
                <w:sz w:val="21"/>
                <w:szCs w:val="21"/>
              </w:rPr>
              <w:t>事故导致天然气泄漏发生爆炸事故时产生的消防废水或事故后维修作业对地表水环境造成影响。</w:t>
            </w:r>
          </w:p>
        </w:tc>
      </w:tr>
      <w:tr w:rsidR="00BD5820">
        <w:trPr>
          <w:trHeight w:val="18"/>
          <w:jc w:val="center"/>
        </w:trPr>
        <w:tc>
          <w:tcPr>
            <w:tcW w:w="1022" w:type="dxa"/>
            <w:vMerge w:val="restart"/>
            <w:tcBorders>
              <w:top w:val="single" w:sz="4" w:space="0" w:color="auto"/>
            </w:tcBorders>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管道泄漏的天然气</w:t>
            </w:r>
          </w:p>
        </w:tc>
        <w:tc>
          <w:tcPr>
            <w:tcW w:w="1388" w:type="dxa"/>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泄漏</w:t>
            </w:r>
          </w:p>
        </w:tc>
        <w:tc>
          <w:tcPr>
            <w:tcW w:w="1559" w:type="dxa"/>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大气</w:t>
            </w:r>
          </w:p>
        </w:tc>
        <w:tc>
          <w:tcPr>
            <w:tcW w:w="4661" w:type="dxa"/>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天然气泄漏后直接进入大气环境，通过大气扩散对项目周围环境造成危害，致使居民甲烷窒息或硫化氢中毒。</w:t>
            </w:r>
          </w:p>
        </w:tc>
      </w:tr>
      <w:tr w:rsidR="00BD5820">
        <w:trPr>
          <w:trHeight w:val="18"/>
          <w:jc w:val="center"/>
        </w:trPr>
        <w:tc>
          <w:tcPr>
            <w:tcW w:w="1022" w:type="dxa"/>
            <w:vMerge/>
            <w:vAlign w:val="center"/>
          </w:tcPr>
          <w:p w:rsidR="00BD5820" w:rsidRDefault="00BD5820">
            <w:pPr>
              <w:widowControl/>
              <w:topLinePunct w:val="0"/>
              <w:adjustRightInd/>
              <w:spacing w:line="240" w:lineRule="auto"/>
              <w:ind w:firstLineChars="0" w:firstLine="0"/>
              <w:jc w:val="left"/>
              <w:rPr>
                <w:rFonts w:ascii="Times New Roman" w:cs="Times New Roman"/>
                <w:kern w:val="2"/>
                <w:sz w:val="21"/>
                <w:szCs w:val="21"/>
              </w:rPr>
            </w:pPr>
          </w:p>
        </w:tc>
        <w:tc>
          <w:tcPr>
            <w:tcW w:w="1388" w:type="dxa"/>
            <w:vMerge w:val="restart"/>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火灾</w:t>
            </w:r>
          </w:p>
        </w:tc>
        <w:tc>
          <w:tcPr>
            <w:tcW w:w="1559" w:type="dxa"/>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大气</w:t>
            </w:r>
          </w:p>
        </w:tc>
        <w:tc>
          <w:tcPr>
            <w:tcW w:w="4661" w:type="dxa"/>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天然气泄漏发生火灾事故，引发伴生污染物</w:t>
            </w:r>
            <w:r>
              <w:rPr>
                <w:rFonts w:ascii="Times New Roman" w:cs="Times New Roman"/>
                <w:kern w:val="2"/>
                <w:sz w:val="21"/>
                <w:szCs w:val="21"/>
              </w:rPr>
              <w:t>CO</w:t>
            </w:r>
            <w:r>
              <w:rPr>
                <w:rFonts w:ascii="Times New Roman" w:cs="Times New Roman"/>
                <w:kern w:val="2"/>
                <w:sz w:val="21"/>
                <w:szCs w:val="21"/>
              </w:rPr>
              <w:t>、</w:t>
            </w:r>
            <w:r>
              <w:rPr>
                <w:rFonts w:ascii="Times New Roman" w:cs="Times New Roman"/>
                <w:kern w:val="2"/>
                <w:sz w:val="21"/>
                <w:szCs w:val="21"/>
              </w:rPr>
              <w:t>SO</w:t>
            </w:r>
            <w:r>
              <w:rPr>
                <w:rFonts w:ascii="Times New Roman" w:cs="Times New Roman"/>
                <w:kern w:val="2"/>
                <w:sz w:val="21"/>
                <w:szCs w:val="21"/>
                <w:vertAlign w:val="subscript"/>
              </w:rPr>
              <w:t>2</w:t>
            </w:r>
            <w:r>
              <w:rPr>
                <w:rFonts w:ascii="Times New Roman" w:cs="Times New Roman"/>
                <w:kern w:val="2"/>
                <w:sz w:val="21"/>
                <w:szCs w:val="21"/>
              </w:rPr>
              <w:t>等进入大气环境，对项目周围环境造成危害。</w:t>
            </w:r>
          </w:p>
        </w:tc>
      </w:tr>
      <w:tr w:rsidR="00BD5820">
        <w:trPr>
          <w:trHeight w:val="18"/>
          <w:jc w:val="center"/>
        </w:trPr>
        <w:tc>
          <w:tcPr>
            <w:tcW w:w="1022" w:type="dxa"/>
            <w:vMerge/>
            <w:vAlign w:val="center"/>
          </w:tcPr>
          <w:p w:rsidR="00BD5820" w:rsidRDefault="00BD5820">
            <w:pPr>
              <w:widowControl/>
              <w:topLinePunct w:val="0"/>
              <w:adjustRightInd/>
              <w:spacing w:line="240" w:lineRule="auto"/>
              <w:ind w:firstLineChars="0" w:firstLine="0"/>
              <w:jc w:val="left"/>
              <w:rPr>
                <w:rFonts w:ascii="Times New Roman" w:cs="Times New Roman"/>
                <w:kern w:val="2"/>
                <w:sz w:val="21"/>
                <w:szCs w:val="21"/>
              </w:rPr>
            </w:pPr>
          </w:p>
        </w:tc>
        <w:tc>
          <w:tcPr>
            <w:tcW w:w="1388" w:type="dxa"/>
            <w:vMerge/>
            <w:vAlign w:val="center"/>
          </w:tcPr>
          <w:p w:rsidR="00BD5820" w:rsidRDefault="00BD5820">
            <w:pPr>
              <w:widowControl/>
              <w:topLinePunct w:val="0"/>
              <w:adjustRightInd/>
              <w:spacing w:line="240" w:lineRule="auto"/>
              <w:ind w:firstLineChars="0" w:firstLine="0"/>
              <w:jc w:val="left"/>
              <w:rPr>
                <w:rFonts w:ascii="Times New Roman" w:cs="Times New Roman"/>
                <w:kern w:val="2"/>
                <w:sz w:val="21"/>
                <w:szCs w:val="21"/>
              </w:rPr>
            </w:pPr>
          </w:p>
        </w:tc>
        <w:tc>
          <w:tcPr>
            <w:tcW w:w="1559" w:type="dxa"/>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地表水</w:t>
            </w:r>
          </w:p>
        </w:tc>
        <w:tc>
          <w:tcPr>
            <w:tcW w:w="4661" w:type="dxa"/>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天然气泄漏发生火灾事故时产生的消防废水或事故后维修作业对地表水环境造成影响。</w:t>
            </w:r>
          </w:p>
        </w:tc>
      </w:tr>
      <w:tr w:rsidR="00BD5820">
        <w:trPr>
          <w:trHeight w:val="18"/>
          <w:jc w:val="center"/>
        </w:trPr>
        <w:tc>
          <w:tcPr>
            <w:tcW w:w="1022" w:type="dxa"/>
            <w:vMerge/>
            <w:vAlign w:val="center"/>
          </w:tcPr>
          <w:p w:rsidR="00BD5820" w:rsidRDefault="00BD5820">
            <w:pPr>
              <w:widowControl/>
              <w:topLinePunct w:val="0"/>
              <w:adjustRightInd/>
              <w:spacing w:line="240" w:lineRule="auto"/>
              <w:ind w:firstLineChars="0" w:firstLine="0"/>
              <w:jc w:val="left"/>
              <w:rPr>
                <w:rFonts w:ascii="Times New Roman" w:cs="Times New Roman"/>
                <w:kern w:val="2"/>
                <w:sz w:val="21"/>
                <w:szCs w:val="21"/>
              </w:rPr>
            </w:pPr>
          </w:p>
        </w:tc>
        <w:tc>
          <w:tcPr>
            <w:tcW w:w="1388" w:type="dxa"/>
            <w:vMerge w:val="restart"/>
            <w:vAlign w:val="center"/>
          </w:tcPr>
          <w:p w:rsidR="00BD5820" w:rsidRDefault="00F64314">
            <w:pPr>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爆炸</w:t>
            </w:r>
          </w:p>
        </w:tc>
        <w:tc>
          <w:tcPr>
            <w:tcW w:w="1559" w:type="dxa"/>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大气</w:t>
            </w:r>
          </w:p>
        </w:tc>
        <w:tc>
          <w:tcPr>
            <w:tcW w:w="4661" w:type="dxa"/>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天然气泄漏发生爆炸事故，引发伴生污染物</w:t>
            </w:r>
            <w:r>
              <w:rPr>
                <w:rFonts w:ascii="Times New Roman" w:cs="Times New Roman"/>
                <w:kern w:val="2"/>
                <w:sz w:val="21"/>
                <w:szCs w:val="21"/>
              </w:rPr>
              <w:t>CO</w:t>
            </w:r>
            <w:r>
              <w:rPr>
                <w:rFonts w:ascii="Times New Roman" w:cs="Times New Roman"/>
                <w:kern w:val="2"/>
                <w:sz w:val="21"/>
                <w:szCs w:val="21"/>
              </w:rPr>
              <w:t>、</w:t>
            </w:r>
            <w:r>
              <w:rPr>
                <w:rFonts w:ascii="Times New Roman" w:cs="Times New Roman"/>
                <w:kern w:val="2"/>
                <w:sz w:val="21"/>
                <w:szCs w:val="21"/>
              </w:rPr>
              <w:t>SO</w:t>
            </w:r>
            <w:r>
              <w:rPr>
                <w:rFonts w:ascii="Times New Roman" w:cs="Times New Roman"/>
                <w:kern w:val="2"/>
                <w:sz w:val="21"/>
                <w:szCs w:val="21"/>
                <w:vertAlign w:val="subscript"/>
              </w:rPr>
              <w:t>2</w:t>
            </w:r>
            <w:r>
              <w:rPr>
                <w:rFonts w:ascii="Times New Roman" w:cs="Times New Roman"/>
                <w:kern w:val="2"/>
                <w:sz w:val="21"/>
                <w:szCs w:val="21"/>
              </w:rPr>
              <w:t>等进入大气环境，对项目周围环境造成危害。</w:t>
            </w:r>
          </w:p>
        </w:tc>
      </w:tr>
      <w:tr w:rsidR="00BD5820">
        <w:trPr>
          <w:trHeight w:val="18"/>
          <w:jc w:val="center"/>
        </w:trPr>
        <w:tc>
          <w:tcPr>
            <w:tcW w:w="1022" w:type="dxa"/>
            <w:vMerge/>
            <w:vAlign w:val="center"/>
          </w:tcPr>
          <w:p w:rsidR="00BD5820" w:rsidRDefault="00BD5820">
            <w:pPr>
              <w:widowControl/>
              <w:topLinePunct w:val="0"/>
              <w:adjustRightInd/>
              <w:spacing w:line="240" w:lineRule="auto"/>
              <w:ind w:firstLineChars="0" w:firstLine="0"/>
              <w:jc w:val="left"/>
              <w:rPr>
                <w:rFonts w:ascii="Times New Roman" w:cs="Times New Roman"/>
                <w:kern w:val="2"/>
                <w:sz w:val="21"/>
                <w:szCs w:val="21"/>
              </w:rPr>
            </w:pPr>
          </w:p>
        </w:tc>
        <w:tc>
          <w:tcPr>
            <w:tcW w:w="1388" w:type="dxa"/>
            <w:vMerge/>
            <w:vAlign w:val="center"/>
          </w:tcPr>
          <w:p w:rsidR="00BD5820" w:rsidRDefault="00BD5820">
            <w:pPr>
              <w:widowControl/>
              <w:topLinePunct w:val="0"/>
              <w:adjustRightInd/>
              <w:spacing w:line="240" w:lineRule="auto"/>
              <w:ind w:firstLineChars="0" w:firstLine="0"/>
              <w:jc w:val="left"/>
              <w:rPr>
                <w:rFonts w:ascii="Times New Roman" w:cs="Times New Roman"/>
                <w:kern w:val="2"/>
                <w:sz w:val="21"/>
                <w:szCs w:val="21"/>
              </w:rPr>
            </w:pPr>
          </w:p>
        </w:tc>
        <w:tc>
          <w:tcPr>
            <w:tcW w:w="1559" w:type="dxa"/>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地表水</w:t>
            </w:r>
          </w:p>
        </w:tc>
        <w:tc>
          <w:tcPr>
            <w:tcW w:w="4661" w:type="dxa"/>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天然气泄漏发生爆炸事故时产生的消防废水或事故后维修作业对地表水环境造成影响。</w:t>
            </w:r>
          </w:p>
        </w:tc>
      </w:tr>
      <w:tr w:rsidR="00BD5820">
        <w:trPr>
          <w:trHeight w:val="18"/>
          <w:jc w:val="center"/>
        </w:trPr>
        <w:tc>
          <w:tcPr>
            <w:tcW w:w="1022" w:type="dxa"/>
            <w:vMerge w:val="restart"/>
            <w:vAlign w:val="center"/>
          </w:tcPr>
          <w:p w:rsidR="00BD5820" w:rsidRDefault="00F64314">
            <w:pPr>
              <w:widowControl/>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润滑油</w:t>
            </w:r>
          </w:p>
        </w:tc>
        <w:tc>
          <w:tcPr>
            <w:tcW w:w="1388" w:type="dxa"/>
            <w:vAlign w:val="center"/>
          </w:tcPr>
          <w:p w:rsidR="00BD5820" w:rsidRDefault="00F64314">
            <w:pPr>
              <w:widowControl/>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泄漏</w:t>
            </w:r>
          </w:p>
        </w:tc>
        <w:tc>
          <w:tcPr>
            <w:tcW w:w="1559" w:type="dxa"/>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地表水、土壤、地下水</w:t>
            </w:r>
          </w:p>
        </w:tc>
        <w:tc>
          <w:tcPr>
            <w:tcW w:w="4661" w:type="dxa"/>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润滑油罐</w:t>
            </w:r>
            <w:r>
              <w:rPr>
                <w:rFonts w:ascii="Times New Roman" w:cs="Times New Roman"/>
                <w:kern w:val="2"/>
                <w:sz w:val="21"/>
                <w:szCs w:val="21"/>
              </w:rPr>
              <w:t>发生泄漏，导致</w:t>
            </w:r>
            <w:r>
              <w:rPr>
                <w:rFonts w:ascii="Times New Roman" w:cs="Times New Roman" w:hint="eastAsia"/>
                <w:kern w:val="2"/>
                <w:sz w:val="21"/>
                <w:szCs w:val="21"/>
              </w:rPr>
              <w:t>润滑油</w:t>
            </w:r>
            <w:r>
              <w:rPr>
                <w:rFonts w:ascii="Times New Roman" w:cs="Times New Roman"/>
                <w:kern w:val="2"/>
                <w:sz w:val="21"/>
                <w:szCs w:val="21"/>
              </w:rPr>
              <w:t>进入地表水、地下水、土壤环境，对项目周围环境造成危害。</w:t>
            </w:r>
          </w:p>
        </w:tc>
      </w:tr>
      <w:tr w:rsidR="00BD5820">
        <w:trPr>
          <w:trHeight w:val="18"/>
          <w:jc w:val="center"/>
        </w:trPr>
        <w:tc>
          <w:tcPr>
            <w:tcW w:w="1022" w:type="dxa"/>
            <w:vMerge/>
            <w:vAlign w:val="center"/>
          </w:tcPr>
          <w:p w:rsidR="00BD5820" w:rsidRDefault="00BD5820">
            <w:pPr>
              <w:widowControl/>
              <w:topLinePunct w:val="0"/>
              <w:adjustRightInd/>
              <w:spacing w:line="240" w:lineRule="auto"/>
              <w:ind w:firstLineChars="0" w:firstLine="0"/>
              <w:jc w:val="center"/>
              <w:rPr>
                <w:rFonts w:ascii="Times New Roman" w:cs="Times New Roman"/>
                <w:kern w:val="2"/>
                <w:sz w:val="21"/>
                <w:szCs w:val="21"/>
              </w:rPr>
            </w:pPr>
          </w:p>
        </w:tc>
        <w:tc>
          <w:tcPr>
            <w:tcW w:w="1388" w:type="dxa"/>
            <w:vMerge w:val="restart"/>
            <w:vAlign w:val="center"/>
          </w:tcPr>
          <w:p w:rsidR="00BD5820" w:rsidRDefault="00F64314">
            <w:pPr>
              <w:widowControl/>
              <w:topLinePunct w:val="0"/>
              <w:adjustRightInd/>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火灾</w:t>
            </w:r>
          </w:p>
        </w:tc>
        <w:tc>
          <w:tcPr>
            <w:tcW w:w="1559" w:type="dxa"/>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大气</w:t>
            </w:r>
          </w:p>
        </w:tc>
        <w:tc>
          <w:tcPr>
            <w:tcW w:w="4661" w:type="dxa"/>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润滑油</w:t>
            </w:r>
            <w:r>
              <w:rPr>
                <w:rFonts w:ascii="Times New Roman" w:cs="Times New Roman"/>
                <w:kern w:val="2"/>
                <w:sz w:val="21"/>
                <w:szCs w:val="21"/>
              </w:rPr>
              <w:t>泄漏发生火灾事故，引发伴生污染物</w:t>
            </w:r>
            <w:r>
              <w:rPr>
                <w:rFonts w:ascii="Times New Roman" w:cs="Times New Roman"/>
                <w:kern w:val="2"/>
                <w:sz w:val="21"/>
                <w:szCs w:val="21"/>
              </w:rPr>
              <w:t>CO</w:t>
            </w:r>
            <w:r>
              <w:rPr>
                <w:rFonts w:ascii="Times New Roman" w:cs="Times New Roman"/>
                <w:kern w:val="2"/>
                <w:sz w:val="21"/>
                <w:szCs w:val="21"/>
              </w:rPr>
              <w:t>等进入大气环境，对项目周围环境造成危害。</w:t>
            </w:r>
          </w:p>
        </w:tc>
      </w:tr>
      <w:tr w:rsidR="00BD5820">
        <w:trPr>
          <w:trHeight w:val="18"/>
          <w:jc w:val="center"/>
        </w:trPr>
        <w:tc>
          <w:tcPr>
            <w:tcW w:w="1022" w:type="dxa"/>
            <w:vMerge/>
            <w:vAlign w:val="center"/>
          </w:tcPr>
          <w:p w:rsidR="00BD5820" w:rsidRDefault="00BD5820">
            <w:pPr>
              <w:widowControl/>
              <w:topLinePunct w:val="0"/>
              <w:adjustRightInd/>
              <w:spacing w:line="240" w:lineRule="auto"/>
              <w:ind w:firstLineChars="0" w:firstLine="0"/>
              <w:jc w:val="center"/>
              <w:rPr>
                <w:rFonts w:ascii="Times New Roman" w:cs="Times New Roman"/>
                <w:kern w:val="2"/>
                <w:sz w:val="21"/>
                <w:szCs w:val="21"/>
              </w:rPr>
            </w:pPr>
          </w:p>
        </w:tc>
        <w:tc>
          <w:tcPr>
            <w:tcW w:w="1388" w:type="dxa"/>
            <w:vMerge/>
            <w:vAlign w:val="center"/>
          </w:tcPr>
          <w:p w:rsidR="00BD5820" w:rsidRDefault="00BD5820">
            <w:pPr>
              <w:widowControl/>
              <w:topLinePunct w:val="0"/>
              <w:adjustRightInd/>
              <w:spacing w:line="240" w:lineRule="auto"/>
              <w:ind w:firstLineChars="0" w:firstLine="0"/>
              <w:jc w:val="center"/>
              <w:rPr>
                <w:rFonts w:ascii="Times New Roman" w:cs="Times New Roman"/>
                <w:kern w:val="2"/>
                <w:sz w:val="21"/>
                <w:szCs w:val="21"/>
              </w:rPr>
            </w:pPr>
          </w:p>
        </w:tc>
        <w:tc>
          <w:tcPr>
            <w:tcW w:w="1559" w:type="dxa"/>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地表水</w:t>
            </w:r>
          </w:p>
        </w:tc>
        <w:tc>
          <w:tcPr>
            <w:tcW w:w="4661" w:type="dxa"/>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润滑油</w:t>
            </w:r>
            <w:r>
              <w:rPr>
                <w:rFonts w:ascii="Times New Roman" w:cs="Times New Roman"/>
                <w:kern w:val="2"/>
                <w:sz w:val="21"/>
                <w:szCs w:val="21"/>
              </w:rPr>
              <w:t>泄漏发生火灾事故时产生的消防废水或事故后维修作业对地表水环境造成影响。</w:t>
            </w:r>
          </w:p>
        </w:tc>
      </w:tr>
      <w:tr w:rsidR="00BD5820">
        <w:trPr>
          <w:trHeight w:val="18"/>
          <w:jc w:val="center"/>
        </w:trPr>
        <w:tc>
          <w:tcPr>
            <w:tcW w:w="1022" w:type="dxa"/>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气田水</w:t>
            </w:r>
          </w:p>
        </w:tc>
        <w:tc>
          <w:tcPr>
            <w:tcW w:w="1388" w:type="dxa"/>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泄漏</w:t>
            </w:r>
          </w:p>
        </w:tc>
        <w:tc>
          <w:tcPr>
            <w:tcW w:w="1559" w:type="dxa"/>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地表水、土壤、地下水</w:t>
            </w:r>
          </w:p>
        </w:tc>
        <w:tc>
          <w:tcPr>
            <w:tcW w:w="4661" w:type="dxa"/>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污水罐</w:t>
            </w:r>
            <w:r>
              <w:rPr>
                <w:rFonts w:ascii="Times New Roman" w:cs="Times New Roman"/>
                <w:kern w:val="2"/>
                <w:sz w:val="21"/>
                <w:szCs w:val="21"/>
              </w:rPr>
              <w:t>发生泄漏，导致</w:t>
            </w:r>
            <w:r>
              <w:rPr>
                <w:rFonts w:ascii="Times New Roman" w:cs="Times New Roman" w:hint="eastAsia"/>
                <w:kern w:val="2"/>
                <w:sz w:val="21"/>
                <w:szCs w:val="21"/>
              </w:rPr>
              <w:t>气田水</w:t>
            </w:r>
            <w:r>
              <w:rPr>
                <w:rFonts w:ascii="Times New Roman" w:cs="Times New Roman"/>
                <w:kern w:val="2"/>
                <w:sz w:val="21"/>
                <w:szCs w:val="21"/>
              </w:rPr>
              <w:t>进入地表水、地下水、土壤环境，对项目周围环境造成危害。</w:t>
            </w:r>
          </w:p>
        </w:tc>
      </w:tr>
    </w:tbl>
    <w:p w:rsidR="00BD5820" w:rsidRDefault="00F64314">
      <w:pPr>
        <w:pStyle w:val="3"/>
        <w:rPr>
          <w:rFonts w:eastAsia="宋体"/>
        </w:rPr>
      </w:pPr>
      <w:bookmarkStart w:id="447" w:name="bookmark61"/>
      <w:bookmarkStart w:id="448" w:name="_Toc19816106"/>
      <w:bookmarkStart w:id="449" w:name="_Toc12288733"/>
      <w:bookmarkEnd w:id="447"/>
      <w:r>
        <w:rPr>
          <w:rFonts w:eastAsia="宋体"/>
        </w:rPr>
        <w:t xml:space="preserve">7.6.4 </w:t>
      </w:r>
      <w:r>
        <w:rPr>
          <w:rFonts w:eastAsia="宋体"/>
        </w:rPr>
        <w:t>风险识别结果</w:t>
      </w:r>
      <w:bookmarkEnd w:id="448"/>
      <w:bookmarkEnd w:id="449"/>
    </w:p>
    <w:p w:rsidR="00BD5820" w:rsidRDefault="00F64314">
      <w:pPr>
        <w:pStyle w:val="a1"/>
        <w:ind w:firstLine="480"/>
        <w:rPr>
          <w:rFonts w:ascii="Times New Roman" w:cs="Times New Roman"/>
        </w:rPr>
      </w:pPr>
      <w:r>
        <w:rPr>
          <w:rFonts w:ascii="Times New Roman" w:cs="Times New Roman"/>
        </w:rPr>
        <w:t>根据风险识别分析，下表给出建设项目环境风险识别汇总结果。</w:t>
      </w:r>
    </w:p>
    <w:p w:rsidR="00BD5820" w:rsidRDefault="00F64314">
      <w:pPr>
        <w:pStyle w:val="TOC11"/>
        <w:rPr>
          <w:rFonts w:eastAsia="宋体"/>
        </w:rPr>
      </w:pPr>
      <w:r>
        <w:rPr>
          <w:rFonts w:eastAsia="宋体"/>
        </w:rPr>
        <w:t>表</w:t>
      </w:r>
      <w:r>
        <w:rPr>
          <w:rFonts w:eastAsia="宋体"/>
        </w:rPr>
        <w:t>7.6-</w:t>
      </w:r>
      <w:r>
        <w:rPr>
          <w:rFonts w:eastAsia="宋体" w:hint="eastAsia"/>
        </w:rPr>
        <w:t>7</w:t>
      </w:r>
      <w:r>
        <w:rPr>
          <w:rFonts w:eastAsia="宋体"/>
        </w:rPr>
        <w:t xml:space="preserve">  </w:t>
      </w:r>
      <w:r>
        <w:rPr>
          <w:rFonts w:eastAsia="宋体"/>
        </w:rPr>
        <w:t>本项目环境风险识别表</w:t>
      </w:r>
    </w:p>
    <w:tbl>
      <w:tblPr>
        <w:tblW w:w="8578" w:type="dxa"/>
        <w:jc w:val="center"/>
        <w:tblBorders>
          <w:top w:val="single" w:sz="12" w:space="0" w:color="000000"/>
          <w:bottom w:val="single" w:sz="12" w:space="0" w:color="000000"/>
          <w:insideH w:val="single" w:sz="2" w:space="0" w:color="000000"/>
          <w:insideV w:val="single" w:sz="4" w:space="0" w:color="000000"/>
        </w:tblBorders>
        <w:tblLayout w:type="fixed"/>
        <w:tblCellMar>
          <w:left w:w="0" w:type="dxa"/>
          <w:right w:w="0" w:type="dxa"/>
        </w:tblCellMar>
        <w:tblLook w:val="04A0"/>
      </w:tblPr>
      <w:tblGrid>
        <w:gridCol w:w="626"/>
        <w:gridCol w:w="2010"/>
        <w:gridCol w:w="878"/>
        <w:gridCol w:w="1589"/>
        <w:gridCol w:w="993"/>
        <w:gridCol w:w="931"/>
        <w:gridCol w:w="1551"/>
      </w:tblGrid>
      <w:tr w:rsidR="00BD5820">
        <w:trPr>
          <w:trHeight w:val="20"/>
          <w:jc w:val="center"/>
        </w:trPr>
        <w:tc>
          <w:tcPr>
            <w:tcW w:w="626" w:type="dxa"/>
            <w:vAlign w:val="center"/>
          </w:tcPr>
          <w:p w:rsidR="00BD5820" w:rsidRDefault="00F64314">
            <w:pPr>
              <w:pStyle w:val="afff2"/>
              <w:rPr>
                <w:b/>
                <w:bCs/>
                <w:color w:val="auto"/>
              </w:rPr>
            </w:pPr>
            <w:r>
              <w:rPr>
                <w:b/>
                <w:bCs/>
                <w:color w:val="auto"/>
              </w:rPr>
              <w:t>序号</w:t>
            </w:r>
          </w:p>
        </w:tc>
        <w:tc>
          <w:tcPr>
            <w:tcW w:w="2010" w:type="dxa"/>
            <w:vAlign w:val="center"/>
          </w:tcPr>
          <w:p w:rsidR="00BD5820" w:rsidRDefault="00F64314">
            <w:pPr>
              <w:pStyle w:val="afff2"/>
              <w:rPr>
                <w:b/>
                <w:bCs/>
                <w:color w:val="auto"/>
              </w:rPr>
            </w:pPr>
            <w:r>
              <w:rPr>
                <w:b/>
                <w:bCs/>
                <w:color w:val="auto"/>
              </w:rPr>
              <w:t>危险单元</w:t>
            </w:r>
          </w:p>
        </w:tc>
        <w:tc>
          <w:tcPr>
            <w:tcW w:w="878" w:type="dxa"/>
            <w:vAlign w:val="center"/>
          </w:tcPr>
          <w:p w:rsidR="00BD5820" w:rsidRDefault="00F64314">
            <w:pPr>
              <w:pStyle w:val="afff2"/>
              <w:rPr>
                <w:b/>
                <w:bCs/>
                <w:color w:val="auto"/>
              </w:rPr>
            </w:pPr>
            <w:r>
              <w:rPr>
                <w:b/>
                <w:bCs/>
                <w:color w:val="auto"/>
              </w:rPr>
              <w:t>风险源</w:t>
            </w:r>
          </w:p>
        </w:tc>
        <w:tc>
          <w:tcPr>
            <w:tcW w:w="1589" w:type="dxa"/>
            <w:vAlign w:val="center"/>
          </w:tcPr>
          <w:p w:rsidR="00BD5820" w:rsidRDefault="00F64314">
            <w:pPr>
              <w:pStyle w:val="afff2"/>
              <w:rPr>
                <w:b/>
                <w:bCs/>
                <w:color w:val="auto"/>
              </w:rPr>
            </w:pPr>
            <w:r>
              <w:rPr>
                <w:b/>
                <w:bCs/>
                <w:color w:val="auto"/>
              </w:rPr>
              <w:t>风险类型</w:t>
            </w:r>
          </w:p>
        </w:tc>
        <w:tc>
          <w:tcPr>
            <w:tcW w:w="993" w:type="dxa"/>
            <w:vAlign w:val="center"/>
          </w:tcPr>
          <w:p w:rsidR="00BD5820" w:rsidRDefault="00F64314">
            <w:pPr>
              <w:pStyle w:val="afff2"/>
              <w:rPr>
                <w:b/>
                <w:bCs/>
                <w:color w:val="auto"/>
              </w:rPr>
            </w:pPr>
            <w:r>
              <w:rPr>
                <w:b/>
                <w:bCs/>
                <w:color w:val="auto"/>
              </w:rPr>
              <w:t>危险物质</w:t>
            </w:r>
          </w:p>
        </w:tc>
        <w:tc>
          <w:tcPr>
            <w:tcW w:w="931" w:type="dxa"/>
            <w:vAlign w:val="center"/>
          </w:tcPr>
          <w:p w:rsidR="00BD5820" w:rsidRDefault="00F64314">
            <w:pPr>
              <w:pStyle w:val="afff2"/>
              <w:rPr>
                <w:b/>
                <w:bCs/>
                <w:color w:val="auto"/>
              </w:rPr>
            </w:pPr>
            <w:r>
              <w:rPr>
                <w:b/>
                <w:bCs/>
                <w:color w:val="auto"/>
              </w:rPr>
              <w:t>扩散途径</w:t>
            </w:r>
          </w:p>
        </w:tc>
        <w:tc>
          <w:tcPr>
            <w:tcW w:w="1551" w:type="dxa"/>
            <w:vAlign w:val="center"/>
          </w:tcPr>
          <w:p w:rsidR="00BD5820" w:rsidRDefault="00F64314">
            <w:pPr>
              <w:pStyle w:val="afff2"/>
              <w:rPr>
                <w:b/>
                <w:bCs/>
                <w:color w:val="auto"/>
              </w:rPr>
            </w:pPr>
            <w:r>
              <w:rPr>
                <w:b/>
                <w:bCs/>
                <w:color w:val="auto"/>
              </w:rPr>
              <w:t>可能受影响</w:t>
            </w:r>
          </w:p>
          <w:p w:rsidR="00BD5820" w:rsidRDefault="00F64314">
            <w:pPr>
              <w:pStyle w:val="afff2"/>
              <w:rPr>
                <w:b/>
                <w:bCs/>
                <w:color w:val="auto"/>
              </w:rPr>
            </w:pPr>
            <w:r>
              <w:rPr>
                <w:b/>
                <w:bCs/>
                <w:color w:val="auto"/>
              </w:rPr>
              <w:t>的敏感目标</w:t>
            </w:r>
          </w:p>
        </w:tc>
      </w:tr>
      <w:tr w:rsidR="00BD5820">
        <w:trPr>
          <w:trHeight w:val="20"/>
          <w:jc w:val="center"/>
        </w:trPr>
        <w:tc>
          <w:tcPr>
            <w:tcW w:w="626" w:type="dxa"/>
            <w:vAlign w:val="center"/>
          </w:tcPr>
          <w:p w:rsidR="00BD5820" w:rsidRDefault="00F64314">
            <w:pPr>
              <w:pStyle w:val="afff2"/>
              <w:rPr>
                <w:b/>
                <w:bCs/>
                <w:color w:val="auto"/>
              </w:rPr>
            </w:pPr>
            <w:r>
              <w:rPr>
                <w:color w:val="auto"/>
              </w:rPr>
              <w:t>1</w:t>
            </w:r>
          </w:p>
        </w:tc>
        <w:tc>
          <w:tcPr>
            <w:tcW w:w="2010" w:type="dxa"/>
            <w:vAlign w:val="center"/>
          </w:tcPr>
          <w:p w:rsidR="00BD5820" w:rsidRDefault="00F64314">
            <w:pPr>
              <w:pStyle w:val="afff2"/>
              <w:rPr>
                <w:b/>
                <w:bCs/>
                <w:color w:val="auto"/>
              </w:rPr>
            </w:pPr>
            <w:r>
              <w:rPr>
                <w:rFonts w:hint="eastAsia"/>
                <w:color w:val="auto"/>
              </w:rPr>
              <w:t>本项目</w:t>
            </w:r>
            <w:r>
              <w:rPr>
                <w:rFonts w:hint="eastAsia"/>
                <w:bCs/>
                <w:color w:val="auto"/>
              </w:rPr>
              <w:t>普光气田</w:t>
            </w:r>
            <w:r>
              <w:rPr>
                <w:bCs/>
                <w:color w:val="auto"/>
              </w:rPr>
              <w:t>1#</w:t>
            </w:r>
            <w:r>
              <w:rPr>
                <w:rFonts w:hint="eastAsia"/>
                <w:bCs/>
                <w:color w:val="auto"/>
              </w:rPr>
              <w:t>增压站</w:t>
            </w:r>
          </w:p>
        </w:tc>
        <w:tc>
          <w:tcPr>
            <w:tcW w:w="878" w:type="dxa"/>
            <w:vAlign w:val="center"/>
          </w:tcPr>
          <w:p w:rsidR="00BD5820" w:rsidRDefault="00F64314">
            <w:pPr>
              <w:pStyle w:val="afff2"/>
              <w:rPr>
                <w:bCs/>
                <w:color w:val="auto"/>
              </w:rPr>
            </w:pPr>
            <w:r>
              <w:rPr>
                <w:rFonts w:hint="eastAsia"/>
                <w:bCs/>
                <w:color w:val="auto"/>
              </w:rPr>
              <w:t>增压站</w:t>
            </w:r>
          </w:p>
        </w:tc>
        <w:tc>
          <w:tcPr>
            <w:tcW w:w="1589" w:type="dxa"/>
            <w:vAlign w:val="center"/>
          </w:tcPr>
          <w:p w:rsidR="00BD5820" w:rsidRDefault="00F64314">
            <w:pPr>
              <w:pStyle w:val="afff2"/>
              <w:rPr>
                <w:b/>
                <w:bCs/>
                <w:color w:val="auto"/>
              </w:rPr>
            </w:pPr>
            <w:r>
              <w:rPr>
                <w:color w:val="auto"/>
              </w:rPr>
              <w:t>泄漏、火灾、爆炸、引发的伴生</w:t>
            </w:r>
            <w:r>
              <w:rPr>
                <w:color w:val="auto"/>
              </w:rPr>
              <w:t>/</w:t>
            </w:r>
            <w:r>
              <w:rPr>
                <w:color w:val="auto"/>
              </w:rPr>
              <w:t>次生污染物排放</w:t>
            </w:r>
          </w:p>
        </w:tc>
        <w:tc>
          <w:tcPr>
            <w:tcW w:w="993" w:type="dxa"/>
            <w:vAlign w:val="center"/>
          </w:tcPr>
          <w:p w:rsidR="00BD5820" w:rsidRDefault="00F64314">
            <w:pPr>
              <w:pStyle w:val="afff2"/>
              <w:rPr>
                <w:color w:val="auto"/>
                <w:vertAlign w:val="subscript"/>
              </w:rPr>
            </w:pPr>
            <w:r>
              <w:rPr>
                <w:color w:val="auto"/>
              </w:rPr>
              <w:t>CH</w:t>
            </w:r>
            <w:r>
              <w:rPr>
                <w:color w:val="auto"/>
                <w:vertAlign w:val="subscript"/>
              </w:rPr>
              <w:t>4</w:t>
            </w:r>
          </w:p>
          <w:p w:rsidR="00BD5820" w:rsidRDefault="00F64314">
            <w:pPr>
              <w:pStyle w:val="afff2"/>
              <w:rPr>
                <w:b/>
                <w:bCs/>
                <w:color w:val="auto"/>
              </w:rPr>
            </w:pPr>
            <w:r>
              <w:rPr>
                <w:color w:val="auto"/>
              </w:rPr>
              <w:t>硫化氢</w:t>
            </w:r>
          </w:p>
        </w:tc>
        <w:tc>
          <w:tcPr>
            <w:tcW w:w="931" w:type="dxa"/>
            <w:vAlign w:val="center"/>
          </w:tcPr>
          <w:p w:rsidR="00BD5820" w:rsidRDefault="00F64314">
            <w:pPr>
              <w:pStyle w:val="afff2"/>
              <w:rPr>
                <w:color w:val="auto"/>
              </w:rPr>
            </w:pPr>
            <w:r>
              <w:rPr>
                <w:color w:val="auto"/>
              </w:rPr>
              <w:t>大气、地表水</w:t>
            </w:r>
          </w:p>
        </w:tc>
        <w:tc>
          <w:tcPr>
            <w:tcW w:w="1551" w:type="dxa"/>
            <w:vAlign w:val="center"/>
          </w:tcPr>
          <w:p w:rsidR="00BD5820" w:rsidRDefault="00F64314">
            <w:pPr>
              <w:pStyle w:val="afff2"/>
              <w:rPr>
                <w:color w:val="auto"/>
              </w:rPr>
            </w:pPr>
            <w:r>
              <w:rPr>
                <w:color w:val="auto"/>
              </w:rPr>
              <w:t>周边居民、受纳水体</w:t>
            </w:r>
          </w:p>
        </w:tc>
      </w:tr>
      <w:tr w:rsidR="00BD5820">
        <w:trPr>
          <w:trHeight w:val="842"/>
          <w:jc w:val="center"/>
        </w:trPr>
        <w:tc>
          <w:tcPr>
            <w:tcW w:w="626" w:type="dxa"/>
            <w:vAlign w:val="center"/>
          </w:tcPr>
          <w:p w:rsidR="00BD5820" w:rsidRDefault="00F64314">
            <w:pPr>
              <w:pStyle w:val="afff2"/>
              <w:rPr>
                <w:color w:val="auto"/>
              </w:rPr>
            </w:pPr>
            <w:r>
              <w:rPr>
                <w:color w:val="auto"/>
              </w:rPr>
              <w:t>2</w:t>
            </w:r>
          </w:p>
        </w:tc>
        <w:tc>
          <w:tcPr>
            <w:tcW w:w="2010" w:type="dxa"/>
            <w:vAlign w:val="center"/>
          </w:tcPr>
          <w:p w:rsidR="00BD5820" w:rsidRDefault="00F64314">
            <w:pPr>
              <w:pStyle w:val="afff2"/>
              <w:rPr>
                <w:color w:val="auto"/>
              </w:rPr>
            </w:pPr>
            <w:r>
              <w:rPr>
                <w:rFonts w:hint="eastAsia"/>
                <w:color w:val="auto"/>
              </w:rPr>
              <w:t>本项目</w:t>
            </w:r>
            <w:r>
              <w:rPr>
                <w:rFonts w:hint="eastAsia"/>
                <w:bCs/>
                <w:color w:val="auto"/>
              </w:rPr>
              <w:t>普光气田</w:t>
            </w:r>
            <w:r>
              <w:rPr>
                <w:rFonts w:hint="eastAsia"/>
                <w:bCs/>
                <w:color w:val="auto"/>
              </w:rPr>
              <w:t>2</w:t>
            </w:r>
            <w:r>
              <w:rPr>
                <w:bCs/>
                <w:color w:val="auto"/>
              </w:rPr>
              <w:t>#</w:t>
            </w:r>
            <w:r>
              <w:rPr>
                <w:rFonts w:hint="eastAsia"/>
                <w:bCs/>
                <w:color w:val="auto"/>
              </w:rPr>
              <w:t>增压站</w:t>
            </w:r>
          </w:p>
        </w:tc>
        <w:tc>
          <w:tcPr>
            <w:tcW w:w="878" w:type="dxa"/>
            <w:vAlign w:val="center"/>
          </w:tcPr>
          <w:p w:rsidR="00BD5820" w:rsidRDefault="00F64314">
            <w:pPr>
              <w:pStyle w:val="afff2"/>
              <w:rPr>
                <w:color w:val="auto"/>
              </w:rPr>
            </w:pPr>
            <w:r>
              <w:rPr>
                <w:rFonts w:hint="eastAsia"/>
                <w:bCs/>
                <w:color w:val="auto"/>
              </w:rPr>
              <w:t>增压站</w:t>
            </w:r>
          </w:p>
        </w:tc>
        <w:tc>
          <w:tcPr>
            <w:tcW w:w="1589" w:type="dxa"/>
            <w:vAlign w:val="center"/>
          </w:tcPr>
          <w:p w:rsidR="00BD5820" w:rsidRDefault="00F64314">
            <w:pPr>
              <w:pStyle w:val="afff2"/>
              <w:rPr>
                <w:color w:val="auto"/>
              </w:rPr>
            </w:pPr>
            <w:r>
              <w:rPr>
                <w:color w:val="auto"/>
              </w:rPr>
              <w:t>泄漏、火灾、爆炸、引发的伴生</w:t>
            </w:r>
            <w:r>
              <w:rPr>
                <w:color w:val="auto"/>
              </w:rPr>
              <w:t>/</w:t>
            </w:r>
            <w:r>
              <w:rPr>
                <w:color w:val="auto"/>
              </w:rPr>
              <w:t>次生污染物排放</w:t>
            </w:r>
          </w:p>
        </w:tc>
        <w:tc>
          <w:tcPr>
            <w:tcW w:w="993" w:type="dxa"/>
            <w:vAlign w:val="center"/>
          </w:tcPr>
          <w:p w:rsidR="00BD5820" w:rsidRDefault="00F64314">
            <w:pPr>
              <w:pStyle w:val="afff2"/>
              <w:rPr>
                <w:color w:val="auto"/>
                <w:vertAlign w:val="subscript"/>
              </w:rPr>
            </w:pPr>
            <w:r>
              <w:rPr>
                <w:color w:val="auto"/>
              </w:rPr>
              <w:t>CH</w:t>
            </w:r>
            <w:r>
              <w:rPr>
                <w:color w:val="auto"/>
                <w:vertAlign w:val="subscript"/>
              </w:rPr>
              <w:t>4</w:t>
            </w:r>
          </w:p>
          <w:p w:rsidR="00BD5820" w:rsidRDefault="00F64314">
            <w:pPr>
              <w:pStyle w:val="afff2"/>
              <w:rPr>
                <w:color w:val="auto"/>
              </w:rPr>
            </w:pPr>
            <w:r>
              <w:rPr>
                <w:color w:val="auto"/>
              </w:rPr>
              <w:t>硫化氢</w:t>
            </w:r>
          </w:p>
        </w:tc>
        <w:tc>
          <w:tcPr>
            <w:tcW w:w="931" w:type="dxa"/>
            <w:vAlign w:val="center"/>
          </w:tcPr>
          <w:p w:rsidR="00BD5820" w:rsidRDefault="00F64314">
            <w:pPr>
              <w:pStyle w:val="afff2"/>
              <w:rPr>
                <w:color w:val="auto"/>
              </w:rPr>
            </w:pPr>
            <w:r>
              <w:rPr>
                <w:color w:val="auto"/>
              </w:rPr>
              <w:t>大气、地表水</w:t>
            </w:r>
          </w:p>
        </w:tc>
        <w:tc>
          <w:tcPr>
            <w:tcW w:w="1551" w:type="dxa"/>
            <w:vAlign w:val="center"/>
          </w:tcPr>
          <w:p w:rsidR="00BD5820" w:rsidRDefault="00F64314">
            <w:pPr>
              <w:pStyle w:val="afff2"/>
              <w:rPr>
                <w:color w:val="auto"/>
              </w:rPr>
            </w:pPr>
            <w:r>
              <w:rPr>
                <w:color w:val="auto"/>
              </w:rPr>
              <w:t>周边居民、受纳水体</w:t>
            </w:r>
          </w:p>
        </w:tc>
      </w:tr>
      <w:tr w:rsidR="00BD5820">
        <w:trPr>
          <w:trHeight w:val="20"/>
          <w:jc w:val="center"/>
        </w:trPr>
        <w:tc>
          <w:tcPr>
            <w:tcW w:w="626" w:type="dxa"/>
            <w:vAlign w:val="center"/>
          </w:tcPr>
          <w:p w:rsidR="00BD5820" w:rsidRDefault="00F64314">
            <w:pPr>
              <w:pStyle w:val="afff2"/>
              <w:rPr>
                <w:color w:val="auto"/>
              </w:rPr>
            </w:pPr>
            <w:r>
              <w:rPr>
                <w:color w:val="auto"/>
              </w:rPr>
              <w:t>3</w:t>
            </w:r>
          </w:p>
        </w:tc>
        <w:tc>
          <w:tcPr>
            <w:tcW w:w="2010" w:type="dxa"/>
            <w:vAlign w:val="center"/>
          </w:tcPr>
          <w:p w:rsidR="00BD5820" w:rsidRDefault="00F64314">
            <w:pPr>
              <w:pStyle w:val="afff2"/>
              <w:rPr>
                <w:color w:val="auto"/>
              </w:rPr>
            </w:pPr>
            <w:r>
              <w:rPr>
                <w:color w:val="auto"/>
              </w:rPr>
              <w:t>酸气管线</w:t>
            </w:r>
          </w:p>
        </w:tc>
        <w:tc>
          <w:tcPr>
            <w:tcW w:w="878" w:type="dxa"/>
            <w:vAlign w:val="center"/>
          </w:tcPr>
          <w:p w:rsidR="00BD5820" w:rsidRDefault="00F64314">
            <w:pPr>
              <w:pStyle w:val="afff2"/>
              <w:rPr>
                <w:color w:val="auto"/>
              </w:rPr>
            </w:pPr>
            <w:r>
              <w:rPr>
                <w:color w:val="auto"/>
              </w:rPr>
              <w:t>管线</w:t>
            </w:r>
          </w:p>
        </w:tc>
        <w:tc>
          <w:tcPr>
            <w:tcW w:w="1589" w:type="dxa"/>
            <w:vAlign w:val="center"/>
          </w:tcPr>
          <w:p w:rsidR="00BD5820" w:rsidRDefault="00F64314">
            <w:pPr>
              <w:pStyle w:val="afff2"/>
              <w:rPr>
                <w:color w:val="auto"/>
              </w:rPr>
            </w:pPr>
            <w:r>
              <w:rPr>
                <w:color w:val="auto"/>
              </w:rPr>
              <w:t>泄漏、火灾、爆炸、引发的伴生</w:t>
            </w:r>
            <w:r>
              <w:rPr>
                <w:color w:val="auto"/>
              </w:rPr>
              <w:t>/</w:t>
            </w:r>
            <w:r>
              <w:rPr>
                <w:color w:val="auto"/>
              </w:rPr>
              <w:t>次生污染物排放</w:t>
            </w:r>
          </w:p>
        </w:tc>
        <w:tc>
          <w:tcPr>
            <w:tcW w:w="993" w:type="dxa"/>
            <w:vAlign w:val="center"/>
          </w:tcPr>
          <w:p w:rsidR="00BD5820" w:rsidRDefault="00F64314">
            <w:pPr>
              <w:pStyle w:val="afff2"/>
              <w:rPr>
                <w:color w:val="auto"/>
              </w:rPr>
            </w:pPr>
            <w:r>
              <w:rPr>
                <w:color w:val="auto"/>
              </w:rPr>
              <w:t>CH</w:t>
            </w:r>
            <w:r>
              <w:rPr>
                <w:color w:val="auto"/>
                <w:vertAlign w:val="subscript"/>
              </w:rPr>
              <w:t>4</w:t>
            </w:r>
          </w:p>
        </w:tc>
        <w:tc>
          <w:tcPr>
            <w:tcW w:w="931" w:type="dxa"/>
            <w:vAlign w:val="center"/>
          </w:tcPr>
          <w:p w:rsidR="00BD5820" w:rsidRDefault="00F64314">
            <w:pPr>
              <w:pStyle w:val="afff2"/>
              <w:rPr>
                <w:color w:val="auto"/>
              </w:rPr>
            </w:pPr>
            <w:r>
              <w:rPr>
                <w:color w:val="auto"/>
              </w:rPr>
              <w:t>大气、地表水</w:t>
            </w:r>
          </w:p>
        </w:tc>
        <w:tc>
          <w:tcPr>
            <w:tcW w:w="1551" w:type="dxa"/>
            <w:vAlign w:val="center"/>
          </w:tcPr>
          <w:p w:rsidR="00BD5820" w:rsidRDefault="00F64314">
            <w:pPr>
              <w:pStyle w:val="afff2"/>
              <w:rPr>
                <w:color w:val="auto"/>
              </w:rPr>
            </w:pPr>
            <w:r>
              <w:rPr>
                <w:color w:val="auto"/>
              </w:rPr>
              <w:t>周边居民、受纳水体</w:t>
            </w:r>
          </w:p>
        </w:tc>
      </w:tr>
      <w:tr w:rsidR="00BD5820">
        <w:trPr>
          <w:trHeight w:val="20"/>
          <w:jc w:val="center"/>
        </w:trPr>
        <w:tc>
          <w:tcPr>
            <w:tcW w:w="626" w:type="dxa"/>
            <w:vAlign w:val="center"/>
          </w:tcPr>
          <w:p w:rsidR="00BD5820" w:rsidRDefault="00F64314">
            <w:pPr>
              <w:pStyle w:val="afff2"/>
              <w:rPr>
                <w:color w:val="auto"/>
              </w:rPr>
            </w:pPr>
            <w:r>
              <w:rPr>
                <w:color w:val="auto"/>
              </w:rPr>
              <w:t>4</w:t>
            </w:r>
          </w:p>
        </w:tc>
        <w:tc>
          <w:tcPr>
            <w:tcW w:w="2010" w:type="dxa"/>
            <w:vAlign w:val="center"/>
          </w:tcPr>
          <w:p w:rsidR="00BD5820" w:rsidRDefault="00F64314">
            <w:pPr>
              <w:pStyle w:val="afff2"/>
              <w:rPr>
                <w:color w:val="auto"/>
              </w:rPr>
            </w:pPr>
            <w:r>
              <w:rPr>
                <w:color w:val="auto"/>
              </w:rPr>
              <w:t>润滑油储罐</w:t>
            </w:r>
          </w:p>
        </w:tc>
        <w:tc>
          <w:tcPr>
            <w:tcW w:w="878" w:type="dxa"/>
            <w:vAlign w:val="center"/>
          </w:tcPr>
          <w:p w:rsidR="00BD5820" w:rsidRDefault="00F64314">
            <w:pPr>
              <w:pStyle w:val="afff2"/>
              <w:rPr>
                <w:color w:val="auto"/>
              </w:rPr>
            </w:pPr>
            <w:r>
              <w:rPr>
                <w:color w:val="auto"/>
              </w:rPr>
              <w:t>储罐</w:t>
            </w:r>
          </w:p>
        </w:tc>
        <w:tc>
          <w:tcPr>
            <w:tcW w:w="1589" w:type="dxa"/>
            <w:vAlign w:val="center"/>
          </w:tcPr>
          <w:p w:rsidR="00BD5820" w:rsidRDefault="00F64314">
            <w:pPr>
              <w:pStyle w:val="afff2"/>
              <w:rPr>
                <w:color w:val="auto"/>
              </w:rPr>
            </w:pPr>
            <w:r>
              <w:rPr>
                <w:color w:val="auto"/>
              </w:rPr>
              <w:t>泄漏、火灾引发的伴生</w:t>
            </w:r>
            <w:r>
              <w:rPr>
                <w:color w:val="auto"/>
              </w:rPr>
              <w:t>/</w:t>
            </w:r>
            <w:r>
              <w:rPr>
                <w:color w:val="auto"/>
              </w:rPr>
              <w:t>次生污染物排放</w:t>
            </w:r>
          </w:p>
        </w:tc>
        <w:tc>
          <w:tcPr>
            <w:tcW w:w="993" w:type="dxa"/>
            <w:vAlign w:val="center"/>
          </w:tcPr>
          <w:p w:rsidR="00BD5820" w:rsidRDefault="00F64314">
            <w:pPr>
              <w:pStyle w:val="afff2"/>
              <w:rPr>
                <w:color w:val="auto"/>
              </w:rPr>
            </w:pPr>
            <w:r>
              <w:rPr>
                <w:color w:val="auto"/>
              </w:rPr>
              <w:t>润滑油</w:t>
            </w:r>
          </w:p>
        </w:tc>
        <w:tc>
          <w:tcPr>
            <w:tcW w:w="931" w:type="dxa"/>
            <w:vAlign w:val="center"/>
          </w:tcPr>
          <w:p w:rsidR="00BD5820" w:rsidRDefault="00F64314">
            <w:pPr>
              <w:pStyle w:val="afff2"/>
              <w:rPr>
                <w:color w:val="auto"/>
              </w:rPr>
            </w:pPr>
            <w:r>
              <w:rPr>
                <w:color w:val="auto"/>
              </w:rPr>
              <w:t>大气</w:t>
            </w:r>
            <w:r>
              <w:rPr>
                <w:rFonts w:hint="eastAsia"/>
                <w:color w:val="auto"/>
              </w:rPr>
              <w:t>、</w:t>
            </w:r>
            <w:r>
              <w:rPr>
                <w:color w:val="auto"/>
              </w:rPr>
              <w:t>地表水、土壤、地下</w:t>
            </w:r>
            <w:r>
              <w:rPr>
                <w:color w:val="auto"/>
              </w:rPr>
              <w:lastRenderedPageBreak/>
              <w:t>水</w:t>
            </w:r>
          </w:p>
        </w:tc>
        <w:tc>
          <w:tcPr>
            <w:tcW w:w="1551" w:type="dxa"/>
            <w:vAlign w:val="center"/>
          </w:tcPr>
          <w:p w:rsidR="00BD5820" w:rsidRDefault="00F64314">
            <w:pPr>
              <w:pStyle w:val="afff2"/>
              <w:rPr>
                <w:color w:val="auto"/>
              </w:rPr>
            </w:pPr>
            <w:r>
              <w:rPr>
                <w:color w:val="auto"/>
              </w:rPr>
              <w:lastRenderedPageBreak/>
              <w:t>周边居民、地表水、土壤、地下水</w:t>
            </w:r>
          </w:p>
        </w:tc>
      </w:tr>
      <w:tr w:rsidR="00BD5820">
        <w:trPr>
          <w:trHeight w:val="20"/>
          <w:jc w:val="center"/>
        </w:trPr>
        <w:tc>
          <w:tcPr>
            <w:tcW w:w="626" w:type="dxa"/>
            <w:vAlign w:val="center"/>
          </w:tcPr>
          <w:p w:rsidR="00BD5820" w:rsidRDefault="00F64314">
            <w:pPr>
              <w:pStyle w:val="afff2"/>
              <w:rPr>
                <w:color w:val="auto"/>
              </w:rPr>
            </w:pPr>
            <w:r>
              <w:rPr>
                <w:rFonts w:hint="eastAsia"/>
                <w:color w:val="auto"/>
              </w:rPr>
              <w:lastRenderedPageBreak/>
              <w:t>5</w:t>
            </w:r>
          </w:p>
        </w:tc>
        <w:tc>
          <w:tcPr>
            <w:tcW w:w="2010" w:type="dxa"/>
            <w:vAlign w:val="center"/>
          </w:tcPr>
          <w:p w:rsidR="00BD5820" w:rsidRDefault="00F64314">
            <w:pPr>
              <w:pStyle w:val="afff2"/>
              <w:rPr>
                <w:color w:val="auto"/>
              </w:rPr>
            </w:pPr>
            <w:r>
              <w:rPr>
                <w:rFonts w:hint="eastAsia"/>
                <w:color w:val="auto"/>
              </w:rPr>
              <w:t>污水罐</w:t>
            </w:r>
          </w:p>
        </w:tc>
        <w:tc>
          <w:tcPr>
            <w:tcW w:w="878" w:type="dxa"/>
            <w:vAlign w:val="center"/>
          </w:tcPr>
          <w:p w:rsidR="00BD5820" w:rsidRDefault="00F64314">
            <w:pPr>
              <w:pStyle w:val="afff2"/>
              <w:rPr>
                <w:color w:val="auto"/>
              </w:rPr>
            </w:pPr>
            <w:r>
              <w:rPr>
                <w:color w:val="auto"/>
              </w:rPr>
              <w:t>储罐</w:t>
            </w:r>
          </w:p>
        </w:tc>
        <w:tc>
          <w:tcPr>
            <w:tcW w:w="1589" w:type="dxa"/>
            <w:vAlign w:val="center"/>
          </w:tcPr>
          <w:p w:rsidR="00BD5820" w:rsidRDefault="00F64314">
            <w:pPr>
              <w:pStyle w:val="afff2"/>
              <w:rPr>
                <w:color w:val="auto"/>
              </w:rPr>
            </w:pPr>
            <w:r>
              <w:rPr>
                <w:color w:val="auto"/>
              </w:rPr>
              <w:t>泄漏</w:t>
            </w:r>
          </w:p>
        </w:tc>
        <w:tc>
          <w:tcPr>
            <w:tcW w:w="993" w:type="dxa"/>
            <w:vAlign w:val="center"/>
          </w:tcPr>
          <w:p w:rsidR="00BD5820" w:rsidRDefault="00F64314">
            <w:pPr>
              <w:pStyle w:val="afff2"/>
              <w:rPr>
                <w:color w:val="auto"/>
              </w:rPr>
            </w:pPr>
            <w:r>
              <w:rPr>
                <w:rFonts w:hint="eastAsia"/>
                <w:color w:val="auto"/>
              </w:rPr>
              <w:t>气田水</w:t>
            </w:r>
          </w:p>
        </w:tc>
        <w:tc>
          <w:tcPr>
            <w:tcW w:w="931" w:type="dxa"/>
            <w:vAlign w:val="center"/>
          </w:tcPr>
          <w:p w:rsidR="00BD5820" w:rsidRDefault="00F64314">
            <w:pPr>
              <w:pStyle w:val="afff2"/>
              <w:rPr>
                <w:color w:val="auto"/>
              </w:rPr>
            </w:pPr>
            <w:r>
              <w:rPr>
                <w:color w:val="auto"/>
              </w:rPr>
              <w:t>地表水、土壤、地下水</w:t>
            </w:r>
          </w:p>
        </w:tc>
        <w:tc>
          <w:tcPr>
            <w:tcW w:w="1551" w:type="dxa"/>
            <w:vAlign w:val="center"/>
          </w:tcPr>
          <w:p w:rsidR="00BD5820" w:rsidRDefault="00F64314">
            <w:pPr>
              <w:pStyle w:val="afff2"/>
              <w:rPr>
                <w:color w:val="auto"/>
              </w:rPr>
            </w:pPr>
            <w:r>
              <w:rPr>
                <w:color w:val="auto"/>
              </w:rPr>
              <w:t>地表水、土壤、地下水</w:t>
            </w:r>
          </w:p>
        </w:tc>
      </w:tr>
    </w:tbl>
    <w:p w:rsidR="00BD5820" w:rsidRDefault="00F64314">
      <w:pPr>
        <w:pStyle w:val="2"/>
        <w:spacing w:before="120"/>
        <w:rPr>
          <w:rFonts w:cs="Times New Roman"/>
        </w:rPr>
      </w:pPr>
      <w:bookmarkStart w:id="450" w:name="bookmark62"/>
      <w:bookmarkStart w:id="451" w:name="_Toc12288734"/>
      <w:bookmarkStart w:id="452" w:name="_Toc19816107"/>
      <w:bookmarkStart w:id="453" w:name="_Toc23534"/>
      <w:bookmarkEnd w:id="450"/>
      <w:r>
        <w:rPr>
          <w:rFonts w:cs="Times New Roman"/>
        </w:rPr>
        <w:t>7.7</w:t>
      </w:r>
      <w:bookmarkEnd w:id="451"/>
      <w:bookmarkEnd w:id="452"/>
      <w:r>
        <w:rPr>
          <w:rFonts w:cs="Times New Roman"/>
        </w:rPr>
        <w:t xml:space="preserve"> </w:t>
      </w:r>
      <w:r>
        <w:rPr>
          <w:rFonts w:cs="Times New Roman"/>
        </w:rPr>
        <w:t>风险事故情形分析</w:t>
      </w:r>
      <w:bookmarkEnd w:id="453"/>
    </w:p>
    <w:p w:rsidR="00BD5820" w:rsidRDefault="00F64314">
      <w:pPr>
        <w:pStyle w:val="3"/>
        <w:rPr>
          <w:rFonts w:eastAsia="宋体"/>
        </w:rPr>
      </w:pPr>
      <w:r>
        <w:rPr>
          <w:rFonts w:eastAsia="宋体"/>
        </w:rPr>
        <w:t xml:space="preserve">7.7.1 </w:t>
      </w:r>
      <w:r>
        <w:rPr>
          <w:rFonts w:eastAsia="宋体"/>
        </w:rPr>
        <w:t>危险因素分析</w:t>
      </w:r>
    </w:p>
    <w:p w:rsidR="00BD5820" w:rsidRDefault="00F64314">
      <w:pPr>
        <w:pStyle w:val="affa"/>
        <w:ind w:firstLine="482"/>
        <w:rPr>
          <w:b/>
        </w:rPr>
      </w:pPr>
      <w:r>
        <w:rPr>
          <w:b/>
        </w:rPr>
        <w:t>1</w:t>
      </w:r>
      <w:r>
        <w:rPr>
          <w:b/>
        </w:rPr>
        <w:t>、</w:t>
      </w:r>
      <w:r>
        <w:rPr>
          <w:rFonts w:hint="eastAsia"/>
          <w:b/>
        </w:rPr>
        <w:t>增压站泄漏</w:t>
      </w:r>
      <w:r>
        <w:rPr>
          <w:b/>
        </w:rPr>
        <w:t>事故原因</w:t>
      </w:r>
    </w:p>
    <w:p w:rsidR="00BD5820" w:rsidRDefault="00F64314">
      <w:pPr>
        <w:pStyle w:val="affa"/>
        <w:ind w:firstLine="480"/>
        <w:rPr>
          <w:b/>
        </w:rPr>
      </w:pPr>
      <w:r>
        <w:rPr>
          <w:rFonts w:hint="eastAsia"/>
        </w:rPr>
        <w:t>增压站泄漏</w:t>
      </w:r>
      <w:r>
        <w:t>事故原因主要有以下几类：</w:t>
      </w:r>
    </w:p>
    <w:p w:rsidR="00BD5820" w:rsidRDefault="00F64314">
      <w:pPr>
        <w:pStyle w:val="affa"/>
        <w:ind w:firstLine="480"/>
      </w:pPr>
      <w:r>
        <w:rPr>
          <w:rFonts w:hint="eastAsia"/>
        </w:rPr>
        <w:t>（</w:t>
      </w:r>
      <w:r>
        <w:rPr>
          <w:rFonts w:hint="eastAsia"/>
        </w:rPr>
        <w:t>1</w:t>
      </w:r>
      <w:r>
        <w:rPr>
          <w:rFonts w:hint="eastAsia"/>
        </w:rPr>
        <w:t>）天然气增压机密封方式如果不对造成密封故障问题，会造成天然气的泄漏。</w:t>
      </w:r>
    </w:p>
    <w:p w:rsidR="00BD5820" w:rsidRDefault="00F64314">
      <w:pPr>
        <w:pStyle w:val="affa"/>
        <w:ind w:firstLine="480"/>
      </w:pPr>
      <w:r>
        <w:rPr>
          <w:rFonts w:hint="eastAsia"/>
        </w:rPr>
        <w:t>（</w:t>
      </w:r>
      <w:r>
        <w:rPr>
          <w:rFonts w:hint="eastAsia"/>
        </w:rPr>
        <w:t>2</w:t>
      </w:r>
      <w:r>
        <w:rPr>
          <w:rFonts w:hint="eastAsia"/>
        </w:rPr>
        <w:t>）阀门</w:t>
      </w:r>
      <w:r>
        <w:t>密封不好导致</w:t>
      </w:r>
      <w:r>
        <w:rPr>
          <w:rFonts w:hint="eastAsia"/>
        </w:rPr>
        <w:t>天然气的泄漏。</w:t>
      </w:r>
    </w:p>
    <w:p w:rsidR="00BD5820" w:rsidRDefault="00F64314">
      <w:pPr>
        <w:pStyle w:val="affa"/>
        <w:ind w:firstLine="482"/>
        <w:rPr>
          <w:b/>
        </w:rPr>
      </w:pPr>
      <w:r>
        <w:rPr>
          <w:rFonts w:hint="eastAsia"/>
          <w:b/>
        </w:rPr>
        <w:t>2</w:t>
      </w:r>
      <w:r>
        <w:rPr>
          <w:b/>
        </w:rPr>
        <w:t>、天然气管道泄漏事故原因</w:t>
      </w:r>
    </w:p>
    <w:p w:rsidR="00BD5820" w:rsidRDefault="00F64314">
      <w:pPr>
        <w:pStyle w:val="affa"/>
        <w:ind w:firstLine="480"/>
      </w:pPr>
      <w:r>
        <w:t>通过对国内外天然气输送管遇进行事故统计和原因分析可以看出，输气管道的泄漏事故原因主要有以下几类：</w:t>
      </w:r>
    </w:p>
    <w:p w:rsidR="00BD5820" w:rsidRDefault="00F64314">
      <w:pPr>
        <w:pStyle w:val="affa"/>
        <w:ind w:firstLine="482"/>
        <w:rPr>
          <w:b/>
        </w:rPr>
      </w:pPr>
      <w:r>
        <w:rPr>
          <w:b/>
        </w:rPr>
        <w:t>（</w:t>
      </w:r>
      <w:r>
        <w:rPr>
          <w:b/>
        </w:rPr>
        <w:t>1</w:t>
      </w:r>
      <w:r>
        <w:rPr>
          <w:b/>
        </w:rPr>
        <w:t>）外部损（破）坏</w:t>
      </w:r>
    </w:p>
    <w:p w:rsidR="00BD5820" w:rsidRDefault="00F64314">
      <w:pPr>
        <w:pStyle w:val="affa"/>
        <w:ind w:firstLine="480"/>
      </w:pPr>
      <w:r>
        <w:t>外部损（破）坏主要指外来原因或第三方责任而引起的管边事故。输气管过的外部损（破）坏主要指施工机械或大型工具将管遇意外刺伤或地震、滑坡、泥石流、挖土湿陷、坍塌、垮场、洪水等自然外力引起的管道损伤和第三方人为损（破）坏：因操作人员的素质、技术水平、应变能力及责任心不够也是造成事故的原因之一。</w:t>
      </w:r>
    </w:p>
    <w:p w:rsidR="00BD5820" w:rsidRDefault="00F64314">
      <w:pPr>
        <w:pStyle w:val="affa"/>
        <w:ind w:firstLine="480"/>
      </w:pPr>
      <w:r>
        <w:t>人为损坏主要来自三个方面，一是工艺操作失误，导致流程错乱，形成憋压、抽空等其它非正常工况，引起天然气泄漏；二是违法在管道保护区或安全防护区内从事取土、挖掘、采石、盖房、修渠、爆破、行驶禁止行驶的交通工具和机械等活动，造成输气管道破损：三是不法分子蓄意破坏，在管道上钻孔输气，盗窃管道附属设备和构件等，都极容易引发重大安全事故。</w:t>
      </w:r>
    </w:p>
    <w:p w:rsidR="00BD5820" w:rsidRDefault="00F64314">
      <w:pPr>
        <w:pStyle w:val="affa"/>
        <w:ind w:firstLine="482"/>
        <w:rPr>
          <w:b/>
        </w:rPr>
      </w:pPr>
      <w:r>
        <w:rPr>
          <w:b/>
        </w:rPr>
        <w:t>（</w:t>
      </w:r>
      <w:r>
        <w:rPr>
          <w:b/>
        </w:rPr>
        <w:t>2</w:t>
      </w:r>
      <w:r>
        <w:rPr>
          <w:b/>
        </w:rPr>
        <w:t>）腐蚀</w:t>
      </w:r>
    </w:p>
    <w:p w:rsidR="00BD5820" w:rsidRDefault="00F64314">
      <w:pPr>
        <w:pStyle w:val="affa"/>
        <w:ind w:firstLine="480"/>
      </w:pPr>
      <w:r>
        <w:t>腐蚀是造成输气管道穿孔、泄漏最常见的因素。</w:t>
      </w:r>
    </w:p>
    <w:p w:rsidR="00BD5820" w:rsidRDefault="00F64314">
      <w:pPr>
        <w:pStyle w:val="affa"/>
        <w:ind w:firstLine="480"/>
      </w:pPr>
      <w:r>
        <w:t>腐蚀失效是长输管道主要失效形式之一，腐蚀有可能大面积减薄管道的壁厚，导致过度变形或爆破，也有可能导致管道腐蚀穿孔。本项目埋地管道受所处的土壤类型、土壤电阻率、土壤含水量（湿度）、</w:t>
      </w:r>
      <w:r>
        <w:t>pH</w:t>
      </w:r>
      <w:r>
        <w:t>值、硫化物含量、氧化还原电</w:t>
      </w:r>
      <w:r>
        <w:lastRenderedPageBreak/>
        <w:t>位、微生物、杂散电流及干扰电流等因素的影响会造成管道电化学腐蚀、化学腐蚀、微生物腐蚀、应力腐蚀和干扰腐蚀等。</w:t>
      </w:r>
    </w:p>
    <w:p w:rsidR="00BD5820" w:rsidRDefault="00F64314">
      <w:pPr>
        <w:pStyle w:val="affa"/>
        <w:ind w:firstLine="480"/>
      </w:pPr>
      <w:r>
        <w:t>管道外腐蚀是在外防腐层破坏</w:t>
      </w:r>
      <w:r>
        <w:t>/</w:t>
      </w:r>
      <w:r>
        <w:t>剥离、阴极保护不完全</w:t>
      </w:r>
      <w:r>
        <w:t>/</w:t>
      </w:r>
      <w:r>
        <w:t>被屏蔽情况下发生的，发生后腐蚀速率与土壤腐蚀性、阴极保护度等因素有关。防腐层失效的主要原因有土壤对涂层的化学、物理破坏，运行条件造成的涂层老化、阴极保护副作用造成涂层剥离，施工质量差和补口不合格，以及外界活动破坏防腐层等。诱发管道内腐蚀的原因主要是输送介质中含有机硫、</w:t>
      </w:r>
      <w:r>
        <w:t>CO</w:t>
      </w:r>
      <w:r>
        <w:rPr>
          <w:vertAlign w:val="subscript"/>
        </w:rPr>
        <w:t>2</w:t>
      </w:r>
      <w:r>
        <w:t>、水、细菌等腐蚀性物质。管道沿线大部分地段土壤电阻率在</w:t>
      </w:r>
      <w:r>
        <w:t>50m</w:t>
      </w:r>
      <w:r>
        <w:t>以上，属弱腐蚀性土壤（如粘土、碎石层和基岩等）；少部分有水的河谷边为中等腐蚀性土壤；管道通过山区部分土壤中各种微生物和植物根茎比较活跃，土壤中的含水量较高。</w:t>
      </w:r>
    </w:p>
    <w:p w:rsidR="00BD5820" w:rsidRDefault="00F64314">
      <w:pPr>
        <w:pStyle w:val="affa"/>
        <w:ind w:firstLine="480"/>
      </w:pPr>
      <w:r>
        <w:t>埋地酸气管线防腐保温采用</w:t>
      </w:r>
      <w:r>
        <w:t>“</w:t>
      </w:r>
      <w:r>
        <w:t>管中管</w:t>
      </w:r>
      <w:r>
        <w:t>”</w:t>
      </w:r>
      <w:r>
        <w:t>成型工艺，保温层采用硬质聚氨脂泡沫聚乙烯防腐保温层（保温层厚</w:t>
      </w:r>
      <w:r>
        <w:t>40mm</w:t>
      </w:r>
      <w:r>
        <w:t>），防腐层采用环氧粉末；防护层采用聚乙烯层，酸气管道补口采用现场发泡，补口防腐采用无溶剂液体环氧涂料</w:t>
      </w:r>
      <w:r>
        <w:t>+</w:t>
      </w:r>
      <w:r>
        <w:t>粘弹体胶带</w:t>
      </w:r>
      <w:r>
        <w:t>+</w:t>
      </w:r>
      <w:r>
        <w:t>聚乙烯袖套管</w:t>
      </w:r>
      <w:r>
        <w:t>+</w:t>
      </w:r>
      <w:r>
        <w:t>粘弹体胶带</w:t>
      </w:r>
      <w:r>
        <w:t>+</w:t>
      </w:r>
      <w:r>
        <w:t>辐射交联聚乙烯热收缩带。</w:t>
      </w:r>
    </w:p>
    <w:p w:rsidR="00BD5820" w:rsidRDefault="00F64314">
      <w:pPr>
        <w:pStyle w:val="affa"/>
        <w:ind w:firstLine="480"/>
      </w:pPr>
      <w:r>
        <w:t>燃料气管线采用机械强度高，耐磨耐冲击，耐化学介质腐蚀，抗植物根茎穿透，吸水性低，使用寿命长，电绝缘性好，使用寿命长的加强级三层</w:t>
      </w:r>
      <w:r>
        <w:t>PE</w:t>
      </w:r>
      <w:r>
        <w:t>防腐层，管道补口采用辐射交联聚乙烯热收缩套。</w:t>
      </w:r>
    </w:p>
    <w:p w:rsidR="00BD5820" w:rsidRDefault="00F64314">
      <w:pPr>
        <w:pStyle w:val="affa"/>
        <w:ind w:firstLine="480"/>
      </w:pPr>
      <w:r>
        <w:rPr>
          <w:rFonts w:hint="eastAsia"/>
        </w:rPr>
        <w:t>本项目</w:t>
      </w:r>
      <w:r>
        <w:t>的防腐水平较高，无论是管道防腐、补口防腐，都是采用国内目前先进的防腐工艺。</w:t>
      </w:r>
      <w:r>
        <w:rPr>
          <w:rFonts w:hint="eastAsia"/>
        </w:rPr>
        <w:t>本项目</w:t>
      </w:r>
      <w:r>
        <w:t>的防腐可以在一定程度上降低引发工程出现事故的最主要原因</w:t>
      </w:r>
      <w:r>
        <w:t>——</w:t>
      </w:r>
      <w:r>
        <w:t>腐蚀的程度和速度，削减</w:t>
      </w:r>
      <w:r>
        <w:rPr>
          <w:rFonts w:hint="eastAsia"/>
        </w:rPr>
        <w:t>本项目</w:t>
      </w:r>
      <w:r>
        <w:t>的环境风险水平。</w:t>
      </w:r>
    </w:p>
    <w:p w:rsidR="00BD5820" w:rsidRDefault="00F64314">
      <w:pPr>
        <w:pStyle w:val="affa"/>
        <w:ind w:firstLine="482"/>
        <w:rPr>
          <w:b/>
        </w:rPr>
      </w:pPr>
      <w:r>
        <w:rPr>
          <w:b/>
        </w:rPr>
        <w:t>（</w:t>
      </w:r>
      <w:r>
        <w:rPr>
          <w:b/>
        </w:rPr>
        <w:t>3</w:t>
      </w:r>
      <w:r>
        <w:rPr>
          <w:b/>
        </w:rPr>
        <w:t>）管材及施工缺陷</w:t>
      </w:r>
    </w:p>
    <w:p w:rsidR="00BD5820" w:rsidRDefault="00F64314">
      <w:pPr>
        <w:pStyle w:val="affa"/>
        <w:ind w:firstLine="480"/>
      </w:pPr>
      <w:r>
        <w:t>管材本身质量差多是因为金属材质及制造工艺的缺陷引起，其中管材卷边、分层、制管焊缝缺陷、管段热处理等工艺均可影响到管材质量；管道焊接缺陷主要表现在焊接边缘错位、未焊透与未熔合、夹渣、气孔和裂纹等，这些缺陷大多数是由于焊工责任心不强、工作不认真以及违反焊接工艺规程所造成的。</w:t>
      </w:r>
    </w:p>
    <w:p w:rsidR="00BD5820" w:rsidRDefault="00F64314">
      <w:pPr>
        <w:pStyle w:val="affa"/>
        <w:ind w:firstLine="480"/>
      </w:pPr>
      <w:r>
        <w:t>施工质量主要指管道对接焊缝质量。管口焊接质量水平低，电弧烧穿、气孔、夹渣和未焊透发生率高，是引发事故的又一重要因素。</w:t>
      </w:r>
    </w:p>
    <w:p w:rsidR="00BD5820" w:rsidRDefault="00F64314">
      <w:pPr>
        <w:pStyle w:val="affa"/>
        <w:ind w:firstLine="480"/>
      </w:pPr>
      <w:r>
        <w:t>施工不良还表现在以下方面：管道除锈、去污、防腐和现场补口等工序未按施工要求去做；现场涂敷作业管理不严，使防腐层与管体粘结不良，管子下沟动</w:t>
      </w:r>
      <w:r>
        <w:lastRenderedPageBreak/>
        <w:t>作粗鲁以及回填作业草率，使泥土、岩石冲击防腐层，造成防腐层破坏；阴极保护没有与管道埋地同时进行；还有管子搬运时管子产生疲劳裂纹。</w:t>
      </w:r>
    </w:p>
    <w:p w:rsidR="00BD5820" w:rsidRDefault="00F64314">
      <w:pPr>
        <w:pStyle w:val="a1"/>
        <w:ind w:firstLine="482"/>
        <w:rPr>
          <w:rFonts w:ascii="Times New Roman" w:cs="Times New Roman"/>
          <w:b/>
        </w:rPr>
      </w:pPr>
      <w:r>
        <w:rPr>
          <w:rFonts w:ascii="Times New Roman" w:cs="Times New Roman" w:hint="eastAsia"/>
          <w:b/>
        </w:rPr>
        <w:t>3</w:t>
      </w:r>
      <w:r>
        <w:rPr>
          <w:rFonts w:ascii="Times New Roman" w:cs="Times New Roman"/>
          <w:b/>
        </w:rPr>
        <w:t>、管道危险因素分析</w:t>
      </w:r>
    </w:p>
    <w:p w:rsidR="00BD5820" w:rsidRDefault="00F64314">
      <w:pPr>
        <w:pStyle w:val="a1"/>
        <w:ind w:firstLine="480"/>
        <w:rPr>
          <w:rFonts w:ascii="Times New Roman" w:cs="Times New Roman"/>
        </w:rPr>
      </w:pPr>
      <w:r>
        <w:rPr>
          <w:rFonts w:ascii="Times New Roman" w:cs="Times New Roman"/>
        </w:rPr>
        <w:t>结合国外管道事故分析，天然气输气管道事故因素主要涉及第三方破坏、腐蚀、设计和误操作等，考虑人的第三方破坏、设计质量、施工危害、生产运营管理等人为因素的影响。</w:t>
      </w:r>
    </w:p>
    <w:p w:rsidR="00BD5820" w:rsidRDefault="00F64314">
      <w:pPr>
        <w:pStyle w:val="a1"/>
        <w:ind w:firstLine="480"/>
        <w:rPr>
          <w:rFonts w:ascii="Times New Roman" w:cs="Times New Roman"/>
        </w:rPr>
      </w:pPr>
      <w:r>
        <w:rPr>
          <w:rFonts w:hAnsi="宋体" w:hint="eastAsia"/>
        </w:rPr>
        <w:t>①</w:t>
      </w:r>
      <w:r>
        <w:rPr>
          <w:rFonts w:ascii="Times New Roman" w:cs="Times New Roman"/>
        </w:rPr>
        <w:t>介质及压力因素：本项目输送的天然气含有的硫化氢等组分在一定条件下对管道内壁具有一定的内腐蚀作用，由于压力较高，存在较高的物理应力开裂危险。另外，输气管道压力随时间有一定的周期性变化，可造成管材疲劳损伤。</w:t>
      </w:r>
    </w:p>
    <w:p w:rsidR="00BD5820" w:rsidRDefault="00F64314">
      <w:pPr>
        <w:pStyle w:val="a1"/>
        <w:ind w:firstLine="480"/>
        <w:rPr>
          <w:rFonts w:ascii="Times New Roman" w:cs="Times New Roman"/>
        </w:rPr>
      </w:pPr>
      <w:r>
        <w:rPr>
          <w:rFonts w:hAnsi="宋体" w:hint="eastAsia"/>
        </w:rPr>
        <w:t>②</w:t>
      </w:r>
      <w:r>
        <w:rPr>
          <w:rFonts w:ascii="Times New Roman" w:cs="Times New Roman"/>
        </w:rPr>
        <w:t>地质灾害因素：包括洪水的冲刷、侵蚀与岸坡坍塌、滑坡、崩塌、危石和高陡边坡等。</w:t>
      </w:r>
    </w:p>
    <w:p w:rsidR="00BD5820" w:rsidRDefault="00F64314">
      <w:pPr>
        <w:pStyle w:val="a1"/>
        <w:ind w:firstLine="480"/>
        <w:rPr>
          <w:rFonts w:ascii="Times New Roman" w:cs="Times New Roman"/>
        </w:rPr>
      </w:pPr>
      <w:r>
        <w:rPr>
          <w:rFonts w:hAnsi="宋体" w:hint="eastAsia"/>
        </w:rPr>
        <w:t>③</w:t>
      </w:r>
      <w:r>
        <w:rPr>
          <w:rFonts w:ascii="Times New Roman" w:cs="Times New Roman"/>
        </w:rPr>
        <w:t>腐蚀因素：管道沿线大部分均为中～弱腐蚀性土壤。除人类活动的地区外，管道还经过农田分布区和丘陵林地区，在这些地区生长有乔木、灌木和草本。当部分根深植物在管道附近甚至管道上生长时，其根系将缠绕、挤压、损坏管道的防腐层，造成管道防腐失效。</w:t>
      </w:r>
    </w:p>
    <w:p w:rsidR="00BD5820" w:rsidRDefault="00F64314">
      <w:pPr>
        <w:pStyle w:val="a1"/>
        <w:ind w:firstLine="480"/>
        <w:rPr>
          <w:rFonts w:ascii="Times New Roman" w:cs="Times New Roman"/>
        </w:rPr>
      </w:pPr>
      <w:r>
        <w:rPr>
          <w:rFonts w:hAnsi="宋体" w:hint="eastAsia"/>
        </w:rPr>
        <w:t>④</w:t>
      </w:r>
      <w:r>
        <w:rPr>
          <w:rFonts w:ascii="Times New Roman" w:cs="Times New Roman"/>
        </w:rPr>
        <w:t>第三方破坏因素：管道经过的人口地区等级及经济发展水平差异较大，</w:t>
      </w:r>
      <w:r>
        <w:rPr>
          <w:rFonts w:ascii="Times New Roman" w:cs="Times New Roman"/>
        </w:rPr>
        <w:t>3</w:t>
      </w:r>
      <w:r>
        <w:rPr>
          <w:rFonts w:ascii="Times New Roman" w:cs="Times New Roman"/>
        </w:rPr>
        <w:t>级地区人口分布对工程的第三方破坏、泄漏影响系数具有较大的影响，人类活动频繁，增加了管道风险的水平。</w:t>
      </w:r>
    </w:p>
    <w:p w:rsidR="00BD5820" w:rsidRDefault="00F64314">
      <w:pPr>
        <w:pStyle w:val="a1"/>
        <w:ind w:firstLine="480"/>
        <w:rPr>
          <w:rFonts w:ascii="Times New Roman" w:cs="Times New Roman"/>
        </w:rPr>
      </w:pPr>
      <w:r>
        <w:rPr>
          <w:rFonts w:ascii="Times New Roman" w:cs="Times New Roman"/>
        </w:rPr>
        <w:t>根据管道路由的实际情况和分段的情况：对天然气输气管道沿线的第三方破坏、腐蚀、设计、误操作等因素的评估，根据沿线地区等级、高价值地区、环境敏感地区和管线泄漏量和泄漏对管道沿线的相对影响大小，可以确定管线沿线的风险分布。</w:t>
      </w:r>
    </w:p>
    <w:p w:rsidR="00BD5820" w:rsidRDefault="00F64314">
      <w:pPr>
        <w:pStyle w:val="3"/>
        <w:rPr>
          <w:rFonts w:eastAsia="宋体"/>
        </w:rPr>
      </w:pPr>
      <w:bookmarkStart w:id="454" w:name="_Toc19816108"/>
      <w:bookmarkStart w:id="455" w:name="_Toc12288735"/>
      <w:r>
        <w:rPr>
          <w:rFonts w:eastAsia="宋体"/>
        </w:rPr>
        <w:t xml:space="preserve">7.7.2 </w:t>
      </w:r>
      <w:r>
        <w:rPr>
          <w:rFonts w:eastAsia="宋体"/>
        </w:rPr>
        <w:t>风险事故情形</w:t>
      </w:r>
      <w:bookmarkEnd w:id="454"/>
      <w:bookmarkEnd w:id="455"/>
    </w:p>
    <w:p w:rsidR="00BD5820" w:rsidRDefault="00F64314">
      <w:pPr>
        <w:pStyle w:val="a1"/>
        <w:ind w:firstLine="482"/>
        <w:rPr>
          <w:rFonts w:ascii="Times New Roman" w:cs="Times New Roman"/>
          <w:b/>
        </w:rPr>
      </w:pPr>
      <w:r>
        <w:rPr>
          <w:rFonts w:ascii="Times New Roman" w:cs="Times New Roman"/>
          <w:b/>
        </w:rPr>
        <w:t>1</w:t>
      </w:r>
      <w:r>
        <w:rPr>
          <w:rFonts w:ascii="Times New Roman" w:cs="Times New Roman"/>
          <w:b/>
        </w:rPr>
        <w:t>、</w:t>
      </w:r>
      <w:r>
        <w:rPr>
          <w:rFonts w:ascii="Times New Roman" w:cs="Times New Roman" w:hint="eastAsia"/>
          <w:b/>
        </w:rPr>
        <w:t>压缩机泄漏</w:t>
      </w:r>
      <w:r>
        <w:rPr>
          <w:rFonts w:ascii="Times New Roman" w:cs="Times New Roman"/>
          <w:b/>
        </w:rPr>
        <w:t>事故</w:t>
      </w:r>
    </w:p>
    <w:p w:rsidR="00BD5820" w:rsidRDefault="00F64314">
      <w:pPr>
        <w:pStyle w:val="a1"/>
        <w:ind w:firstLine="480"/>
        <w:rPr>
          <w:rFonts w:ascii="Times New Roman" w:cs="Times New Roman"/>
        </w:rPr>
      </w:pPr>
      <w:r>
        <w:rPr>
          <w:rFonts w:ascii="Times New Roman" w:cs="Times New Roman" w:hint="eastAsia"/>
        </w:rPr>
        <w:t>本项目使用的压缩机密封性能很好，同时对压缩机和阀门等设备进行日常维护和保养，压缩机发生泄漏事故的概率</w:t>
      </w:r>
      <w:r w:rsidR="008A2A2E">
        <w:rPr>
          <w:rFonts w:ascii="Times New Roman" w:cs="Times New Roman" w:hint="eastAsia"/>
        </w:rPr>
        <w:t>极低</w:t>
      </w:r>
      <w:r>
        <w:rPr>
          <w:rFonts w:ascii="Times New Roman" w:cs="Times New Roman" w:hint="eastAsia"/>
        </w:rPr>
        <w:t>。</w:t>
      </w:r>
    </w:p>
    <w:p w:rsidR="00BD5820" w:rsidRDefault="00F64314">
      <w:pPr>
        <w:pStyle w:val="a1"/>
        <w:ind w:firstLine="482"/>
        <w:rPr>
          <w:rFonts w:ascii="Times New Roman" w:cs="Times New Roman"/>
          <w:b/>
        </w:rPr>
      </w:pPr>
      <w:r>
        <w:rPr>
          <w:rFonts w:ascii="Times New Roman" w:cs="Times New Roman" w:hint="eastAsia"/>
          <w:b/>
        </w:rPr>
        <w:t>2</w:t>
      </w:r>
      <w:r>
        <w:rPr>
          <w:rFonts w:ascii="Times New Roman" w:cs="Times New Roman"/>
          <w:b/>
        </w:rPr>
        <w:t>、天然气管道泄漏风险事故</w:t>
      </w:r>
    </w:p>
    <w:p w:rsidR="00BD5820" w:rsidRDefault="00F64314">
      <w:pPr>
        <w:pStyle w:val="affa"/>
        <w:ind w:firstLine="480"/>
      </w:pPr>
      <w:r>
        <w:t>根据《建设项目环境风险评价技术导则》（</w:t>
      </w:r>
      <w:r>
        <w:t>HJ169-2018</w:t>
      </w:r>
      <w:r>
        <w:t>）中附录</w:t>
      </w:r>
      <w:r>
        <w:t>E</w:t>
      </w:r>
      <w:r>
        <w:t>，</w:t>
      </w:r>
      <w:r>
        <w:t>75mm</w:t>
      </w:r>
      <w:r>
        <w:t>＜内径</w:t>
      </w:r>
      <w:r>
        <w:t>≤150mm</w:t>
      </w:r>
      <w:r>
        <w:t>的管道，当泄漏孔径为</w:t>
      </w:r>
      <w:r>
        <w:t>10%</w:t>
      </w:r>
      <w:r>
        <w:t>孔径时，泄漏频率为</w:t>
      </w:r>
      <w:r>
        <w:t>2.0×10</w:t>
      </w:r>
      <w:r>
        <w:rPr>
          <w:vertAlign w:val="superscript"/>
        </w:rPr>
        <w:t>-6</w:t>
      </w:r>
      <w:r>
        <w:t>/</w:t>
      </w:r>
      <w:r>
        <w:rPr>
          <w:rFonts w:hint="eastAsia"/>
        </w:rPr>
        <w:t>（</w:t>
      </w:r>
      <w:r>
        <w:t>m·a</w:t>
      </w:r>
      <w:r>
        <w:rPr>
          <w:rFonts w:hint="eastAsia"/>
        </w:rPr>
        <w:t>）</w:t>
      </w:r>
      <w:r>
        <w:t>；</w:t>
      </w:r>
      <w:r>
        <w:lastRenderedPageBreak/>
        <w:t>全管径泄漏时，泄漏频率为</w:t>
      </w:r>
      <w:r>
        <w:t>1.0×10</w:t>
      </w:r>
      <w:r>
        <w:rPr>
          <w:vertAlign w:val="superscript"/>
        </w:rPr>
        <w:t>-6</w:t>
      </w:r>
      <w:r>
        <w:t>/</w:t>
      </w:r>
      <w:r>
        <w:rPr>
          <w:rFonts w:hint="eastAsia"/>
        </w:rPr>
        <w:t>（</w:t>
      </w:r>
      <w:r>
        <w:t>m·a</w:t>
      </w:r>
      <w:r>
        <w:rPr>
          <w:rFonts w:hint="eastAsia"/>
        </w:rPr>
        <w:t>）</w:t>
      </w:r>
      <w:r>
        <w:t>。</w:t>
      </w:r>
    </w:p>
    <w:p w:rsidR="00BD5820" w:rsidRDefault="00F64314">
      <w:pPr>
        <w:pStyle w:val="affa"/>
        <w:ind w:firstLine="480"/>
      </w:pPr>
      <w:r>
        <w:t>本项目风险管线全长</w:t>
      </w:r>
      <w:r>
        <w:rPr>
          <w:rFonts w:hint="eastAsia"/>
        </w:rPr>
        <w:t>4.1</w:t>
      </w:r>
      <w:r>
        <w:t>km</w:t>
      </w:r>
      <w:r>
        <w:t>，酸气管线管径为</w:t>
      </w:r>
      <w:r>
        <w:t>1</w:t>
      </w:r>
      <w:r>
        <w:rPr>
          <w:rFonts w:hint="eastAsia"/>
        </w:rPr>
        <w:t>14.3</w:t>
      </w:r>
      <w:r>
        <w:t>mm</w:t>
      </w:r>
      <w:r>
        <w:t>，因此当泄漏孔径为</w:t>
      </w:r>
      <w:r>
        <w:t>10%</w:t>
      </w:r>
      <w:r>
        <w:t>孔径时泄</w:t>
      </w:r>
      <w:r>
        <w:rPr>
          <w:rFonts w:hint="eastAsia"/>
        </w:rPr>
        <w:t>漏</w:t>
      </w:r>
      <w:r>
        <w:t>频率为</w:t>
      </w:r>
      <w:r>
        <w:t>0.0167/a</w:t>
      </w:r>
      <w:r>
        <w:t>，表明本项目在营运期存在发生泄漏事故的概率较小。</w:t>
      </w:r>
      <w:r>
        <w:rPr>
          <w:rFonts w:hint="eastAsia"/>
        </w:rPr>
        <w:t>本项目</w:t>
      </w:r>
      <w:r>
        <w:t>无论从管材、防腐还是施工工艺方面，都达到了先进水平，另外还必须最大限度地降低外部干扰、施工缺陷及材料失效等方面事故原因出现的可能，使管道能够安全平稳地营运。</w:t>
      </w:r>
    </w:p>
    <w:p w:rsidR="00BD5820" w:rsidRDefault="00F64314">
      <w:pPr>
        <w:pStyle w:val="affa"/>
        <w:ind w:firstLine="482"/>
        <w:rPr>
          <w:b/>
          <w:bCs/>
        </w:rPr>
      </w:pPr>
      <w:r>
        <w:rPr>
          <w:rFonts w:hint="eastAsia"/>
          <w:b/>
          <w:bCs/>
        </w:rPr>
        <w:t>3</w:t>
      </w:r>
      <w:r>
        <w:rPr>
          <w:b/>
          <w:bCs/>
        </w:rPr>
        <w:t>、天然气管道火灾、爆炸风险事故</w:t>
      </w:r>
    </w:p>
    <w:p w:rsidR="00BD5820" w:rsidRDefault="00F64314">
      <w:pPr>
        <w:pStyle w:val="affa"/>
        <w:ind w:firstLine="480"/>
      </w:pPr>
      <w:r>
        <w:t>据美国和欧洲的统计：管道大孔泄漏事故引起火灾的可能性为</w:t>
      </w:r>
      <w:r>
        <w:t>2.7%</w:t>
      </w:r>
      <w:r>
        <w:t>，小孔事故引起火灾的可能性为</w:t>
      </w:r>
      <w:r>
        <w:t>1.6%</w:t>
      </w:r>
      <w:r>
        <w:t>，管径小于</w:t>
      </w:r>
      <w:r>
        <w:t>406mm</w:t>
      </w:r>
      <w:r>
        <w:t>的管道破裂后火灾的可能性为</w:t>
      </w:r>
      <w:r>
        <w:t>4.9%</w:t>
      </w:r>
      <w:r>
        <w:t>，管径大于</w:t>
      </w:r>
      <w:r>
        <w:t>406mm</w:t>
      </w:r>
      <w:r>
        <w:t>的管道破裂后火灾的可能性为</w:t>
      </w:r>
      <w:r>
        <w:t>35.3%</w:t>
      </w:r>
      <w:r>
        <w:t>。</w:t>
      </w:r>
    </w:p>
    <w:p w:rsidR="00BD5820" w:rsidRDefault="00F64314">
      <w:pPr>
        <w:pStyle w:val="affa"/>
        <w:ind w:firstLine="480"/>
      </w:pPr>
      <w:r>
        <w:t>因此，本管道工程的火灾、爆炸事故概率见表</w:t>
      </w:r>
      <w:r>
        <w:t>7.7-1</w:t>
      </w:r>
      <w:r>
        <w:t>。</w:t>
      </w:r>
    </w:p>
    <w:p w:rsidR="00BD5820" w:rsidRDefault="00F64314">
      <w:pPr>
        <w:pStyle w:val="TOC11"/>
        <w:rPr>
          <w:rFonts w:eastAsia="宋体"/>
        </w:rPr>
      </w:pPr>
      <w:r>
        <w:rPr>
          <w:rFonts w:eastAsia="宋体"/>
        </w:rPr>
        <w:t>表</w:t>
      </w:r>
      <w:r>
        <w:rPr>
          <w:rFonts w:eastAsia="宋体"/>
        </w:rPr>
        <w:t xml:space="preserve">7.7-1  </w:t>
      </w:r>
      <w:r>
        <w:rPr>
          <w:rFonts w:eastAsia="宋体"/>
        </w:rPr>
        <w:t>泄漏频率表</w:t>
      </w:r>
    </w:p>
    <w:tbl>
      <w:tblPr>
        <w:tblW w:w="5394" w:type="pct"/>
        <w:jc w:val="center"/>
        <w:tblBorders>
          <w:top w:val="single" w:sz="12" w:space="0" w:color="auto"/>
          <w:bottom w:val="single" w:sz="12" w:space="0" w:color="auto"/>
          <w:insideH w:val="single" w:sz="4" w:space="0" w:color="auto"/>
          <w:insideV w:val="single" w:sz="4" w:space="0" w:color="auto"/>
        </w:tblBorders>
        <w:tblCellMar>
          <w:left w:w="28" w:type="dxa"/>
          <w:right w:w="28" w:type="dxa"/>
        </w:tblCellMar>
        <w:tblLook w:val="04A0"/>
      </w:tblPr>
      <w:tblGrid>
        <w:gridCol w:w="1151"/>
        <w:gridCol w:w="1164"/>
        <w:gridCol w:w="1420"/>
        <w:gridCol w:w="895"/>
        <w:gridCol w:w="1672"/>
        <w:gridCol w:w="787"/>
        <w:gridCol w:w="1932"/>
      </w:tblGrid>
      <w:tr w:rsidR="00BD5820">
        <w:trPr>
          <w:trHeight w:val="268"/>
          <w:tblHeader/>
          <w:jc w:val="center"/>
        </w:trPr>
        <w:tc>
          <w:tcPr>
            <w:tcW w:w="638" w:type="pct"/>
            <w:vAlign w:val="center"/>
          </w:tcPr>
          <w:p w:rsidR="00BD5820" w:rsidRDefault="00F64314">
            <w:pPr>
              <w:snapToGrid w:val="0"/>
              <w:spacing w:line="240" w:lineRule="atLeast"/>
              <w:ind w:firstLineChars="0" w:firstLine="0"/>
              <w:jc w:val="center"/>
              <w:rPr>
                <w:rFonts w:ascii="Times New Roman" w:cs="Times New Roman"/>
                <w:b/>
                <w:sz w:val="21"/>
                <w:szCs w:val="21"/>
              </w:rPr>
            </w:pPr>
            <w:r>
              <w:rPr>
                <w:rFonts w:ascii="Times New Roman" w:cs="Times New Roman"/>
                <w:b/>
                <w:sz w:val="21"/>
                <w:szCs w:val="21"/>
              </w:rPr>
              <w:t>事故类型</w:t>
            </w:r>
          </w:p>
        </w:tc>
        <w:tc>
          <w:tcPr>
            <w:tcW w:w="645" w:type="pct"/>
            <w:vAlign w:val="center"/>
          </w:tcPr>
          <w:p w:rsidR="00BD5820" w:rsidRDefault="00F64314">
            <w:pPr>
              <w:snapToGrid w:val="0"/>
              <w:spacing w:line="240" w:lineRule="atLeast"/>
              <w:ind w:firstLineChars="0" w:firstLine="0"/>
              <w:jc w:val="center"/>
              <w:rPr>
                <w:rFonts w:ascii="Times New Roman" w:cs="Times New Roman"/>
                <w:b/>
                <w:sz w:val="21"/>
                <w:szCs w:val="21"/>
              </w:rPr>
            </w:pPr>
            <w:r>
              <w:rPr>
                <w:rFonts w:ascii="Times New Roman" w:cs="Times New Roman"/>
                <w:b/>
                <w:sz w:val="21"/>
                <w:szCs w:val="21"/>
              </w:rPr>
              <w:t>事故比例</w:t>
            </w:r>
          </w:p>
        </w:tc>
        <w:tc>
          <w:tcPr>
            <w:tcW w:w="787" w:type="pct"/>
            <w:vAlign w:val="center"/>
          </w:tcPr>
          <w:p w:rsidR="00BD5820" w:rsidRDefault="00F64314">
            <w:pPr>
              <w:snapToGrid w:val="0"/>
              <w:spacing w:line="240" w:lineRule="atLeast"/>
              <w:ind w:firstLineChars="0" w:firstLine="0"/>
              <w:jc w:val="center"/>
              <w:rPr>
                <w:rFonts w:ascii="Times New Roman" w:cs="Times New Roman"/>
                <w:b/>
                <w:sz w:val="21"/>
                <w:szCs w:val="21"/>
              </w:rPr>
            </w:pPr>
            <w:r>
              <w:rPr>
                <w:rFonts w:ascii="Times New Roman" w:cs="Times New Roman"/>
                <w:b/>
                <w:sz w:val="21"/>
                <w:szCs w:val="21"/>
              </w:rPr>
              <w:t>泄漏事故概率次</w:t>
            </w:r>
            <w:r>
              <w:rPr>
                <w:rFonts w:ascii="Times New Roman" w:cs="Times New Roman"/>
                <w:b/>
                <w:sz w:val="21"/>
                <w:szCs w:val="21"/>
              </w:rPr>
              <w:t>/</w:t>
            </w:r>
            <w:r>
              <w:rPr>
                <w:rFonts w:ascii="Times New Roman" w:cs="Times New Roman"/>
                <w:b/>
                <w:sz w:val="21"/>
                <w:szCs w:val="21"/>
              </w:rPr>
              <w:t>（</w:t>
            </w:r>
            <w:r>
              <w:rPr>
                <w:rFonts w:ascii="Times New Roman" w:cs="Times New Roman"/>
                <w:b/>
                <w:sz w:val="21"/>
                <w:szCs w:val="21"/>
              </w:rPr>
              <w:t>m·a</w:t>
            </w:r>
            <w:r>
              <w:rPr>
                <w:rFonts w:ascii="Times New Roman" w:cs="Times New Roman"/>
                <w:b/>
                <w:sz w:val="21"/>
                <w:szCs w:val="21"/>
              </w:rPr>
              <w:t>）</w:t>
            </w:r>
          </w:p>
        </w:tc>
        <w:tc>
          <w:tcPr>
            <w:tcW w:w="496" w:type="pct"/>
            <w:vAlign w:val="center"/>
          </w:tcPr>
          <w:p w:rsidR="00BD5820" w:rsidRDefault="00F64314">
            <w:pPr>
              <w:snapToGrid w:val="0"/>
              <w:spacing w:line="240" w:lineRule="atLeast"/>
              <w:ind w:firstLineChars="0" w:firstLine="0"/>
              <w:jc w:val="center"/>
              <w:rPr>
                <w:rFonts w:ascii="Times New Roman" w:cs="Times New Roman"/>
                <w:b/>
                <w:sz w:val="21"/>
                <w:szCs w:val="21"/>
              </w:rPr>
            </w:pPr>
            <w:r>
              <w:rPr>
                <w:rFonts w:ascii="Times New Roman" w:cs="Times New Roman"/>
                <w:b/>
                <w:sz w:val="21"/>
                <w:szCs w:val="21"/>
              </w:rPr>
              <w:t>着火率</w:t>
            </w:r>
          </w:p>
        </w:tc>
        <w:tc>
          <w:tcPr>
            <w:tcW w:w="927" w:type="pct"/>
            <w:vAlign w:val="center"/>
          </w:tcPr>
          <w:p w:rsidR="00BD5820" w:rsidRDefault="00F64314">
            <w:pPr>
              <w:snapToGrid w:val="0"/>
              <w:spacing w:line="240" w:lineRule="atLeast"/>
              <w:ind w:firstLineChars="0" w:firstLine="0"/>
              <w:jc w:val="center"/>
              <w:rPr>
                <w:rFonts w:ascii="Times New Roman" w:cs="Times New Roman"/>
                <w:b/>
                <w:sz w:val="21"/>
                <w:szCs w:val="21"/>
              </w:rPr>
            </w:pPr>
            <w:r>
              <w:rPr>
                <w:rFonts w:ascii="Times New Roman" w:cs="Times New Roman"/>
                <w:b/>
                <w:sz w:val="21"/>
                <w:szCs w:val="21"/>
              </w:rPr>
              <w:t>火灾、爆炸事故概率</w:t>
            </w:r>
            <w:r>
              <w:rPr>
                <w:rFonts w:ascii="Times New Roman" w:cs="Times New Roman"/>
                <w:b/>
                <w:sz w:val="21"/>
                <w:szCs w:val="21"/>
              </w:rPr>
              <w:t xml:space="preserve"> </w:t>
            </w:r>
            <w:r>
              <w:rPr>
                <w:rFonts w:ascii="Times New Roman" w:cs="Times New Roman"/>
                <w:b/>
                <w:sz w:val="21"/>
                <w:szCs w:val="21"/>
              </w:rPr>
              <w:t>次（</w:t>
            </w:r>
            <w:r>
              <w:rPr>
                <w:rFonts w:ascii="Times New Roman" w:cs="Times New Roman"/>
                <w:b/>
                <w:sz w:val="21"/>
                <w:szCs w:val="21"/>
              </w:rPr>
              <w:t>/m·a</w:t>
            </w:r>
            <w:r>
              <w:rPr>
                <w:rFonts w:ascii="Times New Roman" w:cs="Times New Roman"/>
                <w:b/>
                <w:sz w:val="21"/>
                <w:szCs w:val="21"/>
              </w:rPr>
              <w:t>）</w:t>
            </w:r>
          </w:p>
        </w:tc>
        <w:tc>
          <w:tcPr>
            <w:tcW w:w="436" w:type="pct"/>
            <w:vAlign w:val="center"/>
          </w:tcPr>
          <w:p w:rsidR="00BD5820" w:rsidRDefault="00F64314">
            <w:pPr>
              <w:snapToGrid w:val="0"/>
              <w:spacing w:line="240" w:lineRule="atLeast"/>
              <w:ind w:firstLineChars="0" w:firstLine="0"/>
              <w:jc w:val="center"/>
              <w:rPr>
                <w:rFonts w:ascii="Times New Roman" w:cs="Times New Roman"/>
                <w:b/>
                <w:sz w:val="21"/>
                <w:szCs w:val="21"/>
              </w:rPr>
            </w:pPr>
            <w:r>
              <w:rPr>
                <w:rFonts w:ascii="Times New Roman" w:cs="Times New Roman"/>
                <w:b/>
                <w:sz w:val="21"/>
                <w:szCs w:val="21"/>
              </w:rPr>
              <w:t>管道长度</w:t>
            </w:r>
            <w:r>
              <w:rPr>
                <w:rFonts w:ascii="Times New Roman" w:cs="Times New Roman"/>
                <w:b/>
                <w:sz w:val="21"/>
                <w:szCs w:val="21"/>
              </w:rPr>
              <w:t>km</w:t>
            </w:r>
          </w:p>
        </w:tc>
        <w:tc>
          <w:tcPr>
            <w:tcW w:w="1071" w:type="pct"/>
            <w:vAlign w:val="center"/>
          </w:tcPr>
          <w:p w:rsidR="00BD5820" w:rsidRDefault="00F64314">
            <w:pPr>
              <w:snapToGrid w:val="0"/>
              <w:spacing w:line="240" w:lineRule="atLeast"/>
              <w:ind w:firstLineChars="0" w:firstLine="0"/>
              <w:jc w:val="center"/>
              <w:rPr>
                <w:rFonts w:ascii="Times New Roman" w:cs="Times New Roman"/>
                <w:b/>
                <w:sz w:val="21"/>
                <w:szCs w:val="21"/>
              </w:rPr>
            </w:pPr>
            <w:r>
              <w:rPr>
                <w:rFonts w:ascii="Times New Roman" w:cs="Times New Roman"/>
                <w:b/>
                <w:sz w:val="21"/>
                <w:szCs w:val="21"/>
              </w:rPr>
              <w:t>本管道工程火灾、爆炸事故概率</w:t>
            </w:r>
            <w:r>
              <w:rPr>
                <w:rFonts w:ascii="Times New Roman" w:cs="Times New Roman"/>
                <w:b/>
                <w:sz w:val="21"/>
                <w:szCs w:val="21"/>
              </w:rPr>
              <w:t xml:space="preserve"> </w:t>
            </w:r>
            <w:r>
              <w:rPr>
                <w:rFonts w:ascii="Times New Roman" w:cs="Times New Roman"/>
                <w:b/>
                <w:sz w:val="21"/>
                <w:szCs w:val="21"/>
              </w:rPr>
              <w:t>次</w:t>
            </w:r>
            <w:r>
              <w:rPr>
                <w:rFonts w:ascii="Times New Roman" w:cs="Times New Roman"/>
                <w:b/>
                <w:sz w:val="21"/>
                <w:szCs w:val="21"/>
              </w:rPr>
              <w:t>/a</w:t>
            </w:r>
          </w:p>
        </w:tc>
      </w:tr>
      <w:tr w:rsidR="00BD5820">
        <w:trPr>
          <w:trHeight w:val="250"/>
          <w:jc w:val="center"/>
        </w:trPr>
        <w:tc>
          <w:tcPr>
            <w:tcW w:w="638" w:type="pct"/>
            <w:vAlign w:val="center"/>
          </w:tcPr>
          <w:p w:rsidR="00BD5820" w:rsidRDefault="00F64314">
            <w:pPr>
              <w:snapToGrid w:val="0"/>
              <w:spacing w:line="240" w:lineRule="atLeast"/>
              <w:ind w:firstLineChars="0" w:firstLine="0"/>
              <w:jc w:val="center"/>
              <w:rPr>
                <w:rFonts w:ascii="Times New Roman" w:cs="Times New Roman"/>
                <w:sz w:val="21"/>
                <w:szCs w:val="21"/>
              </w:rPr>
            </w:pPr>
            <w:r>
              <w:rPr>
                <w:rFonts w:ascii="Times New Roman" w:cs="Times New Roman"/>
                <w:sz w:val="21"/>
                <w:szCs w:val="21"/>
              </w:rPr>
              <w:t>小孔</w:t>
            </w:r>
          </w:p>
        </w:tc>
        <w:tc>
          <w:tcPr>
            <w:tcW w:w="645" w:type="pct"/>
            <w:vAlign w:val="center"/>
          </w:tcPr>
          <w:p w:rsidR="00BD5820" w:rsidRDefault="00F64314">
            <w:pPr>
              <w:snapToGrid w:val="0"/>
              <w:spacing w:line="240" w:lineRule="atLeast"/>
              <w:ind w:firstLineChars="0" w:firstLine="0"/>
              <w:jc w:val="center"/>
              <w:rPr>
                <w:rFonts w:ascii="Times New Roman" w:cs="Times New Roman"/>
                <w:sz w:val="21"/>
                <w:szCs w:val="21"/>
              </w:rPr>
            </w:pPr>
            <w:r>
              <w:rPr>
                <w:rFonts w:ascii="Times New Roman" w:cs="Times New Roman"/>
                <w:sz w:val="21"/>
                <w:szCs w:val="21"/>
              </w:rPr>
              <w:t>0.8</w:t>
            </w:r>
          </w:p>
        </w:tc>
        <w:tc>
          <w:tcPr>
            <w:tcW w:w="787" w:type="pct"/>
            <w:vAlign w:val="center"/>
          </w:tcPr>
          <w:p w:rsidR="00BD5820" w:rsidRDefault="00F64314">
            <w:pPr>
              <w:snapToGrid w:val="0"/>
              <w:spacing w:line="240" w:lineRule="atLeast"/>
              <w:ind w:firstLineChars="0" w:firstLine="0"/>
              <w:jc w:val="center"/>
              <w:rPr>
                <w:rFonts w:ascii="Times New Roman" w:cs="Times New Roman"/>
                <w:sz w:val="21"/>
                <w:szCs w:val="21"/>
              </w:rPr>
            </w:pPr>
            <w:r>
              <w:rPr>
                <w:rFonts w:ascii="Times New Roman" w:cs="Times New Roman"/>
                <w:sz w:val="21"/>
                <w:szCs w:val="21"/>
              </w:rPr>
              <w:t>2.0×10</w:t>
            </w:r>
            <w:r>
              <w:rPr>
                <w:rFonts w:ascii="Times New Roman" w:cs="Times New Roman"/>
                <w:sz w:val="21"/>
                <w:szCs w:val="21"/>
                <w:vertAlign w:val="superscript"/>
              </w:rPr>
              <w:t>-6</w:t>
            </w:r>
          </w:p>
        </w:tc>
        <w:tc>
          <w:tcPr>
            <w:tcW w:w="496" w:type="pct"/>
            <w:vAlign w:val="center"/>
          </w:tcPr>
          <w:p w:rsidR="00BD5820" w:rsidRDefault="00F64314">
            <w:pPr>
              <w:snapToGrid w:val="0"/>
              <w:spacing w:line="240" w:lineRule="atLeast"/>
              <w:ind w:firstLineChars="0" w:firstLine="0"/>
              <w:jc w:val="center"/>
              <w:rPr>
                <w:rFonts w:ascii="Times New Roman" w:cs="Times New Roman"/>
                <w:sz w:val="21"/>
                <w:szCs w:val="21"/>
              </w:rPr>
            </w:pPr>
            <w:r>
              <w:rPr>
                <w:rFonts w:ascii="Times New Roman" w:cs="Times New Roman"/>
                <w:sz w:val="21"/>
                <w:szCs w:val="21"/>
              </w:rPr>
              <w:t>0.016</w:t>
            </w:r>
          </w:p>
        </w:tc>
        <w:tc>
          <w:tcPr>
            <w:tcW w:w="927" w:type="pct"/>
            <w:vAlign w:val="center"/>
          </w:tcPr>
          <w:p w:rsidR="00BD5820" w:rsidRDefault="00F64314">
            <w:pPr>
              <w:snapToGrid w:val="0"/>
              <w:spacing w:line="240" w:lineRule="atLeast"/>
              <w:ind w:firstLineChars="0" w:firstLine="0"/>
              <w:jc w:val="center"/>
              <w:rPr>
                <w:rFonts w:ascii="Times New Roman" w:cs="Times New Roman"/>
                <w:sz w:val="21"/>
                <w:szCs w:val="21"/>
              </w:rPr>
            </w:pPr>
            <w:r>
              <w:rPr>
                <w:rFonts w:ascii="Times New Roman" w:cs="Times New Roman"/>
                <w:sz w:val="21"/>
                <w:szCs w:val="21"/>
              </w:rPr>
              <w:t>3.2×10</w:t>
            </w:r>
            <w:r>
              <w:rPr>
                <w:rFonts w:ascii="Times New Roman" w:cs="Times New Roman"/>
                <w:sz w:val="21"/>
                <w:szCs w:val="21"/>
                <w:vertAlign w:val="superscript"/>
              </w:rPr>
              <w:t>-8</w:t>
            </w:r>
          </w:p>
        </w:tc>
        <w:tc>
          <w:tcPr>
            <w:tcW w:w="436" w:type="pct"/>
            <w:vMerge w:val="restart"/>
            <w:vAlign w:val="center"/>
          </w:tcPr>
          <w:p w:rsidR="00BD5820" w:rsidRDefault="00F64314">
            <w:pPr>
              <w:snapToGrid w:val="0"/>
              <w:spacing w:line="240" w:lineRule="atLeast"/>
              <w:ind w:firstLineChars="0" w:firstLine="0"/>
              <w:jc w:val="center"/>
              <w:rPr>
                <w:rFonts w:ascii="Times New Roman" w:cs="Times New Roman"/>
                <w:sz w:val="21"/>
                <w:szCs w:val="21"/>
              </w:rPr>
            </w:pPr>
            <w:r>
              <w:rPr>
                <w:rFonts w:ascii="Times New Roman" w:cs="Times New Roman"/>
                <w:sz w:val="21"/>
                <w:szCs w:val="21"/>
              </w:rPr>
              <w:t>6.2</w:t>
            </w:r>
          </w:p>
        </w:tc>
        <w:tc>
          <w:tcPr>
            <w:tcW w:w="1071" w:type="pct"/>
            <w:vAlign w:val="center"/>
          </w:tcPr>
          <w:p w:rsidR="00BD5820" w:rsidRDefault="00F64314">
            <w:pPr>
              <w:snapToGrid w:val="0"/>
              <w:spacing w:line="240" w:lineRule="atLeast"/>
              <w:ind w:firstLineChars="0" w:firstLine="0"/>
              <w:jc w:val="center"/>
              <w:rPr>
                <w:rFonts w:ascii="Times New Roman" w:cs="Times New Roman"/>
                <w:sz w:val="21"/>
                <w:szCs w:val="21"/>
              </w:rPr>
            </w:pPr>
            <w:r>
              <w:rPr>
                <w:rFonts w:ascii="Times New Roman" w:cs="Times New Roman"/>
                <w:sz w:val="21"/>
                <w:szCs w:val="21"/>
              </w:rPr>
              <w:t>1.98×10</w:t>
            </w:r>
            <w:r>
              <w:rPr>
                <w:rFonts w:ascii="Times New Roman" w:cs="Times New Roman"/>
                <w:sz w:val="21"/>
                <w:szCs w:val="21"/>
                <w:vertAlign w:val="superscript"/>
              </w:rPr>
              <w:t>-4</w:t>
            </w:r>
          </w:p>
        </w:tc>
      </w:tr>
      <w:tr w:rsidR="00BD5820">
        <w:trPr>
          <w:trHeight w:val="268"/>
          <w:jc w:val="center"/>
        </w:trPr>
        <w:tc>
          <w:tcPr>
            <w:tcW w:w="638" w:type="pct"/>
            <w:vAlign w:val="center"/>
          </w:tcPr>
          <w:p w:rsidR="00BD5820" w:rsidRDefault="00F64314">
            <w:pPr>
              <w:snapToGrid w:val="0"/>
              <w:spacing w:line="240" w:lineRule="atLeast"/>
              <w:ind w:firstLineChars="0" w:firstLine="0"/>
              <w:jc w:val="center"/>
              <w:rPr>
                <w:rFonts w:ascii="Times New Roman" w:cs="Times New Roman"/>
                <w:sz w:val="21"/>
                <w:szCs w:val="21"/>
              </w:rPr>
            </w:pPr>
            <w:r>
              <w:rPr>
                <w:rFonts w:ascii="Times New Roman" w:cs="Times New Roman"/>
                <w:sz w:val="21"/>
                <w:szCs w:val="21"/>
              </w:rPr>
              <w:t>大孔</w:t>
            </w:r>
          </w:p>
        </w:tc>
        <w:tc>
          <w:tcPr>
            <w:tcW w:w="645" w:type="pct"/>
            <w:vAlign w:val="center"/>
          </w:tcPr>
          <w:p w:rsidR="00BD5820" w:rsidRDefault="00F64314">
            <w:pPr>
              <w:snapToGrid w:val="0"/>
              <w:spacing w:line="240" w:lineRule="atLeast"/>
              <w:ind w:firstLineChars="0" w:firstLine="0"/>
              <w:jc w:val="center"/>
              <w:rPr>
                <w:rFonts w:ascii="Times New Roman" w:cs="Times New Roman"/>
                <w:sz w:val="21"/>
                <w:szCs w:val="21"/>
              </w:rPr>
            </w:pPr>
            <w:r>
              <w:rPr>
                <w:rFonts w:ascii="Times New Roman" w:cs="Times New Roman"/>
                <w:sz w:val="21"/>
                <w:szCs w:val="21"/>
              </w:rPr>
              <w:t>1.5</w:t>
            </w:r>
          </w:p>
        </w:tc>
        <w:tc>
          <w:tcPr>
            <w:tcW w:w="787" w:type="pct"/>
            <w:vMerge w:val="restart"/>
            <w:vAlign w:val="center"/>
          </w:tcPr>
          <w:p w:rsidR="00BD5820" w:rsidRDefault="00F64314">
            <w:pPr>
              <w:snapToGrid w:val="0"/>
              <w:spacing w:line="240" w:lineRule="atLeast"/>
              <w:ind w:firstLineChars="0" w:firstLine="0"/>
              <w:jc w:val="center"/>
              <w:rPr>
                <w:rFonts w:ascii="Times New Roman" w:cs="Times New Roman"/>
                <w:sz w:val="21"/>
                <w:szCs w:val="21"/>
              </w:rPr>
            </w:pPr>
            <w:r>
              <w:rPr>
                <w:rFonts w:ascii="Times New Roman" w:cs="Times New Roman"/>
                <w:sz w:val="21"/>
                <w:szCs w:val="21"/>
              </w:rPr>
              <w:t>1.0×10</w:t>
            </w:r>
            <w:r>
              <w:rPr>
                <w:rFonts w:ascii="Times New Roman" w:cs="Times New Roman"/>
                <w:sz w:val="21"/>
                <w:szCs w:val="21"/>
                <w:vertAlign w:val="superscript"/>
              </w:rPr>
              <w:t>-6</w:t>
            </w:r>
          </w:p>
        </w:tc>
        <w:tc>
          <w:tcPr>
            <w:tcW w:w="496" w:type="pct"/>
            <w:vAlign w:val="center"/>
          </w:tcPr>
          <w:p w:rsidR="00BD5820" w:rsidRDefault="00F64314">
            <w:pPr>
              <w:snapToGrid w:val="0"/>
              <w:spacing w:line="240" w:lineRule="atLeast"/>
              <w:ind w:firstLineChars="0" w:firstLine="0"/>
              <w:jc w:val="center"/>
              <w:rPr>
                <w:rFonts w:ascii="Times New Roman" w:cs="Times New Roman"/>
                <w:sz w:val="21"/>
                <w:szCs w:val="21"/>
              </w:rPr>
            </w:pPr>
            <w:r>
              <w:rPr>
                <w:rFonts w:ascii="Times New Roman" w:cs="Times New Roman"/>
                <w:sz w:val="21"/>
                <w:szCs w:val="21"/>
              </w:rPr>
              <w:t>0.027</w:t>
            </w:r>
          </w:p>
        </w:tc>
        <w:tc>
          <w:tcPr>
            <w:tcW w:w="927" w:type="pct"/>
            <w:vAlign w:val="center"/>
          </w:tcPr>
          <w:p w:rsidR="00BD5820" w:rsidRDefault="00F64314">
            <w:pPr>
              <w:snapToGrid w:val="0"/>
              <w:spacing w:line="240" w:lineRule="atLeast"/>
              <w:ind w:firstLineChars="0" w:firstLine="0"/>
              <w:jc w:val="center"/>
              <w:rPr>
                <w:rFonts w:ascii="Times New Roman" w:cs="Times New Roman"/>
                <w:sz w:val="21"/>
                <w:szCs w:val="21"/>
              </w:rPr>
            </w:pPr>
            <w:r>
              <w:rPr>
                <w:rFonts w:ascii="Times New Roman" w:cs="Times New Roman"/>
                <w:sz w:val="21"/>
                <w:szCs w:val="21"/>
              </w:rPr>
              <w:t>2.07×10</w:t>
            </w:r>
            <w:r>
              <w:rPr>
                <w:rFonts w:ascii="Times New Roman" w:cs="Times New Roman"/>
                <w:sz w:val="21"/>
                <w:szCs w:val="21"/>
                <w:vertAlign w:val="superscript"/>
              </w:rPr>
              <w:t>-8</w:t>
            </w:r>
          </w:p>
        </w:tc>
        <w:tc>
          <w:tcPr>
            <w:tcW w:w="436" w:type="pct"/>
            <w:vMerge/>
            <w:vAlign w:val="center"/>
          </w:tcPr>
          <w:p w:rsidR="00BD5820" w:rsidRDefault="00BD5820">
            <w:pPr>
              <w:snapToGrid w:val="0"/>
              <w:spacing w:line="240" w:lineRule="atLeast"/>
              <w:ind w:firstLineChars="0" w:firstLine="0"/>
              <w:jc w:val="center"/>
              <w:rPr>
                <w:rFonts w:ascii="Times New Roman" w:cs="Times New Roman"/>
                <w:sz w:val="21"/>
                <w:szCs w:val="21"/>
              </w:rPr>
            </w:pPr>
          </w:p>
        </w:tc>
        <w:tc>
          <w:tcPr>
            <w:tcW w:w="1071" w:type="pct"/>
            <w:vAlign w:val="center"/>
          </w:tcPr>
          <w:p w:rsidR="00BD5820" w:rsidRDefault="00F64314">
            <w:pPr>
              <w:snapToGrid w:val="0"/>
              <w:spacing w:line="240" w:lineRule="atLeast"/>
              <w:ind w:firstLineChars="0" w:firstLine="0"/>
              <w:jc w:val="center"/>
              <w:rPr>
                <w:rFonts w:ascii="Times New Roman" w:cs="Times New Roman"/>
                <w:sz w:val="21"/>
                <w:szCs w:val="21"/>
              </w:rPr>
            </w:pPr>
            <w:r>
              <w:rPr>
                <w:rFonts w:ascii="Times New Roman" w:cs="Times New Roman"/>
                <w:sz w:val="21"/>
                <w:szCs w:val="21"/>
              </w:rPr>
              <w:t>1.28×10</w:t>
            </w:r>
            <w:r>
              <w:rPr>
                <w:rFonts w:ascii="Times New Roman" w:cs="Times New Roman"/>
                <w:sz w:val="21"/>
                <w:szCs w:val="21"/>
                <w:vertAlign w:val="superscript"/>
              </w:rPr>
              <w:t>-4</w:t>
            </w:r>
          </w:p>
        </w:tc>
      </w:tr>
      <w:tr w:rsidR="00BD5820">
        <w:trPr>
          <w:trHeight w:val="250"/>
          <w:jc w:val="center"/>
        </w:trPr>
        <w:tc>
          <w:tcPr>
            <w:tcW w:w="638" w:type="pct"/>
            <w:vAlign w:val="center"/>
          </w:tcPr>
          <w:p w:rsidR="00BD5820" w:rsidRDefault="00F64314">
            <w:pPr>
              <w:snapToGrid w:val="0"/>
              <w:spacing w:line="240" w:lineRule="atLeast"/>
              <w:ind w:firstLineChars="0" w:firstLine="0"/>
              <w:jc w:val="center"/>
              <w:rPr>
                <w:rFonts w:ascii="Times New Roman" w:cs="Times New Roman"/>
                <w:sz w:val="21"/>
                <w:szCs w:val="21"/>
              </w:rPr>
            </w:pPr>
            <w:r>
              <w:rPr>
                <w:rFonts w:ascii="Times New Roman" w:cs="Times New Roman"/>
                <w:sz w:val="21"/>
                <w:szCs w:val="21"/>
              </w:rPr>
              <w:t>断裂</w:t>
            </w:r>
          </w:p>
        </w:tc>
        <w:tc>
          <w:tcPr>
            <w:tcW w:w="645" w:type="pct"/>
            <w:vAlign w:val="center"/>
          </w:tcPr>
          <w:p w:rsidR="00BD5820" w:rsidRDefault="00F64314">
            <w:pPr>
              <w:snapToGrid w:val="0"/>
              <w:spacing w:line="240" w:lineRule="atLeast"/>
              <w:ind w:firstLineChars="0" w:firstLine="0"/>
              <w:jc w:val="center"/>
              <w:rPr>
                <w:rFonts w:ascii="Times New Roman" w:cs="Times New Roman"/>
                <w:sz w:val="21"/>
                <w:szCs w:val="21"/>
              </w:rPr>
            </w:pPr>
            <w:r>
              <w:rPr>
                <w:rFonts w:ascii="Times New Roman" w:cs="Times New Roman"/>
                <w:sz w:val="21"/>
                <w:szCs w:val="21"/>
              </w:rPr>
              <w:t>0.5</w:t>
            </w:r>
          </w:p>
        </w:tc>
        <w:tc>
          <w:tcPr>
            <w:tcW w:w="787" w:type="pct"/>
            <w:vMerge/>
            <w:vAlign w:val="center"/>
          </w:tcPr>
          <w:p w:rsidR="00BD5820" w:rsidRDefault="00BD5820">
            <w:pPr>
              <w:snapToGrid w:val="0"/>
              <w:spacing w:line="240" w:lineRule="atLeast"/>
              <w:ind w:firstLineChars="0" w:firstLine="0"/>
              <w:jc w:val="center"/>
              <w:rPr>
                <w:rFonts w:ascii="Times New Roman" w:cs="Times New Roman"/>
                <w:sz w:val="21"/>
                <w:szCs w:val="21"/>
              </w:rPr>
            </w:pPr>
          </w:p>
        </w:tc>
        <w:tc>
          <w:tcPr>
            <w:tcW w:w="496" w:type="pct"/>
            <w:vAlign w:val="center"/>
          </w:tcPr>
          <w:p w:rsidR="00BD5820" w:rsidRDefault="00F64314">
            <w:pPr>
              <w:snapToGrid w:val="0"/>
              <w:spacing w:line="240" w:lineRule="atLeast"/>
              <w:ind w:firstLineChars="0" w:firstLine="0"/>
              <w:jc w:val="center"/>
              <w:rPr>
                <w:rFonts w:ascii="Times New Roman" w:cs="Times New Roman"/>
                <w:sz w:val="21"/>
                <w:szCs w:val="21"/>
              </w:rPr>
            </w:pPr>
            <w:r>
              <w:rPr>
                <w:rFonts w:ascii="Times New Roman" w:cs="Times New Roman"/>
                <w:sz w:val="21"/>
                <w:szCs w:val="21"/>
              </w:rPr>
              <w:t>0.049</w:t>
            </w:r>
          </w:p>
        </w:tc>
        <w:tc>
          <w:tcPr>
            <w:tcW w:w="927" w:type="pct"/>
            <w:vAlign w:val="center"/>
          </w:tcPr>
          <w:p w:rsidR="00BD5820" w:rsidRDefault="00F64314">
            <w:pPr>
              <w:snapToGrid w:val="0"/>
              <w:spacing w:line="240" w:lineRule="atLeast"/>
              <w:ind w:firstLineChars="0" w:firstLine="0"/>
              <w:jc w:val="center"/>
              <w:rPr>
                <w:rFonts w:ascii="Times New Roman" w:cs="Times New Roman"/>
                <w:sz w:val="21"/>
                <w:szCs w:val="21"/>
              </w:rPr>
            </w:pPr>
            <w:r>
              <w:rPr>
                <w:rFonts w:ascii="Times New Roman" w:cs="Times New Roman"/>
                <w:sz w:val="21"/>
                <w:szCs w:val="21"/>
              </w:rPr>
              <w:t>4.9×10</w:t>
            </w:r>
            <w:r>
              <w:rPr>
                <w:rFonts w:ascii="Times New Roman" w:cs="Times New Roman"/>
                <w:sz w:val="21"/>
                <w:szCs w:val="21"/>
                <w:vertAlign w:val="superscript"/>
              </w:rPr>
              <w:t>-8</w:t>
            </w:r>
          </w:p>
        </w:tc>
        <w:tc>
          <w:tcPr>
            <w:tcW w:w="436" w:type="pct"/>
            <w:vMerge/>
            <w:vAlign w:val="center"/>
          </w:tcPr>
          <w:p w:rsidR="00BD5820" w:rsidRDefault="00BD5820">
            <w:pPr>
              <w:snapToGrid w:val="0"/>
              <w:spacing w:line="240" w:lineRule="atLeast"/>
              <w:ind w:firstLineChars="0" w:firstLine="0"/>
              <w:jc w:val="center"/>
              <w:rPr>
                <w:rFonts w:ascii="Times New Roman" w:cs="Times New Roman"/>
                <w:sz w:val="21"/>
                <w:szCs w:val="21"/>
              </w:rPr>
            </w:pPr>
          </w:p>
        </w:tc>
        <w:tc>
          <w:tcPr>
            <w:tcW w:w="1071" w:type="pct"/>
            <w:vAlign w:val="center"/>
          </w:tcPr>
          <w:p w:rsidR="00BD5820" w:rsidRDefault="00F64314">
            <w:pPr>
              <w:snapToGrid w:val="0"/>
              <w:spacing w:line="240" w:lineRule="atLeast"/>
              <w:ind w:firstLineChars="0" w:firstLine="0"/>
              <w:jc w:val="center"/>
              <w:rPr>
                <w:rFonts w:ascii="Times New Roman" w:cs="Times New Roman"/>
                <w:sz w:val="21"/>
                <w:szCs w:val="21"/>
              </w:rPr>
            </w:pPr>
            <w:r>
              <w:rPr>
                <w:rFonts w:ascii="Times New Roman" w:cs="Times New Roman"/>
                <w:sz w:val="21"/>
                <w:szCs w:val="21"/>
              </w:rPr>
              <w:t>3.04×10</w:t>
            </w:r>
            <w:r>
              <w:rPr>
                <w:rFonts w:ascii="Times New Roman" w:cs="Times New Roman"/>
                <w:sz w:val="21"/>
                <w:szCs w:val="21"/>
                <w:vertAlign w:val="superscript"/>
              </w:rPr>
              <w:t>-4</w:t>
            </w:r>
          </w:p>
        </w:tc>
      </w:tr>
    </w:tbl>
    <w:p w:rsidR="00BD5820" w:rsidRDefault="00F64314">
      <w:pPr>
        <w:pStyle w:val="affa"/>
        <w:ind w:firstLine="480"/>
      </w:pPr>
      <w:r>
        <w:t>因此，</w:t>
      </w:r>
      <w:r>
        <w:rPr>
          <w:rFonts w:hint="eastAsia"/>
        </w:rPr>
        <w:t>本项目</w:t>
      </w:r>
      <w:r>
        <w:t>天然气管道火灾爆炸事故概率为</w:t>
      </w:r>
      <w:r>
        <w:t>3.04×10</w:t>
      </w:r>
      <w:r>
        <w:rPr>
          <w:vertAlign w:val="superscript"/>
        </w:rPr>
        <w:t>-4</w:t>
      </w:r>
      <w:r>
        <w:t>次</w:t>
      </w:r>
      <w:r>
        <w:t>/a</w:t>
      </w:r>
      <w:r>
        <w:t>，表明此类事故发生概率非常低，但是不为零。</w:t>
      </w:r>
    </w:p>
    <w:p w:rsidR="00BD5820" w:rsidRDefault="00F64314">
      <w:pPr>
        <w:pStyle w:val="affa"/>
        <w:ind w:firstLine="482"/>
        <w:rPr>
          <w:b/>
          <w:bCs/>
        </w:rPr>
      </w:pPr>
      <w:r>
        <w:rPr>
          <w:rFonts w:hint="eastAsia"/>
          <w:b/>
          <w:bCs/>
        </w:rPr>
        <w:t>4</w:t>
      </w:r>
      <w:r>
        <w:rPr>
          <w:b/>
          <w:bCs/>
        </w:rPr>
        <w:t>、</w:t>
      </w:r>
      <w:r>
        <w:rPr>
          <w:rFonts w:hint="eastAsia"/>
          <w:b/>
          <w:bCs/>
        </w:rPr>
        <w:t>润滑油</w:t>
      </w:r>
      <w:r>
        <w:rPr>
          <w:b/>
          <w:bCs/>
        </w:rPr>
        <w:t>泄漏</w:t>
      </w:r>
      <w:r>
        <w:rPr>
          <w:rFonts w:hint="eastAsia"/>
          <w:b/>
          <w:bCs/>
        </w:rPr>
        <w:t>、</w:t>
      </w:r>
      <w:r>
        <w:rPr>
          <w:b/>
          <w:bCs/>
        </w:rPr>
        <w:t>火灾</w:t>
      </w:r>
    </w:p>
    <w:p w:rsidR="00BD5820" w:rsidRDefault="00F64314">
      <w:pPr>
        <w:pStyle w:val="affa"/>
        <w:ind w:firstLine="480"/>
      </w:pPr>
      <w:r>
        <w:rPr>
          <w:rFonts w:hint="eastAsia"/>
        </w:rPr>
        <w:t>润滑油</w:t>
      </w:r>
      <w:r>
        <w:t>在储存过程中，若管理不善或操作失误，以及罐体不佳或腐蚀，导致</w:t>
      </w:r>
      <w:r>
        <w:rPr>
          <w:rFonts w:hint="eastAsia"/>
        </w:rPr>
        <w:t>润滑油</w:t>
      </w:r>
      <w:r>
        <w:t>泄漏</w:t>
      </w:r>
      <w:r>
        <w:rPr>
          <w:rFonts w:hint="eastAsia"/>
        </w:rPr>
        <w:t>、</w:t>
      </w:r>
      <w:r>
        <w:t>火灾，影响大气</w:t>
      </w:r>
      <w:r>
        <w:rPr>
          <w:rFonts w:hint="eastAsia"/>
        </w:rPr>
        <w:t>、</w:t>
      </w:r>
      <w:r>
        <w:t>地表水环境、土壤和地下水环境。</w:t>
      </w:r>
    </w:p>
    <w:p w:rsidR="00BD5820" w:rsidRDefault="00F64314">
      <w:pPr>
        <w:pStyle w:val="affa"/>
        <w:ind w:firstLine="482"/>
        <w:rPr>
          <w:b/>
          <w:bCs/>
        </w:rPr>
      </w:pPr>
      <w:r>
        <w:rPr>
          <w:rFonts w:hint="eastAsia"/>
          <w:b/>
          <w:bCs/>
        </w:rPr>
        <w:t>5</w:t>
      </w:r>
      <w:r>
        <w:rPr>
          <w:b/>
          <w:bCs/>
        </w:rPr>
        <w:t>、</w:t>
      </w:r>
      <w:r>
        <w:rPr>
          <w:rFonts w:hint="eastAsia"/>
          <w:b/>
          <w:bCs/>
        </w:rPr>
        <w:t>气田水</w:t>
      </w:r>
      <w:r>
        <w:rPr>
          <w:b/>
          <w:bCs/>
        </w:rPr>
        <w:t>泄漏</w:t>
      </w:r>
    </w:p>
    <w:p w:rsidR="00BD5820" w:rsidRDefault="00F64314">
      <w:pPr>
        <w:pStyle w:val="affa"/>
        <w:ind w:firstLine="480"/>
      </w:pPr>
      <w:r>
        <w:rPr>
          <w:rFonts w:hint="eastAsia"/>
        </w:rPr>
        <w:t>气田水</w:t>
      </w:r>
      <w:r>
        <w:t>在储存过程中，若管理不善或操作失误，以及罐体不佳或腐蚀，导致</w:t>
      </w:r>
      <w:r>
        <w:rPr>
          <w:rFonts w:hint="eastAsia"/>
        </w:rPr>
        <w:t>气田水</w:t>
      </w:r>
      <w:r>
        <w:t>泄漏，影响地表水环境、土壤和地下水环境。</w:t>
      </w:r>
    </w:p>
    <w:p w:rsidR="00BD5820" w:rsidRDefault="00F64314">
      <w:pPr>
        <w:pStyle w:val="affa"/>
        <w:ind w:firstLine="480"/>
      </w:pPr>
      <w:r>
        <w:rPr>
          <w:rFonts w:hint="eastAsia"/>
        </w:rPr>
        <w:t>综合考虑本项目涉及有毒有害物质中可能发生的事故及产生</w:t>
      </w:r>
      <w:r>
        <w:t>的影响</w:t>
      </w:r>
      <w:r>
        <w:rPr>
          <w:rFonts w:hint="eastAsia"/>
        </w:rPr>
        <w:t>，本次评价确定的最大可信事故主要为：天然气管道泄漏事故。</w:t>
      </w:r>
    </w:p>
    <w:p w:rsidR="00BD5820" w:rsidRDefault="00F64314">
      <w:pPr>
        <w:pStyle w:val="3"/>
        <w:rPr>
          <w:rFonts w:eastAsia="宋体"/>
        </w:rPr>
      </w:pPr>
      <w:r>
        <w:rPr>
          <w:rFonts w:eastAsia="宋体"/>
        </w:rPr>
        <w:t>7.7.</w:t>
      </w:r>
      <w:r>
        <w:rPr>
          <w:rFonts w:eastAsia="宋体" w:hint="eastAsia"/>
        </w:rPr>
        <w:t>3</w:t>
      </w:r>
      <w:r>
        <w:rPr>
          <w:rFonts w:eastAsia="宋体"/>
        </w:rPr>
        <w:t xml:space="preserve"> </w:t>
      </w:r>
      <w:r>
        <w:rPr>
          <w:rFonts w:eastAsia="宋体" w:hint="eastAsia"/>
        </w:rPr>
        <w:t>源</w:t>
      </w:r>
      <w:r>
        <w:rPr>
          <w:rFonts w:eastAsia="宋体"/>
        </w:rPr>
        <w:t>项分析</w:t>
      </w:r>
    </w:p>
    <w:p w:rsidR="00BD5820" w:rsidRDefault="00F64314">
      <w:pPr>
        <w:pStyle w:val="affa"/>
        <w:ind w:firstLine="480"/>
      </w:pPr>
      <w:r>
        <w:t>本项目集气管线输送介质为含硫化氢天然气，主要考虑管道腐蚀或应力作用引起的甲烷泄漏事故，进而进入大气，引起群众缺氧、窒息等，如果遇火星或明火，可能发生火灾爆炸事故。根据类比同类型事故分析，由于各个危险单元前后</w:t>
      </w:r>
      <w:r>
        <w:lastRenderedPageBreak/>
        <w:t>设置了紧急隔离系统，泄漏时间一般为</w:t>
      </w:r>
      <w:r>
        <w:t>10min</w:t>
      </w:r>
      <w:r>
        <w:t>，泄漏量按管道截面</w:t>
      </w:r>
      <w:r>
        <w:t>100%</w:t>
      </w:r>
      <w:r>
        <w:t>断裂进行估算。</w:t>
      </w:r>
      <w:r w:rsidR="00FE37F4" w:rsidRPr="00E450A0">
        <w:t>根据</w:t>
      </w:r>
      <w:r w:rsidR="00FE37F4">
        <w:rPr>
          <w:rFonts w:hint="eastAsia"/>
        </w:rPr>
        <w:t>7</w:t>
      </w:r>
      <w:r w:rsidR="00FE37F4" w:rsidRPr="00E450A0">
        <w:rPr>
          <w:rFonts w:hint="eastAsia"/>
        </w:rPr>
        <w:t>.</w:t>
      </w:r>
      <w:r w:rsidR="00FE37F4">
        <w:rPr>
          <w:rFonts w:hint="eastAsia"/>
        </w:rPr>
        <w:t>4</w:t>
      </w:r>
      <w:r w:rsidR="00FE37F4" w:rsidRPr="00E450A0">
        <w:rPr>
          <w:rFonts w:hint="eastAsia"/>
        </w:rPr>
        <w:t>章节</w:t>
      </w:r>
      <w:r w:rsidR="00FE37F4" w:rsidRPr="00E450A0">
        <w:t>核算</w:t>
      </w:r>
      <w:r w:rsidR="00FE37F4" w:rsidRPr="00E450A0">
        <w:rPr>
          <w:rFonts w:hint="eastAsia"/>
        </w:rPr>
        <w:t>的</w:t>
      </w:r>
      <w:r w:rsidR="00FE37F4" w:rsidRPr="00E450A0">
        <w:t>本项目</w:t>
      </w:r>
      <w:r w:rsidR="00FE37F4" w:rsidRPr="00FE37F4">
        <w:rPr>
          <w:rFonts w:hint="eastAsia"/>
        </w:rPr>
        <w:t>P106-P104-1#</w:t>
      </w:r>
      <w:r w:rsidR="00FE37F4" w:rsidRPr="00FE37F4">
        <w:rPr>
          <w:rFonts w:hint="eastAsia"/>
        </w:rPr>
        <w:t>增压站集输管道</w:t>
      </w:r>
      <w:r w:rsidR="00FE37F4">
        <w:rPr>
          <w:rFonts w:hint="eastAsia"/>
        </w:rPr>
        <w:t>的</w:t>
      </w:r>
      <w:r w:rsidR="00FE37F4" w:rsidRPr="00E450A0">
        <w:t>最大天然气在线量为</w:t>
      </w:r>
      <w:r w:rsidR="00FE37F4" w:rsidRPr="00FE37F4">
        <w:rPr>
          <w:rFonts w:hint="eastAsia"/>
        </w:rPr>
        <w:t>10781.09</w:t>
      </w:r>
      <w:r w:rsidR="00FE37F4" w:rsidRPr="00FE37F4">
        <w:t>kg</w:t>
      </w:r>
      <w:r w:rsidR="00124ABC">
        <w:rPr>
          <w:rFonts w:hint="eastAsia"/>
        </w:rPr>
        <w:t>，</w:t>
      </w:r>
      <w:r w:rsidR="00124ABC" w:rsidRPr="00124ABC">
        <w:t>项目概况</w:t>
      </w:r>
      <w:r w:rsidR="00124ABC" w:rsidRPr="00124ABC">
        <w:t>3.3</w:t>
      </w:r>
      <w:r w:rsidR="00124ABC" w:rsidRPr="00124ABC">
        <w:t>中输送介质情况</w:t>
      </w:r>
      <w:r w:rsidR="00124ABC" w:rsidRPr="00124ABC">
        <w:rPr>
          <w:rFonts w:hint="eastAsia"/>
        </w:rPr>
        <w:t>，</w:t>
      </w:r>
      <w:r w:rsidR="00124ABC" w:rsidRPr="00124ABC">
        <w:t>天然气甲烷含量</w:t>
      </w:r>
      <w:r w:rsidR="00124ABC">
        <w:rPr>
          <w:rFonts w:hint="eastAsia"/>
        </w:rPr>
        <w:t>75.52</w:t>
      </w:r>
      <w:r w:rsidR="00124ABC" w:rsidRPr="00124ABC">
        <w:t>%</w:t>
      </w:r>
      <w:r w:rsidR="00124ABC" w:rsidRPr="00124ABC">
        <w:t>，</w:t>
      </w:r>
      <w:r w:rsidR="00124ABC" w:rsidRPr="00124ABC">
        <w:rPr>
          <w:rFonts w:hint="eastAsia"/>
        </w:rPr>
        <w:t>硫化氢</w:t>
      </w:r>
      <w:r w:rsidR="00124ABC" w:rsidRPr="00124ABC">
        <w:t>含量</w:t>
      </w:r>
      <w:r w:rsidR="00124ABC">
        <w:rPr>
          <w:rFonts w:hint="eastAsia"/>
        </w:rPr>
        <w:t>15.16</w:t>
      </w:r>
      <w:r w:rsidR="00124ABC" w:rsidRPr="00124ABC">
        <w:t>%</w:t>
      </w:r>
      <w:r w:rsidR="00124ABC">
        <w:rPr>
          <w:rFonts w:hint="eastAsia"/>
        </w:rPr>
        <w:t>，</w:t>
      </w:r>
      <w:r w:rsidR="00124ABC" w:rsidRPr="00124ABC">
        <w:rPr>
          <w:rFonts w:hint="eastAsia"/>
          <w:bCs/>
        </w:rPr>
        <w:t>根据企业提供的资料，预计</w:t>
      </w:r>
      <w:r w:rsidR="00124ABC" w:rsidRPr="00FE37F4">
        <w:rPr>
          <w:rFonts w:hint="eastAsia"/>
        </w:rPr>
        <w:t>P106-P104-1#</w:t>
      </w:r>
      <w:r w:rsidR="00124ABC" w:rsidRPr="00FE37F4">
        <w:rPr>
          <w:rFonts w:hint="eastAsia"/>
        </w:rPr>
        <w:t>增压站集输管道</w:t>
      </w:r>
      <w:r w:rsidR="00124ABC">
        <w:rPr>
          <w:rFonts w:hint="eastAsia"/>
        </w:rPr>
        <w:t>泄漏时天然气泄漏速率</w:t>
      </w:r>
      <w:r w:rsidR="00124ABC" w:rsidRPr="00124ABC">
        <w:rPr>
          <w:rFonts w:hint="eastAsia"/>
          <w:bCs/>
        </w:rPr>
        <w:t>为</w:t>
      </w:r>
      <w:r w:rsidR="00046538">
        <w:rPr>
          <w:rFonts w:hint="eastAsia"/>
          <w:bCs/>
        </w:rPr>
        <w:t>17.97kg</w:t>
      </w:r>
      <w:r w:rsidR="00124ABC" w:rsidRPr="00124ABC">
        <w:rPr>
          <w:rFonts w:hint="eastAsia"/>
          <w:bCs/>
        </w:rPr>
        <w:t>/</w:t>
      </w:r>
      <w:r w:rsidR="00124ABC" w:rsidRPr="00124ABC">
        <w:rPr>
          <w:bCs/>
        </w:rPr>
        <w:t>s</w:t>
      </w:r>
      <w:r w:rsidR="00046538">
        <w:rPr>
          <w:rFonts w:hint="eastAsia"/>
          <w:bCs/>
        </w:rPr>
        <w:t>，</w:t>
      </w:r>
      <w:r w:rsidR="00046538" w:rsidRPr="00046538">
        <w:rPr>
          <w:bCs/>
        </w:rPr>
        <w:t>甲烷</w:t>
      </w:r>
      <w:r w:rsidR="00046538">
        <w:rPr>
          <w:rFonts w:hint="eastAsia"/>
        </w:rPr>
        <w:t>泄漏速率</w:t>
      </w:r>
      <w:r w:rsidR="00046538" w:rsidRPr="00124ABC">
        <w:rPr>
          <w:rFonts w:hint="eastAsia"/>
          <w:bCs/>
        </w:rPr>
        <w:t>为</w:t>
      </w:r>
      <w:r w:rsidR="00046538">
        <w:rPr>
          <w:rFonts w:hint="eastAsia"/>
          <w:bCs/>
        </w:rPr>
        <w:t>13.57kg</w:t>
      </w:r>
      <w:r w:rsidR="00046538" w:rsidRPr="00124ABC">
        <w:rPr>
          <w:rFonts w:hint="eastAsia"/>
          <w:bCs/>
        </w:rPr>
        <w:t>/</w:t>
      </w:r>
      <w:r w:rsidR="00046538" w:rsidRPr="00124ABC">
        <w:rPr>
          <w:bCs/>
        </w:rPr>
        <w:t>s</w:t>
      </w:r>
      <w:r w:rsidR="00046538">
        <w:rPr>
          <w:rFonts w:hint="eastAsia"/>
          <w:bCs/>
        </w:rPr>
        <w:t>，</w:t>
      </w:r>
      <w:r w:rsidR="00046538" w:rsidRPr="00124ABC">
        <w:rPr>
          <w:rFonts w:hint="eastAsia"/>
        </w:rPr>
        <w:t>硫化氢</w:t>
      </w:r>
      <w:r w:rsidR="00046538">
        <w:rPr>
          <w:rFonts w:hint="eastAsia"/>
        </w:rPr>
        <w:t>泄漏速率</w:t>
      </w:r>
      <w:r w:rsidR="00046538" w:rsidRPr="00124ABC">
        <w:rPr>
          <w:rFonts w:hint="eastAsia"/>
          <w:bCs/>
        </w:rPr>
        <w:t>为</w:t>
      </w:r>
      <w:r w:rsidR="00046538">
        <w:rPr>
          <w:rFonts w:hint="eastAsia"/>
          <w:bCs/>
        </w:rPr>
        <w:t>2.72kg</w:t>
      </w:r>
      <w:r w:rsidR="00046538" w:rsidRPr="00124ABC">
        <w:rPr>
          <w:rFonts w:hint="eastAsia"/>
          <w:bCs/>
        </w:rPr>
        <w:t>/</w:t>
      </w:r>
      <w:r w:rsidR="00046538" w:rsidRPr="00124ABC">
        <w:rPr>
          <w:bCs/>
        </w:rPr>
        <w:t>s</w:t>
      </w:r>
      <w:r w:rsidR="00046538">
        <w:rPr>
          <w:rFonts w:hint="eastAsia"/>
          <w:bCs/>
        </w:rPr>
        <w:t>。</w:t>
      </w:r>
    </w:p>
    <w:p w:rsidR="00BD5820" w:rsidRDefault="00F64314">
      <w:pPr>
        <w:pStyle w:val="2"/>
        <w:spacing w:before="120"/>
        <w:rPr>
          <w:rFonts w:cs="Times New Roman"/>
        </w:rPr>
      </w:pPr>
      <w:bookmarkStart w:id="456" w:name="bookmark63"/>
      <w:bookmarkStart w:id="457" w:name="_Toc12288741"/>
      <w:bookmarkStart w:id="458" w:name="_Toc19816110"/>
      <w:bookmarkStart w:id="459" w:name="_Toc6272"/>
      <w:bookmarkEnd w:id="456"/>
      <w:r>
        <w:rPr>
          <w:rFonts w:cs="Times New Roman"/>
        </w:rPr>
        <w:t>7.8</w:t>
      </w:r>
      <w:bookmarkEnd w:id="457"/>
      <w:bookmarkEnd w:id="458"/>
      <w:r>
        <w:rPr>
          <w:rFonts w:cs="Times New Roman"/>
        </w:rPr>
        <w:t xml:space="preserve"> </w:t>
      </w:r>
      <w:r>
        <w:rPr>
          <w:rFonts w:cs="Times New Roman"/>
        </w:rPr>
        <w:t>环境风险分析</w:t>
      </w:r>
      <w:bookmarkEnd w:id="459"/>
    </w:p>
    <w:p w:rsidR="00BD5820" w:rsidRDefault="00F64314">
      <w:pPr>
        <w:pStyle w:val="3"/>
        <w:rPr>
          <w:rFonts w:eastAsia="宋体"/>
        </w:rPr>
      </w:pPr>
      <w:bookmarkStart w:id="460" w:name="_Toc12288742"/>
      <w:bookmarkStart w:id="461" w:name="_Toc19816111"/>
      <w:r>
        <w:rPr>
          <w:rFonts w:eastAsia="宋体"/>
        </w:rPr>
        <w:t>7.8.1</w:t>
      </w:r>
      <w:bookmarkEnd w:id="460"/>
      <w:bookmarkEnd w:id="461"/>
      <w:r>
        <w:rPr>
          <w:rFonts w:eastAsia="宋体"/>
        </w:rPr>
        <w:t xml:space="preserve"> </w:t>
      </w:r>
      <w:r>
        <w:rPr>
          <w:rFonts w:eastAsia="宋体" w:hint="eastAsia"/>
        </w:rPr>
        <w:t>压缩站泄漏后果分析</w:t>
      </w:r>
    </w:p>
    <w:p w:rsidR="00BD5820" w:rsidRDefault="00F64314">
      <w:pPr>
        <w:pStyle w:val="affa"/>
        <w:ind w:firstLine="480"/>
      </w:pPr>
      <w:r>
        <w:t>本项目</w:t>
      </w:r>
      <w:r>
        <w:rPr>
          <w:rFonts w:hint="eastAsia"/>
        </w:rPr>
        <w:t>增压站泄漏</w:t>
      </w:r>
      <w:r>
        <w:t>事故</w:t>
      </w:r>
      <w:r>
        <w:rPr>
          <w:rFonts w:hint="eastAsia"/>
        </w:rPr>
        <w:t>主要考虑天然气增压机密封方式如果不对造成密封故障问题，会造成天然气的泄漏或</w:t>
      </w:r>
      <w:r>
        <w:t>阀门密封不好导致</w:t>
      </w:r>
      <w:r>
        <w:rPr>
          <w:rFonts w:hint="eastAsia"/>
        </w:rPr>
        <w:t>天然气的泄漏</w:t>
      </w:r>
      <w:r>
        <w:t>，进而进入大气，引起群众缺氧、窒息等，如果遇火星或明火，可能发生火灾爆炸事故。根据类比同类型事故分析，由于各个危险单元前后设置了紧急隔离系统，泄漏时间一般为</w:t>
      </w:r>
      <w:r>
        <w:t>10</w:t>
      </w:r>
      <w:r w:rsidR="00046538">
        <w:rPr>
          <w:rFonts w:hint="eastAsia"/>
        </w:rPr>
        <w:t>s</w:t>
      </w:r>
      <w:r w:rsidR="00046538">
        <w:rPr>
          <w:rFonts w:hint="eastAsia"/>
        </w:rPr>
        <w:t>后即可得到控制</w:t>
      </w:r>
      <w:r>
        <w:t>。</w:t>
      </w:r>
    </w:p>
    <w:p w:rsidR="00BD5820" w:rsidRDefault="00F64314">
      <w:pPr>
        <w:pStyle w:val="affa"/>
        <w:ind w:firstLine="480"/>
      </w:pPr>
      <w:r>
        <w:t>天然气泄漏后，发生事故的情况共分为</w:t>
      </w:r>
      <w:r>
        <w:t>3</w:t>
      </w:r>
      <w:r>
        <w:t>种类型，主要有泄漏后，在泄漏口立即燃烧，形成喷射火焰；泄漏后推迟燃烧，形成闪烁火焰或爆炸；泄漏后不立即燃烧也不推迟燃烧，形成环境污染。</w:t>
      </w:r>
    </w:p>
    <w:p w:rsidR="00BD5820" w:rsidRDefault="00F64314">
      <w:pPr>
        <w:pStyle w:val="affa"/>
        <w:ind w:firstLine="482"/>
        <w:rPr>
          <w:b/>
          <w:bCs/>
        </w:rPr>
      </w:pPr>
      <w:r>
        <w:rPr>
          <w:b/>
          <w:bCs/>
        </w:rPr>
        <w:t>1</w:t>
      </w:r>
      <w:r>
        <w:rPr>
          <w:b/>
          <w:bCs/>
        </w:rPr>
        <w:t>、</w:t>
      </w:r>
      <w:r>
        <w:rPr>
          <w:rFonts w:hint="eastAsia"/>
          <w:b/>
          <w:bCs/>
        </w:rPr>
        <w:t>压缩站</w:t>
      </w:r>
      <w:r>
        <w:rPr>
          <w:b/>
          <w:bCs/>
        </w:rPr>
        <w:t>泄漏天然气对人群健康危害影响</w:t>
      </w:r>
    </w:p>
    <w:p w:rsidR="00BD5820" w:rsidRDefault="00F64314">
      <w:pPr>
        <w:ind w:firstLine="480"/>
        <w:rPr>
          <w:rFonts w:ascii="Times New Roman" w:cs="Times New Roman"/>
        </w:rPr>
      </w:pPr>
      <w:r>
        <w:rPr>
          <w:rFonts w:ascii="Times New Roman" w:cs="Times New Roman"/>
        </w:rPr>
        <w:t>本项目</w:t>
      </w:r>
      <w:r>
        <w:rPr>
          <w:rFonts w:ascii="Times New Roman" w:cs="Times New Roman" w:hint="eastAsia"/>
        </w:rPr>
        <w:t>压缩站若发生天然气泄漏，</w:t>
      </w:r>
      <w:r>
        <w:rPr>
          <w:rFonts w:ascii="Times New Roman" w:cs="Times New Roman"/>
        </w:rPr>
        <w:t>天然气为含硫天然气，一经泄漏，会引发硫化氢中毒风险。</w:t>
      </w:r>
    </w:p>
    <w:p w:rsidR="00BD5820" w:rsidRDefault="00F64314">
      <w:pPr>
        <w:pStyle w:val="affa"/>
        <w:ind w:firstLine="480"/>
      </w:pPr>
      <w:r>
        <w:t>天然气一旦泄漏，则会出现两种情况：泄漏的含硫天然气立即被点火燃烧排放，对环境空气的影响主要是</w:t>
      </w:r>
      <w:r>
        <w:t>SO</w:t>
      </w:r>
      <w:r>
        <w:rPr>
          <w:vertAlign w:val="subscript"/>
        </w:rPr>
        <w:t>2</w:t>
      </w:r>
      <w:r>
        <w:t>；释放的含硫天然气未能立即点火，大量</w:t>
      </w:r>
      <w:r>
        <w:t>H</w:t>
      </w:r>
      <w:r>
        <w:rPr>
          <w:vertAlign w:val="subscript"/>
        </w:rPr>
        <w:t>2</w:t>
      </w:r>
      <w:r>
        <w:t>S</w:t>
      </w:r>
      <w:r>
        <w:t>释放到空气中，将造成严重的人员中毒伤亡并对周围环境造成严重的污染，由于泄漏量较小，且当地大气扩散条件好，不会对周边居民造成影响。</w:t>
      </w:r>
    </w:p>
    <w:p w:rsidR="00BD5820" w:rsidRDefault="00F64314">
      <w:pPr>
        <w:pStyle w:val="affa"/>
        <w:ind w:firstLine="480"/>
      </w:pPr>
      <w:r>
        <w:t>甲烷的密度比空气的一半还小，稀释扩散很快，随着距泄漏点距离的增加，甲烷测试浓度下降非常快，一个泄漏点泄漏的甲烷对环境、人和动物的影响是局部影响。</w:t>
      </w:r>
    </w:p>
    <w:p w:rsidR="00BD5820" w:rsidRDefault="00F64314">
      <w:pPr>
        <w:pStyle w:val="affa"/>
        <w:ind w:firstLine="480"/>
      </w:pPr>
      <w:r>
        <w:t>为防止硫化氢和可燃气体泄漏引发事故，站内需设置固定式硫化氢气体泄漏检测报警系统，对站场天然气泄漏进行检测及报警。固定式硫化氢气体检测报警系统由现场探测器、控制器及配套报警喇叭等设备组成。</w:t>
      </w:r>
      <w:r>
        <w:rPr>
          <w:rFonts w:hint="eastAsia"/>
        </w:rPr>
        <w:t>本项目站场</w:t>
      </w:r>
      <w:r>
        <w:t>数据上传至</w:t>
      </w:r>
      <w:r>
        <w:lastRenderedPageBreak/>
        <w:t>中国石油化工股份有限公司中原油田普光分公司调控中心，工作人员应根据报警值采取相应处理措施。同时在站内设置便携式硫化氢气体检测报警仪，对天然气泄漏进行定期巡检。一旦发生气体泄漏，可及时发现并进行处理。</w:t>
      </w:r>
    </w:p>
    <w:p w:rsidR="00BD5820" w:rsidRDefault="00F64314">
      <w:pPr>
        <w:pStyle w:val="affa"/>
        <w:ind w:firstLine="480"/>
      </w:pPr>
      <w:r>
        <w:t>为了减小对周围居民的影响，在对群众进行宣传的过程中，应告知：在闻到臭鸡蛋气味时，应迅速转移至远离事故泄漏点的地方并及时报告。</w:t>
      </w:r>
    </w:p>
    <w:p w:rsidR="00BD5820" w:rsidRDefault="00F64314">
      <w:pPr>
        <w:pStyle w:val="affa"/>
        <w:ind w:firstLine="482"/>
        <w:rPr>
          <w:b/>
          <w:bCs/>
        </w:rPr>
      </w:pPr>
      <w:r>
        <w:rPr>
          <w:b/>
          <w:bCs/>
        </w:rPr>
        <w:t>2</w:t>
      </w:r>
      <w:r>
        <w:rPr>
          <w:b/>
          <w:bCs/>
        </w:rPr>
        <w:t>、火灾或爆炸事故次生污染物对环境的影响</w:t>
      </w:r>
    </w:p>
    <w:p w:rsidR="00BD5820" w:rsidRDefault="00F64314">
      <w:pPr>
        <w:pStyle w:val="affa"/>
        <w:ind w:firstLine="480"/>
      </w:pPr>
      <w:r>
        <w:t>在事故状态下，若发生火灾或爆炸事故，天然气燃烧生成的主要产物为</w:t>
      </w:r>
      <w:r>
        <w:t>CO</w:t>
      </w:r>
      <w:r>
        <w:rPr>
          <w:vertAlign w:val="subscript"/>
        </w:rPr>
        <w:t>2</w:t>
      </w:r>
      <w:r>
        <w:t>、</w:t>
      </w:r>
      <w:r>
        <w:t>H</w:t>
      </w:r>
      <w:r>
        <w:rPr>
          <w:vertAlign w:val="subscript"/>
        </w:rPr>
        <w:t>2</w:t>
      </w:r>
      <w:r>
        <w:t>O</w:t>
      </w:r>
      <w:r>
        <w:t>和</w:t>
      </w:r>
      <w:r>
        <w:t>SO</w:t>
      </w:r>
      <w:r>
        <w:rPr>
          <w:vertAlign w:val="subscript"/>
        </w:rPr>
        <w:t>2</w:t>
      </w:r>
      <w:r>
        <w:t>，仅在事故刚发生时有少量甲烷、硫化氢等释放，且很快就能扩散，不会长期影响空气质量。</w:t>
      </w:r>
    </w:p>
    <w:p w:rsidR="00BD5820" w:rsidRDefault="00F64314">
      <w:pPr>
        <w:pStyle w:val="affa"/>
        <w:ind w:firstLine="480"/>
      </w:pPr>
      <w:r>
        <w:t>事故时天然气燃烧主要采用二氧化碳或干粉灭火器等进行灭火。若引发大面积火灾时会产生一定的消防水，但该类消防水不含有有毒有害物质，对项目拟建地周围环境不会造成较大污染。</w:t>
      </w:r>
    </w:p>
    <w:p w:rsidR="00BD5820" w:rsidRDefault="00F64314">
      <w:pPr>
        <w:pStyle w:val="affa"/>
        <w:ind w:firstLine="482"/>
        <w:rPr>
          <w:b/>
          <w:bCs/>
        </w:rPr>
      </w:pPr>
      <w:r>
        <w:rPr>
          <w:b/>
          <w:bCs/>
        </w:rPr>
        <w:t>3</w:t>
      </w:r>
      <w:r>
        <w:rPr>
          <w:b/>
          <w:bCs/>
        </w:rPr>
        <w:t>、事故燃烧生成</w:t>
      </w:r>
      <w:r>
        <w:rPr>
          <w:b/>
          <w:bCs/>
        </w:rPr>
        <w:t>CO</w:t>
      </w:r>
      <w:r>
        <w:rPr>
          <w:b/>
          <w:bCs/>
        </w:rPr>
        <w:t>、</w:t>
      </w:r>
      <w:r>
        <w:rPr>
          <w:b/>
          <w:bCs/>
        </w:rPr>
        <w:t>NO</w:t>
      </w:r>
      <w:r>
        <w:rPr>
          <w:b/>
          <w:bCs/>
          <w:vertAlign w:val="subscript"/>
        </w:rPr>
        <w:t>2</w:t>
      </w:r>
      <w:r>
        <w:rPr>
          <w:b/>
          <w:bCs/>
        </w:rPr>
        <w:t>、</w:t>
      </w:r>
      <w:r>
        <w:rPr>
          <w:b/>
          <w:bCs/>
        </w:rPr>
        <w:t>SO</w:t>
      </w:r>
      <w:r>
        <w:rPr>
          <w:b/>
          <w:bCs/>
          <w:vertAlign w:val="subscript"/>
        </w:rPr>
        <w:t>2</w:t>
      </w:r>
      <w:r>
        <w:rPr>
          <w:b/>
          <w:bCs/>
        </w:rPr>
        <w:t>对环境的影响</w:t>
      </w:r>
    </w:p>
    <w:p w:rsidR="00BD5820" w:rsidRDefault="00F64314">
      <w:pPr>
        <w:pStyle w:val="affa"/>
        <w:ind w:firstLine="480"/>
      </w:pPr>
      <w:r>
        <w:t>项目天然气主要成分为甲烷</w:t>
      </w:r>
      <w:r w:rsidR="00504D4A">
        <w:rPr>
          <w:rFonts w:hint="eastAsia"/>
        </w:rPr>
        <w:t>、</w:t>
      </w:r>
      <w:r w:rsidR="00504D4A">
        <w:t>硫化氢</w:t>
      </w:r>
      <w:r>
        <w:t>，天然气燃烧将伴生</w:t>
      </w:r>
      <w:r>
        <w:t>CO</w:t>
      </w:r>
      <w:r>
        <w:t>、</w:t>
      </w:r>
      <w:r>
        <w:t>NO</w:t>
      </w:r>
      <w:r>
        <w:rPr>
          <w:vertAlign w:val="subscript"/>
        </w:rPr>
        <w:t>2</w:t>
      </w:r>
      <w:r>
        <w:rPr>
          <w:vertAlign w:val="subscript"/>
        </w:rPr>
        <w:t>、</w:t>
      </w:r>
      <w:r>
        <w:t>SO</w:t>
      </w:r>
      <w:r>
        <w:rPr>
          <w:vertAlign w:val="subscript"/>
        </w:rPr>
        <w:t>2</w:t>
      </w:r>
      <w:r>
        <w:t>等污染物，将对周围环境空气产生影响。</w:t>
      </w:r>
    </w:p>
    <w:p w:rsidR="00BD5820" w:rsidRDefault="00F64314">
      <w:pPr>
        <w:pStyle w:val="affa"/>
        <w:ind w:firstLine="480"/>
      </w:pPr>
      <w:r>
        <w:t>CO</w:t>
      </w:r>
      <w:r>
        <w:t>可能会使周围含氧量降低，导致植物光合作用效率降低，影响动植物生长，甚至死亡。但这种影响是可逆的，事故得到控制后能够恢复生产。同时项目区域无自然保护区、风景区等敏感生态区域，为农业生态环境，事故对生态环境的影响是可恢复的。</w:t>
      </w:r>
    </w:p>
    <w:p w:rsidR="00BD5820" w:rsidRDefault="00F64314">
      <w:pPr>
        <w:pStyle w:val="affa"/>
        <w:ind w:firstLine="480"/>
      </w:pPr>
      <w:r>
        <w:t>就农业生态环境而言，事故发生后对生态环境的影响是可恢复的。事故发生后的区域农作物及植被不会出现大范围的影响，主要在事故附近区域出现植被受损，事故后生态环境基本能恢复到原来的状态。</w:t>
      </w:r>
    </w:p>
    <w:p w:rsidR="00BD5820" w:rsidRDefault="00F64314">
      <w:pPr>
        <w:pStyle w:val="afffffff6"/>
        <w:ind w:firstLine="480"/>
      </w:pPr>
      <w:r>
        <w:t>项目在天然气泄漏事故发生时（如管道穿孔、管道断裂），井站内部截断阀自动关闭，管道内天然气通过点火火炬放空。项目风险可控，对环境空气影响较小</w:t>
      </w:r>
      <w:r>
        <w:rPr>
          <w:sz w:val="23"/>
          <w:szCs w:val="23"/>
        </w:rPr>
        <w:t>。</w:t>
      </w:r>
    </w:p>
    <w:p w:rsidR="00BD5820" w:rsidRDefault="00F64314">
      <w:pPr>
        <w:pStyle w:val="3"/>
        <w:rPr>
          <w:rFonts w:eastAsia="宋体"/>
        </w:rPr>
      </w:pPr>
      <w:r>
        <w:rPr>
          <w:rFonts w:eastAsia="宋体"/>
        </w:rPr>
        <w:t xml:space="preserve">7.8.2 </w:t>
      </w:r>
      <w:r>
        <w:rPr>
          <w:rFonts w:eastAsia="宋体"/>
        </w:rPr>
        <w:t>天然气管道泄漏后果分析</w:t>
      </w:r>
    </w:p>
    <w:p w:rsidR="00FE55B9" w:rsidRDefault="00FE55B9" w:rsidP="00FE55B9">
      <w:pPr>
        <w:ind w:firstLine="482"/>
        <w:rPr>
          <w:rFonts w:ascii="Times New Roman" w:cs="Times New Roman"/>
          <w:b/>
          <w:bCs/>
        </w:rPr>
      </w:pPr>
      <w:r>
        <w:rPr>
          <w:rFonts w:ascii="Times New Roman" w:cs="Times New Roman"/>
          <w:b/>
          <w:bCs/>
        </w:rPr>
        <w:t>（</w:t>
      </w:r>
      <w:r>
        <w:rPr>
          <w:rFonts w:ascii="Times New Roman" w:cs="Times New Roman"/>
          <w:b/>
          <w:bCs/>
        </w:rPr>
        <w:t>1</w:t>
      </w:r>
      <w:r>
        <w:rPr>
          <w:rFonts w:ascii="Times New Roman" w:cs="Times New Roman"/>
          <w:b/>
          <w:bCs/>
        </w:rPr>
        <w:t>）预测模型选取</w:t>
      </w:r>
    </w:p>
    <w:p w:rsidR="00FE55B9" w:rsidRDefault="00FE55B9" w:rsidP="00FE55B9">
      <w:pPr>
        <w:ind w:firstLine="480"/>
        <w:rPr>
          <w:rFonts w:ascii="Times New Roman" w:cs="Times New Roman"/>
        </w:rPr>
      </w:pPr>
      <w:r>
        <w:rPr>
          <w:rFonts w:asciiTheme="minorEastAsia" w:eastAsiaTheme="minorEastAsia" w:hAnsiTheme="minorEastAsia" w:cs="Times New Roman"/>
        </w:rPr>
        <w:t>①</w:t>
      </w:r>
      <w:r>
        <w:rPr>
          <w:rFonts w:ascii="Times New Roman" w:cs="Times New Roman"/>
        </w:rPr>
        <w:t>泄漏气体排放方式判定</w:t>
      </w:r>
    </w:p>
    <w:p w:rsidR="00FE55B9" w:rsidRDefault="00FE55B9" w:rsidP="00FE55B9">
      <w:pPr>
        <w:ind w:firstLine="480"/>
        <w:rPr>
          <w:rFonts w:ascii="Times New Roman" w:cs="Times New Roman"/>
        </w:rPr>
      </w:pPr>
      <w:r>
        <w:rPr>
          <w:rFonts w:ascii="Times New Roman" w:cs="Times New Roman"/>
        </w:rPr>
        <w:t>根据《建设项目环境风险评价技术导则》（</w:t>
      </w:r>
      <w:r>
        <w:rPr>
          <w:rFonts w:ascii="Times New Roman" w:cs="Times New Roman"/>
        </w:rPr>
        <w:t>HJ169-2018</w:t>
      </w:r>
      <w:r>
        <w:rPr>
          <w:rFonts w:ascii="Times New Roman" w:cs="Times New Roman"/>
        </w:rPr>
        <w:t>），判定连续排放还</w:t>
      </w:r>
      <w:r>
        <w:rPr>
          <w:rFonts w:ascii="Times New Roman" w:cs="Times New Roman"/>
        </w:rPr>
        <w:lastRenderedPageBreak/>
        <w:t>是瞬时排放，可以通过排放时间</w:t>
      </w:r>
      <w:r>
        <w:rPr>
          <w:rFonts w:ascii="Times New Roman" w:cs="Times New Roman"/>
        </w:rPr>
        <w:t>Td</w:t>
      </w:r>
      <w:r>
        <w:rPr>
          <w:rFonts w:ascii="Times New Roman" w:cs="Times New Roman"/>
        </w:rPr>
        <w:t>和污染物到达最近的受体点（网格点或敏感点）的时间</w:t>
      </w:r>
      <w:r>
        <w:rPr>
          <w:rFonts w:ascii="Times New Roman" w:cs="Times New Roman"/>
        </w:rPr>
        <w:t>T</w:t>
      </w:r>
      <w:r>
        <w:rPr>
          <w:rFonts w:ascii="Times New Roman" w:cs="Times New Roman"/>
        </w:rPr>
        <w:t>确定。</w:t>
      </w:r>
    </w:p>
    <w:p w:rsidR="00FE55B9" w:rsidRDefault="00FE55B9" w:rsidP="00FE55B9">
      <w:pPr>
        <w:tabs>
          <w:tab w:val="left" w:pos="5925"/>
        </w:tabs>
        <w:overflowPunct w:val="0"/>
        <w:autoSpaceDE w:val="0"/>
        <w:ind w:firstLine="480"/>
        <w:jc w:val="center"/>
        <w:rPr>
          <w:rFonts w:ascii="Times New Roman" w:cs="Times New Roman"/>
        </w:rPr>
      </w:pPr>
      <w:r>
        <w:rPr>
          <w:rFonts w:ascii="Times New Roman" w:cs="Times New Roman"/>
        </w:rPr>
        <w:t>T=2X/U</w:t>
      </w:r>
    </w:p>
    <w:p w:rsidR="00FE55B9" w:rsidRDefault="00FE55B9" w:rsidP="00FE55B9">
      <w:pPr>
        <w:tabs>
          <w:tab w:val="left" w:pos="5925"/>
        </w:tabs>
        <w:overflowPunct w:val="0"/>
        <w:autoSpaceDE w:val="0"/>
        <w:ind w:firstLine="480"/>
        <w:rPr>
          <w:rFonts w:ascii="Times New Roman" w:cs="Times New Roman"/>
        </w:rPr>
      </w:pPr>
      <w:r>
        <w:rPr>
          <w:rFonts w:ascii="Times New Roman" w:cs="Times New Roman"/>
        </w:rPr>
        <w:t>式中：</w:t>
      </w:r>
      <w:r>
        <w:rPr>
          <w:rFonts w:ascii="Times New Roman" w:cs="Times New Roman"/>
        </w:rPr>
        <w:t>X—</w:t>
      </w:r>
      <w:r>
        <w:rPr>
          <w:rFonts w:ascii="Times New Roman" w:cs="Times New Roman"/>
        </w:rPr>
        <w:t>事故发生地与计算点的距离，本次天然气取泄漏发生地到网格点的距离</w:t>
      </w:r>
      <w:r>
        <w:rPr>
          <w:rFonts w:ascii="Times New Roman" w:cs="Times New Roman"/>
        </w:rPr>
        <w:t>100m</w:t>
      </w:r>
      <w:r>
        <w:rPr>
          <w:rFonts w:ascii="Times New Roman" w:cs="Times New Roman"/>
        </w:rPr>
        <w:t>；</w:t>
      </w:r>
    </w:p>
    <w:p w:rsidR="00FE55B9" w:rsidRDefault="00FE55B9" w:rsidP="00FE55B9">
      <w:pPr>
        <w:tabs>
          <w:tab w:val="left" w:pos="5925"/>
        </w:tabs>
        <w:overflowPunct w:val="0"/>
        <w:autoSpaceDE w:val="0"/>
        <w:ind w:firstLine="480"/>
        <w:rPr>
          <w:rFonts w:ascii="Times New Roman" w:cs="Times New Roman"/>
        </w:rPr>
      </w:pPr>
      <w:r>
        <w:rPr>
          <w:rFonts w:ascii="Times New Roman" w:cs="Times New Roman"/>
        </w:rPr>
        <w:t>Ur—10m</w:t>
      </w:r>
      <w:r>
        <w:rPr>
          <w:rFonts w:ascii="Times New Roman" w:cs="Times New Roman"/>
        </w:rPr>
        <w:t>高处风速。假设风速和风向在</w:t>
      </w:r>
      <w:r>
        <w:rPr>
          <w:rFonts w:ascii="Times New Roman" w:cs="Times New Roman"/>
        </w:rPr>
        <w:t>T</w:t>
      </w:r>
      <w:r>
        <w:rPr>
          <w:rFonts w:ascii="Times New Roman" w:cs="Times New Roman"/>
        </w:rPr>
        <w:t>时段内保持不变。本次取风速为</w:t>
      </w:r>
      <w:r>
        <w:rPr>
          <w:rFonts w:ascii="Times New Roman" w:cs="Times New Roman"/>
        </w:rPr>
        <w:t>1.5m/s</w:t>
      </w:r>
      <w:r>
        <w:rPr>
          <w:rFonts w:ascii="Times New Roman" w:cs="Times New Roman"/>
        </w:rPr>
        <w:t>。</w:t>
      </w:r>
    </w:p>
    <w:p w:rsidR="00FE55B9" w:rsidRDefault="00FE55B9" w:rsidP="00FE55B9">
      <w:pPr>
        <w:tabs>
          <w:tab w:val="left" w:pos="5925"/>
        </w:tabs>
        <w:overflowPunct w:val="0"/>
        <w:autoSpaceDE w:val="0"/>
        <w:ind w:firstLine="480"/>
        <w:rPr>
          <w:rFonts w:ascii="Times New Roman" w:cs="Times New Roman"/>
        </w:rPr>
      </w:pPr>
      <w:r>
        <w:rPr>
          <w:rFonts w:ascii="Times New Roman" w:cs="Times New Roman"/>
        </w:rPr>
        <w:t>当</w:t>
      </w:r>
      <w:r>
        <w:rPr>
          <w:rFonts w:ascii="Times New Roman" w:cs="Times New Roman"/>
        </w:rPr>
        <w:t>Td</w:t>
      </w:r>
      <w:r>
        <w:rPr>
          <w:rFonts w:ascii="Times New Roman" w:cs="Times New Roman"/>
        </w:rPr>
        <w:t>＞</w:t>
      </w:r>
      <w:r>
        <w:rPr>
          <w:rFonts w:ascii="Times New Roman" w:cs="Times New Roman"/>
        </w:rPr>
        <w:t>T</w:t>
      </w:r>
      <w:r>
        <w:rPr>
          <w:rFonts w:ascii="Times New Roman" w:cs="Times New Roman"/>
        </w:rPr>
        <w:t>时，可被认为是连续排放的；当</w:t>
      </w:r>
      <w:r>
        <w:rPr>
          <w:rFonts w:ascii="Times New Roman" w:cs="Times New Roman"/>
        </w:rPr>
        <w:t>Td≤T</w:t>
      </w:r>
      <w:r>
        <w:rPr>
          <w:rFonts w:ascii="Times New Roman" w:cs="Times New Roman"/>
        </w:rPr>
        <w:t>时，可被认为是瞬时排放的。</w:t>
      </w:r>
    </w:p>
    <w:p w:rsidR="00FE55B9" w:rsidRDefault="00FE55B9" w:rsidP="00FE55B9">
      <w:pPr>
        <w:tabs>
          <w:tab w:val="left" w:pos="5925"/>
        </w:tabs>
        <w:overflowPunct w:val="0"/>
        <w:autoSpaceDE w:val="0"/>
        <w:ind w:firstLine="480"/>
        <w:rPr>
          <w:rFonts w:ascii="Times New Roman" w:cs="Times New Roman"/>
        </w:rPr>
      </w:pPr>
      <w:r>
        <w:rPr>
          <w:rFonts w:ascii="Times New Roman" w:cs="Times New Roman"/>
        </w:rPr>
        <w:t>通过计算得出</w:t>
      </w:r>
      <w:r>
        <w:rPr>
          <w:rFonts w:ascii="Times New Roman" w:cs="Times New Roman"/>
        </w:rPr>
        <w:t>T=133.3s</w:t>
      </w:r>
      <w:r>
        <w:rPr>
          <w:rFonts w:ascii="Times New Roman" w:cs="Times New Roman"/>
        </w:rPr>
        <w:t>。</w:t>
      </w:r>
    </w:p>
    <w:p w:rsidR="00FE55B9" w:rsidRDefault="00FE55B9" w:rsidP="00FE55B9">
      <w:pPr>
        <w:tabs>
          <w:tab w:val="left" w:pos="5925"/>
        </w:tabs>
        <w:overflowPunct w:val="0"/>
        <w:autoSpaceDE w:val="0"/>
        <w:ind w:firstLine="480"/>
        <w:rPr>
          <w:rFonts w:ascii="Times New Roman" w:cs="Times New Roman"/>
        </w:rPr>
      </w:pPr>
      <w:r>
        <w:rPr>
          <w:rFonts w:ascii="Times New Roman" w:cs="Times New Roman"/>
        </w:rPr>
        <w:t>而本次评价确定天然气取泄漏事故排放时间为</w:t>
      </w:r>
      <w:r>
        <w:rPr>
          <w:rFonts w:ascii="Times New Roman" w:cs="Times New Roman" w:hint="eastAsia"/>
        </w:rPr>
        <w:t>600</w:t>
      </w:r>
      <w:r>
        <w:rPr>
          <w:rFonts w:ascii="Times New Roman" w:cs="Times New Roman"/>
        </w:rPr>
        <w:t>s</w:t>
      </w:r>
      <w:r>
        <w:rPr>
          <w:rFonts w:ascii="Times New Roman" w:cs="Times New Roman"/>
        </w:rPr>
        <w:t>，因此，</w:t>
      </w:r>
      <w:r>
        <w:rPr>
          <w:rFonts w:ascii="Times New Roman" w:cs="Times New Roman"/>
        </w:rPr>
        <w:t>Td</w:t>
      </w:r>
      <w:r>
        <w:rPr>
          <w:rFonts w:ascii="Times New Roman" w:cs="Times New Roman"/>
        </w:rPr>
        <w:t>＞</w:t>
      </w:r>
      <w:r>
        <w:rPr>
          <w:rFonts w:ascii="Times New Roman" w:cs="Times New Roman"/>
        </w:rPr>
        <w:t>T</w:t>
      </w:r>
      <w:r>
        <w:rPr>
          <w:rFonts w:ascii="Times New Roman" w:cs="Times New Roman"/>
        </w:rPr>
        <w:t>，为</w:t>
      </w:r>
      <w:r>
        <w:rPr>
          <w:rFonts w:ascii="Times New Roman" w:cs="Times New Roman" w:hint="eastAsia"/>
        </w:rPr>
        <w:t>连续</w:t>
      </w:r>
      <w:r>
        <w:rPr>
          <w:rFonts w:ascii="Times New Roman" w:cs="Times New Roman"/>
        </w:rPr>
        <w:t>排放。</w:t>
      </w:r>
    </w:p>
    <w:p w:rsidR="00FE55B9" w:rsidRDefault="00FE55B9" w:rsidP="00FE55B9">
      <w:pPr>
        <w:tabs>
          <w:tab w:val="left" w:pos="5925"/>
        </w:tabs>
        <w:overflowPunct w:val="0"/>
        <w:autoSpaceDE w:val="0"/>
        <w:ind w:firstLine="480"/>
        <w:rPr>
          <w:rFonts w:ascii="Times New Roman" w:cs="Times New Roman"/>
        </w:rPr>
      </w:pPr>
      <w:r>
        <w:rPr>
          <w:rFonts w:ascii="Times New Roman" w:hAnsi="宋体" w:cs="Times New Roman"/>
        </w:rPr>
        <w:t>②</w:t>
      </w:r>
      <w:r>
        <w:rPr>
          <w:rFonts w:ascii="Times New Roman" w:cs="Times New Roman"/>
        </w:rPr>
        <w:t>轻质</w:t>
      </w:r>
      <w:r>
        <w:rPr>
          <w:rFonts w:ascii="Times New Roman" w:cs="Times New Roman"/>
        </w:rPr>
        <w:t>/</w:t>
      </w:r>
      <w:r>
        <w:rPr>
          <w:rFonts w:ascii="Times New Roman" w:cs="Times New Roman"/>
        </w:rPr>
        <w:t>重质气体的判定</w:t>
      </w:r>
    </w:p>
    <w:p w:rsidR="00FE55B9" w:rsidRDefault="00FE55B9" w:rsidP="00FE55B9">
      <w:pPr>
        <w:tabs>
          <w:tab w:val="left" w:pos="5925"/>
        </w:tabs>
        <w:overflowPunct w:val="0"/>
        <w:autoSpaceDE w:val="0"/>
        <w:ind w:firstLine="480"/>
        <w:rPr>
          <w:rFonts w:ascii="Times New Roman" w:cs="Times New Roman"/>
        </w:rPr>
      </w:pPr>
      <w:r>
        <w:rPr>
          <w:rFonts w:ascii="Times New Roman" w:cs="Times New Roman"/>
        </w:rPr>
        <w:t>根据《建设项目环境风险评价技术导则》（</w:t>
      </w:r>
      <w:r>
        <w:rPr>
          <w:rFonts w:ascii="Times New Roman" w:cs="Times New Roman"/>
        </w:rPr>
        <w:t>HJ169-2018</w:t>
      </w:r>
      <w:r>
        <w:rPr>
          <w:rFonts w:ascii="Times New Roman" w:cs="Times New Roman"/>
        </w:rPr>
        <w:t>），判定烟团</w:t>
      </w:r>
      <w:r>
        <w:rPr>
          <w:rFonts w:ascii="Times New Roman" w:cs="Times New Roman"/>
        </w:rPr>
        <w:t>/</w:t>
      </w:r>
      <w:r>
        <w:rPr>
          <w:rFonts w:ascii="Times New Roman" w:cs="Times New Roman"/>
        </w:rPr>
        <w:t>烟羽是否为重质气体，取决于它相对空气的</w:t>
      </w:r>
      <w:r>
        <w:rPr>
          <w:rFonts w:ascii="Times New Roman" w:cs="Times New Roman"/>
        </w:rPr>
        <w:t>“</w:t>
      </w:r>
      <w:r>
        <w:rPr>
          <w:rFonts w:ascii="Times New Roman" w:cs="Times New Roman"/>
        </w:rPr>
        <w:t>过剩密度</w:t>
      </w:r>
      <w:r>
        <w:rPr>
          <w:rFonts w:ascii="Times New Roman" w:cs="Times New Roman"/>
        </w:rPr>
        <w:t>”</w:t>
      </w:r>
      <w:r>
        <w:rPr>
          <w:rFonts w:ascii="Times New Roman" w:cs="Times New Roman"/>
        </w:rPr>
        <w:t>和环境条件等因素。通常采用理查德森数（</w:t>
      </w:r>
      <w:r>
        <w:rPr>
          <w:rFonts w:ascii="Times New Roman" w:cs="Times New Roman"/>
        </w:rPr>
        <w:t>Ri</w:t>
      </w:r>
      <w:r>
        <w:rPr>
          <w:rFonts w:ascii="Times New Roman" w:cs="Times New Roman"/>
        </w:rPr>
        <w:t>）作为标准进行判断，</w:t>
      </w:r>
      <w:r>
        <w:rPr>
          <w:rFonts w:ascii="Times New Roman" w:cs="Times New Roman"/>
        </w:rPr>
        <w:t>Ri</w:t>
      </w:r>
      <w:r>
        <w:rPr>
          <w:rFonts w:ascii="Times New Roman" w:cs="Times New Roman"/>
        </w:rPr>
        <w:t>的概念公示为：</w:t>
      </w:r>
    </w:p>
    <w:p w:rsidR="00FE55B9" w:rsidRDefault="00FE55B9" w:rsidP="00FE55B9">
      <w:pPr>
        <w:tabs>
          <w:tab w:val="left" w:pos="5925"/>
        </w:tabs>
        <w:overflowPunct w:val="0"/>
        <w:autoSpaceDE w:val="0"/>
        <w:ind w:firstLine="480"/>
        <w:jc w:val="center"/>
        <w:rPr>
          <w:rFonts w:ascii="Times New Roman" w:cs="Times New Roman"/>
        </w:rPr>
      </w:pPr>
      <w:r>
        <w:rPr>
          <w:rFonts w:ascii="Times New Roman" w:cs="Times New Roman"/>
          <w:noProof/>
        </w:rPr>
        <w:drawing>
          <wp:inline distT="0" distB="0" distL="0" distR="0">
            <wp:extent cx="1735455" cy="550545"/>
            <wp:effectExtent l="19050" t="0" r="0" b="0"/>
            <wp:docPr id="3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7"/>
                    <pic:cNvPicPr>
                      <a:picLocks noChangeAspect="1" noChangeArrowheads="1"/>
                    </pic:cNvPicPr>
                  </pic:nvPicPr>
                  <pic:blipFill>
                    <a:blip r:embed="rId110" cstate="print"/>
                    <a:srcRect/>
                    <a:stretch>
                      <a:fillRect/>
                    </a:stretch>
                  </pic:blipFill>
                  <pic:spPr>
                    <a:xfrm>
                      <a:off x="0" y="0"/>
                      <a:ext cx="1735455" cy="550545"/>
                    </a:xfrm>
                    <a:prstGeom prst="rect">
                      <a:avLst/>
                    </a:prstGeom>
                    <a:noFill/>
                    <a:ln w="9525">
                      <a:noFill/>
                      <a:miter lim="800000"/>
                      <a:headEnd/>
                      <a:tailEnd/>
                    </a:ln>
                  </pic:spPr>
                </pic:pic>
              </a:graphicData>
            </a:graphic>
          </wp:inline>
        </w:drawing>
      </w:r>
    </w:p>
    <w:p w:rsidR="00FE55B9" w:rsidRDefault="00FE55B9" w:rsidP="00FE55B9">
      <w:pPr>
        <w:tabs>
          <w:tab w:val="left" w:pos="5925"/>
        </w:tabs>
        <w:overflowPunct w:val="0"/>
        <w:autoSpaceDE w:val="0"/>
        <w:ind w:firstLine="480"/>
        <w:rPr>
          <w:rFonts w:ascii="Times New Roman" w:cs="Times New Roman"/>
        </w:rPr>
      </w:pPr>
      <w:r>
        <w:rPr>
          <w:rFonts w:ascii="Times New Roman" w:cs="Times New Roman"/>
        </w:rPr>
        <w:t>连续排放的公式为：</w:t>
      </w:r>
    </w:p>
    <w:p w:rsidR="00FE55B9" w:rsidRDefault="00FE55B9" w:rsidP="00FE55B9">
      <w:pPr>
        <w:tabs>
          <w:tab w:val="left" w:pos="5925"/>
        </w:tabs>
        <w:overflowPunct w:val="0"/>
        <w:autoSpaceDE w:val="0"/>
        <w:ind w:firstLine="480"/>
        <w:jc w:val="center"/>
        <w:rPr>
          <w:rFonts w:ascii="Times New Roman" w:cs="Times New Roman"/>
        </w:rPr>
      </w:pPr>
      <w:r>
        <w:rPr>
          <w:rFonts w:ascii="Times New Roman" w:cs="Times New Roman"/>
          <w:noProof/>
        </w:rPr>
        <w:drawing>
          <wp:inline distT="0" distB="0" distL="0" distR="0">
            <wp:extent cx="2014855" cy="643255"/>
            <wp:effectExtent l="19050" t="0" r="4445" b="0"/>
            <wp:docPr id="34" name="图片 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187"/>
                    <pic:cNvPicPr>
                      <a:picLocks noChangeAspect="1" noChangeArrowheads="1"/>
                    </pic:cNvPicPr>
                  </pic:nvPicPr>
                  <pic:blipFill>
                    <a:blip r:embed="rId111" cstate="print"/>
                    <a:srcRect/>
                    <a:stretch>
                      <a:fillRect/>
                    </a:stretch>
                  </pic:blipFill>
                  <pic:spPr>
                    <a:xfrm>
                      <a:off x="0" y="0"/>
                      <a:ext cx="2014855" cy="643255"/>
                    </a:xfrm>
                    <a:prstGeom prst="rect">
                      <a:avLst/>
                    </a:prstGeom>
                    <a:noFill/>
                    <a:ln w="9525">
                      <a:noFill/>
                      <a:miter lim="800000"/>
                      <a:headEnd/>
                      <a:tailEnd/>
                    </a:ln>
                  </pic:spPr>
                </pic:pic>
              </a:graphicData>
            </a:graphic>
          </wp:inline>
        </w:drawing>
      </w:r>
    </w:p>
    <w:p w:rsidR="00FE55B9" w:rsidRDefault="00FE55B9" w:rsidP="00FE55B9">
      <w:pPr>
        <w:tabs>
          <w:tab w:val="left" w:pos="5925"/>
        </w:tabs>
        <w:overflowPunct w:val="0"/>
        <w:autoSpaceDE w:val="0"/>
        <w:ind w:firstLine="480"/>
        <w:rPr>
          <w:rFonts w:ascii="Times New Roman" w:cs="Times New Roman"/>
        </w:rPr>
      </w:pPr>
      <w:r>
        <w:rPr>
          <w:rFonts w:ascii="Times New Roman" w:cs="Times New Roman"/>
        </w:rPr>
        <w:t>式中：</w:t>
      </w:r>
      <w:r>
        <w:rPr>
          <w:rFonts w:ascii="Times New Roman" w:cs="Times New Roman"/>
        </w:rPr>
        <w:t>ρrel—</w:t>
      </w:r>
      <w:r>
        <w:rPr>
          <w:rFonts w:ascii="Times New Roman" w:cs="Times New Roman"/>
        </w:rPr>
        <w:t>排放物质进入大气的初始密度，</w:t>
      </w:r>
      <w:r>
        <w:rPr>
          <w:rFonts w:ascii="Times New Roman" w:cs="Times New Roman"/>
        </w:rPr>
        <w:t>kg/m</w:t>
      </w:r>
      <w:r>
        <w:rPr>
          <w:rFonts w:ascii="Times New Roman" w:cs="Times New Roman"/>
          <w:vertAlign w:val="superscript"/>
        </w:rPr>
        <w:t>3</w:t>
      </w:r>
      <w:r>
        <w:rPr>
          <w:rFonts w:ascii="Times New Roman" w:cs="Times New Roman"/>
        </w:rPr>
        <w:t>，天然气取</w:t>
      </w:r>
      <w:r>
        <w:rPr>
          <w:rFonts w:ascii="Times New Roman" w:cs="Times New Roman"/>
        </w:rPr>
        <w:t>0.7</w:t>
      </w:r>
      <w:r>
        <w:rPr>
          <w:rFonts w:ascii="Times New Roman" w:cs="Times New Roman" w:hint="eastAsia"/>
        </w:rPr>
        <w:t>012</w:t>
      </w:r>
      <w:r>
        <w:rPr>
          <w:rFonts w:ascii="Times New Roman" w:cs="Times New Roman"/>
        </w:rPr>
        <w:t>；</w:t>
      </w:r>
    </w:p>
    <w:p w:rsidR="00FE55B9" w:rsidRDefault="00FE55B9" w:rsidP="00FE55B9">
      <w:pPr>
        <w:tabs>
          <w:tab w:val="left" w:pos="5925"/>
        </w:tabs>
        <w:overflowPunct w:val="0"/>
        <w:autoSpaceDE w:val="0"/>
        <w:ind w:firstLine="480"/>
        <w:rPr>
          <w:rFonts w:ascii="Times New Roman" w:cs="Times New Roman"/>
        </w:rPr>
      </w:pPr>
      <w:r>
        <w:rPr>
          <w:rFonts w:ascii="Times New Roman" w:cs="Times New Roman"/>
        </w:rPr>
        <w:t>ρa—</w:t>
      </w:r>
      <w:r>
        <w:rPr>
          <w:rFonts w:ascii="Times New Roman" w:cs="Times New Roman"/>
        </w:rPr>
        <w:t>环境空气密度，</w:t>
      </w:r>
      <w:r>
        <w:rPr>
          <w:rFonts w:ascii="Times New Roman" w:cs="Times New Roman"/>
        </w:rPr>
        <w:t>kg/m</w:t>
      </w:r>
      <w:r>
        <w:rPr>
          <w:rFonts w:ascii="Times New Roman" w:cs="Times New Roman"/>
          <w:vertAlign w:val="superscript"/>
        </w:rPr>
        <w:t>3</w:t>
      </w:r>
      <w:r>
        <w:rPr>
          <w:rFonts w:ascii="Times New Roman" w:cs="Times New Roman"/>
        </w:rPr>
        <w:t>，取</w:t>
      </w:r>
      <w:r>
        <w:rPr>
          <w:rFonts w:ascii="Times New Roman" w:cs="Times New Roman"/>
        </w:rPr>
        <w:t>1.29</w:t>
      </w:r>
      <w:r>
        <w:rPr>
          <w:rFonts w:ascii="Times New Roman" w:cs="Times New Roman"/>
        </w:rPr>
        <w:t>；</w:t>
      </w:r>
    </w:p>
    <w:p w:rsidR="00FE55B9" w:rsidRDefault="00FE55B9" w:rsidP="00FE55B9">
      <w:pPr>
        <w:tabs>
          <w:tab w:val="left" w:pos="5925"/>
        </w:tabs>
        <w:overflowPunct w:val="0"/>
        <w:autoSpaceDE w:val="0"/>
        <w:ind w:firstLine="480"/>
        <w:rPr>
          <w:rFonts w:ascii="Times New Roman" w:cs="Times New Roman"/>
        </w:rPr>
      </w:pPr>
      <w:r>
        <w:rPr>
          <w:rFonts w:ascii="Times New Roman" w:cs="Times New Roman"/>
        </w:rPr>
        <w:t>Q—</w:t>
      </w:r>
      <w:r>
        <w:rPr>
          <w:rFonts w:ascii="Times New Roman" w:cs="Times New Roman"/>
        </w:rPr>
        <w:t>连续排放烟羽的排放速率，</w:t>
      </w:r>
      <w:r>
        <w:rPr>
          <w:rFonts w:ascii="Times New Roman" w:cs="Times New Roman"/>
        </w:rPr>
        <w:t>kg/s</w:t>
      </w:r>
      <w:r>
        <w:rPr>
          <w:rFonts w:ascii="Times New Roman" w:cs="Times New Roman"/>
        </w:rPr>
        <w:t>；</w:t>
      </w:r>
    </w:p>
    <w:p w:rsidR="00FE55B9" w:rsidRDefault="00FE55B9" w:rsidP="00FE55B9">
      <w:pPr>
        <w:tabs>
          <w:tab w:val="left" w:pos="5925"/>
        </w:tabs>
        <w:overflowPunct w:val="0"/>
        <w:autoSpaceDE w:val="0"/>
        <w:ind w:firstLine="480"/>
        <w:rPr>
          <w:rFonts w:ascii="Times New Roman" w:cs="Times New Roman"/>
        </w:rPr>
      </w:pPr>
      <w:r>
        <w:rPr>
          <w:rFonts w:ascii="Times New Roman" w:cs="Times New Roman"/>
        </w:rPr>
        <w:t>Drel—</w:t>
      </w:r>
      <w:r>
        <w:rPr>
          <w:rFonts w:ascii="Times New Roman" w:cs="Times New Roman"/>
        </w:rPr>
        <w:t>初始的烟团宽度，即源直径，</w:t>
      </w:r>
      <w:r>
        <w:rPr>
          <w:rFonts w:ascii="Times New Roman" w:cs="Times New Roman"/>
        </w:rPr>
        <w:t>m</w:t>
      </w:r>
      <w:r>
        <w:rPr>
          <w:rFonts w:ascii="Times New Roman" w:cs="Times New Roman"/>
        </w:rPr>
        <w:t>；</w:t>
      </w:r>
    </w:p>
    <w:p w:rsidR="00FE55B9" w:rsidRDefault="00FE55B9" w:rsidP="00FE55B9">
      <w:pPr>
        <w:tabs>
          <w:tab w:val="left" w:pos="5925"/>
        </w:tabs>
        <w:overflowPunct w:val="0"/>
        <w:autoSpaceDE w:val="0"/>
        <w:ind w:firstLine="480"/>
        <w:rPr>
          <w:rFonts w:ascii="Times New Roman" w:cs="Times New Roman"/>
        </w:rPr>
      </w:pPr>
      <w:r>
        <w:rPr>
          <w:rFonts w:ascii="Times New Roman" w:cs="Times New Roman"/>
        </w:rPr>
        <w:t>Ur—10m</w:t>
      </w:r>
      <w:r>
        <w:rPr>
          <w:rFonts w:ascii="Times New Roman" w:cs="Times New Roman"/>
        </w:rPr>
        <w:t>高处风速，</w:t>
      </w:r>
      <w:r>
        <w:rPr>
          <w:rFonts w:ascii="Times New Roman" w:cs="Times New Roman"/>
        </w:rPr>
        <w:t>m/s</w:t>
      </w:r>
      <w:r>
        <w:rPr>
          <w:rFonts w:ascii="Times New Roman" w:cs="Times New Roman"/>
        </w:rPr>
        <w:t>，取</w:t>
      </w:r>
      <w:r>
        <w:rPr>
          <w:rFonts w:ascii="Times New Roman" w:cs="Times New Roman"/>
        </w:rPr>
        <w:t>1.5m/s</w:t>
      </w:r>
      <w:r>
        <w:rPr>
          <w:rFonts w:ascii="Times New Roman" w:cs="Times New Roman"/>
        </w:rPr>
        <w:t>；</w:t>
      </w:r>
    </w:p>
    <w:p w:rsidR="00FE55B9" w:rsidRDefault="00FE55B9" w:rsidP="00FE55B9">
      <w:pPr>
        <w:tabs>
          <w:tab w:val="left" w:pos="5925"/>
        </w:tabs>
        <w:overflowPunct w:val="0"/>
        <w:autoSpaceDE w:val="0"/>
        <w:ind w:firstLine="480"/>
        <w:rPr>
          <w:rFonts w:ascii="Times New Roman" w:cs="Times New Roman"/>
        </w:rPr>
      </w:pPr>
      <w:r>
        <w:rPr>
          <w:rFonts w:ascii="Times New Roman" w:cs="Times New Roman"/>
        </w:rPr>
        <w:t>根据</w:t>
      </w:r>
      <w:r>
        <w:rPr>
          <w:rFonts w:ascii="Times New Roman" w:cs="Times New Roman"/>
        </w:rPr>
        <w:t>AERMOD</w:t>
      </w:r>
      <w:r>
        <w:rPr>
          <w:rFonts w:ascii="Times New Roman" w:cs="Times New Roman"/>
        </w:rPr>
        <w:t>风险源强估算模式计算得出：天然气烟团初始密度未大于空气密度，不计算理查德森数，即属于轻质气体。因此，天然气扩散计算采用</w:t>
      </w:r>
      <w:r>
        <w:rPr>
          <w:rFonts w:ascii="Times New Roman" w:cs="Times New Roman"/>
        </w:rPr>
        <w:t>AFTOX</w:t>
      </w:r>
      <w:r>
        <w:rPr>
          <w:rFonts w:ascii="Times New Roman" w:cs="Times New Roman"/>
        </w:rPr>
        <w:t>模式。</w:t>
      </w:r>
    </w:p>
    <w:p w:rsidR="00FE55B9" w:rsidRDefault="00FE55B9" w:rsidP="00FE55B9">
      <w:pPr>
        <w:spacing w:before="24"/>
        <w:ind w:firstLine="482"/>
        <w:rPr>
          <w:rFonts w:ascii="Times New Roman" w:cs="Times New Roman"/>
          <w:b/>
        </w:rPr>
      </w:pPr>
      <w:r>
        <w:rPr>
          <w:rFonts w:ascii="Times New Roman" w:cs="Times New Roman"/>
          <w:b/>
        </w:rPr>
        <w:t>（</w:t>
      </w:r>
      <w:r>
        <w:rPr>
          <w:rFonts w:ascii="Times New Roman" w:cs="Times New Roman"/>
          <w:b/>
          <w:bCs/>
        </w:rPr>
        <w:t>2</w:t>
      </w:r>
      <w:r>
        <w:rPr>
          <w:rFonts w:ascii="Times New Roman" w:cs="Times New Roman"/>
          <w:b/>
        </w:rPr>
        <w:t>）预测范围与计算点、预测时段</w:t>
      </w:r>
    </w:p>
    <w:p w:rsidR="00FE55B9" w:rsidRDefault="00FE55B9" w:rsidP="00FE55B9">
      <w:pPr>
        <w:spacing w:before="24"/>
        <w:ind w:firstLine="480"/>
        <w:rPr>
          <w:rFonts w:ascii="Times New Roman" w:cs="Times New Roman"/>
        </w:rPr>
      </w:pPr>
      <w:r>
        <w:rPr>
          <w:rFonts w:ascii="Times New Roman" w:cs="Times New Roman"/>
        </w:rPr>
        <w:lastRenderedPageBreak/>
        <w:t>预测范围</w:t>
      </w:r>
      <w:r>
        <w:rPr>
          <w:rFonts w:ascii="Times New Roman" w:cs="Times New Roman"/>
        </w:rPr>
        <w:t>5km</w:t>
      </w:r>
      <w:r>
        <w:rPr>
          <w:rFonts w:ascii="Times New Roman" w:cs="Times New Roman"/>
        </w:rPr>
        <w:t>。特殊计算点为</w:t>
      </w:r>
      <w:r>
        <w:rPr>
          <w:rFonts w:ascii="Times New Roman" w:cs="Times New Roman"/>
        </w:rPr>
        <w:t>5km</w:t>
      </w:r>
      <w:r>
        <w:rPr>
          <w:rFonts w:ascii="Times New Roman" w:cs="Times New Roman"/>
        </w:rPr>
        <w:t>内大气环境敏感目标，一般计算点设置</w:t>
      </w:r>
      <w:r>
        <w:rPr>
          <w:rFonts w:ascii="Times New Roman" w:cs="Times New Roman"/>
        </w:rPr>
        <w:t>100m</w:t>
      </w:r>
      <w:r>
        <w:rPr>
          <w:rFonts w:ascii="Times New Roman" w:cs="Times New Roman"/>
        </w:rPr>
        <w:t>间距。</w:t>
      </w:r>
    </w:p>
    <w:p w:rsidR="00FE55B9" w:rsidRDefault="00FE55B9" w:rsidP="00FE55B9">
      <w:pPr>
        <w:spacing w:before="24"/>
        <w:ind w:firstLine="480"/>
        <w:rPr>
          <w:rFonts w:ascii="Times New Roman" w:cs="Times New Roman"/>
        </w:rPr>
      </w:pPr>
      <w:r>
        <w:rPr>
          <w:rFonts w:ascii="Times New Roman" w:cs="Times New Roman"/>
        </w:rPr>
        <w:t>预测时段：</w:t>
      </w:r>
      <w:r>
        <w:rPr>
          <w:rFonts w:ascii="Times New Roman" w:cs="Times New Roman"/>
        </w:rPr>
        <w:t>[0</w:t>
      </w:r>
      <w:r>
        <w:rPr>
          <w:rFonts w:ascii="Times New Roman" w:cs="Times New Roman"/>
        </w:rPr>
        <w:t>，</w:t>
      </w:r>
      <w:r>
        <w:rPr>
          <w:rFonts w:ascii="Times New Roman" w:cs="Times New Roman"/>
        </w:rPr>
        <w:t>3600s]60s</w:t>
      </w:r>
      <w:r>
        <w:rPr>
          <w:rFonts w:ascii="Times New Roman" w:cs="Times New Roman"/>
        </w:rPr>
        <w:t>，预测时间</w:t>
      </w:r>
      <w:r>
        <w:rPr>
          <w:rFonts w:ascii="Times New Roman" w:cs="Times New Roman"/>
        </w:rPr>
        <w:t>1</w:t>
      </w:r>
      <w:r>
        <w:rPr>
          <w:rFonts w:ascii="Times New Roman" w:cs="Times New Roman"/>
        </w:rPr>
        <w:t>小时，间隔</w:t>
      </w:r>
      <w:r>
        <w:rPr>
          <w:rFonts w:ascii="Times New Roman" w:cs="Times New Roman"/>
        </w:rPr>
        <w:t>60</w:t>
      </w:r>
      <w:r>
        <w:rPr>
          <w:rFonts w:ascii="Times New Roman" w:cs="Times New Roman"/>
        </w:rPr>
        <w:t>秒。</w:t>
      </w:r>
      <w:r>
        <w:rPr>
          <w:rFonts w:ascii="Times New Roman" w:cs="Times New Roman"/>
        </w:rPr>
        <w:t xml:space="preserve"> </w:t>
      </w:r>
    </w:p>
    <w:p w:rsidR="00FE55B9" w:rsidRDefault="00FE55B9" w:rsidP="00FE55B9">
      <w:pPr>
        <w:spacing w:before="24"/>
        <w:ind w:firstLine="482"/>
        <w:rPr>
          <w:rFonts w:ascii="Times New Roman" w:cs="Times New Roman"/>
          <w:b/>
        </w:rPr>
      </w:pPr>
      <w:r>
        <w:rPr>
          <w:rFonts w:ascii="Times New Roman" w:cs="Times New Roman"/>
          <w:b/>
        </w:rPr>
        <w:t>（</w:t>
      </w:r>
      <w:r>
        <w:rPr>
          <w:rFonts w:ascii="Times New Roman" w:cs="Times New Roman"/>
          <w:b/>
          <w:bCs/>
        </w:rPr>
        <w:t>3</w:t>
      </w:r>
      <w:r>
        <w:rPr>
          <w:rFonts w:ascii="Times New Roman" w:cs="Times New Roman"/>
          <w:b/>
        </w:rPr>
        <w:t>）气象参数</w:t>
      </w:r>
    </w:p>
    <w:p w:rsidR="00FE55B9" w:rsidRDefault="00FE55B9" w:rsidP="00FE55B9">
      <w:pPr>
        <w:pStyle w:val="affa"/>
        <w:ind w:firstLine="480"/>
      </w:pPr>
      <w:r>
        <w:t>二级评价，需选取最不利气象条件进行后果预测。最不利气象条件取</w:t>
      </w:r>
      <w:r>
        <w:t>F</w:t>
      </w:r>
      <w:r>
        <w:t>类稳定度，</w:t>
      </w:r>
      <w:r>
        <w:t>1.5m/s</w:t>
      </w:r>
      <w:r>
        <w:t>风速，温度</w:t>
      </w:r>
      <w:r>
        <w:t>25 ℃</w:t>
      </w:r>
      <w:r>
        <w:t>，相对湿度</w:t>
      </w:r>
      <w:r>
        <w:t>50%</w:t>
      </w:r>
      <w:r>
        <w:t>。</w:t>
      </w:r>
    </w:p>
    <w:p w:rsidR="00FE55B9" w:rsidRDefault="00FE55B9" w:rsidP="00FE55B9">
      <w:pPr>
        <w:topLinePunct w:val="0"/>
        <w:adjustRightInd/>
        <w:snapToGrid w:val="0"/>
        <w:spacing w:line="500" w:lineRule="exact"/>
        <w:ind w:firstLine="422"/>
        <w:jc w:val="center"/>
        <w:rPr>
          <w:rFonts w:ascii="Times New Roman" w:cs="Times New Roman"/>
          <w:b/>
          <w:kern w:val="2"/>
          <w:sz w:val="21"/>
          <w:szCs w:val="21"/>
        </w:rPr>
      </w:pPr>
      <w:r>
        <w:rPr>
          <w:rFonts w:ascii="Times New Roman" w:cs="Times New Roman"/>
          <w:b/>
          <w:kern w:val="2"/>
          <w:sz w:val="21"/>
          <w:szCs w:val="21"/>
        </w:rPr>
        <w:t>表</w:t>
      </w:r>
      <w:r>
        <w:rPr>
          <w:rFonts w:ascii="Times New Roman" w:cs="Times New Roman" w:hint="eastAsia"/>
          <w:b/>
          <w:kern w:val="2"/>
          <w:sz w:val="21"/>
          <w:szCs w:val="21"/>
        </w:rPr>
        <w:t>7</w:t>
      </w:r>
      <w:r>
        <w:rPr>
          <w:rFonts w:ascii="Times New Roman" w:cs="Times New Roman"/>
          <w:b/>
          <w:kern w:val="2"/>
          <w:sz w:val="21"/>
          <w:szCs w:val="21"/>
        </w:rPr>
        <w:t>.</w:t>
      </w:r>
      <w:r>
        <w:rPr>
          <w:rFonts w:ascii="Times New Roman" w:cs="Times New Roman" w:hint="eastAsia"/>
          <w:b/>
          <w:kern w:val="2"/>
          <w:sz w:val="21"/>
          <w:szCs w:val="21"/>
        </w:rPr>
        <w:t>8</w:t>
      </w:r>
      <w:r>
        <w:rPr>
          <w:rFonts w:ascii="Times New Roman" w:cs="Times New Roman"/>
          <w:b/>
          <w:kern w:val="2"/>
          <w:sz w:val="21"/>
          <w:szCs w:val="21"/>
        </w:rPr>
        <w:t xml:space="preserve">-1  </w:t>
      </w:r>
      <w:r>
        <w:rPr>
          <w:rFonts w:ascii="Times New Roman" w:cs="Times New Roman"/>
          <w:b/>
          <w:kern w:val="2"/>
          <w:sz w:val="21"/>
          <w:szCs w:val="21"/>
        </w:rPr>
        <w:t>大气风险预测模型筛选参数</w:t>
      </w:r>
    </w:p>
    <w:tbl>
      <w:tblPr>
        <w:tblW w:w="5000" w:type="pct"/>
        <w:jc w:val="center"/>
        <w:tblBorders>
          <w:top w:val="single" w:sz="12" w:space="0" w:color="auto"/>
          <w:bottom w:val="single" w:sz="12" w:space="0" w:color="auto"/>
          <w:insideH w:val="single" w:sz="6" w:space="0" w:color="auto"/>
          <w:insideV w:val="single" w:sz="6" w:space="0" w:color="auto"/>
        </w:tblBorders>
        <w:tblLayout w:type="fixed"/>
        <w:tblLook w:val="04A0"/>
      </w:tblPr>
      <w:tblGrid>
        <w:gridCol w:w="2133"/>
        <w:gridCol w:w="2150"/>
        <w:gridCol w:w="4239"/>
      </w:tblGrid>
      <w:tr w:rsidR="00FE55B9" w:rsidTr="00FE55B9">
        <w:trPr>
          <w:trHeight w:val="225"/>
          <w:jc w:val="center"/>
        </w:trPr>
        <w:tc>
          <w:tcPr>
            <w:tcW w:w="2300" w:type="dxa"/>
            <w:vAlign w:val="center"/>
          </w:tcPr>
          <w:p w:rsidR="00FE55B9" w:rsidRDefault="00FE55B9" w:rsidP="00FE55B9">
            <w:pPr>
              <w:topLinePunct w:val="0"/>
              <w:snapToGrid w:val="0"/>
              <w:spacing w:line="240" w:lineRule="exact"/>
              <w:ind w:firstLineChars="0" w:firstLine="0"/>
              <w:jc w:val="center"/>
              <w:rPr>
                <w:rFonts w:ascii="Times New Roman" w:cs="Times New Roman"/>
                <w:b/>
                <w:bCs/>
                <w:kern w:val="2"/>
                <w:sz w:val="21"/>
                <w:szCs w:val="21"/>
              </w:rPr>
            </w:pPr>
            <w:r>
              <w:rPr>
                <w:rFonts w:ascii="Times New Roman" w:cs="Times New Roman"/>
                <w:b/>
                <w:bCs/>
                <w:kern w:val="2"/>
                <w:sz w:val="21"/>
                <w:szCs w:val="21"/>
              </w:rPr>
              <w:t>参数类型</w:t>
            </w:r>
          </w:p>
        </w:tc>
        <w:tc>
          <w:tcPr>
            <w:tcW w:w="2318" w:type="dxa"/>
            <w:vAlign w:val="center"/>
          </w:tcPr>
          <w:p w:rsidR="00FE55B9" w:rsidRDefault="00FE55B9" w:rsidP="00FE55B9">
            <w:pPr>
              <w:topLinePunct w:val="0"/>
              <w:snapToGrid w:val="0"/>
              <w:spacing w:line="240" w:lineRule="exact"/>
              <w:ind w:firstLineChars="0" w:firstLine="0"/>
              <w:jc w:val="center"/>
              <w:rPr>
                <w:rFonts w:ascii="Times New Roman" w:cs="Times New Roman"/>
                <w:b/>
                <w:bCs/>
                <w:kern w:val="2"/>
                <w:sz w:val="21"/>
                <w:szCs w:val="21"/>
              </w:rPr>
            </w:pPr>
            <w:r>
              <w:rPr>
                <w:rFonts w:ascii="Times New Roman" w:cs="Times New Roman"/>
                <w:b/>
                <w:bCs/>
                <w:kern w:val="2"/>
                <w:sz w:val="21"/>
                <w:szCs w:val="21"/>
              </w:rPr>
              <w:t>选型</w:t>
            </w:r>
          </w:p>
        </w:tc>
        <w:tc>
          <w:tcPr>
            <w:tcW w:w="4590" w:type="dxa"/>
            <w:vAlign w:val="center"/>
          </w:tcPr>
          <w:p w:rsidR="00FE55B9" w:rsidRDefault="00FE55B9" w:rsidP="00FE55B9">
            <w:pPr>
              <w:topLinePunct w:val="0"/>
              <w:snapToGrid w:val="0"/>
              <w:spacing w:line="240" w:lineRule="exact"/>
              <w:ind w:firstLineChars="0" w:firstLine="0"/>
              <w:jc w:val="center"/>
              <w:rPr>
                <w:rFonts w:ascii="Times New Roman" w:cs="Times New Roman"/>
                <w:b/>
                <w:bCs/>
                <w:kern w:val="2"/>
                <w:sz w:val="21"/>
                <w:szCs w:val="21"/>
              </w:rPr>
            </w:pPr>
            <w:r>
              <w:rPr>
                <w:rFonts w:ascii="Times New Roman" w:cs="Times New Roman"/>
                <w:b/>
                <w:bCs/>
                <w:kern w:val="2"/>
                <w:sz w:val="21"/>
                <w:szCs w:val="21"/>
              </w:rPr>
              <w:t>参数</w:t>
            </w:r>
          </w:p>
        </w:tc>
      </w:tr>
      <w:tr w:rsidR="00FE55B9" w:rsidTr="00FE55B9">
        <w:trPr>
          <w:trHeight w:val="257"/>
          <w:jc w:val="center"/>
        </w:trPr>
        <w:tc>
          <w:tcPr>
            <w:tcW w:w="2300" w:type="dxa"/>
            <w:vMerge w:val="restart"/>
            <w:vAlign w:val="center"/>
          </w:tcPr>
          <w:p w:rsidR="00FE55B9" w:rsidRDefault="00FE55B9" w:rsidP="00FE55B9">
            <w:pPr>
              <w:topLinePunct w:val="0"/>
              <w:snapToGrid w:val="0"/>
              <w:spacing w:line="240" w:lineRule="exact"/>
              <w:ind w:firstLineChars="0" w:firstLine="0"/>
              <w:jc w:val="center"/>
              <w:rPr>
                <w:rFonts w:ascii="Times New Roman" w:cs="Times New Roman"/>
                <w:bCs/>
                <w:kern w:val="2"/>
                <w:sz w:val="21"/>
                <w:szCs w:val="21"/>
              </w:rPr>
            </w:pPr>
            <w:r>
              <w:rPr>
                <w:rFonts w:ascii="Times New Roman" w:cs="Times New Roman"/>
                <w:bCs/>
                <w:kern w:val="2"/>
                <w:sz w:val="21"/>
                <w:szCs w:val="21"/>
              </w:rPr>
              <w:t>基本情况</w:t>
            </w:r>
          </w:p>
        </w:tc>
        <w:tc>
          <w:tcPr>
            <w:tcW w:w="2318" w:type="dxa"/>
            <w:vAlign w:val="center"/>
          </w:tcPr>
          <w:p w:rsidR="00FE55B9" w:rsidRDefault="00FE55B9" w:rsidP="00FE55B9">
            <w:pPr>
              <w:topLinePunct w:val="0"/>
              <w:snapToGrid w:val="0"/>
              <w:spacing w:line="240" w:lineRule="exact"/>
              <w:ind w:firstLineChars="0" w:firstLine="0"/>
              <w:jc w:val="center"/>
              <w:rPr>
                <w:rFonts w:ascii="Times New Roman" w:cs="Times New Roman"/>
                <w:bCs/>
                <w:kern w:val="2"/>
                <w:sz w:val="21"/>
                <w:szCs w:val="21"/>
              </w:rPr>
            </w:pPr>
            <w:r>
              <w:rPr>
                <w:rFonts w:ascii="Times New Roman" w:cs="Times New Roman"/>
                <w:bCs/>
                <w:kern w:val="2"/>
                <w:sz w:val="21"/>
                <w:szCs w:val="21"/>
              </w:rPr>
              <w:t>事故物质</w:t>
            </w:r>
          </w:p>
        </w:tc>
        <w:tc>
          <w:tcPr>
            <w:tcW w:w="4590" w:type="dxa"/>
            <w:vAlign w:val="center"/>
          </w:tcPr>
          <w:p w:rsidR="00FE55B9" w:rsidRDefault="00FE55B9" w:rsidP="00FE55B9">
            <w:pPr>
              <w:topLinePunct w:val="0"/>
              <w:snapToGrid w:val="0"/>
              <w:spacing w:line="240" w:lineRule="exact"/>
              <w:ind w:firstLineChars="0" w:firstLine="0"/>
              <w:jc w:val="center"/>
              <w:rPr>
                <w:rFonts w:ascii="Times New Roman" w:cs="Times New Roman"/>
                <w:bCs/>
                <w:kern w:val="2"/>
                <w:sz w:val="21"/>
                <w:szCs w:val="21"/>
              </w:rPr>
            </w:pPr>
            <w:r>
              <w:rPr>
                <w:rFonts w:ascii="Times New Roman" w:cs="Times New Roman"/>
                <w:bCs/>
                <w:kern w:val="2"/>
                <w:sz w:val="21"/>
                <w:szCs w:val="21"/>
              </w:rPr>
              <w:t>甲烷</w:t>
            </w:r>
            <w:r>
              <w:rPr>
                <w:rFonts w:ascii="Times New Roman" w:cs="Times New Roman" w:hint="eastAsia"/>
                <w:bCs/>
                <w:kern w:val="2"/>
                <w:sz w:val="21"/>
                <w:szCs w:val="21"/>
              </w:rPr>
              <w:t>、</w:t>
            </w:r>
            <w:r>
              <w:rPr>
                <w:rFonts w:ascii="Times New Roman" w:cs="Times New Roman"/>
                <w:bCs/>
                <w:kern w:val="2"/>
                <w:sz w:val="21"/>
                <w:szCs w:val="21"/>
              </w:rPr>
              <w:t>硫化氢</w:t>
            </w:r>
          </w:p>
        </w:tc>
      </w:tr>
      <w:tr w:rsidR="00FE55B9" w:rsidTr="00FE55B9">
        <w:trPr>
          <w:trHeight w:val="119"/>
          <w:jc w:val="center"/>
        </w:trPr>
        <w:tc>
          <w:tcPr>
            <w:tcW w:w="2300" w:type="dxa"/>
            <w:vMerge/>
            <w:vAlign w:val="center"/>
          </w:tcPr>
          <w:p w:rsidR="00FE55B9" w:rsidRDefault="00FE55B9" w:rsidP="00FE55B9">
            <w:pPr>
              <w:widowControl/>
              <w:topLinePunct w:val="0"/>
              <w:adjustRightInd/>
              <w:spacing w:line="240" w:lineRule="exact"/>
              <w:ind w:firstLine="420"/>
              <w:jc w:val="center"/>
              <w:rPr>
                <w:rFonts w:ascii="Times New Roman" w:cs="Times New Roman"/>
                <w:bCs/>
                <w:kern w:val="2"/>
                <w:sz w:val="21"/>
                <w:szCs w:val="21"/>
              </w:rPr>
            </w:pPr>
          </w:p>
        </w:tc>
        <w:tc>
          <w:tcPr>
            <w:tcW w:w="2318" w:type="dxa"/>
            <w:vAlign w:val="center"/>
          </w:tcPr>
          <w:p w:rsidR="00FE55B9" w:rsidRDefault="00FE55B9" w:rsidP="00FE55B9">
            <w:pPr>
              <w:topLinePunct w:val="0"/>
              <w:snapToGrid w:val="0"/>
              <w:spacing w:line="240" w:lineRule="exact"/>
              <w:ind w:firstLineChars="0" w:firstLine="0"/>
              <w:jc w:val="center"/>
              <w:rPr>
                <w:rFonts w:ascii="Times New Roman" w:cs="Times New Roman"/>
                <w:bCs/>
                <w:kern w:val="2"/>
                <w:sz w:val="21"/>
                <w:szCs w:val="21"/>
              </w:rPr>
            </w:pPr>
            <w:r>
              <w:rPr>
                <w:rFonts w:ascii="Times New Roman" w:cs="Times New Roman"/>
                <w:bCs/>
                <w:kern w:val="2"/>
                <w:sz w:val="21"/>
                <w:szCs w:val="21"/>
              </w:rPr>
              <w:t>事故源类型</w:t>
            </w:r>
          </w:p>
        </w:tc>
        <w:tc>
          <w:tcPr>
            <w:tcW w:w="4590" w:type="dxa"/>
            <w:vAlign w:val="center"/>
          </w:tcPr>
          <w:p w:rsidR="00FE55B9" w:rsidRDefault="00FE55B9" w:rsidP="00FE55B9">
            <w:pPr>
              <w:topLinePunct w:val="0"/>
              <w:snapToGrid w:val="0"/>
              <w:spacing w:line="240" w:lineRule="exact"/>
              <w:ind w:firstLineChars="0" w:firstLine="0"/>
              <w:jc w:val="center"/>
              <w:rPr>
                <w:rFonts w:ascii="Times New Roman" w:cs="Times New Roman"/>
                <w:bCs/>
                <w:kern w:val="2"/>
                <w:sz w:val="21"/>
                <w:szCs w:val="21"/>
              </w:rPr>
            </w:pPr>
            <w:r>
              <w:rPr>
                <w:rFonts w:ascii="Times New Roman" w:cs="Times New Roman"/>
                <w:bCs/>
                <w:kern w:val="2"/>
                <w:sz w:val="21"/>
                <w:szCs w:val="21"/>
              </w:rPr>
              <w:t>泄漏</w:t>
            </w:r>
          </w:p>
        </w:tc>
      </w:tr>
      <w:tr w:rsidR="00FE55B9" w:rsidTr="00FE55B9">
        <w:trPr>
          <w:trHeight w:val="151"/>
          <w:jc w:val="center"/>
        </w:trPr>
        <w:tc>
          <w:tcPr>
            <w:tcW w:w="2300" w:type="dxa"/>
            <w:vMerge w:val="restart"/>
            <w:vAlign w:val="center"/>
          </w:tcPr>
          <w:p w:rsidR="00FE55B9" w:rsidRDefault="00FE55B9" w:rsidP="00FE55B9">
            <w:pPr>
              <w:topLinePunct w:val="0"/>
              <w:snapToGrid w:val="0"/>
              <w:spacing w:line="240" w:lineRule="exact"/>
              <w:ind w:firstLineChars="0" w:firstLine="0"/>
              <w:jc w:val="center"/>
              <w:rPr>
                <w:rFonts w:ascii="Times New Roman" w:cs="Times New Roman"/>
                <w:bCs/>
                <w:kern w:val="2"/>
                <w:sz w:val="21"/>
                <w:szCs w:val="21"/>
              </w:rPr>
            </w:pPr>
            <w:r>
              <w:rPr>
                <w:rFonts w:ascii="Times New Roman" w:cs="Times New Roman"/>
                <w:bCs/>
                <w:kern w:val="2"/>
                <w:sz w:val="21"/>
                <w:szCs w:val="21"/>
              </w:rPr>
              <w:t>气象参数</w:t>
            </w:r>
          </w:p>
        </w:tc>
        <w:tc>
          <w:tcPr>
            <w:tcW w:w="2318" w:type="dxa"/>
            <w:vAlign w:val="center"/>
          </w:tcPr>
          <w:p w:rsidR="00FE55B9" w:rsidRDefault="00FE55B9" w:rsidP="00FE55B9">
            <w:pPr>
              <w:topLinePunct w:val="0"/>
              <w:snapToGrid w:val="0"/>
              <w:spacing w:line="240" w:lineRule="exact"/>
              <w:ind w:firstLineChars="0" w:firstLine="0"/>
              <w:jc w:val="center"/>
              <w:rPr>
                <w:rFonts w:ascii="Times New Roman" w:cs="Times New Roman"/>
                <w:bCs/>
                <w:kern w:val="2"/>
                <w:sz w:val="21"/>
                <w:szCs w:val="21"/>
              </w:rPr>
            </w:pPr>
            <w:r>
              <w:rPr>
                <w:rFonts w:ascii="Times New Roman" w:cs="Times New Roman"/>
                <w:bCs/>
                <w:kern w:val="2"/>
                <w:sz w:val="21"/>
                <w:szCs w:val="21"/>
              </w:rPr>
              <w:t>气象条件类型</w:t>
            </w:r>
          </w:p>
        </w:tc>
        <w:tc>
          <w:tcPr>
            <w:tcW w:w="4590" w:type="dxa"/>
            <w:vAlign w:val="center"/>
          </w:tcPr>
          <w:p w:rsidR="00FE55B9" w:rsidRDefault="00FE55B9" w:rsidP="00FE55B9">
            <w:pPr>
              <w:topLinePunct w:val="0"/>
              <w:snapToGrid w:val="0"/>
              <w:spacing w:line="240" w:lineRule="exact"/>
              <w:ind w:firstLineChars="0" w:firstLine="0"/>
              <w:jc w:val="center"/>
              <w:rPr>
                <w:rFonts w:ascii="Times New Roman" w:cs="Times New Roman"/>
                <w:bCs/>
                <w:kern w:val="2"/>
                <w:sz w:val="21"/>
                <w:szCs w:val="21"/>
              </w:rPr>
            </w:pPr>
            <w:r>
              <w:rPr>
                <w:rFonts w:ascii="Times New Roman" w:cs="Times New Roman"/>
                <w:bCs/>
                <w:kern w:val="2"/>
                <w:sz w:val="21"/>
                <w:szCs w:val="21"/>
              </w:rPr>
              <w:t>最不利气象</w:t>
            </w:r>
          </w:p>
        </w:tc>
      </w:tr>
      <w:tr w:rsidR="00FE55B9" w:rsidTr="00FE55B9">
        <w:trPr>
          <w:trHeight w:val="169"/>
          <w:jc w:val="center"/>
        </w:trPr>
        <w:tc>
          <w:tcPr>
            <w:tcW w:w="2300" w:type="dxa"/>
            <w:vMerge/>
            <w:vAlign w:val="center"/>
          </w:tcPr>
          <w:p w:rsidR="00FE55B9" w:rsidRDefault="00FE55B9" w:rsidP="00FE55B9">
            <w:pPr>
              <w:topLinePunct w:val="0"/>
              <w:snapToGrid w:val="0"/>
              <w:spacing w:line="240" w:lineRule="exact"/>
              <w:ind w:firstLine="420"/>
              <w:jc w:val="center"/>
              <w:rPr>
                <w:rFonts w:ascii="Times New Roman" w:cs="Times New Roman"/>
                <w:bCs/>
                <w:kern w:val="2"/>
                <w:sz w:val="21"/>
                <w:szCs w:val="21"/>
              </w:rPr>
            </w:pPr>
          </w:p>
        </w:tc>
        <w:tc>
          <w:tcPr>
            <w:tcW w:w="2318" w:type="dxa"/>
            <w:vAlign w:val="center"/>
          </w:tcPr>
          <w:p w:rsidR="00FE55B9" w:rsidRDefault="00FE55B9" w:rsidP="00FE55B9">
            <w:pPr>
              <w:topLinePunct w:val="0"/>
              <w:snapToGrid w:val="0"/>
              <w:spacing w:line="240" w:lineRule="exact"/>
              <w:ind w:firstLineChars="0" w:firstLine="0"/>
              <w:jc w:val="center"/>
              <w:rPr>
                <w:rFonts w:ascii="Times New Roman" w:cs="Times New Roman"/>
                <w:bCs/>
                <w:kern w:val="2"/>
                <w:sz w:val="21"/>
                <w:szCs w:val="21"/>
              </w:rPr>
            </w:pPr>
            <w:r>
              <w:rPr>
                <w:rFonts w:ascii="Times New Roman" w:cs="Times New Roman"/>
                <w:bCs/>
                <w:kern w:val="2"/>
                <w:sz w:val="21"/>
                <w:szCs w:val="21"/>
              </w:rPr>
              <w:t>风速（</w:t>
            </w:r>
            <w:r>
              <w:rPr>
                <w:rFonts w:ascii="Times New Roman" w:cs="Times New Roman"/>
                <w:bCs/>
                <w:kern w:val="2"/>
                <w:sz w:val="21"/>
                <w:szCs w:val="21"/>
              </w:rPr>
              <w:t>m/s</w:t>
            </w:r>
            <w:r>
              <w:rPr>
                <w:rFonts w:ascii="Times New Roman" w:cs="Times New Roman"/>
                <w:bCs/>
                <w:kern w:val="2"/>
                <w:sz w:val="21"/>
                <w:szCs w:val="21"/>
              </w:rPr>
              <w:t>）</w:t>
            </w:r>
          </w:p>
        </w:tc>
        <w:tc>
          <w:tcPr>
            <w:tcW w:w="4590" w:type="dxa"/>
            <w:vAlign w:val="center"/>
          </w:tcPr>
          <w:p w:rsidR="00FE55B9" w:rsidRDefault="00FE55B9" w:rsidP="00FE55B9">
            <w:pPr>
              <w:topLinePunct w:val="0"/>
              <w:snapToGrid w:val="0"/>
              <w:spacing w:line="240" w:lineRule="exact"/>
              <w:ind w:firstLineChars="0" w:firstLine="0"/>
              <w:jc w:val="center"/>
              <w:rPr>
                <w:rFonts w:ascii="Times New Roman" w:cs="Times New Roman"/>
                <w:bCs/>
                <w:kern w:val="2"/>
                <w:sz w:val="21"/>
                <w:szCs w:val="21"/>
              </w:rPr>
            </w:pPr>
            <w:r>
              <w:rPr>
                <w:rFonts w:ascii="Times New Roman" w:cs="Times New Roman"/>
                <w:bCs/>
                <w:kern w:val="2"/>
                <w:sz w:val="21"/>
                <w:szCs w:val="21"/>
              </w:rPr>
              <w:t>1.</w:t>
            </w:r>
            <w:r>
              <w:rPr>
                <w:rFonts w:ascii="Times New Roman" w:cs="Times New Roman" w:hint="eastAsia"/>
                <w:bCs/>
                <w:kern w:val="2"/>
                <w:sz w:val="21"/>
                <w:szCs w:val="21"/>
              </w:rPr>
              <w:t>5</w:t>
            </w:r>
          </w:p>
        </w:tc>
      </w:tr>
      <w:tr w:rsidR="00FE55B9" w:rsidTr="00FE55B9">
        <w:trPr>
          <w:trHeight w:val="215"/>
          <w:jc w:val="center"/>
        </w:trPr>
        <w:tc>
          <w:tcPr>
            <w:tcW w:w="2300" w:type="dxa"/>
            <w:vMerge/>
            <w:vAlign w:val="center"/>
          </w:tcPr>
          <w:p w:rsidR="00FE55B9" w:rsidRDefault="00FE55B9" w:rsidP="00FE55B9">
            <w:pPr>
              <w:topLinePunct w:val="0"/>
              <w:snapToGrid w:val="0"/>
              <w:spacing w:line="240" w:lineRule="exact"/>
              <w:ind w:firstLine="420"/>
              <w:jc w:val="center"/>
              <w:rPr>
                <w:rFonts w:ascii="Times New Roman" w:cs="Times New Roman"/>
                <w:bCs/>
                <w:kern w:val="2"/>
                <w:sz w:val="21"/>
                <w:szCs w:val="21"/>
              </w:rPr>
            </w:pPr>
          </w:p>
        </w:tc>
        <w:tc>
          <w:tcPr>
            <w:tcW w:w="2318" w:type="dxa"/>
            <w:vAlign w:val="center"/>
          </w:tcPr>
          <w:p w:rsidR="00FE55B9" w:rsidRDefault="00FE55B9" w:rsidP="00FE55B9">
            <w:pPr>
              <w:topLinePunct w:val="0"/>
              <w:snapToGrid w:val="0"/>
              <w:spacing w:line="240" w:lineRule="exact"/>
              <w:ind w:firstLineChars="0" w:firstLine="0"/>
              <w:jc w:val="center"/>
              <w:rPr>
                <w:rFonts w:ascii="Times New Roman" w:cs="Times New Roman"/>
                <w:bCs/>
                <w:kern w:val="2"/>
                <w:sz w:val="21"/>
                <w:szCs w:val="21"/>
              </w:rPr>
            </w:pPr>
            <w:r>
              <w:rPr>
                <w:rFonts w:ascii="Times New Roman" w:cs="Times New Roman"/>
                <w:bCs/>
                <w:kern w:val="2"/>
                <w:sz w:val="21"/>
                <w:szCs w:val="21"/>
              </w:rPr>
              <w:t>环境温度</w:t>
            </w:r>
            <w:r>
              <w:rPr>
                <w:rFonts w:ascii="Times New Roman" w:cs="Times New Roman"/>
                <w:bCs/>
                <w:kern w:val="2"/>
                <w:sz w:val="21"/>
                <w:szCs w:val="21"/>
              </w:rPr>
              <w:t>/</w:t>
            </w:r>
            <w:r>
              <w:rPr>
                <w:rFonts w:hAnsi="宋体" w:hint="eastAsia"/>
                <w:bCs/>
                <w:kern w:val="2"/>
                <w:sz w:val="21"/>
                <w:szCs w:val="21"/>
              </w:rPr>
              <w:t>℃</w:t>
            </w:r>
          </w:p>
        </w:tc>
        <w:tc>
          <w:tcPr>
            <w:tcW w:w="4590" w:type="dxa"/>
            <w:vAlign w:val="center"/>
          </w:tcPr>
          <w:p w:rsidR="00FE55B9" w:rsidRDefault="00432C6D" w:rsidP="00FE55B9">
            <w:pPr>
              <w:topLinePunct w:val="0"/>
              <w:snapToGrid w:val="0"/>
              <w:spacing w:line="240" w:lineRule="exact"/>
              <w:ind w:firstLineChars="0" w:firstLine="0"/>
              <w:jc w:val="center"/>
              <w:rPr>
                <w:rFonts w:ascii="Times New Roman" w:cs="Times New Roman"/>
                <w:bCs/>
                <w:kern w:val="2"/>
                <w:sz w:val="21"/>
                <w:szCs w:val="21"/>
              </w:rPr>
            </w:pPr>
            <w:r>
              <w:rPr>
                <w:rFonts w:ascii="Times New Roman" w:cs="Times New Roman" w:hint="eastAsia"/>
                <w:bCs/>
                <w:kern w:val="2"/>
                <w:sz w:val="21"/>
                <w:szCs w:val="21"/>
              </w:rPr>
              <w:t>16.8</w:t>
            </w:r>
          </w:p>
        </w:tc>
      </w:tr>
      <w:tr w:rsidR="00FE55B9" w:rsidTr="00FE55B9">
        <w:trPr>
          <w:trHeight w:val="105"/>
          <w:jc w:val="center"/>
        </w:trPr>
        <w:tc>
          <w:tcPr>
            <w:tcW w:w="2300" w:type="dxa"/>
            <w:vMerge/>
            <w:vAlign w:val="center"/>
          </w:tcPr>
          <w:p w:rsidR="00FE55B9" w:rsidRDefault="00FE55B9" w:rsidP="00FE55B9">
            <w:pPr>
              <w:topLinePunct w:val="0"/>
              <w:snapToGrid w:val="0"/>
              <w:spacing w:line="240" w:lineRule="exact"/>
              <w:ind w:firstLine="420"/>
              <w:jc w:val="center"/>
              <w:rPr>
                <w:rFonts w:ascii="Times New Roman" w:cs="Times New Roman"/>
                <w:bCs/>
                <w:kern w:val="2"/>
                <w:sz w:val="21"/>
                <w:szCs w:val="21"/>
              </w:rPr>
            </w:pPr>
          </w:p>
        </w:tc>
        <w:tc>
          <w:tcPr>
            <w:tcW w:w="2318" w:type="dxa"/>
            <w:vAlign w:val="center"/>
          </w:tcPr>
          <w:p w:rsidR="00FE55B9" w:rsidRDefault="00FE55B9" w:rsidP="00FE55B9">
            <w:pPr>
              <w:topLinePunct w:val="0"/>
              <w:snapToGrid w:val="0"/>
              <w:spacing w:line="240" w:lineRule="exact"/>
              <w:ind w:firstLineChars="0" w:firstLine="0"/>
              <w:jc w:val="center"/>
              <w:rPr>
                <w:rFonts w:ascii="Times New Roman" w:cs="Times New Roman"/>
                <w:bCs/>
                <w:kern w:val="2"/>
                <w:sz w:val="21"/>
                <w:szCs w:val="21"/>
              </w:rPr>
            </w:pPr>
            <w:r>
              <w:rPr>
                <w:rFonts w:ascii="Times New Roman" w:cs="Times New Roman"/>
                <w:bCs/>
                <w:kern w:val="2"/>
                <w:sz w:val="21"/>
                <w:szCs w:val="21"/>
              </w:rPr>
              <w:t>相对湿度</w:t>
            </w:r>
            <w:r>
              <w:rPr>
                <w:rFonts w:ascii="Times New Roman" w:cs="Times New Roman"/>
                <w:bCs/>
                <w:kern w:val="2"/>
                <w:sz w:val="21"/>
                <w:szCs w:val="21"/>
              </w:rPr>
              <w:t>/%</w:t>
            </w:r>
          </w:p>
        </w:tc>
        <w:tc>
          <w:tcPr>
            <w:tcW w:w="4590" w:type="dxa"/>
            <w:vAlign w:val="center"/>
          </w:tcPr>
          <w:p w:rsidR="00FE55B9" w:rsidRDefault="00432C6D" w:rsidP="00FE55B9">
            <w:pPr>
              <w:topLinePunct w:val="0"/>
              <w:snapToGrid w:val="0"/>
              <w:spacing w:line="240" w:lineRule="exact"/>
              <w:ind w:firstLineChars="0" w:firstLine="0"/>
              <w:jc w:val="center"/>
              <w:rPr>
                <w:rFonts w:ascii="Times New Roman" w:cs="Times New Roman"/>
                <w:bCs/>
                <w:kern w:val="2"/>
                <w:sz w:val="21"/>
                <w:szCs w:val="21"/>
              </w:rPr>
            </w:pPr>
            <w:r>
              <w:rPr>
                <w:rFonts w:ascii="Times New Roman" w:cs="Times New Roman" w:hint="eastAsia"/>
                <w:bCs/>
                <w:kern w:val="2"/>
                <w:sz w:val="21"/>
                <w:szCs w:val="21"/>
              </w:rPr>
              <w:t>77</w:t>
            </w:r>
          </w:p>
        </w:tc>
      </w:tr>
      <w:tr w:rsidR="00FE55B9" w:rsidTr="00FE55B9">
        <w:trPr>
          <w:trHeight w:val="105"/>
          <w:jc w:val="center"/>
        </w:trPr>
        <w:tc>
          <w:tcPr>
            <w:tcW w:w="2300" w:type="dxa"/>
            <w:vMerge/>
            <w:vAlign w:val="center"/>
          </w:tcPr>
          <w:p w:rsidR="00FE55B9" w:rsidRDefault="00FE55B9" w:rsidP="00FE55B9">
            <w:pPr>
              <w:topLinePunct w:val="0"/>
              <w:snapToGrid w:val="0"/>
              <w:spacing w:line="240" w:lineRule="exact"/>
              <w:ind w:firstLine="420"/>
              <w:jc w:val="center"/>
              <w:rPr>
                <w:rFonts w:ascii="Times New Roman" w:cs="Times New Roman"/>
                <w:bCs/>
                <w:kern w:val="2"/>
                <w:sz w:val="21"/>
                <w:szCs w:val="21"/>
              </w:rPr>
            </w:pPr>
          </w:p>
        </w:tc>
        <w:tc>
          <w:tcPr>
            <w:tcW w:w="2318" w:type="dxa"/>
            <w:vAlign w:val="center"/>
          </w:tcPr>
          <w:p w:rsidR="00FE55B9" w:rsidRDefault="00FE55B9" w:rsidP="00FE55B9">
            <w:pPr>
              <w:topLinePunct w:val="0"/>
              <w:snapToGrid w:val="0"/>
              <w:spacing w:line="240" w:lineRule="exact"/>
              <w:ind w:firstLineChars="0" w:firstLine="0"/>
              <w:jc w:val="center"/>
              <w:rPr>
                <w:rFonts w:ascii="Times New Roman" w:cs="Times New Roman"/>
                <w:bCs/>
                <w:kern w:val="2"/>
                <w:sz w:val="21"/>
                <w:szCs w:val="21"/>
              </w:rPr>
            </w:pPr>
            <w:r>
              <w:rPr>
                <w:rFonts w:ascii="Times New Roman" w:cs="Times New Roman"/>
                <w:bCs/>
                <w:kern w:val="2"/>
                <w:sz w:val="21"/>
                <w:szCs w:val="21"/>
              </w:rPr>
              <w:t>稳定度</w:t>
            </w:r>
          </w:p>
        </w:tc>
        <w:tc>
          <w:tcPr>
            <w:tcW w:w="4590" w:type="dxa"/>
            <w:vAlign w:val="center"/>
          </w:tcPr>
          <w:p w:rsidR="00FE55B9" w:rsidRDefault="00FE55B9" w:rsidP="00FE55B9">
            <w:pPr>
              <w:topLinePunct w:val="0"/>
              <w:snapToGrid w:val="0"/>
              <w:spacing w:line="240" w:lineRule="exact"/>
              <w:ind w:firstLineChars="0" w:firstLine="0"/>
              <w:jc w:val="center"/>
              <w:rPr>
                <w:rFonts w:ascii="Times New Roman" w:cs="Times New Roman"/>
                <w:bCs/>
                <w:kern w:val="2"/>
                <w:sz w:val="21"/>
                <w:szCs w:val="21"/>
              </w:rPr>
            </w:pPr>
            <w:r>
              <w:rPr>
                <w:rFonts w:ascii="Times New Roman" w:cs="Times New Roman"/>
                <w:bCs/>
                <w:kern w:val="2"/>
                <w:sz w:val="21"/>
                <w:szCs w:val="21"/>
              </w:rPr>
              <w:t>F</w:t>
            </w:r>
          </w:p>
        </w:tc>
      </w:tr>
      <w:tr w:rsidR="00FE55B9" w:rsidTr="00FE55B9">
        <w:trPr>
          <w:trHeight w:val="265"/>
          <w:jc w:val="center"/>
        </w:trPr>
        <w:tc>
          <w:tcPr>
            <w:tcW w:w="2300" w:type="dxa"/>
            <w:vMerge w:val="restart"/>
            <w:vAlign w:val="center"/>
          </w:tcPr>
          <w:p w:rsidR="00FE55B9" w:rsidRDefault="00FE55B9" w:rsidP="00FE55B9">
            <w:pPr>
              <w:topLinePunct w:val="0"/>
              <w:snapToGrid w:val="0"/>
              <w:spacing w:line="240" w:lineRule="exact"/>
              <w:ind w:firstLineChars="0" w:firstLine="0"/>
              <w:jc w:val="center"/>
              <w:rPr>
                <w:rFonts w:ascii="Times New Roman" w:cs="Times New Roman"/>
                <w:bCs/>
                <w:kern w:val="2"/>
                <w:sz w:val="21"/>
                <w:szCs w:val="21"/>
              </w:rPr>
            </w:pPr>
            <w:r>
              <w:rPr>
                <w:rFonts w:ascii="Times New Roman" w:cs="Times New Roman"/>
                <w:bCs/>
                <w:kern w:val="2"/>
                <w:sz w:val="21"/>
                <w:szCs w:val="21"/>
              </w:rPr>
              <w:t>其他参数</w:t>
            </w:r>
          </w:p>
        </w:tc>
        <w:tc>
          <w:tcPr>
            <w:tcW w:w="2318" w:type="dxa"/>
            <w:vAlign w:val="center"/>
          </w:tcPr>
          <w:p w:rsidR="00FE55B9" w:rsidRDefault="00FE55B9" w:rsidP="00FE55B9">
            <w:pPr>
              <w:topLinePunct w:val="0"/>
              <w:snapToGrid w:val="0"/>
              <w:spacing w:line="240" w:lineRule="exact"/>
              <w:ind w:firstLineChars="0" w:firstLine="0"/>
              <w:jc w:val="center"/>
              <w:rPr>
                <w:rFonts w:ascii="Times New Roman" w:cs="Times New Roman"/>
                <w:bCs/>
                <w:kern w:val="2"/>
                <w:sz w:val="21"/>
                <w:szCs w:val="21"/>
              </w:rPr>
            </w:pPr>
            <w:r>
              <w:rPr>
                <w:rFonts w:ascii="Times New Roman" w:cs="Times New Roman"/>
                <w:bCs/>
                <w:kern w:val="2"/>
                <w:sz w:val="21"/>
                <w:szCs w:val="21"/>
              </w:rPr>
              <w:t>地表粗糙度</w:t>
            </w:r>
            <w:r>
              <w:rPr>
                <w:rFonts w:ascii="Times New Roman" w:cs="Times New Roman"/>
                <w:bCs/>
                <w:kern w:val="2"/>
                <w:sz w:val="21"/>
                <w:szCs w:val="21"/>
              </w:rPr>
              <w:t>/m</w:t>
            </w:r>
          </w:p>
        </w:tc>
        <w:tc>
          <w:tcPr>
            <w:tcW w:w="4590" w:type="dxa"/>
            <w:vAlign w:val="center"/>
          </w:tcPr>
          <w:p w:rsidR="00FE55B9" w:rsidRDefault="00FE55B9" w:rsidP="00FE55B9">
            <w:pPr>
              <w:topLinePunct w:val="0"/>
              <w:snapToGrid w:val="0"/>
              <w:spacing w:line="240" w:lineRule="exact"/>
              <w:ind w:firstLineChars="0" w:firstLine="0"/>
              <w:jc w:val="center"/>
              <w:rPr>
                <w:rFonts w:ascii="Times New Roman" w:cs="Times New Roman"/>
                <w:bCs/>
                <w:kern w:val="2"/>
                <w:sz w:val="21"/>
                <w:szCs w:val="21"/>
              </w:rPr>
            </w:pPr>
            <w:r>
              <w:rPr>
                <w:rFonts w:ascii="Times New Roman" w:cs="Times New Roman"/>
                <w:sz w:val="21"/>
                <w:szCs w:val="21"/>
              </w:rPr>
              <w:t>0.2</w:t>
            </w:r>
          </w:p>
        </w:tc>
      </w:tr>
      <w:tr w:rsidR="00FE55B9" w:rsidTr="00FE55B9">
        <w:trPr>
          <w:trHeight w:val="127"/>
          <w:jc w:val="center"/>
        </w:trPr>
        <w:tc>
          <w:tcPr>
            <w:tcW w:w="2300" w:type="dxa"/>
            <w:vMerge/>
            <w:vAlign w:val="center"/>
          </w:tcPr>
          <w:p w:rsidR="00FE55B9" w:rsidRDefault="00FE55B9" w:rsidP="00FE55B9">
            <w:pPr>
              <w:widowControl/>
              <w:topLinePunct w:val="0"/>
              <w:adjustRightInd/>
              <w:spacing w:line="240" w:lineRule="exact"/>
              <w:ind w:firstLine="420"/>
              <w:jc w:val="center"/>
              <w:rPr>
                <w:rFonts w:ascii="Times New Roman" w:cs="Times New Roman"/>
                <w:bCs/>
                <w:kern w:val="2"/>
                <w:sz w:val="21"/>
                <w:szCs w:val="21"/>
              </w:rPr>
            </w:pPr>
          </w:p>
        </w:tc>
        <w:tc>
          <w:tcPr>
            <w:tcW w:w="2318" w:type="dxa"/>
            <w:vAlign w:val="center"/>
          </w:tcPr>
          <w:p w:rsidR="00FE55B9" w:rsidRDefault="00FE55B9" w:rsidP="00FE55B9">
            <w:pPr>
              <w:topLinePunct w:val="0"/>
              <w:snapToGrid w:val="0"/>
              <w:spacing w:line="240" w:lineRule="exact"/>
              <w:ind w:firstLineChars="0" w:firstLine="0"/>
              <w:jc w:val="center"/>
              <w:rPr>
                <w:rFonts w:ascii="Times New Roman" w:cs="Times New Roman"/>
                <w:bCs/>
                <w:kern w:val="2"/>
                <w:sz w:val="21"/>
                <w:szCs w:val="21"/>
              </w:rPr>
            </w:pPr>
            <w:r>
              <w:rPr>
                <w:rFonts w:ascii="Times New Roman" w:cs="Times New Roman"/>
                <w:bCs/>
                <w:kern w:val="2"/>
                <w:sz w:val="21"/>
                <w:szCs w:val="21"/>
              </w:rPr>
              <w:t>是否考虑地形</w:t>
            </w:r>
          </w:p>
        </w:tc>
        <w:tc>
          <w:tcPr>
            <w:tcW w:w="4590" w:type="dxa"/>
            <w:vAlign w:val="center"/>
          </w:tcPr>
          <w:p w:rsidR="00FE55B9" w:rsidRDefault="00FE55B9" w:rsidP="00FE55B9">
            <w:pPr>
              <w:topLinePunct w:val="0"/>
              <w:snapToGrid w:val="0"/>
              <w:spacing w:line="240" w:lineRule="exact"/>
              <w:ind w:firstLineChars="0" w:firstLine="0"/>
              <w:jc w:val="center"/>
              <w:rPr>
                <w:rFonts w:ascii="Times New Roman" w:cs="Times New Roman"/>
                <w:sz w:val="21"/>
                <w:szCs w:val="21"/>
              </w:rPr>
            </w:pPr>
            <w:r>
              <w:rPr>
                <w:rFonts w:ascii="Times New Roman" w:cs="Times New Roman" w:hint="eastAsia"/>
                <w:sz w:val="21"/>
                <w:szCs w:val="21"/>
              </w:rPr>
              <w:t>是</w:t>
            </w:r>
          </w:p>
        </w:tc>
      </w:tr>
      <w:tr w:rsidR="00FE55B9" w:rsidTr="00FE55B9">
        <w:trPr>
          <w:trHeight w:val="127"/>
          <w:jc w:val="center"/>
        </w:trPr>
        <w:tc>
          <w:tcPr>
            <w:tcW w:w="2300" w:type="dxa"/>
            <w:vMerge/>
            <w:vAlign w:val="center"/>
          </w:tcPr>
          <w:p w:rsidR="00FE55B9" w:rsidRDefault="00FE55B9" w:rsidP="00FE55B9">
            <w:pPr>
              <w:widowControl/>
              <w:topLinePunct w:val="0"/>
              <w:adjustRightInd/>
              <w:spacing w:line="240" w:lineRule="exact"/>
              <w:ind w:firstLine="420"/>
              <w:jc w:val="center"/>
              <w:rPr>
                <w:rFonts w:ascii="Times New Roman" w:cs="Times New Roman"/>
                <w:bCs/>
                <w:kern w:val="2"/>
                <w:sz w:val="21"/>
                <w:szCs w:val="21"/>
              </w:rPr>
            </w:pPr>
          </w:p>
        </w:tc>
        <w:tc>
          <w:tcPr>
            <w:tcW w:w="2318" w:type="dxa"/>
            <w:vAlign w:val="center"/>
          </w:tcPr>
          <w:p w:rsidR="00FE55B9" w:rsidRDefault="00FE55B9" w:rsidP="00FE55B9">
            <w:pPr>
              <w:topLinePunct w:val="0"/>
              <w:snapToGrid w:val="0"/>
              <w:spacing w:line="240" w:lineRule="exact"/>
              <w:ind w:firstLineChars="0" w:firstLine="0"/>
              <w:jc w:val="center"/>
              <w:rPr>
                <w:rFonts w:ascii="Times New Roman" w:cs="Times New Roman"/>
                <w:bCs/>
                <w:kern w:val="2"/>
                <w:sz w:val="21"/>
                <w:szCs w:val="21"/>
              </w:rPr>
            </w:pPr>
            <w:r>
              <w:rPr>
                <w:rFonts w:ascii="Times New Roman" w:cs="Times New Roman"/>
                <w:bCs/>
                <w:kern w:val="2"/>
                <w:sz w:val="21"/>
                <w:szCs w:val="21"/>
              </w:rPr>
              <w:t>地形数据精度</w:t>
            </w:r>
            <w:r>
              <w:rPr>
                <w:rFonts w:ascii="Times New Roman" w:cs="Times New Roman"/>
                <w:bCs/>
                <w:kern w:val="2"/>
                <w:sz w:val="21"/>
                <w:szCs w:val="21"/>
              </w:rPr>
              <w:t>/m</w:t>
            </w:r>
          </w:p>
        </w:tc>
        <w:tc>
          <w:tcPr>
            <w:tcW w:w="4590" w:type="dxa"/>
            <w:vAlign w:val="center"/>
          </w:tcPr>
          <w:p w:rsidR="00FE55B9" w:rsidRDefault="00FE55B9" w:rsidP="00FE55B9">
            <w:pPr>
              <w:topLinePunct w:val="0"/>
              <w:snapToGrid w:val="0"/>
              <w:spacing w:line="240" w:lineRule="exact"/>
              <w:ind w:firstLineChars="0" w:firstLine="0"/>
              <w:jc w:val="center"/>
              <w:rPr>
                <w:rFonts w:ascii="Times New Roman" w:cs="Times New Roman"/>
                <w:sz w:val="21"/>
                <w:szCs w:val="21"/>
              </w:rPr>
            </w:pPr>
            <w:r>
              <w:rPr>
                <w:rFonts w:ascii="Times New Roman" w:cs="Times New Roman" w:hint="eastAsia"/>
                <w:sz w:val="21"/>
                <w:szCs w:val="21"/>
              </w:rPr>
              <w:t>90</w:t>
            </w:r>
          </w:p>
        </w:tc>
      </w:tr>
    </w:tbl>
    <w:p w:rsidR="00FE55B9" w:rsidRDefault="00FE55B9" w:rsidP="00FE55B9">
      <w:pPr>
        <w:topLinePunct w:val="0"/>
        <w:adjustRightInd/>
        <w:spacing w:before="24"/>
        <w:ind w:firstLine="482"/>
        <w:rPr>
          <w:rFonts w:ascii="Times New Roman" w:cs="Times New Roman"/>
          <w:b/>
          <w:kern w:val="2"/>
        </w:rPr>
      </w:pPr>
      <w:r>
        <w:rPr>
          <w:rFonts w:ascii="Times New Roman" w:cs="Times New Roman"/>
          <w:b/>
          <w:kern w:val="2"/>
        </w:rPr>
        <w:t>（</w:t>
      </w:r>
      <w:r>
        <w:rPr>
          <w:rFonts w:ascii="Times New Roman" w:cs="Times New Roman" w:hint="eastAsia"/>
          <w:b/>
          <w:bCs/>
          <w:kern w:val="2"/>
        </w:rPr>
        <w:t>4</w:t>
      </w:r>
      <w:r>
        <w:rPr>
          <w:rFonts w:ascii="Times New Roman" w:cs="Times New Roman"/>
          <w:b/>
          <w:kern w:val="2"/>
        </w:rPr>
        <w:t>）大气毒性终点浓度值选取</w:t>
      </w:r>
    </w:p>
    <w:p w:rsidR="00FE55B9" w:rsidRDefault="00FE55B9" w:rsidP="00FE55B9">
      <w:pPr>
        <w:pStyle w:val="affa"/>
        <w:ind w:firstLine="480"/>
      </w:pPr>
      <w:r>
        <w:rPr>
          <w:kern w:val="2"/>
        </w:rPr>
        <w:t>甲烷</w:t>
      </w:r>
      <w:r>
        <w:rPr>
          <w:rFonts w:hint="eastAsia"/>
          <w:kern w:val="2"/>
        </w:rPr>
        <w:t>、</w:t>
      </w:r>
      <w:r>
        <w:rPr>
          <w:kern w:val="2"/>
        </w:rPr>
        <w:t>硫化氢的大气毒性终点浓度见表</w:t>
      </w:r>
      <w:r>
        <w:rPr>
          <w:rFonts w:hint="eastAsia"/>
          <w:kern w:val="2"/>
        </w:rPr>
        <w:t>7</w:t>
      </w:r>
      <w:r>
        <w:rPr>
          <w:kern w:val="2"/>
        </w:rPr>
        <w:t>.</w:t>
      </w:r>
      <w:r>
        <w:rPr>
          <w:rFonts w:hint="eastAsia"/>
          <w:kern w:val="2"/>
        </w:rPr>
        <w:t>8</w:t>
      </w:r>
      <w:r>
        <w:rPr>
          <w:kern w:val="2"/>
        </w:rPr>
        <w:t>-2</w:t>
      </w:r>
      <w:r>
        <w:rPr>
          <w:kern w:val="2"/>
        </w:rPr>
        <w:t>。</w:t>
      </w:r>
    </w:p>
    <w:p w:rsidR="00FE55B9" w:rsidRDefault="00FE55B9" w:rsidP="00FE55B9">
      <w:pPr>
        <w:topLinePunct w:val="0"/>
        <w:adjustRightInd/>
        <w:snapToGrid w:val="0"/>
        <w:spacing w:line="500" w:lineRule="exact"/>
        <w:ind w:firstLine="422"/>
        <w:jc w:val="center"/>
        <w:rPr>
          <w:rFonts w:ascii="Times New Roman" w:cs="Times New Roman"/>
          <w:b/>
          <w:kern w:val="2"/>
          <w:sz w:val="21"/>
          <w:szCs w:val="21"/>
        </w:rPr>
      </w:pPr>
      <w:r>
        <w:rPr>
          <w:rFonts w:ascii="Times New Roman" w:cs="Times New Roman"/>
          <w:b/>
          <w:kern w:val="2"/>
          <w:sz w:val="21"/>
          <w:szCs w:val="21"/>
        </w:rPr>
        <w:t>表</w:t>
      </w:r>
      <w:r>
        <w:rPr>
          <w:rFonts w:ascii="Times New Roman" w:cs="Times New Roman" w:hint="eastAsia"/>
          <w:b/>
          <w:kern w:val="2"/>
          <w:sz w:val="21"/>
          <w:szCs w:val="21"/>
        </w:rPr>
        <w:t>7</w:t>
      </w:r>
      <w:r>
        <w:rPr>
          <w:rFonts w:ascii="Times New Roman" w:cs="Times New Roman"/>
          <w:b/>
          <w:kern w:val="2"/>
          <w:sz w:val="21"/>
          <w:szCs w:val="21"/>
        </w:rPr>
        <w:t>.</w:t>
      </w:r>
      <w:r>
        <w:rPr>
          <w:rFonts w:ascii="Times New Roman" w:cs="Times New Roman" w:hint="eastAsia"/>
          <w:b/>
          <w:kern w:val="2"/>
          <w:sz w:val="21"/>
          <w:szCs w:val="21"/>
        </w:rPr>
        <w:t>8</w:t>
      </w:r>
      <w:r>
        <w:rPr>
          <w:rFonts w:ascii="Times New Roman" w:cs="Times New Roman"/>
          <w:b/>
          <w:kern w:val="2"/>
          <w:sz w:val="21"/>
          <w:szCs w:val="21"/>
        </w:rPr>
        <w:t xml:space="preserve">-2 </w:t>
      </w:r>
      <w:r>
        <w:rPr>
          <w:rFonts w:ascii="Times New Roman" w:cs="Times New Roman"/>
          <w:b/>
          <w:kern w:val="2"/>
          <w:sz w:val="21"/>
          <w:szCs w:val="21"/>
        </w:rPr>
        <w:t>甲烷的大气毒性终点浓度表</w:t>
      </w:r>
    </w:p>
    <w:tbl>
      <w:tblPr>
        <w:tblW w:w="5000" w:type="pct"/>
        <w:jc w:val="center"/>
        <w:tblBorders>
          <w:top w:val="single" w:sz="12" w:space="0" w:color="auto"/>
          <w:bottom w:val="single" w:sz="12" w:space="0" w:color="auto"/>
          <w:insideH w:val="single" w:sz="6" w:space="0" w:color="auto"/>
          <w:insideV w:val="single" w:sz="6" w:space="0" w:color="auto"/>
        </w:tblBorders>
        <w:tblLook w:val="04A0"/>
      </w:tblPr>
      <w:tblGrid>
        <w:gridCol w:w="757"/>
        <w:gridCol w:w="1824"/>
        <w:gridCol w:w="1778"/>
        <w:gridCol w:w="2217"/>
        <w:gridCol w:w="1946"/>
      </w:tblGrid>
      <w:tr w:rsidR="00FE55B9" w:rsidTr="00FE55B9">
        <w:trPr>
          <w:trHeight w:val="20"/>
          <w:jc w:val="center"/>
        </w:trPr>
        <w:tc>
          <w:tcPr>
            <w:tcW w:w="444" w:type="pct"/>
            <w:vAlign w:val="center"/>
          </w:tcPr>
          <w:p w:rsidR="00FE55B9" w:rsidRDefault="00FE55B9" w:rsidP="00FE55B9">
            <w:pPr>
              <w:topLinePunct w:val="0"/>
              <w:adjustRightInd/>
              <w:spacing w:line="240" w:lineRule="exact"/>
              <w:ind w:firstLineChars="0" w:firstLine="0"/>
              <w:jc w:val="center"/>
              <w:rPr>
                <w:rFonts w:ascii="Times New Roman" w:cs="Times New Roman"/>
                <w:b/>
                <w:kern w:val="2"/>
                <w:sz w:val="21"/>
              </w:rPr>
            </w:pPr>
            <w:r>
              <w:rPr>
                <w:rFonts w:ascii="Times New Roman" w:cs="Times New Roman"/>
                <w:b/>
                <w:kern w:val="2"/>
                <w:sz w:val="21"/>
              </w:rPr>
              <w:t>序号</w:t>
            </w:r>
          </w:p>
        </w:tc>
        <w:tc>
          <w:tcPr>
            <w:tcW w:w="1070" w:type="pct"/>
            <w:vAlign w:val="center"/>
          </w:tcPr>
          <w:p w:rsidR="00FE55B9" w:rsidRDefault="00FE55B9" w:rsidP="00FE55B9">
            <w:pPr>
              <w:topLinePunct w:val="0"/>
              <w:adjustRightInd/>
              <w:spacing w:line="240" w:lineRule="exact"/>
              <w:ind w:firstLineChars="0" w:firstLine="0"/>
              <w:jc w:val="center"/>
              <w:rPr>
                <w:rFonts w:ascii="Times New Roman" w:cs="Times New Roman"/>
                <w:b/>
                <w:kern w:val="2"/>
                <w:sz w:val="21"/>
              </w:rPr>
            </w:pPr>
            <w:r>
              <w:rPr>
                <w:rFonts w:ascii="Times New Roman" w:cs="Times New Roman"/>
                <w:b/>
                <w:kern w:val="2"/>
                <w:sz w:val="21"/>
              </w:rPr>
              <w:t>污染物名称</w:t>
            </w:r>
          </w:p>
        </w:tc>
        <w:tc>
          <w:tcPr>
            <w:tcW w:w="1043" w:type="pct"/>
            <w:vAlign w:val="center"/>
          </w:tcPr>
          <w:p w:rsidR="00FE55B9" w:rsidRDefault="00FE55B9" w:rsidP="00FE55B9">
            <w:pPr>
              <w:topLinePunct w:val="0"/>
              <w:adjustRightInd/>
              <w:spacing w:line="240" w:lineRule="exact"/>
              <w:ind w:firstLineChars="0" w:firstLine="0"/>
              <w:jc w:val="center"/>
              <w:rPr>
                <w:rFonts w:ascii="Times New Roman" w:cs="Times New Roman"/>
                <w:b/>
                <w:kern w:val="2"/>
                <w:sz w:val="21"/>
              </w:rPr>
            </w:pPr>
            <w:r>
              <w:rPr>
                <w:rFonts w:ascii="Times New Roman" w:cs="Times New Roman"/>
                <w:b/>
                <w:kern w:val="2"/>
                <w:sz w:val="21"/>
              </w:rPr>
              <w:t>CAS</w:t>
            </w:r>
            <w:r>
              <w:rPr>
                <w:rFonts w:ascii="Times New Roman" w:cs="Times New Roman"/>
                <w:b/>
                <w:kern w:val="2"/>
                <w:sz w:val="21"/>
              </w:rPr>
              <w:t>号</w:t>
            </w:r>
          </w:p>
        </w:tc>
        <w:tc>
          <w:tcPr>
            <w:tcW w:w="1301" w:type="pct"/>
            <w:vAlign w:val="center"/>
          </w:tcPr>
          <w:p w:rsidR="00FE55B9" w:rsidRDefault="00FE55B9" w:rsidP="00FE55B9">
            <w:pPr>
              <w:topLinePunct w:val="0"/>
              <w:adjustRightInd/>
              <w:spacing w:line="240" w:lineRule="exact"/>
              <w:ind w:firstLineChars="0" w:firstLine="0"/>
              <w:jc w:val="center"/>
              <w:rPr>
                <w:rFonts w:ascii="Times New Roman" w:cs="Times New Roman"/>
                <w:b/>
                <w:kern w:val="2"/>
                <w:sz w:val="21"/>
              </w:rPr>
            </w:pPr>
            <w:r>
              <w:rPr>
                <w:rFonts w:ascii="Times New Roman" w:cs="Times New Roman"/>
                <w:b/>
                <w:kern w:val="2"/>
                <w:sz w:val="21"/>
              </w:rPr>
              <w:t>毒性终点浓度</w:t>
            </w:r>
            <w:r>
              <w:rPr>
                <w:rFonts w:ascii="Times New Roman" w:cs="Times New Roman"/>
                <w:b/>
                <w:kern w:val="2"/>
                <w:sz w:val="21"/>
              </w:rPr>
              <w:t>-1/</w:t>
            </w:r>
            <w:r>
              <w:rPr>
                <w:rFonts w:ascii="Times New Roman" w:cs="Times New Roman"/>
                <w:b/>
                <w:kern w:val="2"/>
                <w:sz w:val="21"/>
              </w:rPr>
              <w:t>（</w:t>
            </w:r>
            <w:r>
              <w:rPr>
                <w:rFonts w:ascii="Times New Roman" w:cs="Times New Roman"/>
                <w:b/>
                <w:kern w:val="2"/>
                <w:sz w:val="21"/>
              </w:rPr>
              <w:t>mg/m</w:t>
            </w:r>
            <w:r>
              <w:rPr>
                <w:rFonts w:ascii="Times New Roman" w:cs="Times New Roman"/>
                <w:b/>
                <w:kern w:val="2"/>
                <w:sz w:val="21"/>
                <w:vertAlign w:val="superscript"/>
              </w:rPr>
              <w:t>3</w:t>
            </w:r>
            <w:r>
              <w:rPr>
                <w:rFonts w:ascii="Times New Roman" w:cs="Times New Roman"/>
                <w:b/>
                <w:kern w:val="2"/>
                <w:sz w:val="21"/>
              </w:rPr>
              <w:t>）</w:t>
            </w:r>
          </w:p>
        </w:tc>
        <w:tc>
          <w:tcPr>
            <w:tcW w:w="1142" w:type="pct"/>
            <w:vAlign w:val="center"/>
          </w:tcPr>
          <w:p w:rsidR="00FE55B9" w:rsidRDefault="00FE55B9" w:rsidP="00FE55B9">
            <w:pPr>
              <w:topLinePunct w:val="0"/>
              <w:adjustRightInd/>
              <w:spacing w:line="240" w:lineRule="exact"/>
              <w:ind w:firstLineChars="0" w:firstLine="0"/>
              <w:jc w:val="center"/>
              <w:rPr>
                <w:rFonts w:ascii="Times New Roman" w:cs="Times New Roman"/>
                <w:b/>
                <w:kern w:val="2"/>
                <w:sz w:val="21"/>
              </w:rPr>
            </w:pPr>
            <w:r>
              <w:rPr>
                <w:rFonts w:ascii="Times New Roman" w:cs="Times New Roman"/>
                <w:b/>
                <w:kern w:val="2"/>
                <w:sz w:val="21"/>
              </w:rPr>
              <w:t>毒性终点浓度</w:t>
            </w:r>
            <w:r>
              <w:rPr>
                <w:rFonts w:ascii="Times New Roman" w:cs="Times New Roman"/>
                <w:b/>
                <w:kern w:val="2"/>
                <w:sz w:val="21"/>
              </w:rPr>
              <w:t>-2/</w:t>
            </w:r>
            <w:r>
              <w:rPr>
                <w:rFonts w:ascii="Times New Roman" w:cs="Times New Roman"/>
                <w:b/>
                <w:kern w:val="2"/>
                <w:sz w:val="21"/>
              </w:rPr>
              <w:t>（</w:t>
            </w:r>
            <w:r>
              <w:rPr>
                <w:rFonts w:ascii="Times New Roman" w:cs="Times New Roman"/>
                <w:b/>
                <w:kern w:val="2"/>
                <w:sz w:val="21"/>
              </w:rPr>
              <w:t>mg/m</w:t>
            </w:r>
            <w:r>
              <w:rPr>
                <w:rFonts w:ascii="Times New Roman" w:cs="Times New Roman"/>
                <w:b/>
                <w:kern w:val="2"/>
                <w:sz w:val="21"/>
                <w:vertAlign w:val="superscript"/>
              </w:rPr>
              <w:t>3</w:t>
            </w:r>
            <w:r>
              <w:rPr>
                <w:rFonts w:ascii="Times New Roman" w:cs="Times New Roman"/>
                <w:b/>
                <w:kern w:val="2"/>
                <w:sz w:val="21"/>
              </w:rPr>
              <w:t>）</w:t>
            </w:r>
          </w:p>
        </w:tc>
      </w:tr>
      <w:tr w:rsidR="00FE55B9" w:rsidTr="00FE55B9">
        <w:trPr>
          <w:trHeight w:val="20"/>
          <w:jc w:val="center"/>
        </w:trPr>
        <w:tc>
          <w:tcPr>
            <w:tcW w:w="444" w:type="pct"/>
            <w:vAlign w:val="center"/>
          </w:tcPr>
          <w:p w:rsidR="00FE55B9" w:rsidRDefault="00FE55B9" w:rsidP="00FE55B9">
            <w:pPr>
              <w:topLinePunct w:val="0"/>
              <w:adjustRightInd/>
              <w:spacing w:line="240" w:lineRule="exact"/>
              <w:ind w:firstLineChars="0" w:firstLine="0"/>
              <w:jc w:val="center"/>
              <w:rPr>
                <w:rFonts w:ascii="Times New Roman" w:cs="Times New Roman"/>
                <w:kern w:val="2"/>
                <w:sz w:val="21"/>
              </w:rPr>
            </w:pPr>
            <w:r>
              <w:rPr>
                <w:rFonts w:ascii="Times New Roman" w:cs="Times New Roman"/>
                <w:kern w:val="2"/>
                <w:sz w:val="21"/>
              </w:rPr>
              <w:t>1</w:t>
            </w:r>
          </w:p>
        </w:tc>
        <w:tc>
          <w:tcPr>
            <w:tcW w:w="1070" w:type="pct"/>
            <w:vAlign w:val="center"/>
          </w:tcPr>
          <w:p w:rsidR="00FE55B9" w:rsidRDefault="00FE55B9" w:rsidP="00FE55B9">
            <w:pPr>
              <w:topLinePunct w:val="0"/>
              <w:adjustRightInd/>
              <w:spacing w:line="240" w:lineRule="exact"/>
              <w:ind w:firstLineChars="0" w:firstLine="0"/>
              <w:jc w:val="center"/>
              <w:rPr>
                <w:rFonts w:ascii="Times New Roman" w:cs="Times New Roman"/>
                <w:kern w:val="2"/>
                <w:sz w:val="21"/>
              </w:rPr>
            </w:pPr>
            <w:r>
              <w:rPr>
                <w:rFonts w:ascii="Times New Roman" w:cs="Times New Roman"/>
                <w:kern w:val="2"/>
                <w:sz w:val="21"/>
              </w:rPr>
              <w:t>甲烷</w:t>
            </w:r>
          </w:p>
        </w:tc>
        <w:tc>
          <w:tcPr>
            <w:tcW w:w="1043" w:type="pct"/>
            <w:vAlign w:val="center"/>
          </w:tcPr>
          <w:p w:rsidR="00FE55B9" w:rsidRDefault="00FE55B9" w:rsidP="00FE55B9">
            <w:pPr>
              <w:topLinePunct w:val="0"/>
              <w:adjustRightInd/>
              <w:spacing w:line="240" w:lineRule="exact"/>
              <w:ind w:firstLineChars="0" w:firstLine="0"/>
              <w:jc w:val="center"/>
              <w:rPr>
                <w:rFonts w:ascii="Times New Roman" w:cs="Times New Roman"/>
                <w:kern w:val="2"/>
                <w:sz w:val="21"/>
              </w:rPr>
            </w:pPr>
            <w:r>
              <w:rPr>
                <w:rFonts w:ascii="Times New Roman" w:cs="Times New Roman"/>
                <w:kern w:val="2"/>
                <w:sz w:val="21"/>
              </w:rPr>
              <w:t>74-82-8</w:t>
            </w:r>
          </w:p>
        </w:tc>
        <w:tc>
          <w:tcPr>
            <w:tcW w:w="1301" w:type="pct"/>
            <w:vAlign w:val="center"/>
          </w:tcPr>
          <w:p w:rsidR="00FE55B9" w:rsidRDefault="00FE55B9" w:rsidP="00FE55B9">
            <w:pPr>
              <w:topLinePunct w:val="0"/>
              <w:adjustRightInd/>
              <w:spacing w:line="240" w:lineRule="exact"/>
              <w:ind w:firstLineChars="0" w:firstLine="0"/>
              <w:jc w:val="center"/>
              <w:rPr>
                <w:rFonts w:ascii="Times New Roman" w:cs="Times New Roman"/>
                <w:kern w:val="2"/>
                <w:sz w:val="21"/>
              </w:rPr>
            </w:pPr>
            <w:r>
              <w:rPr>
                <w:rFonts w:ascii="Times New Roman" w:cs="Times New Roman"/>
                <w:kern w:val="2"/>
                <w:sz w:val="21"/>
              </w:rPr>
              <w:t>260000</w:t>
            </w:r>
          </w:p>
        </w:tc>
        <w:tc>
          <w:tcPr>
            <w:tcW w:w="1142" w:type="pct"/>
            <w:vAlign w:val="center"/>
          </w:tcPr>
          <w:p w:rsidR="00FE55B9" w:rsidRDefault="00FE55B9" w:rsidP="00FE55B9">
            <w:pPr>
              <w:topLinePunct w:val="0"/>
              <w:adjustRightInd/>
              <w:spacing w:line="240" w:lineRule="exact"/>
              <w:ind w:firstLineChars="0" w:firstLine="0"/>
              <w:jc w:val="center"/>
              <w:rPr>
                <w:rFonts w:ascii="Times New Roman" w:cs="Times New Roman"/>
                <w:kern w:val="2"/>
                <w:sz w:val="21"/>
              </w:rPr>
            </w:pPr>
            <w:r>
              <w:rPr>
                <w:rFonts w:ascii="Times New Roman" w:cs="Times New Roman"/>
                <w:kern w:val="2"/>
                <w:sz w:val="21"/>
              </w:rPr>
              <w:t>150000</w:t>
            </w:r>
          </w:p>
        </w:tc>
      </w:tr>
      <w:tr w:rsidR="00FE55B9" w:rsidTr="00FE55B9">
        <w:trPr>
          <w:trHeight w:val="20"/>
          <w:jc w:val="center"/>
        </w:trPr>
        <w:tc>
          <w:tcPr>
            <w:tcW w:w="444" w:type="pct"/>
            <w:vAlign w:val="center"/>
          </w:tcPr>
          <w:p w:rsidR="00FE55B9" w:rsidRDefault="00FE55B9" w:rsidP="00FE55B9">
            <w:pPr>
              <w:topLinePunct w:val="0"/>
              <w:adjustRightInd/>
              <w:spacing w:line="240" w:lineRule="exact"/>
              <w:ind w:firstLineChars="0" w:firstLine="0"/>
              <w:jc w:val="center"/>
              <w:rPr>
                <w:rFonts w:ascii="Times New Roman" w:cs="Times New Roman"/>
                <w:kern w:val="2"/>
                <w:sz w:val="21"/>
              </w:rPr>
            </w:pPr>
            <w:r>
              <w:rPr>
                <w:rFonts w:ascii="Times New Roman" w:cs="Times New Roman" w:hint="eastAsia"/>
                <w:kern w:val="2"/>
                <w:sz w:val="21"/>
              </w:rPr>
              <w:t>2</w:t>
            </w:r>
          </w:p>
        </w:tc>
        <w:tc>
          <w:tcPr>
            <w:tcW w:w="1070" w:type="pct"/>
            <w:vAlign w:val="center"/>
          </w:tcPr>
          <w:p w:rsidR="00FE55B9" w:rsidRDefault="00FE55B9" w:rsidP="00FE55B9">
            <w:pPr>
              <w:topLinePunct w:val="0"/>
              <w:adjustRightInd/>
              <w:spacing w:line="240" w:lineRule="exact"/>
              <w:ind w:firstLineChars="0" w:firstLine="0"/>
              <w:jc w:val="center"/>
              <w:rPr>
                <w:rFonts w:ascii="Times New Roman" w:cs="Times New Roman"/>
                <w:kern w:val="2"/>
                <w:sz w:val="21"/>
              </w:rPr>
            </w:pPr>
            <w:r>
              <w:rPr>
                <w:rFonts w:ascii="Times New Roman" w:cs="Times New Roman"/>
                <w:kern w:val="2"/>
                <w:sz w:val="21"/>
              </w:rPr>
              <w:t>硫化氢</w:t>
            </w:r>
          </w:p>
        </w:tc>
        <w:tc>
          <w:tcPr>
            <w:tcW w:w="1043" w:type="pct"/>
            <w:vAlign w:val="center"/>
          </w:tcPr>
          <w:p w:rsidR="00FE55B9" w:rsidRDefault="00FE55B9" w:rsidP="00FE55B9">
            <w:pPr>
              <w:topLinePunct w:val="0"/>
              <w:adjustRightInd/>
              <w:spacing w:line="240" w:lineRule="exact"/>
              <w:ind w:firstLineChars="0" w:firstLine="0"/>
              <w:jc w:val="center"/>
              <w:rPr>
                <w:rFonts w:ascii="Times New Roman" w:cs="Times New Roman"/>
                <w:kern w:val="2"/>
                <w:sz w:val="21"/>
              </w:rPr>
            </w:pPr>
            <w:r>
              <w:rPr>
                <w:rFonts w:ascii="Times New Roman" w:cs="Times New Roman"/>
                <w:kern w:val="2"/>
                <w:sz w:val="21"/>
              </w:rPr>
              <w:t>7783-06-4</w:t>
            </w:r>
          </w:p>
        </w:tc>
        <w:tc>
          <w:tcPr>
            <w:tcW w:w="1301" w:type="pct"/>
            <w:vAlign w:val="center"/>
          </w:tcPr>
          <w:p w:rsidR="00FE55B9" w:rsidRDefault="00FE55B9" w:rsidP="00FE55B9">
            <w:pPr>
              <w:topLinePunct w:val="0"/>
              <w:adjustRightInd/>
              <w:spacing w:line="240" w:lineRule="exact"/>
              <w:ind w:firstLineChars="0" w:firstLine="0"/>
              <w:jc w:val="center"/>
              <w:rPr>
                <w:rFonts w:ascii="Times New Roman" w:cs="Times New Roman"/>
                <w:kern w:val="2"/>
                <w:sz w:val="21"/>
              </w:rPr>
            </w:pPr>
            <w:r>
              <w:rPr>
                <w:rFonts w:ascii="Times New Roman" w:cs="Times New Roman" w:hint="eastAsia"/>
                <w:kern w:val="2"/>
                <w:sz w:val="21"/>
              </w:rPr>
              <w:t>70</w:t>
            </w:r>
          </w:p>
        </w:tc>
        <w:tc>
          <w:tcPr>
            <w:tcW w:w="1142" w:type="pct"/>
            <w:vAlign w:val="center"/>
          </w:tcPr>
          <w:p w:rsidR="00FE55B9" w:rsidRDefault="00FE55B9" w:rsidP="00FE55B9">
            <w:pPr>
              <w:topLinePunct w:val="0"/>
              <w:adjustRightInd/>
              <w:spacing w:line="240" w:lineRule="exact"/>
              <w:ind w:firstLineChars="0" w:firstLine="0"/>
              <w:jc w:val="center"/>
              <w:rPr>
                <w:rFonts w:ascii="Times New Roman" w:cs="Times New Roman"/>
                <w:kern w:val="2"/>
                <w:sz w:val="21"/>
              </w:rPr>
            </w:pPr>
            <w:r>
              <w:rPr>
                <w:rFonts w:ascii="Times New Roman" w:cs="Times New Roman" w:hint="eastAsia"/>
                <w:kern w:val="2"/>
                <w:sz w:val="21"/>
              </w:rPr>
              <w:t>38</w:t>
            </w:r>
          </w:p>
        </w:tc>
      </w:tr>
    </w:tbl>
    <w:p w:rsidR="00FE55B9" w:rsidRDefault="00FE55B9" w:rsidP="00FE55B9">
      <w:pPr>
        <w:topLinePunct w:val="0"/>
        <w:adjustRightInd/>
        <w:ind w:firstLine="482"/>
        <w:rPr>
          <w:rFonts w:ascii="Times New Roman" w:cs="Times New Roman"/>
          <w:b/>
          <w:kern w:val="2"/>
        </w:rPr>
      </w:pPr>
      <w:r>
        <w:rPr>
          <w:rFonts w:ascii="Times New Roman" w:cs="Times New Roman"/>
          <w:b/>
          <w:kern w:val="2"/>
        </w:rPr>
        <w:t>（</w:t>
      </w:r>
      <w:r>
        <w:rPr>
          <w:rFonts w:ascii="Times New Roman" w:cs="Times New Roman" w:hint="eastAsia"/>
          <w:b/>
          <w:kern w:val="2"/>
        </w:rPr>
        <w:t>5</w:t>
      </w:r>
      <w:r>
        <w:rPr>
          <w:rFonts w:ascii="Times New Roman" w:cs="Times New Roman"/>
          <w:b/>
          <w:kern w:val="2"/>
        </w:rPr>
        <w:t>）计算结果</w:t>
      </w:r>
    </w:p>
    <w:p w:rsidR="00FE55B9" w:rsidRDefault="00FE55B9" w:rsidP="00FE55B9">
      <w:pPr>
        <w:pStyle w:val="affa"/>
        <w:ind w:firstLine="480"/>
      </w:pPr>
      <w:r>
        <w:rPr>
          <w:kern w:val="2"/>
        </w:rPr>
        <w:t>评价选取最不利气象状况下，计算下风向甲烷和硫化氢的最大浓度。预测结果见表</w:t>
      </w:r>
      <w:r>
        <w:rPr>
          <w:rFonts w:hint="eastAsia"/>
          <w:kern w:val="2"/>
        </w:rPr>
        <w:t>7</w:t>
      </w:r>
      <w:r>
        <w:rPr>
          <w:kern w:val="2"/>
        </w:rPr>
        <w:t>.</w:t>
      </w:r>
      <w:r>
        <w:rPr>
          <w:rFonts w:hint="eastAsia"/>
          <w:kern w:val="2"/>
        </w:rPr>
        <w:t>8</w:t>
      </w:r>
      <w:r>
        <w:rPr>
          <w:kern w:val="2"/>
        </w:rPr>
        <w:t>-3</w:t>
      </w:r>
      <w:r>
        <w:rPr>
          <w:kern w:val="2"/>
        </w:rPr>
        <w:t>和表</w:t>
      </w:r>
      <w:r>
        <w:rPr>
          <w:rFonts w:hint="eastAsia"/>
          <w:kern w:val="2"/>
        </w:rPr>
        <w:t>7</w:t>
      </w:r>
      <w:r>
        <w:rPr>
          <w:kern w:val="2"/>
        </w:rPr>
        <w:t>.</w:t>
      </w:r>
      <w:r>
        <w:rPr>
          <w:rFonts w:hint="eastAsia"/>
          <w:kern w:val="2"/>
        </w:rPr>
        <w:t>8</w:t>
      </w:r>
      <w:r>
        <w:rPr>
          <w:kern w:val="2"/>
        </w:rPr>
        <w:t>-</w:t>
      </w:r>
      <w:r>
        <w:rPr>
          <w:rFonts w:hint="eastAsia"/>
          <w:kern w:val="2"/>
        </w:rPr>
        <w:t>4</w:t>
      </w:r>
      <w:r>
        <w:rPr>
          <w:kern w:val="2"/>
        </w:rPr>
        <w:t>。</w:t>
      </w:r>
    </w:p>
    <w:p w:rsidR="00FE55B9" w:rsidRDefault="00FE55B9" w:rsidP="00FE55B9">
      <w:pPr>
        <w:topLinePunct w:val="0"/>
        <w:adjustRightInd/>
        <w:ind w:firstLineChars="0" w:firstLine="0"/>
        <w:jc w:val="center"/>
        <w:rPr>
          <w:rFonts w:ascii="Times New Roman" w:cs="Times New Roman"/>
          <w:b/>
          <w:kern w:val="2"/>
          <w:sz w:val="21"/>
          <w:szCs w:val="21"/>
          <w:vertAlign w:val="superscript"/>
        </w:rPr>
      </w:pPr>
      <w:r>
        <w:rPr>
          <w:rFonts w:ascii="Times New Roman" w:cs="Times New Roman"/>
          <w:b/>
          <w:kern w:val="2"/>
          <w:sz w:val="21"/>
          <w:szCs w:val="21"/>
        </w:rPr>
        <w:t>表</w:t>
      </w:r>
      <w:r>
        <w:rPr>
          <w:rFonts w:ascii="Times New Roman" w:cs="Times New Roman" w:hint="eastAsia"/>
          <w:b/>
          <w:kern w:val="2"/>
          <w:sz w:val="21"/>
          <w:szCs w:val="21"/>
        </w:rPr>
        <w:t>7</w:t>
      </w:r>
      <w:r>
        <w:rPr>
          <w:rFonts w:ascii="Times New Roman" w:cs="Times New Roman"/>
          <w:b/>
          <w:kern w:val="2"/>
          <w:sz w:val="21"/>
          <w:szCs w:val="21"/>
        </w:rPr>
        <w:t>.</w:t>
      </w:r>
      <w:r>
        <w:rPr>
          <w:rFonts w:ascii="Times New Roman" w:cs="Times New Roman" w:hint="eastAsia"/>
          <w:b/>
          <w:kern w:val="2"/>
          <w:sz w:val="21"/>
          <w:szCs w:val="21"/>
        </w:rPr>
        <w:t>8</w:t>
      </w:r>
      <w:r>
        <w:rPr>
          <w:rFonts w:ascii="Times New Roman" w:cs="Times New Roman"/>
          <w:b/>
          <w:kern w:val="2"/>
          <w:sz w:val="21"/>
          <w:szCs w:val="21"/>
        </w:rPr>
        <w:t xml:space="preserve">-3  </w:t>
      </w:r>
      <w:r>
        <w:rPr>
          <w:rFonts w:ascii="Times New Roman" w:cs="Times New Roman"/>
          <w:b/>
          <w:bCs/>
          <w:kern w:val="2"/>
          <w:sz w:val="21"/>
          <w:szCs w:val="21"/>
        </w:rPr>
        <w:t>甲烷泄漏时下风向</w:t>
      </w:r>
      <w:r>
        <w:rPr>
          <w:rFonts w:ascii="Times New Roman" w:cs="Times New Roman"/>
          <w:b/>
          <w:kern w:val="2"/>
          <w:sz w:val="21"/>
          <w:szCs w:val="21"/>
        </w:rPr>
        <w:t>浓度</w:t>
      </w:r>
      <w:r>
        <w:rPr>
          <w:rFonts w:ascii="Times New Roman" w:cs="Times New Roman"/>
          <w:b/>
          <w:bCs/>
          <w:kern w:val="2"/>
          <w:sz w:val="21"/>
          <w:szCs w:val="21"/>
        </w:rPr>
        <w:t>分布表</w:t>
      </w:r>
      <w:r>
        <w:rPr>
          <w:rFonts w:ascii="Times New Roman" w:cs="Times New Roman"/>
          <w:b/>
          <w:kern w:val="2"/>
          <w:sz w:val="21"/>
          <w:szCs w:val="21"/>
        </w:rPr>
        <w:t xml:space="preserve">  </w:t>
      </w:r>
      <w:r>
        <w:rPr>
          <w:rFonts w:ascii="Times New Roman" w:cs="Times New Roman"/>
          <w:b/>
          <w:kern w:val="2"/>
          <w:sz w:val="21"/>
          <w:szCs w:val="21"/>
        </w:rPr>
        <w:t>单位：</w:t>
      </w:r>
      <w:r>
        <w:rPr>
          <w:rFonts w:ascii="Times New Roman" w:cs="Times New Roman"/>
          <w:b/>
          <w:kern w:val="2"/>
          <w:sz w:val="21"/>
          <w:szCs w:val="21"/>
        </w:rPr>
        <w:t>mg/m</w:t>
      </w:r>
      <w:r>
        <w:rPr>
          <w:rFonts w:ascii="Times New Roman" w:cs="Times New Roman"/>
          <w:b/>
          <w:kern w:val="2"/>
          <w:sz w:val="21"/>
          <w:szCs w:val="21"/>
          <w:vertAlign w:val="superscript"/>
        </w:rPr>
        <w:t>3</w:t>
      </w:r>
    </w:p>
    <w:tbl>
      <w:tblPr>
        <w:tblW w:w="5000" w:type="pct"/>
        <w:jc w:val="center"/>
        <w:tblBorders>
          <w:top w:val="single" w:sz="12" w:space="0" w:color="auto"/>
          <w:bottom w:val="single" w:sz="12" w:space="0" w:color="auto"/>
          <w:insideH w:val="single" w:sz="6" w:space="0" w:color="auto"/>
          <w:insideV w:val="single" w:sz="6" w:space="0" w:color="auto"/>
        </w:tblBorders>
        <w:tblLook w:val="04A0"/>
      </w:tblPr>
      <w:tblGrid>
        <w:gridCol w:w="2705"/>
        <w:gridCol w:w="2630"/>
        <w:gridCol w:w="3187"/>
      </w:tblGrid>
      <w:tr w:rsidR="00FE55B9" w:rsidTr="00FE55B9">
        <w:trPr>
          <w:trHeight w:val="290"/>
          <w:jc w:val="center"/>
        </w:trPr>
        <w:tc>
          <w:tcPr>
            <w:tcW w:w="1587" w:type="pct"/>
            <w:shd w:val="clear" w:color="auto" w:fill="auto"/>
            <w:noWrap/>
            <w:vAlign w:val="center"/>
          </w:tcPr>
          <w:p w:rsidR="00FE55B9" w:rsidRDefault="00FE55B9" w:rsidP="00FE55B9">
            <w:pPr>
              <w:widowControl/>
              <w:topLinePunct w:val="0"/>
              <w:adjustRightInd/>
              <w:ind w:firstLine="422"/>
              <w:jc w:val="center"/>
              <w:rPr>
                <w:rFonts w:ascii="Times New Roman" w:eastAsia="等线" w:cs="Times New Roman"/>
                <w:b/>
                <w:sz w:val="21"/>
                <w:szCs w:val="21"/>
              </w:rPr>
            </w:pPr>
            <w:r>
              <w:rPr>
                <w:rFonts w:ascii="Times New Roman" w:cs="Times New Roman"/>
                <w:b/>
                <w:kern w:val="2"/>
                <w:sz w:val="21"/>
                <w:szCs w:val="21"/>
              </w:rPr>
              <w:t>下风向距离</w:t>
            </w:r>
            <w:r>
              <w:rPr>
                <w:rFonts w:ascii="Times New Roman" w:cs="Times New Roman" w:hint="eastAsia"/>
                <w:b/>
                <w:kern w:val="2"/>
                <w:sz w:val="21"/>
                <w:szCs w:val="21"/>
              </w:rPr>
              <w:t>（</w:t>
            </w:r>
            <w:r>
              <w:rPr>
                <w:rFonts w:ascii="Times New Roman" w:cs="Times New Roman"/>
                <w:b/>
                <w:kern w:val="2"/>
                <w:sz w:val="21"/>
                <w:szCs w:val="21"/>
              </w:rPr>
              <w:t>m</w:t>
            </w:r>
            <w:r>
              <w:rPr>
                <w:rFonts w:ascii="Times New Roman" w:cs="Times New Roman" w:hint="eastAsia"/>
                <w:b/>
                <w:kern w:val="2"/>
                <w:sz w:val="21"/>
                <w:szCs w:val="21"/>
              </w:rPr>
              <w:t>）</w:t>
            </w:r>
          </w:p>
        </w:tc>
        <w:tc>
          <w:tcPr>
            <w:tcW w:w="1543" w:type="pct"/>
            <w:shd w:val="clear" w:color="auto" w:fill="auto"/>
            <w:vAlign w:val="center"/>
          </w:tcPr>
          <w:p w:rsidR="00FE55B9" w:rsidRDefault="00FE55B9" w:rsidP="00FE55B9">
            <w:pPr>
              <w:widowControl/>
              <w:topLinePunct w:val="0"/>
              <w:adjustRightInd/>
              <w:ind w:firstLine="422"/>
              <w:jc w:val="center"/>
              <w:rPr>
                <w:rFonts w:ascii="Times New Roman" w:eastAsia="等线" w:cs="Times New Roman"/>
                <w:b/>
                <w:sz w:val="21"/>
                <w:szCs w:val="21"/>
              </w:rPr>
            </w:pPr>
            <w:r>
              <w:rPr>
                <w:rFonts w:ascii="Times New Roman" w:cs="Times New Roman"/>
                <w:b/>
                <w:kern w:val="2"/>
                <w:sz w:val="21"/>
                <w:szCs w:val="21"/>
              </w:rPr>
              <w:t>浓度出现时间</w:t>
            </w:r>
            <w:r>
              <w:rPr>
                <w:rFonts w:ascii="Times New Roman" w:cs="Times New Roman" w:hint="eastAsia"/>
                <w:b/>
                <w:kern w:val="2"/>
                <w:sz w:val="21"/>
                <w:szCs w:val="21"/>
              </w:rPr>
              <w:t>（</w:t>
            </w:r>
            <w:r>
              <w:rPr>
                <w:rFonts w:ascii="Times New Roman" w:cs="Times New Roman"/>
                <w:b/>
                <w:kern w:val="2"/>
                <w:sz w:val="21"/>
                <w:szCs w:val="21"/>
              </w:rPr>
              <w:t>min</w:t>
            </w:r>
            <w:r>
              <w:rPr>
                <w:rFonts w:ascii="Times New Roman" w:cs="Times New Roman" w:hint="eastAsia"/>
                <w:b/>
                <w:kern w:val="2"/>
                <w:sz w:val="21"/>
                <w:szCs w:val="21"/>
              </w:rPr>
              <w:t>）</w:t>
            </w:r>
          </w:p>
        </w:tc>
        <w:tc>
          <w:tcPr>
            <w:tcW w:w="1870" w:type="pct"/>
            <w:shd w:val="clear" w:color="auto" w:fill="auto"/>
            <w:vAlign w:val="center"/>
          </w:tcPr>
          <w:p w:rsidR="00FE55B9" w:rsidRDefault="00FE55B9" w:rsidP="00FE55B9">
            <w:pPr>
              <w:widowControl/>
              <w:topLinePunct w:val="0"/>
              <w:adjustRightInd/>
              <w:ind w:firstLineChars="100" w:firstLine="211"/>
              <w:jc w:val="center"/>
              <w:rPr>
                <w:rFonts w:ascii="Times New Roman" w:eastAsia="等线" w:cs="Times New Roman"/>
                <w:b/>
                <w:sz w:val="21"/>
                <w:szCs w:val="21"/>
              </w:rPr>
            </w:pPr>
            <w:r>
              <w:rPr>
                <w:rFonts w:ascii="Times New Roman" w:cs="Times New Roman"/>
                <w:b/>
                <w:kern w:val="2"/>
                <w:sz w:val="21"/>
                <w:szCs w:val="21"/>
              </w:rPr>
              <w:t>高峰浓度</w:t>
            </w:r>
            <w:r>
              <w:rPr>
                <w:rFonts w:ascii="Times New Roman" w:cs="Times New Roman" w:hint="eastAsia"/>
                <w:b/>
                <w:kern w:val="2"/>
                <w:sz w:val="21"/>
                <w:szCs w:val="21"/>
              </w:rPr>
              <w:t>（</w:t>
            </w:r>
            <w:r>
              <w:rPr>
                <w:rFonts w:ascii="Times New Roman" w:cs="Times New Roman"/>
                <w:b/>
                <w:kern w:val="2"/>
                <w:sz w:val="21"/>
                <w:szCs w:val="21"/>
              </w:rPr>
              <w:t>mg/m</w:t>
            </w:r>
            <w:r>
              <w:rPr>
                <w:rFonts w:ascii="Times New Roman" w:cs="Times New Roman"/>
                <w:b/>
                <w:kern w:val="2"/>
                <w:sz w:val="21"/>
                <w:szCs w:val="21"/>
                <w:vertAlign w:val="superscript"/>
              </w:rPr>
              <w:t>3</w:t>
            </w:r>
            <w:r>
              <w:rPr>
                <w:rFonts w:ascii="Times New Roman" w:cs="Times New Roman" w:hint="eastAsia"/>
                <w:b/>
                <w:kern w:val="2"/>
                <w:sz w:val="21"/>
                <w:szCs w:val="21"/>
              </w:rPr>
              <w:t>）</w:t>
            </w:r>
          </w:p>
        </w:tc>
      </w:tr>
      <w:tr w:rsidR="00FE55B9" w:rsidTr="00FE55B9">
        <w:trPr>
          <w:trHeight w:val="290"/>
          <w:jc w:val="center"/>
        </w:trPr>
        <w:tc>
          <w:tcPr>
            <w:tcW w:w="1587" w:type="pct"/>
            <w:shd w:val="clear" w:color="auto" w:fill="auto"/>
            <w:noWrap/>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10</w:t>
            </w:r>
          </w:p>
        </w:tc>
        <w:tc>
          <w:tcPr>
            <w:tcW w:w="1543" w:type="pct"/>
            <w:shd w:val="clear" w:color="auto" w:fill="auto"/>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0.</w:t>
            </w:r>
            <w:r>
              <w:rPr>
                <w:rFonts w:ascii="Times New Roman" w:eastAsia="等线" w:cs="Times New Roman" w:hint="eastAsia"/>
                <w:sz w:val="21"/>
                <w:szCs w:val="21"/>
              </w:rPr>
              <w:t>1</w:t>
            </w:r>
          </w:p>
        </w:tc>
        <w:tc>
          <w:tcPr>
            <w:tcW w:w="1870" w:type="pct"/>
            <w:shd w:val="clear" w:color="auto" w:fill="auto"/>
            <w:vAlign w:val="center"/>
          </w:tcPr>
          <w:p w:rsidR="00FE55B9" w:rsidRDefault="00E0169A" w:rsidP="00E0169A">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657</w:t>
            </w:r>
            <w:r w:rsidR="00FE55B9">
              <w:rPr>
                <w:rFonts w:ascii="Times New Roman" w:eastAsia="等线" w:cs="Times New Roman" w:hint="eastAsia"/>
                <w:sz w:val="21"/>
                <w:szCs w:val="21"/>
              </w:rPr>
              <w:t>.</w:t>
            </w:r>
            <w:r>
              <w:rPr>
                <w:rFonts w:ascii="Times New Roman" w:eastAsia="等线" w:cs="Times New Roman" w:hint="eastAsia"/>
                <w:sz w:val="21"/>
                <w:szCs w:val="21"/>
              </w:rPr>
              <w:t>3</w:t>
            </w:r>
          </w:p>
        </w:tc>
      </w:tr>
      <w:tr w:rsidR="00FE55B9" w:rsidTr="00FE55B9">
        <w:trPr>
          <w:trHeight w:val="290"/>
          <w:jc w:val="center"/>
        </w:trPr>
        <w:tc>
          <w:tcPr>
            <w:tcW w:w="1587" w:type="pct"/>
            <w:shd w:val="clear" w:color="auto" w:fill="auto"/>
            <w:noWrap/>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110</w:t>
            </w:r>
          </w:p>
        </w:tc>
        <w:tc>
          <w:tcPr>
            <w:tcW w:w="1543" w:type="pct"/>
            <w:shd w:val="clear" w:color="auto" w:fill="auto"/>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0.</w:t>
            </w:r>
            <w:r>
              <w:rPr>
                <w:rFonts w:ascii="Times New Roman" w:eastAsia="等线" w:cs="Times New Roman" w:hint="eastAsia"/>
                <w:sz w:val="21"/>
                <w:szCs w:val="21"/>
              </w:rPr>
              <w:t>9</w:t>
            </w:r>
          </w:p>
        </w:tc>
        <w:tc>
          <w:tcPr>
            <w:tcW w:w="1870" w:type="pct"/>
            <w:shd w:val="clear" w:color="auto" w:fill="auto"/>
            <w:vAlign w:val="center"/>
          </w:tcPr>
          <w:p w:rsidR="00FE55B9" w:rsidRDefault="00E0169A" w:rsidP="00E0169A">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94572</w:t>
            </w:r>
            <w:r w:rsidR="00FE55B9">
              <w:rPr>
                <w:rFonts w:ascii="Times New Roman" w:eastAsia="等线" w:cs="Times New Roman" w:hint="eastAsia"/>
                <w:sz w:val="21"/>
                <w:szCs w:val="21"/>
              </w:rPr>
              <w:t>.</w:t>
            </w:r>
            <w:r>
              <w:rPr>
                <w:rFonts w:ascii="Times New Roman" w:eastAsia="等线" w:cs="Times New Roman" w:hint="eastAsia"/>
                <w:sz w:val="21"/>
                <w:szCs w:val="21"/>
              </w:rPr>
              <w:t>2</w:t>
            </w:r>
          </w:p>
        </w:tc>
      </w:tr>
      <w:tr w:rsidR="00FE55B9" w:rsidTr="00FE55B9">
        <w:trPr>
          <w:trHeight w:val="290"/>
          <w:jc w:val="center"/>
        </w:trPr>
        <w:tc>
          <w:tcPr>
            <w:tcW w:w="1587" w:type="pct"/>
            <w:shd w:val="clear" w:color="auto" w:fill="auto"/>
            <w:noWrap/>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210</w:t>
            </w:r>
          </w:p>
        </w:tc>
        <w:tc>
          <w:tcPr>
            <w:tcW w:w="1543" w:type="pct"/>
            <w:shd w:val="clear" w:color="auto" w:fill="auto"/>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1.8</w:t>
            </w:r>
          </w:p>
        </w:tc>
        <w:tc>
          <w:tcPr>
            <w:tcW w:w="1870" w:type="pct"/>
            <w:shd w:val="clear" w:color="auto" w:fill="auto"/>
            <w:vAlign w:val="center"/>
          </w:tcPr>
          <w:p w:rsidR="00FE55B9" w:rsidRDefault="00E0169A" w:rsidP="00E0169A">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43254</w:t>
            </w:r>
            <w:r w:rsidR="00FE55B9">
              <w:rPr>
                <w:rFonts w:ascii="Times New Roman" w:eastAsia="等线" w:cs="Times New Roman" w:hint="eastAsia"/>
                <w:sz w:val="21"/>
                <w:szCs w:val="21"/>
              </w:rPr>
              <w:t>.</w:t>
            </w:r>
            <w:r>
              <w:rPr>
                <w:rFonts w:ascii="Times New Roman" w:eastAsia="等线" w:cs="Times New Roman" w:hint="eastAsia"/>
                <w:sz w:val="21"/>
                <w:szCs w:val="21"/>
              </w:rPr>
              <w:t>3</w:t>
            </w:r>
          </w:p>
        </w:tc>
      </w:tr>
      <w:tr w:rsidR="00FE55B9" w:rsidTr="00FE55B9">
        <w:trPr>
          <w:trHeight w:val="290"/>
          <w:jc w:val="center"/>
        </w:trPr>
        <w:tc>
          <w:tcPr>
            <w:tcW w:w="1587" w:type="pct"/>
            <w:shd w:val="clear" w:color="auto" w:fill="auto"/>
            <w:noWrap/>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310</w:t>
            </w:r>
          </w:p>
        </w:tc>
        <w:tc>
          <w:tcPr>
            <w:tcW w:w="1543" w:type="pct"/>
            <w:shd w:val="clear" w:color="auto" w:fill="auto"/>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2.6</w:t>
            </w:r>
          </w:p>
        </w:tc>
        <w:tc>
          <w:tcPr>
            <w:tcW w:w="1870" w:type="pct"/>
            <w:shd w:val="clear" w:color="auto" w:fill="auto"/>
            <w:vAlign w:val="center"/>
          </w:tcPr>
          <w:p w:rsidR="00FE55B9" w:rsidRDefault="00E0169A" w:rsidP="00E0169A">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24</w:t>
            </w:r>
            <w:r w:rsidR="00FE55B9">
              <w:rPr>
                <w:rFonts w:ascii="Times New Roman" w:eastAsia="等线" w:cs="Times New Roman" w:hint="eastAsia"/>
                <w:sz w:val="21"/>
                <w:szCs w:val="21"/>
              </w:rPr>
              <w:t>2</w:t>
            </w:r>
            <w:r>
              <w:rPr>
                <w:rFonts w:ascii="Times New Roman" w:eastAsia="等线" w:cs="Times New Roman" w:hint="eastAsia"/>
                <w:sz w:val="21"/>
                <w:szCs w:val="21"/>
              </w:rPr>
              <w:t>57</w:t>
            </w:r>
            <w:r w:rsidR="00FE55B9">
              <w:rPr>
                <w:rFonts w:ascii="Times New Roman" w:eastAsia="等线" w:cs="Times New Roman" w:hint="eastAsia"/>
                <w:sz w:val="21"/>
                <w:szCs w:val="21"/>
              </w:rPr>
              <w:t>.</w:t>
            </w:r>
            <w:r>
              <w:rPr>
                <w:rFonts w:ascii="Times New Roman" w:eastAsia="等线" w:cs="Times New Roman" w:hint="eastAsia"/>
                <w:sz w:val="21"/>
                <w:szCs w:val="21"/>
              </w:rPr>
              <w:t>8</w:t>
            </w:r>
          </w:p>
        </w:tc>
      </w:tr>
      <w:tr w:rsidR="00FE55B9" w:rsidTr="00FE55B9">
        <w:trPr>
          <w:trHeight w:val="290"/>
          <w:jc w:val="center"/>
        </w:trPr>
        <w:tc>
          <w:tcPr>
            <w:tcW w:w="1587" w:type="pct"/>
            <w:shd w:val="clear" w:color="auto" w:fill="auto"/>
            <w:noWrap/>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410</w:t>
            </w:r>
          </w:p>
        </w:tc>
        <w:tc>
          <w:tcPr>
            <w:tcW w:w="1543" w:type="pct"/>
            <w:shd w:val="clear" w:color="auto" w:fill="auto"/>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3.4</w:t>
            </w:r>
          </w:p>
        </w:tc>
        <w:tc>
          <w:tcPr>
            <w:tcW w:w="1870" w:type="pct"/>
            <w:shd w:val="clear" w:color="auto" w:fill="auto"/>
            <w:vAlign w:val="center"/>
          </w:tcPr>
          <w:p w:rsidR="00FE55B9" w:rsidRDefault="00E0169A" w:rsidP="00E0169A">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23727</w:t>
            </w:r>
            <w:r w:rsidR="00FE55B9">
              <w:rPr>
                <w:rFonts w:ascii="Times New Roman" w:eastAsia="等线" w:cs="Times New Roman" w:hint="eastAsia"/>
                <w:sz w:val="21"/>
                <w:szCs w:val="21"/>
              </w:rPr>
              <w:t>.</w:t>
            </w:r>
            <w:r>
              <w:rPr>
                <w:rFonts w:ascii="Times New Roman" w:eastAsia="等线" w:cs="Times New Roman" w:hint="eastAsia"/>
                <w:sz w:val="21"/>
                <w:szCs w:val="21"/>
              </w:rPr>
              <w:t>5</w:t>
            </w:r>
          </w:p>
        </w:tc>
      </w:tr>
      <w:tr w:rsidR="00FE55B9" w:rsidTr="00FE55B9">
        <w:trPr>
          <w:trHeight w:val="290"/>
          <w:jc w:val="center"/>
        </w:trPr>
        <w:tc>
          <w:tcPr>
            <w:tcW w:w="1587" w:type="pct"/>
            <w:shd w:val="clear" w:color="auto" w:fill="auto"/>
            <w:noWrap/>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lastRenderedPageBreak/>
              <w:t>510</w:t>
            </w:r>
          </w:p>
        </w:tc>
        <w:tc>
          <w:tcPr>
            <w:tcW w:w="1543" w:type="pct"/>
            <w:shd w:val="clear" w:color="auto" w:fill="auto"/>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4.3</w:t>
            </w:r>
          </w:p>
        </w:tc>
        <w:tc>
          <w:tcPr>
            <w:tcW w:w="1870" w:type="pct"/>
            <w:shd w:val="clear" w:color="auto" w:fill="auto"/>
            <w:vAlign w:val="center"/>
          </w:tcPr>
          <w:p w:rsidR="00FE55B9" w:rsidRDefault="00E0169A" w:rsidP="00E0169A">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21576</w:t>
            </w:r>
            <w:r w:rsidR="00FE55B9">
              <w:rPr>
                <w:rFonts w:ascii="Times New Roman" w:eastAsia="等线" w:cs="Times New Roman" w:hint="eastAsia"/>
                <w:sz w:val="21"/>
                <w:szCs w:val="21"/>
              </w:rPr>
              <w:t>.</w:t>
            </w:r>
            <w:r>
              <w:rPr>
                <w:rFonts w:ascii="Times New Roman" w:eastAsia="等线" w:cs="Times New Roman" w:hint="eastAsia"/>
                <w:sz w:val="21"/>
                <w:szCs w:val="21"/>
              </w:rPr>
              <w:t>5</w:t>
            </w:r>
          </w:p>
        </w:tc>
      </w:tr>
      <w:tr w:rsidR="00FE55B9" w:rsidTr="00FE55B9">
        <w:trPr>
          <w:trHeight w:val="290"/>
          <w:jc w:val="center"/>
        </w:trPr>
        <w:tc>
          <w:tcPr>
            <w:tcW w:w="1587" w:type="pct"/>
            <w:shd w:val="clear" w:color="auto" w:fill="auto"/>
            <w:noWrap/>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610</w:t>
            </w:r>
          </w:p>
        </w:tc>
        <w:tc>
          <w:tcPr>
            <w:tcW w:w="1543" w:type="pct"/>
            <w:shd w:val="clear" w:color="auto" w:fill="auto"/>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5.1</w:t>
            </w:r>
          </w:p>
        </w:tc>
        <w:tc>
          <w:tcPr>
            <w:tcW w:w="1870" w:type="pct"/>
            <w:shd w:val="clear" w:color="auto" w:fill="auto"/>
            <w:vAlign w:val="center"/>
          </w:tcPr>
          <w:p w:rsidR="00FE55B9" w:rsidRDefault="00E0169A" w:rsidP="00E0169A">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20548</w:t>
            </w:r>
            <w:r w:rsidR="00FE55B9">
              <w:rPr>
                <w:rFonts w:ascii="Times New Roman" w:eastAsia="等线" w:cs="Times New Roman" w:hint="eastAsia"/>
                <w:sz w:val="21"/>
                <w:szCs w:val="21"/>
              </w:rPr>
              <w:t>.</w:t>
            </w:r>
            <w:r>
              <w:rPr>
                <w:rFonts w:ascii="Times New Roman" w:eastAsia="等线" w:cs="Times New Roman" w:hint="eastAsia"/>
                <w:sz w:val="21"/>
                <w:szCs w:val="21"/>
              </w:rPr>
              <w:t>5</w:t>
            </w:r>
          </w:p>
        </w:tc>
      </w:tr>
      <w:tr w:rsidR="00FE55B9" w:rsidTr="00FE55B9">
        <w:trPr>
          <w:trHeight w:val="290"/>
          <w:jc w:val="center"/>
        </w:trPr>
        <w:tc>
          <w:tcPr>
            <w:tcW w:w="1587" w:type="pct"/>
            <w:shd w:val="clear" w:color="auto" w:fill="auto"/>
            <w:noWrap/>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710</w:t>
            </w:r>
          </w:p>
        </w:tc>
        <w:tc>
          <w:tcPr>
            <w:tcW w:w="1543" w:type="pct"/>
            <w:shd w:val="clear" w:color="auto" w:fill="auto"/>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5.9</w:t>
            </w:r>
          </w:p>
        </w:tc>
        <w:tc>
          <w:tcPr>
            <w:tcW w:w="1870" w:type="pct"/>
            <w:shd w:val="clear" w:color="auto" w:fill="auto"/>
            <w:vAlign w:val="center"/>
          </w:tcPr>
          <w:p w:rsidR="00FE55B9" w:rsidRDefault="00E0169A" w:rsidP="00E0169A">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18572</w:t>
            </w:r>
            <w:r w:rsidR="00FE55B9">
              <w:rPr>
                <w:rFonts w:ascii="Times New Roman" w:eastAsia="等线" w:cs="Times New Roman" w:hint="eastAsia"/>
                <w:sz w:val="21"/>
                <w:szCs w:val="21"/>
              </w:rPr>
              <w:t>.</w:t>
            </w:r>
            <w:r>
              <w:rPr>
                <w:rFonts w:ascii="Times New Roman" w:eastAsia="等线" w:cs="Times New Roman" w:hint="eastAsia"/>
                <w:sz w:val="21"/>
                <w:szCs w:val="21"/>
              </w:rPr>
              <w:t>3</w:t>
            </w:r>
          </w:p>
        </w:tc>
      </w:tr>
      <w:tr w:rsidR="00FE55B9" w:rsidTr="00FE55B9">
        <w:trPr>
          <w:trHeight w:val="290"/>
          <w:jc w:val="center"/>
        </w:trPr>
        <w:tc>
          <w:tcPr>
            <w:tcW w:w="1587" w:type="pct"/>
            <w:shd w:val="clear" w:color="auto" w:fill="auto"/>
            <w:noWrap/>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810</w:t>
            </w:r>
          </w:p>
        </w:tc>
        <w:tc>
          <w:tcPr>
            <w:tcW w:w="1543" w:type="pct"/>
            <w:shd w:val="clear" w:color="auto" w:fill="auto"/>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6.8</w:t>
            </w:r>
          </w:p>
        </w:tc>
        <w:tc>
          <w:tcPr>
            <w:tcW w:w="1870" w:type="pct"/>
            <w:shd w:val="clear" w:color="auto" w:fill="auto"/>
            <w:vAlign w:val="center"/>
          </w:tcPr>
          <w:p w:rsidR="00FE55B9" w:rsidRDefault="00E0169A" w:rsidP="00E0169A">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17546.5</w:t>
            </w:r>
          </w:p>
        </w:tc>
      </w:tr>
      <w:tr w:rsidR="00FE55B9" w:rsidTr="00FE55B9">
        <w:trPr>
          <w:trHeight w:val="290"/>
          <w:jc w:val="center"/>
        </w:trPr>
        <w:tc>
          <w:tcPr>
            <w:tcW w:w="1587" w:type="pct"/>
            <w:shd w:val="clear" w:color="auto" w:fill="auto"/>
            <w:noWrap/>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910</w:t>
            </w:r>
          </w:p>
        </w:tc>
        <w:tc>
          <w:tcPr>
            <w:tcW w:w="1543" w:type="pct"/>
            <w:shd w:val="clear" w:color="auto" w:fill="auto"/>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7.6</w:t>
            </w:r>
          </w:p>
        </w:tc>
        <w:tc>
          <w:tcPr>
            <w:tcW w:w="1870" w:type="pct"/>
            <w:shd w:val="clear" w:color="auto" w:fill="auto"/>
            <w:vAlign w:val="center"/>
          </w:tcPr>
          <w:p w:rsidR="00FE55B9" w:rsidRDefault="00E0169A" w:rsidP="00E0169A">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46537</w:t>
            </w:r>
            <w:r w:rsidR="00FE55B9">
              <w:rPr>
                <w:rFonts w:ascii="Times New Roman" w:eastAsia="等线" w:cs="Times New Roman" w:hint="eastAsia"/>
                <w:sz w:val="21"/>
                <w:szCs w:val="21"/>
              </w:rPr>
              <w:t>.</w:t>
            </w:r>
            <w:r>
              <w:rPr>
                <w:rFonts w:ascii="Times New Roman" w:eastAsia="等线" w:cs="Times New Roman" w:hint="eastAsia"/>
                <w:sz w:val="21"/>
                <w:szCs w:val="21"/>
              </w:rPr>
              <w:t>5</w:t>
            </w:r>
          </w:p>
        </w:tc>
      </w:tr>
      <w:tr w:rsidR="00FE55B9" w:rsidTr="00FE55B9">
        <w:trPr>
          <w:trHeight w:val="290"/>
          <w:jc w:val="center"/>
        </w:trPr>
        <w:tc>
          <w:tcPr>
            <w:tcW w:w="1587" w:type="pct"/>
            <w:shd w:val="clear" w:color="auto" w:fill="auto"/>
            <w:noWrap/>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1010</w:t>
            </w:r>
          </w:p>
        </w:tc>
        <w:tc>
          <w:tcPr>
            <w:tcW w:w="1543" w:type="pct"/>
            <w:shd w:val="clear" w:color="auto" w:fill="auto"/>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8.4</w:t>
            </w:r>
          </w:p>
        </w:tc>
        <w:tc>
          <w:tcPr>
            <w:tcW w:w="1870" w:type="pct"/>
            <w:shd w:val="clear" w:color="auto" w:fill="auto"/>
            <w:vAlign w:val="center"/>
          </w:tcPr>
          <w:p w:rsidR="00FE55B9" w:rsidRDefault="00E0169A" w:rsidP="00E0169A">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15086</w:t>
            </w:r>
            <w:r w:rsidR="00FE55B9">
              <w:rPr>
                <w:rFonts w:ascii="Times New Roman" w:eastAsia="等线" w:cs="Times New Roman" w:hint="eastAsia"/>
                <w:sz w:val="21"/>
                <w:szCs w:val="21"/>
              </w:rPr>
              <w:t>.</w:t>
            </w:r>
            <w:r>
              <w:rPr>
                <w:rFonts w:ascii="Times New Roman" w:eastAsia="等线" w:cs="Times New Roman" w:hint="eastAsia"/>
                <w:sz w:val="21"/>
                <w:szCs w:val="21"/>
              </w:rPr>
              <w:t>7</w:t>
            </w:r>
          </w:p>
        </w:tc>
      </w:tr>
      <w:tr w:rsidR="00FE55B9" w:rsidTr="00FE55B9">
        <w:trPr>
          <w:trHeight w:val="290"/>
          <w:jc w:val="center"/>
        </w:trPr>
        <w:tc>
          <w:tcPr>
            <w:tcW w:w="1587" w:type="pct"/>
            <w:shd w:val="clear" w:color="auto" w:fill="auto"/>
            <w:noWrap/>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1110</w:t>
            </w:r>
          </w:p>
        </w:tc>
        <w:tc>
          <w:tcPr>
            <w:tcW w:w="1543" w:type="pct"/>
            <w:shd w:val="clear" w:color="auto" w:fill="auto"/>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9.3</w:t>
            </w:r>
          </w:p>
        </w:tc>
        <w:tc>
          <w:tcPr>
            <w:tcW w:w="1870" w:type="pct"/>
            <w:shd w:val="clear" w:color="auto" w:fill="auto"/>
            <w:vAlign w:val="center"/>
          </w:tcPr>
          <w:p w:rsidR="00FE55B9" w:rsidRDefault="00E0169A" w:rsidP="00E0169A">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14576</w:t>
            </w:r>
            <w:r w:rsidR="00FE55B9">
              <w:rPr>
                <w:rFonts w:ascii="Times New Roman" w:eastAsia="等线" w:cs="Times New Roman" w:hint="eastAsia"/>
                <w:sz w:val="21"/>
                <w:szCs w:val="21"/>
              </w:rPr>
              <w:t>.</w:t>
            </w:r>
            <w:r>
              <w:rPr>
                <w:rFonts w:ascii="Times New Roman" w:eastAsia="等线" w:cs="Times New Roman" w:hint="eastAsia"/>
                <w:sz w:val="21"/>
                <w:szCs w:val="21"/>
              </w:rPr>
              <w:t>3</w:t>
            </w:r>
          </w:p>
        </w:tc>
      </w:tr>
      <w:tr w:rsidR="00FE55B9" w:rsidTr="00FE55B9">
        <w:trPr>
          <w:trHeight w:val="290"/>
          <w:jc w:val="center"/>
        </w:trPr>
        <w:tc>
          <w:tcPr>
            <w:tcW w:w="1587" w:type="pct"/>
            <w:shd w:val="clear" w:color="auto" w:fill="auto"/>
            <w:noWrap/>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1210</w:t>
            </w:r>
          </w:p>
        </w:tc>
        <w:tc>
          <w:tcPr>
            <w:tcW w:w="1543" w:type="pct"/>
            <w:shd w:val="clear" w:color="auto" w:fill="auto"/>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10.1</w:t>
            </w:r>
          </w:p>
        </w:tc>
        <w:tc>
          <w:tcPr>
            <w:tcW w:w="1870" w:type="pct"/>
            <w:shd w:val="clear" w:color="auto" w:fill="auto"/>
            <w:vAlign w:val="center"/>
          </w:tcPr>
          <w:p w:rsidR="00FE55B9" w:rsidRDefault="00E0169A" w:rsidP="00E0169A">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13547</w:t>
            </w:r>
            <w:r w:rsidR="00FE55B9">
              <w:rPr>
                <w:rFonts w:ascii="Times New Roman" w:eastAsia="等线" w:cs="Times New Roman" w:hint="eastAsia"/>
                <w:sz w:val="21"/>
                <w:szCs w:val="21"/>
              </w:rPr>
              <w:t>.</w:t>
            </w:r>
            <w:r>
              <w:rPr>
                <w:rFonts w:ascii="Times New Roman" w:eastAsia="等线" w:cs="Times New Roman" w:hint="eastAsia"/>
                <w:sz w:val="21"/>
                <w:szCs w:val="21"/>
              </w:rPr>
              <w:t>5</w:t>
            </w:r>
          </w:p>
        </w:tc>
      </w:tr>
      <w:tr w:rsidR="00FE55B9" w:rsidTr="00FE55B9">
        <w:trPr>
          <w:trHeight w:val="290"/>
          <w:jc w:val="center"/>
        </w:trPr>
        <w:tc>
          <w:tcPr>
            <w:tcW w:w="1587" w:type="pct"/>
            <w:shd w:val="clear" w:color="auto" w:fill="auto"/>
            <w:noWrap/>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1310</w:t>
            </w:r>
          </w:p>
        </w:tc>
        <w:tc>
          <w:tcPr>
            <w:tcW w:w="1543" w:type="pct"/>
            <w:shd w:val="clear" w:color="auto" w:fill="auto"/>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10.9</w:t>
            </w:r>
          </w:p>
        </w:tc>
        <w:tc>
          <w:tcPr>
            <w:tcW w:w="1870" w:type="pct"/>
            <w:shd w:val="clear" w:color="auto" w:fill="auto"/>
            <w:vAlign w:val="center"/>
          </w:tcPr>
          <w:p w:rsidR="00FE55B9" w:rsidRDefault="00E0169A" w:rsidP="00E0169A">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14579</w:t>
            </w:r>
            <w:r w:rsidR="00FE55B9">
              <w:rPr>
                <w:rFonts w:ascii="Times New Roman" w:eastAsia="等线" w:cs="Times New Roman" w:hint="eastAsia"/>
                <w:sz w:val="21"/>
                <w:szCs w:val="21"/>
              </w:rPr>
              <w:t>.</w:t>
            </w:r>
            <w:r>
              <w:rPr>
                <w:rFonts w:ascii="Times New Roman" w:eastAsia="等线" w:cs="Times New Roman" w:hint="eastAsia"/>
                <w:sz w:val="21"/>
                <w:szCs w:val="21"/>
              </w:rPr>
              <w:t>5</w:t>
            </w:r>
          </w:p>
        </w:tc>
      </w:tr>
      <w:tr w:rsidR="00FE55B9" w:rsidTr="00FE55B9">
        <w:trPr>
          <w:trHeight w:val="290"/>
          <w:jc w:val="center"/>
        </w:trPr>
        <w:tc>
          <w:tcPr>
            <w:tcW w:w="1587" w:type="pct"/>
            <w:shd w:val="clear" w:color="auto" w:fill="auto"/>
            <w:noWrap/>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1410</w:t>
            </w:r>
          </w:p>
        </w:tc>
        <w:tc>
          <w:tcPr>
            <w:tcW w:w="1543" w:type="pct"/>
            <w:shd w:val="clear" w:color="auto" w:fill="auto"/>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11.8</w:t>
            </w:r>
          </w:p>
        </w:tc>
        <w:tc>
          <w:tcPr>
            <w:tcW w:w="1870" w:type="pct"/>
            <w:shd w:val="clear" w:color="auto" w:fill="auto"/>
            <w:vAlign w:val="center"/>
          </w:tcPr>
          <w:p w:rsidR="00FE55B9" w:rsidRDefault="00E0169A" w:rsidP="00E0169A">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12547</w:t>
            </w:r>
            <w:r w:rsidR="00FE55B9">
              <w:rPr>
                <w:rFonts w:ascii="Times New Roman" w:eastAsia="等线" w:cs="Times New Roman" w:hint="eastAsia"/>
                <w:sz w:val="21"/>
                <w:szCs w:val="21"/>
              </w:rPr>
              <w:t>.</w:t>
            </w:r>
            <w:r>
              <w:rPr>
                <w:rFonts w:ascii="Times New Roman" w:eastAsia="等线" w:cs="Times New Roman" w:hint="eastAsia"/>
                <w:sz w:val="21"/>
                <w:szCs w:val="21"/>
              </w:rPr>
              <w:t>4</w:t>
            </w:r>
          </w:p>
        </w:tc>
      </w:tr>
      <w:tr w:rsidR="00FE55B9" w:rsidTr="00FE55B9">
        <w:trPr>
          <w:trHeight w:val="290"/>
          <w:jc w:val="center"/>
        </w:trPr>
        <w:tc>
          <w:tcPr>
            <w:tcW w:w="1587" w:type="pct"/>
            <w:shd w:val="clear" w:color="auto" w:fill="auto"/>
            <w:noWrap/>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1510</w:t>
            </w:r>
          </w:p>
        </w:tc>
        <w:tc>
          <w:tcPr>
            <w:tcW w:w="1543" w:type="pct"/>
            <w:shd w:val="clear" w:color="auto" w:fill="auto"/>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12.6</w:t>
            </w:r>
          </w:p>
        </w:tc>
        <w:tc>
          <w:tcPr>
            <w:tcW w:w="1870" w:type="pct"/>
            <w:shd w:val="clear" w:color="auto" w:fill="auto"/>
            <w:vAlign w:val="center"/>
          </w:tcPr>
          <w:p w:rsidR="00FE55B9" w:rsidRDefault="00E0169A" w:rsidP="00E0169A">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11467</w:t>
            </w:r>
            <w:r w:rsidR="00FE55B9">
              <w:rPr>
                <w:rFonts w:ascii="Times New Roman" w:eastAsia="等线" w:cs="Times New Roman" w:hint="eastAsia"/>
                <w:sz w:val="21"/>
                <w:szCs w:val="21"/>
              </w:rPr>
              <w:t>.</w:t>
            </w:r>
            <w:r>
              <w:rPr>
                <w:rFonts w:ascii="Times New Roman" w:eastAsia="等线" w:cs="Times New Roman" w:hint="eastAsia"/>
                <w:sz w:val="21"/>
                <w:szCs w:val="21"/>
              </w:rPr>
              <w:t>7</w:t>
            </w:r>
          </w:p>
        </w:tc>
      </w:tr>
      <w:tr w:rsidR="00FE55B9" w:rsidTr="00FE55B9">
        <w:trPr>
          <w:trHeight w:val="290"/>
          <w:jc w:val="center"/>
        </w:trPr>
        <w:tc>
          <w:tcPr>
            <w:tcW w:w="1587" w:type="pct"/>
            <w:shd w:val="clear" w:color="auto" w:fill="auto"/>
            <w:noWrap/>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1610</w:t>
            </w:r>
          </w:p>
        </w:tc>
        <w:tc>
          <w:tcPr>
            <w:tcW w:w="1543" w:type="pct"/>
            <w:shd w:val="clear" w:color="auto" w:fill="auto"/>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13.4</w:t>
            </w:r>
          </w:p>
        </w:tc>
        <w:tc>
          <w:tcPr>
            <w:tcW w:w="1870" w:type="pct"/>
            <w:shd w:val="clear" w:color="auto" w:fill="auto"/>
            <w:vAlign w:val="center"/>
          </w:tcPr>
          <w:p w:rsidR="00FE55B9" w:rsidRDefault="00E0169A" w:rsidP="00E0169A">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11958</w:t>
            </w:r>
            <w:r w:rsidR="00FE55B9">
              <w:rPr>
                <w:rFonts w:ascii="Times New Roman" w:eastAsia="等线" w:cs="Times New Roman" w:hint="eastAsia"/>
                <w:sz w:val="21"/>
                <w:szCs w:val="21"/>
              </w:rPr>
              <w:t>.</w:t>
            </w:r>
            <w:r>
              <w:rPr>
                <w:rFonts w:ascii="Times New Roman" w:eastAsia="等线" w:cs="Times New Roman" w:hint="eastAsia"/>
                <w:sz w:val="21"/>
                <w:szCs w:val="21"/>
              </w:rPr>
              <w:t>6</w:t>
            </w:r>
          </w:p>
        </w:tc>
      </w:tr>
      <w:tr w:rsidR="00FE55B9" w:rsidTr="00FE55B9">
        <w:trPr>
          <w:trHeight w:val="290"/>
          <w:jc w:val="center"/>
        </w:trPr>
        <w:tc>
          <w:tcPr>
            <w:tcW w:w="1587" w:type="pct"/>
            <w:shd w:val="clear" w:color="auto" w:fill="auto"/>
            <w:noWrap/>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1710</w:t>
            </w:r>
          </w:p>
        </w:tc>
        <w:tc>
          <w:tcPr>
            <w:tcW w:w="1543" w:type="pct"/>
            <w:shd w:val="clear" w:color="auto" w:fill="auto"/>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14.3</w:t>
            </w:r>
          </w:p>
        </w:tc>
        <w:tc>
          <w:tcPr>
            <w:tcW w:w="1870" w:type="pct"/>
            <w:shd w:val="clear" w:color="auto" w:fill="auto"/>
            <w:vAlign w:val="center"/>
          </w:tcPr>
          <w:p w:rsidR="00FE55B9" w:rsidRDefault="00E0169A" w:rsidP="00E0169A">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9</w:t>
            </w:r>
            <w:r w:rsidR="00FE55B9">
              <w:rPr>
                <w:rFonts w:ascii="Times New Roman" w:eastAsia="等线" w:cs="Times New Roman" w:hint="eastAsia"/>
                <w:sz w:val="21"/>
                <w:szCs w:val="21"/>
              </w:rPr>
              <w:t>8</w:t>
            </w:r>
            <w:r>
              <w:rPr>
                <w:rFonts w:ascii="Times New Roman" w:eastAsia="等线" w:cs="Times New Roman" w:hint="eastAsia"/>
                <w:sz w:val="21"/>
                <w:szCs w:val="21"/>
              </w:rPr>
              <w:t>46</w:t>
            </w:r>
            <w:r w:rsidR="00FE55B9">
              <w:rPr>
                <w:rFonts w:ascii="Times New Roman" w:eastAsia="等线" w:cs="Times New Roman" w:hint="eastAsia"/>
                <w:sz w:val="21"/>
                <w:szCs w:val="21"/>
              </w:rPr>
              <w:t>.</w:t>
            </w:r>
            <w:r>
              <w:rPr>
                <w:rFonts w:ascii="Times New Roman" w:eastAsia="等线" w:cs="Times New Roman" w:hint="eastAsia"/>
                <w:sz w:val="21"/>
                <w:szCs w:val="21"/>
              </w:rPr>
              <w:t>2</w:t>
            </w:r>
          </w:p>
        </w:tc>
      </w:tr>
      <w:tr w:rsidR="00FE55B9" w:rsidTr="00FE55B9">
        <w:trPr>
          <w:trHeight w:val="290"/>
          <w:jc w:val="center"/>
        </w:trPr>
        <w:tc>
          <w:tcPr>
            <w:tcW w:w="1587" w:type="pct"/>
            <w:shd w:val="clear" w:color="auto" w:fill="auto"/>
            <w:noWrap/>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1810</w:t>
            </w:r>
          </w:p>
        </w:tc>
        <w:tc>
          <w:tcPr>
            <w:tcW w:w="1543" w:type="pct"/>
            <w:shd w:val="clear" w:color="auto" w:fill="auto"/>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15.1</w:t>
            </w:r>
          </w:p>
        </w:tc>
        <w:tc>
          <w:tcPr>
            <w:tcW w:w="1870" w:type="pct"/>
            <w:shd w:val="clear" w:color="auto" w:fill="auto"/>
            <w:vAlign w:val="center"/>
          </w:tcPr>
          <w:p w:rsidR="00FE55B9" w:rsidRDefault="00E0169A" w:rsidP="00E0169A">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8573</w:t>
            </w:r>
            <w:r w:rsidR="00FE55B9">
              <w:rPr>
                <w:rFonts w:ascii="Times New Roman" w:eastAsia="等线" w:cs="Times New Roman" w:hint="eastAsia"/>
                <w:sz w:val="21"/>
                <w:szCs w:val="21"/>
              </w:rPr>
              <w:t>.3</w:t>
            </w:r>
          </w:p>
        </w:tc>
      </w:tr>
      <w:tr w:rsidR="00FE55B9" w:rsidTr="00FE55B9">
        <w:trPr>
          <w:trHeight w:val="290"/>
          <w:jc w:val="center"/>
        </w:trPr>
        <w:tc>
          <w:tcPr>
            <w:tcW w:w="1587" w:type="pct"/>
            <w:shd w:val="clear" w:color="auto" w:fill="auto"/>
            <w:noWrap/>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1910</w:t>
            </w:r>
          </w:p>
        </w:tc>
        <w:tc>
          <w:tcPr>
            <w:tcW w:w="1543" w:type="pct"/>
            <w:shd w:val="clear" w:color="auto" w:fill="auto"/>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15.9</w:t>
            </w:r>
          </w:p>
        </w:tc>
        <w:tc>
          <w:tcPr>
            <w:tcW w:w="1870" w:type="pct"/>
            <w:shd w:val="clear" w:color="auto" w:fill="auto"/>
            <w:vAlign w:val="center"/>
          </w:tcPr>
          <w:p w:rsidR="00FE55B9" w:rsidRDefault="00E0169A" w:rsidP="00E0169A">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8245</w:t>
            </w:r>
            <w:r w:rsidR="00FE55B9">
              <w:rPr>
                <w:rFonts w:ascii="Times New Roman" w:eastAsia="等线" w:cs="Times New Roman" w:hint="eastAsia"/>
                <w:sz w:val="21"/>
                <w:szCs w:val="21"/>
              </w:rPr>
              <w:t>.</w:t>
            </w:r>
            <w:r>
              <w:rPr>
                <w:rFonts w:ascii="Times New Roman" w:eastAsia="等线" w:cs="Times New Roman" w:hint="eastAsia"/>
                <w:sz w:val="21"/>
                <w:szCs w:val="21"/>
              </w:rPr>
              <w:t>7</w:t>
            </w:r>
          </w:p>
        </w:tc>
      </w:tr>
      <w:tr w:rsidR="00FE55B9" w:rsidTr="00FE55B9">
        <w:trPr>
          <w:trHeight w:val="290"/>
          <w:jc w:val="center"/>
        </w:trPr>
        <w:tc>
          <w:tcPr>
            <w:tcW w:w="1587" w:type="pct"/>
            <w:shd w:val="clear" w:color="auto" w:fill="auto"/>
            <w:noWrap/>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2010</w:t>
            </w:r>
          </w:p>
        </w:tc>
        <w:tc>
          <w:tcPr>
            <w:tcW w:w="1543" w:type="pct"/>
            <w:shd w:val="clear" w:color="auto" w:fill="auto"/>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16.8</w:t>
            </w:r>
          </w:p>
        </w:tc>
        <w:tc>
          <w:tcPr>
            <w:tcW w:w="1870" w:type="pct"/>
            <w:shd w:val="clear" w:color="auto" w:fill="auto"/>
            <w:vAlign w:val="center"/>
          </w:tcPr>
          <w:p w:rsidR="00FE55B9" w:rsidRDefault="00E0169A" w:rsidP="00E0169A">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8</w:t>
            </w:r>
            <w:r w:rsidR="00FE55B9">
              <w:rPr>
                <w:rFonts w:ascii="Times New Roman" w:eastAsia="等线" w:cs="Times New Roman" w:hint="eastAsia"/>
                <w:sz w:val="21"/>
                <w:szCs w:val="21"/>
              </w:rPr>
              <w:t>0</w:t>
            </w:r>
            <w:r>
              <w:rPr>
                <w:rFonts w:ascii="Times New Roman" w:eastAsia="等线" w:cs="Times New Roman" w:hint="eastAsia"/>
                <w:sz w:val="21"/>
                <w:szCs w:val="21"/>
              </w:rPr>
              <w:t>25</w:t>
            </w:r>
            <w:r w:rsidR="00FE55B9">
              <w:rPr>
                <w:rFonts w:ascii="Times New Roman" w:eastAsia="等线" w:cs="Times New Roman" w:hint="eastAsia"/>
                <w:sz w:val="21"/>
                <w:szCs w:val="21"/>
              </w:rPr>
              <w:t>.</w:t>
            </w:r>
            <w:r>
              <w:rPr>
                <w:rFonts w:ascii="Times New Roman" w:eastAsia="等线" w:cs="Times New Roman" w:hint="eastAsia"/>
                <w:sz w:val="21"/>
                <w:szCs w:val="21"/>
              </w:rPr>
              <w:t>6</w:t>
            </w:r>
          </w:p>
        </w:tc>
      </w:tr>
      <w:tr w:rsidR="00FE55B9" w:rsidTr="00FE55B9">
        <w:trPr>
          <w:trHeight w:val="290"/>
          <w:jc w:val="center"/>
        </w:trPr>
        <w:tc>
          <w:tcPr>
            <w:tcW w:w="1587" w:type="pct"/>
            <w:shd w:val="clear" w:color="auto" w:fill="auto"/>
            <w:noWrap/>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2110</w:t>
            </w:r>
          </w:p>
        </w:tc>
        <w:tc>
          <w:tcPr>
            <w:tcW w:w="1543" w:type="pct"/>
            <w:shd w:val="clear" w:color="auto" w:fill="auto"/>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17.6</w:t>
            </w:r>
          </w:p>
        </w:tc>
        <w:tc>
          <w:tcPr>
            <w:tcW w:w="1870" w:type="pct"/>
            <w:shd w:val="clear" w:color="auto" w:fill="auto"/>
            <w:vAlign w:val="center"/>
          </w:tcPr>
          <w:p w:rsidR="00FE55B9" w:rsidRDefault="00E0169A" w:rsidP="00E0169A">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7</w:t>
            </w:r>
            <w:r w:rsidR="00FE55B9">
              <w:rPr>
                <w:rFonts w:ascii="Times New Roman" w:eastAsia="等线" w:cs="Times New Roman" w:hint="eastAsia"/>
                <w:sz w:val="21"/>
                <w:szCs w:val="21"/>
              </w:rPr>
              <w:t>4</w:t>
            </w:r>
            <w:r>
              <w:rPr>
                <w:rFonts w:ascii="Times New Roman" w:eastAsia="等线" w:cs="Times New Roman" w:hint="eastAsia"/>
                <w:sz w:val="21"/>
                <w:szCs w:val="21"/>
              </w:rPr>
              <w:t>75</w:t>
            </w:r>
            <w:r w:rsidR="00FE55B9">
              <w:rPr>
                <w:rFonts w:ascii="Times New Roman" w:eastAsia="等线" w:cs="Times New Roman" w:hint="eastAsia"/>
                <w:sz w:val="21"/>
                <w:szCs w:val="21"/>
              </w:rPr>
              <w:t>.</w:t>
            </w:r>
            <w:r>
              <w:rPr>
                <w:rFonts w:ascii="Times New Roman" w:eastAsia="等线" w:cs="Times New Roman" w:hint="eastAsia"/>
                <w:sz w:val="21"/>
                <w:szCs w:val="21"/>
              </w:rPr>
              <w:t>5</w:t>
            </w:r>
          </w:p>
        </w:tc>
      </w:tr>
      <w:tr w:rsidR="00FE55B9" w:rsidTr="00FE55B9">
        <w:trPr>
          <w:trHeight w:val="290"/>
          <w:jc w:val="center"/>
        </w:trPr>
        <w:tc>
          <w:tcPr>
            <w:tcW w:w="1587" w:type="pct"/>
            <w:shd w:val="clear" w:color="auto" w:fill="auto"/>
            <w:noWrap/>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2210</w:t>
            </w:r>
          </w:p>
        </w:tc>
        <w:tc>
          <w:tcPr>
            <w:tcW w:w="1543" w:type="pct"/>
            <w:shd w:val="clear" w:color="auto" w:fill="auto"/>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18.4</w:t>
            </w:r>
          </w:p>
        </w:tc>
        <w:tc>
          <w:tcPr>
            <w:tcW w:w="1870" w:type="pct"/>
            <w:shd w:val="clear" w:color="auto" w:fill="auto"/>
            <w:vAlign w:val="center"/>
          </w:tcPr>
          <w:p w:rsidR="00FE55B9" w:rsidRDefault="00E0169A" w:rsidP="00E0169A">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7356</w:t>
            </w:r>
            <w:r w:rsidR="00FE55B9">
              <w:rPr>
                <w:rFonts w:ascii="Times New Roman" w:eastAsia="等线" w:cs="Times New Roman" w:hint="eastAsia"/>
                <w:sz w:val="21"/>
                <w:szCs w:val="21"/>
              </w:rPr>
              <w:t>.</w:t>
            </w:r>
            <w:r>
              <w:rPr>
                <w:rFonts w:ascii="Times New Roman" w:eastAsia="等线" w:cs="Times New Roman" w:hint="eastAsia"/>
                <w:sz w:val="21"/>
                <w:szCs w:val="21"/>
              </w:rPr>
              <w:t>7</w:t>
            </w:r>
          </w:p>
        </w:tc>
      </w:tr>
      <w:tr w:rsidR="00FE55B9" w:rsidTr="00FE55B9">
        <w:trPr>
          <w:trHeight w:val="290"/>
          <w:jc w:val="center"/>
        </w:trPr>
        <w:tc>
          <w:tcPr>
            <w:tcW w:w="1587" w:type="pct"/>
            <w:shd w:val="clear" w:color="auto" w:fill="auto"/>
            <w:noWrap/>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2310</w:t>
            </w:r>
          </w:p>
        </w:tc>
        <w:tc>
          <w:tcPr>
            <w:tcW w:w="1543" w:type="pct"/>
            <w:shd w:val="clear" w:color="auto" w:fill="auto"/>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19.3</w:t>
            </w:r>
          </w:p>
        </w:tc>
        <w:tc>
          <w:tcPr>
            <w:tcW w:w="1870" w:type="pct"/>
            <w:shd w:val="clear" w:color="auto" w:fill="auto"/>
            <w:vAlign w:val="center"/>
          </w:tcPr>
          <w:p w:rsidR="00FE55B9" w:rsidRDefault="00E0169A" w:rsidP="00E0169A">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6895</w:t>
            </w:r>
            <w:r w:rsidR="00FE55B9">
              <w:rPr>
                <w:rFonts w:ascii="Times New Roman" w:eastAsia="等线" w:cs="Times New Roman" w:hint="eastAsia"/>
                <w:sz w:val="21"/>
                <w:szCs w:val="21"/>
              </w:rPr>
              <w:t>.</w:t>
            </w:r>
            <w:r>
              <w:rPr>
                <w:rFonts w:ascii="Times New Roman" w:eastAsia="等线" w:cs="Times New Roman" w:hint="eastAsia"/>
                <w:sz w:val="21"/>
                <w:szCs w:val="21"/>
              </w:rPr>
              <w:t>2</w:t>
            </w:r>
          </w:p>
        </w:tc>
      </w:tr>
      <w:tr w:rsidR="00FE55B9" w:rsidTr="00FE55B9">
        <w:trPr>
          <w:trHeight w:val="290"/>
          <w:jc w:val="center"/>
        </w:trPr>
        <w:tc>
          <w:tcPr>
            <w:tcW w:w="1587" w:type="pct"/>
            <w:shd w:val="clear" w:color="auto" w:fill="auto"/>
            <w:noWrap/>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2410</w:t>
            </w:r>
          </w:p>
        </w:tc>
        <w:tc>
          <w:tcPr>
            <w:tcW w:w="1543" w:type="pct"/>
            <w:shd w:val="clear" w:color="auto" w:fill="auto"/>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20.1</w:t>
            </w:r>
          </w:p>
        </w:tc>
        <w:tc>
          <w:tcPr>
            <w:tcW w:w="1870" w:type="pct"/>
            <w:shd w:val="clear" w:color="auto" w:fill="auto"/>
            <w:vAlign w:val="center"/>
          </w:tcPr>
          <w:p w:rsidR="00FE55B9" w:rsidRDefault="00E0169A" w:rsidP="00E0169A">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6115</w:t>
            </w:r>
            <w:r w:rsidR="00FE55B9">
              <w:rPr>
                <w:rFonts w:ascii="Times New Roman" w:eastAsia="等线" w:cs="Times New Roman" w:hint="eastAsia"/>
                <w:sz w:val="21"/>
                <w:szCs w:val="21"/>
              </w:rPr>
              <w:t>.</w:t>
            </w:r>
            <w:r>
              <w:rPr>
                <w:rFonts w:ascii="Times New Roman" w:eastAsia="等线" w:cs="Times New Roman" w:hint="eastAsia"/>
                <w:sz w:val="21"/>
                <w:szCs w:val="21"/>
              </w:rPr>
              <w:t>3</w:t>
            </w:r>
          </w:p>
        </w:tc>
      </w:tr>
      <w:tr w:rsidR="00FE55B9" w:rsidTr="00FE55B9">
        <w:trPr>
          <w:trHeight w:val="290"/>
          <w:jc w:val="center"/>
        </w:trPr>
        <w:tc>
          <w:tcPr>
            <w:tcW w:w="1587" w:type="pct"/>
            <w:shd w:val="clear" w:color="auto" w:fill="auto"/>
            <w:noWrap/>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2510</w:t>
            </w:r>
          </w:p>
        </w:tc>
        <w:tc>
          <w:tcPr>
            <w:tcW w:w="1543" w:type="pct"/>
            <w:shd w:val="clear" w:color="auto" w:fill="auto"/>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20.9</w:t>
            </w:r>
          </w:p>
        </w:tc>
        <w:tc>
          <w:tcPr>
            <w:tcW w:w="1870" w:type="pct"/>
            <w:shd w:val="clear" w:color="auto" w:fill="auto"/>
            <w:vAlign w:val="center"/>
          </w:tcPr>
          <w:p w:rsidR="00FE55B9" w:rsidRDefault="00E0169A" w:rsidP="00E0169A">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6</w:t>
            </w:r>
            <w:r w:rsidR="00FE55B9">
              <w:rPr>
                <w:rFonts w:ascii="Times New Roman" w:eastAsia="等线" w:cs="Times New Roman" w:hint="eastAsia"/>
                <w:sz w:val="21"/>
                <w:szCs w:val="21"/>
              </w:rPr>
              <w:t>0</w:t>
            </w:r>
            <w:r>
              <w:rPr>
                <w:rFonts w:ascii="Times New Roman" w:eastAsia="等线" w:cs="Times New Roman" w:hint="eastAsia"/>
                <w:sz w:val="21"/>
                <w:szCs w:val="21"/>
              </w:rPr>
              <w:t>34</w:t>
            </w:r>
            <w:r w:rsidR="00FE55B9">
              <w:rPr>
                <w:rFonts w:ascii="Times New Roman" w:eastAsia="等线" w:cs="Times New Roman" w:hint="eastAsia"/>
                <w:sz w:val="21"/>
                <w:szCs w:val="21"/>
              </w:rPr>
              <w:t>.</w:t>
            </w:r>
            <w:r>
              <w:rPr>
                <w:rFonts w:ascii="Times New Roman" w:eastAsia="等线" w:cs="Times New Roman" w:hint="eastAsia"/>
                <w:sz w:val="21"/>
                <w:szCs w:val="21"/>
              </w:rPr>
              <w:t>2</w:t>
            </w:r>
          </w:p>
        </w:tc>
      </w:tr>
      <w:tr w:rsidR="00FE55B9" w:rsidTr="00FE55B9">
        <w:trPr>
          <w:trHeight w:val="290"/>
          <w:jc w:val="center"/>
        </w:trPr>
        <w:tc>
          <w:tcPr>
            <w:tcW w:w="1587" w:type="pct"/>
            <w:shd w:val="clear" w:color="auto" w:fill="auto"/>
            <w:noWrap/>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2610</w:t>
            </w:r>
          </w:p>
        </w:tc>
        <w:tc>
          <w:tcPr>
            <w:tcW w:w="1543" w:type="pct"/>
            <w:shd w:val="clear" w:color="auto" w:fill="auto"/>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21.8</w:t>
            </w:r>
          </w:p>
        </w:tc>
        <w:tc>
          <w:tcPr>
            <w:tcW w:w="1870" w:type="pct"/>
            <w:shd w:val="clear" w:color="auto" w:fill="auto"/>
            <w:vAlign w:val="center"/>
          </w:tcPr>
          <w:p w:rsidR="00FE55B9" w:rsidRDefault="00E0169A" w:rsidP="00E0169A">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5242</w:t>
            </w:r>
            <w:r w:rsidR="00FE55B9">
              <w:rPr>
                <w:rFonts w:ascii="Times New Roman" w:eastAsia="等线" w:cs="Times New Roman" w:hint="eastAsia"/>
                <w:sz w:val="21"/>
                <w:szCs w:val="21"/>
              </w:rPr>
              <w:t>.</w:t>
            </w:r>
            <w:r>
              <w:rPr>
                <w:rFonts w:ascii="Times New Roman" w:eastAsia="等线" w:cs="Times New Roman" w:hint="eastAsia"/>
                <w:sz w:val="21"/>
                <w:szCs w:val="21"/>
              </w:rPr>
              <w:t>5</w:t>
            </w:r>
          </w:p>
        </w:tc>
      </w:tr>
      <w:tr w:rsidR="00FE55B9" w:rsidTr="00FE55B9">
        <w:trPr>
          <w:trHeight w:val="290"/>
          <w:jc w:val="center"/>
        </w:trPr>
        <w:tc>
          <w:tcPr>
            <w:tcW w:w="1587" w:type="pct"/>
            <w:shd w:val="clear" w:color="auto" w:fill="auto"/>
            <w:noWrap/>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2710</w:t>
            </w:r>
          </w:p>
        </w:tc>
        <w:tc>
          <w:tcPr>
            <w:tcW w:w="1543" w:type="pct"/>
            <w:shd w:val="clear" w:color="auto" w:fill="auto"/>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22.6</w:t>
            </w:r>
          </w:p>
        </w:tc>
        <w:tc>
          <w:tcPr>
            <w:tcW w:w="1870" w:type="pct"/>
            <w:shd w:val="clear" w:color="auto" w:fill="auto"/>
            <w:vAlign w:val="center"/>
          </w:tcPr>
          <w:p w:rsidR="00FE55B9" w:rsidRDefault="00E0169A" w:rsidP="00E0169A">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5015</w:t>
            </w:r>
            <w:r w:rsidR="00FE55B9">
              <w:rPr>
                <w:rFonts w:ascii="Times New Roman" w:eastAsia="等线" w:cs="Times New Roman" w:hint="eastAsia"/>
                <w:sz w:val="21"/>
                <w:szCs w:val="21"/>
              </w:rPr>
              <w:t>.</w:t>
            </w:r>
            <w:r>
              <w:rPr>
                <w:rFonts w:ascii="Times New Roman" w:eastAsia="等线" w:cs="Times New Roman" w:hint="eastAsia"/>
                <w:sz w:val="21"/>
                <w:szCs w:val="21"/>
              </w:rPr>
              <w:t>3</w:t>
            </w:r>
          </w:p>
        </w:tc>
      </w:tr>
      <w:tr w:rsidR="00FE55B9" w:rsidTr="00FE55B9">
        <w:trPr>
          <w:trHeight w:val="290"/>
          <w:jc w:val="center"/>
        </w:trPr>
        <w:tc>
          <w:tcPr>
            <w:tcW w:w="1587" w:type="pct"/>
            <w:shd w:val="clear" w:color="auto" w:fill="auto"/>
            <w:noWrap/>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2810</w:t>
            </w:r>
          </w:p>
        </w:tc>
        <w:tc>
          <w:tcPr>
            <w:tcW w:w="1543" w:type="pct"/>
            <w:shd w:val="clear" w:color="auto" w:fill="auto"/>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23.4</w:t>
            </w:r>
          </w:p>
        </w:tc>
        <w:tc>
          <w:tcPr>
            <w:tcW w:w="1870" w:type="pct"/>
            <w:shd w:val="clear" w:color="auto" w:fill="auto"/>
            <w:vAlign w:val="center"/>
          </w:tcPr>
          <w:p w:rsidR="00FE55B9" w:rsidRDefault="00E0169A" w:rsidP="00E0169A">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4854</w:t>
            </w:r>
            <w:r w:rsidR="00FE55B9">
              <w:rPr>
                <w:rFonts w:ascii="Times New Roman" w:eastAsia="等线" w:cs="Times New Roman" w:hint="eastAsia"/>
                <w:sz w:val="21"/>
                <w:szCs w:val="21"/>
              </w:rPr>
              <w:t>.</w:t>
            </w:r>
            <w:r>
              <w:rPr>
                <w:rFonts w:ascii="Times New Roman" w:eastAsia="等线" w:cs="Times New Roman" w:hint="eastAsia"/>
                <w:sz w:val="21"/>
                <w:szCs w:val="21"/>
              </w:rPr>
              <w:t>2</w:t>
            </w:r>
          </w:p>
        </w:tc>
      </w:tr>
      <w:tr w:rsidR="00FE55B9" w:rsidTr="00FE55B9">
        <w:trPr>
          <w:trHeight w:val="290"/>
          <w:jc w:val="center"/>
        </w:trPr>
        <w:tc>
          <w:tcPr>
            <w:tcW w:w="1587" w:type="pct"/>
            <w:shd w:val="clear" w:color="auto" w:fill="auto"/>
            <w:noWrap/>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2910</w:t>
            </w:r>
          </w:p>
        </w:tc>
        <w:tc>
          <w:tcPr>
            <w:tcW w:w="1543" w:type="pct"/>
            <w:shd w:val="clear" w:color="auto" w:fill="auto"/>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24.3</w:t>
            </w:r>
          </w:p>
        </w:tc>
        <w:tc>
          <w:tcPr>
            <w:tcW w:w="1870" w:type="pct"/>
            <w:shd w:val="clear" w:color="auto" w:fill="auto"/>
            <w:vAlign w:val="center"/>
          </w:tcPr>
          <w:p w:rsidR="00FE55B9" w:rsidRDefault="00E0169A" w:rsidP="00E0169A">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4253</w:t>
            </w:r>
            <w:r w:rsidR="00FE55B9">
              <w:rPr>
                <w:rFonts w:ascii="Times New Roman" w:eastAsia="等线" w:cs="Times New Roman" w:hint="eastAsia"/>
                <w:sz w:val="21"/>
                <w:szCs w:val="21"/>
              </w:rPr>
              <w:t>.</w:t>
            </w:r>
            <w:r>
              <w:rPr>
                <w:rFonts w:ascii="Times New Roman" w:eastAsia="等线" w:cs="Times New Roman" w:hint="eastAsia"/>
                <w:sz w:val="21"/>
                <w:szCs w:val="21"/>
              </w:rPr>
              <w:t>6</w:t>
            </w:r>
          </w:p>
        </w:tc>
      </w:tr>
      <w:tr w:rsidR="00FE55B9" w:rsidTr="00FE55B9">
        <w:trPr>
          <w:trHeight w:val="290"/>
          <w:jc w:val="center"/>
        </w:trPr>
        <w:tc>
          <w:tcPr>
            <w:tcW w:w="1587" w:type="pct"/>
            <w:shd w:val="clear" w:color="auto" w:fill="auto"/>
            <w:noWrap/>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3010</w:t>
            </w:r>
          </w:p>
        </w:tc>
        <w:tc>
          <w:tcPr>
            <w:tcW w:w="1543" w:type="pct"/>
            <w:shd w:val="clear" w:color="auto" w:fill="auto"/>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25.1</w:t>
            </w:r>
          </w:p>
        </w:tc>
        <w:tc>
          <w:tcPr>
            <w:tcW w:w="1870" w:type="pct"/>
            <w:shd w:val="clear" w:color="auto" w:fill="auto"/>
            <w:vAlign w:val="center"/>
          </w:tcPr>
          <w:p w:rsidR="00FE55B9" w:rsidRDefault="00E0169A" w:rsidP="00E0169A">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4012</w:t>
            </w:r>
            <w:r w:rsidR="00FE55B9">
              <w:rPr>
                <w:rFonts w:ascii="Times New Roman" w:eastAsia="等线" w:cs="Times New Roman" w:hint="eastAsia"/>
                <w:sz w:val="21"/>
                <w:szCs w:val="21"/>
              </w:rPr>
              <w:t>.</w:t>
            </w:r>
            <w:r>
              <w:rPr>
                <w:rFonts w:ascii="Times New Roman" w:eastAsia="等线" w:cs="Times New Roman" w:hint="eastAsia"/>
                <w:sz w:val="21"/>
                <w:szCs w:val="21"/>
              </w:rPr>
              <w:t>2</w:t>
            </w:r>
          </w:p>
        </w:tc>
      </w:tr>
      <w:tr w:rsidR="00FE55B9" w:rsidTr="00FE55B9">
        <w:trPr>
          <w:trHeight w:val="290"/>
          <w:jc w:val="center"/>
        </w:trPr>
        <w:tc>
          <w:tcPr>
            <w:tcW w:w="1587" w:type="pct"/>
            <w:shd w:val="clear" w:color="auto" w:fill="auto"/>
            <w:noWrap/>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3110</w:t>
            </w:r>
          </w:p>
        </w:tc>
        <w:tc>
          <w:tcPr>
            <w:tcW w:w="1543" w:type="pct"/>
            <w:shd w:val="clear" w:color="auto" w:fill="auto"/>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25.9</w:t>
            </w:r>
          </w:p>
        </w:tc>
        <w:tc>
          <w:tcPr>
            <w:tcW w:w="1870" w:type="pct"/>
            <w:shd w:val="clear" w:color="auto" w:fill="auto"/>
            <w:vAlign w:val="center"/>
          </w:tcPr>
          <w:p w:rsidR="00FE55B9" w:rsidRDefault="00E0169A" w:rsidP="00E0169A">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3912</w:t>
            </w:r>
            <w:r w:rsidR="00FE55B9">
              <w:rPr>
                <w:rFonts w:ascii="Times New Roman" w:eastAsia="等线" w:cs="Times New Roman" w:hint="eastAsia"/>
                <w:sz w:val="21"/>
                <w:szCs w:val="21"/>
              </w:rPr>
              <w:t>.</w:t>
            </w:r>
            <w:r>
              <w:rPr>
                <w:rFonts w:ascii="Times New Roman" w:eastAsia="等线" w:cs="Times New Roman" w:hint="eastAsia"/>
                <w:sz w:val="21"/>
                <w:szCs w:val="21"/>
              </w:rPr>
              <w:t>7</w:t>
            </w:r>
          </w:p>
        </w:tc>
      </w:tr>
      <w:tr w:rsidR="00FE55B9" w:rsidTr="00FE55B9">
        <w:trPr>
          <w:trHeight w:val="290"/>
          <w:jc w:val="center"/>
        </w:trPr>
        <w:tc>
          <w:tcPr>
            <w:tcW w:w="1587" w:type="pct"/>
            <w:shd w:val="clear" w:color="auto" w:fill="auto"/>
            <w:noWrap/>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3210</w:t>
            </w:r>
          </w:p>
        </w:tc>
        <w:tc>
          <w:tcPr>
            <w:tcW w:w="1543" w:type="pct"/>
            <w:shd w:val="clear" w:color="auto" w:fill="auto"/>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26.8</w:t>
            </w:r>
          </w:p>
        </w:tc>
        <w:tc>
          <w:tcPr>
            <w:tcW w:w="1870" w:type="pct"/>
            <w:shd w:val="clear" w:color="auto" w:fill="auto"/>
            <w:vAlign w:val="center"/>
          </w:tcPr>
          <w:p w:rsidR="00FE55B9" w:rsidRDefault="00E0169A" w:rsidP="00E0169A">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38</w:t>
            </w:r>
            <w:r w:rsidR="00FE55B9">
              <w:rPr>
                <w:rFonts w:ascii="Times New Roman" w:eastAsia="等线" w:cs="Times New Roman" w:hint="eastAsia"/>
                <w:sz w:val="21"/>
                <w:szCs w:val="21"/>
              </w:rPr>
              <w:t>32.</w:t>
            </w:r>
            <w:r>
              <w:rPr>
                <w:rFonts w:ascii="Times New Roman" w:eastAsia="等线" w:cs="Times New Roman" w:hint="eastAsia"/>
                <w:sz w:val="21"/>
                <w:szCs w:val="21"/>
              </w:rPr>
              <w:t>5</w:t>
            </w:r>
          </w:p>
        </w:tc>
      </w:tr>
      <w:tr w:rsidR="00FE55B9" w:rsidTr="00FE55B9">
        <w:trPr>
          <w:trHeight w:val="290"/>
          <w:jc w:val="center"/>
        </w:trPr>
        <w:tc>
          <w:tcPr>
            <w:tcW w:w="1587" w:type="pct"/>
            <w:shd w:val="clear" w:color="auto" w:fill="auto"/>
            <w:noWrap/>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lastRenderedPageBreak/>
              <w:t>3310</w:t>
            </w:r>
          </w:p>
        </w:tc>
        <w:tc>
          <w:tcPr>
            <w:tcW w:w="1543" w:type="pct"/>
            <w:shd w:val="clear" w:color="auto" w:fill="auto"/>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27.6</w:t>
            </w:r>
          </w:p>
        </w:tc>
        <w:tc>
          <w:tcPr>
            <w:tcW w:w="1870" w:type="pct"/>
            <w:shd w:val="clear" w:color="auto" w:fill="auto"/>
            <w:vAlign w:val="center"/>
          </w:tcPr>
          <w:p w:rsidR="00FE55B9" w:rsidRDefault="00E0169A" w:rsidP="00E0169A">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3654</w:t>
            </w:r>
            <w:r w:rsidR="00FE55B9">
              <w:rPr>
                <w:rFonts w:ascii="Times New Roman" w:eastAsia="等线" w:cs="Times New Roman" w:hint="eastAsia"/>
                <w:sz w:val="21"/>
                <w:szCs w:val="21"/>
              </w:rPr>
              <w:t>.</w:t>
            </w:r>
            <w:r>
              <w:rPr>
                <w:rFonts w:ascii="Times New Roman" w:eastAsia="等线" w:cs="Times New Roman" w:hint="eastAsia"/>
                <w:sz w:val="21"/>
                <w:szCs w:val="21"/>
              </w:rPr>
              <w:t>8</w:t>
            </w:r>
          </w:p>
        </w:tc>
      </w:tr>
      <w:tr w:rsidR="00FE55B9" w:rsidTr="00FE55B9">
        <w:trPr>
          <w:trHeight w:val="290"/>
          <w:jc w:val="center"/>
        </w:trPr>
        <w:tc>
          <w:tcPr>
            <w:tcW w:w="1587" w:type="pct"/>
            <w:shd w:val="clear" w:color="auto" w:fill="auto"/>
            <w:noWrap/>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3410</w:t>
            </w:r>
          </w:p>
        </w:tc>
        <w:tc>
          <w:tcPr>
            <w:tcW w:w="1543" w:type="pct"/>
            <w:shd w:val="clear" w:color="auto" w:fill="auto"/>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28.4</w:t>
            </w:r>
          </w:p>
        </w:tc>
        <w:tc>
          <w:tcPr>
            <w:tcW w:w="1870" w:type="pct"/>
            <w:shd w:val="clear" w:color="auto" w:fill="auto"/>
            <w:vAlign w:val="center"/>
          </w:tcPr>
          <w:p w:rsidR="00FE55B9" w:rsidRDefault="00E0169A" w:rsidP="00E0169A">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3514</w:t>
            </w:r>
            <w:r w:rsidR="00FE55B9">
              <w:rPr>
                <w:rFonts w:ascii="Times New Roman" w:eastAsia="等线" w:cs="Times New Roman" w:hint="eastAsia"/>
                <w:sz w:val="21"/>
                <w:szCs w:val="21"/>
              </w:rPr>
              <w:t>.</w:t>
            </w:r>
            <w:r>
              <w:rPr>
                <w:rFonts w:ascii="Times New Roman" w:eastAsia="等线" w:cs="Times New Roman" w:hint="eastAsia"/>
                <w:sz w:val="21"/>
                <w:szCs w:val="21"/>
              </w:rPr>
              <w:t>7</w:t>
            </w:r>
          </w:p>
        </w:tc>
      </w:tr>
      <w:tr w:rsidR="00FE55B9" w:rsidTr="00FE55B9">
        <w:trPr>
          <w:trHeight w:val="290"/>
          <w:jc w:val="center"/>
        </w:trPr>
        <w:tc>
          <w:tcPr>
            <w:tcW w:w="1587" w:type="pct"/>
            <w:shd w:val="clear" w:color="auto" w:fill="auto"/>
            <w:noWrap/>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3510</w:t>
            </w:r>
          </w:p>
        </w:tc>
        <w:tc>
          <w:tcPr>
            <w:tcW w:w="1543" w:type="pct"/>
            <w:shd w:val="clear" w:color="auto" w:fill="auto"/>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29.3</w:t>
            </w:r>
          </w:p>
        </w:tc>
        <w:tc>
          <w:tcPr>
            <w:tcW w:w="1870" w:type="pct"/>
            <w:shd w:val="clear" w:color="auto" w:fill="auto"/>
            <w:vAlign w:val="center"/>
          </w:tcPr>
          <w:p w:rsidR="00FE55B9" w:rsidRDefault="00E0169A" w:rsidP="00E0169A">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3312</w:t>
            </w:r>
            <w:r w:rsidR="00FE55B9">
              <w:rPr>
                <w:rFonts w:ascii="Times New Roman" w:eastAsia="等线" w:cs="Times New Roman" w:hint="eastAsia"/>
                <w:sz w:val="21"/>
                <w:szCs w:val="21"/>
              </w:rPr>
              <w:t>.</w:t>
            </w:r>
            <w:r>
              <w:rPr>
                <w:rFonts w:ascii="Times New Roman" w:eastAsia="等线" w:cs="Times New Roman" w:hint="eastAsia"/>
                <w:sz w:val="21"/>
                <w:szCs w:val="21"/>
              </w:rPr>
              <w:t>4</w:t>
            </w:r>
          </w:p>
        </w:tc>
      </w:tr>
      <w:tr w:rsidR="00FE55B9" w:rsidTr="00FE55B9">
        <w:trPr>
          <w:trHeight w:val="290"/>
          <w:jc w:val="center"/>
        </w:trPr>
        <w:tc>
          <w:tcPr>
            <w:tcW w:w="1587" w:type="pct"/>
            <w:shd w:val="clear" w:color="auto" w:fill="auto"/>
            <w:noWrap/>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3610</w:t>
            </w:r>
          </w:p>
        </w:tc>
        <w:tc>
          <w:tcPr>
            <w:tcW w:w="1543" w:type="pct"/>
            <w:shd w:val="clear" w:color="auto" w:fill="auto"/>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30.1</w:t>
            </w:r>
          </w:p>
        </w:tc>
        <w:tc>
          <w:tcPr>
            <w:tcW w:w="1870" w:type="pct"/>
            <w:shd w:val="clear" w:color="auto" w:fill="auto"/>
            <w:vAlign w:val="center"/>
          </w:tcPr>
          <w:p w:rsidR="00FE55B9" w:rsidRDefault="00E0169A" w:rsidP="00E0169A">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3224</w:t>
            </w:r>
            <w:r w:rsidR="00FE55B9">
              <w:rPr>
                <w:rFonts w:ascii="Times New Roman" w:eastAsia="等线" w:cs="Times New Roman" w:hint="eastAsia"/>
                <w:sz w:val="21"/>
                <w:szCs w:val="21"/>
              </w:rPr>
              <w:t>.</w:t>
            </w:r>
            <w:r>
              <w:rPr>
                <w:rFonts w:ascii="Times New Roman" w:eastAsia="等线" w:cs="Times New Roman" w:hint="eastAsia"/>
                <w:sz w:val="21"/>
                <w:szCs w:val="21"/>
              </w:rPr>
              <w:t>8</w:t>
            </w:r>
          </w:p>
        </w:tc>
      </w:tr>
      <w:tr w:rsidR="00FE55B9" w:rsidTr="00FE55B9">
        <w:trPr>
          <w:trHeight w:val="290"/>
          <w:jc w:val="center"/>
        </w:trPr>
        <w:tc>
          <w:tcPr>
            <w:tcW w:w="1587" w:type="pct"/>
            <w:shd w:val="clear" w:color="auto" w:fill="auto"/>
            <w:noWrap/>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3710</w:t>
            </w:r>
          </w:p>
        </w:tc>
        <w:tc>
          <w:tcPr>
            <w:tcW w:w="1543" w:type="pct"/>
            <w:shd w:val="clear" w:color="auto" w:fill="auto"/>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30.9</w:t>
            </w:r>
          </w:p>
        </w:tc>
        <w:tc>
          <w:tcPr>
            <w:tcW w:w="1870" w:type="pct"/>
            <w:shd w:val="clear" w:color="auto" w:fill="auto"/>
            <w:vAlign w:val="center"/>
          </w:tcPr>
          <w:p w:rsidR="00FE55B9" w:rsidRDefault="00E0169A" w:rsidP="00E0169A">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3228</w:t>
            </w:r>
            <w:r w:rsidR="00FE55B9">
              <w:rPr>
                <w:rFonts w:ascii="Times New Roman" w:eastAsia="等线" w:cs="Times New Roman" w:hint="eastAsia"/>
                <w:sz w:val="21"/>
                <w:szCs w:val="21"/>
              </w:rPr>
              <w:t>.</w:t>
            </w:r>
            <w:r>
              <w:rPr>
                <w:rFonts w:ascii="Times New Roman" w:eastAsia="等线" w:cs="Times New Roman" w:hint="eastAsia"/>
                <w:sz w:val="21"/>
                <w:szCs w:val="21"/>
              </w:rPr>
              <w:t>7</w:t>
            </w:r>
          </w:p>
        </w:tc>
      </w:tr>
      <w:tr w:rsidR="00FE55B9" w:rsidTr="00FE55B9">
        <w:trPr>
          <w:trHeight w:val="290"/>
          <w:jc w:val="center"/>
        </w:trPr>
        <w:tc>
          <w:tcPr>
            <w:tcW w:w="1587" w:type="pct"/>
            <w:shd w:val="clear" w:color="auto" w:fill="auto"/>
            <w:noWrap/>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3810</w:t>
            </w:r>
          </w:p>
        </w:tc>
        <w:tc>
          <w:tcPr>
            <w:tcW w:w="1543" w:type="pct"/>
            <w:shd w:val="clear" w:color="auto" w:fill="auto"/>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31.8</w:t>
            </w:r>
          </w:p>
        </w:tc>
        <w:tc>
          <w:tcPr>
            <w:tcW w:w="1870" w:type="pct"/>
            <w:shd w:val="clear" w:color="auto" w:fill="auto"/>
            <w:vAlign w:val="center"/>
          </w:tcPr>
          <w:p w:rsidR="00FE55B9" w:rsidRDefault="00E0169A" w:rsidP="00E0169A">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3021</w:t>
            </w:r>
            <w:r w:rsidR="00FE55B9">
              <w:rPr>
                <w:rFonts w:ascii="Times New Roman" w:eastAsia="等线" w:cs="Times New Roman" w:hint="eastAsia"/>
                <w:sz w:val="21"/>
                <w:szCs w:val="21"/>
              </w:rPr>
              <w:t>.</w:t>
            </w:r>
            <w:r>
              <w:rPr>
                <w:rFonts w:ascii="Times New Roman" w:eastAsia="等线" w:cs="Times New Roman" w:hint="eastAsia"/>
                <w:sz w:val="21"/>
                <w:szCs w:val="21"/>
              </w:rPr>
              <w:t>6</w:t>
            </w:r>
          </w:p>
        </w:tc>
      </w:tr>
      <w:tr w:rsidR="00FE55B9" w:rsidTr="00FE55B9">
        <w:trPr>
          <w:trHeight w:val="290"/>
          <w:jc w:val="center"/>
        </w:trPr>
        <w:tc>
          <w:tcPr>
            <w:tcW w:w="1587" w:type="pct"/>
            <w:shd w:val="clear" w:color="auto" w:fill="auto"/>
            <w:noWrap/>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3910</w:t>
            </w:r>
          </w:p>
        </w:tc>
        <w:tc>
          <w:tcPr>
            <w:tcW w:w="1543" w:type="pct"/>
            <w:shd w:val="clear" w:color="auto" w:fill="auto"/>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32.6</w:t>
            </w:r>
          </w:p>
        </w:tc>
        <w:tc>
          <w:tcPr>
            <w:tcW w:w="1870" w:type="pct"/>
            <w:shd w:val="clear" w:color="auto" w:fill="auto"/>
            <w:vAlign w:val="center"/>
          </w:tcPr>
          <w:p w:rsidR="00FE55B9" w:rsidRDefault="00E0169A" w:rsidP="00E0169A">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2825</w:t>
            </w:r>
            <w:r w:rsidR="00FE55B9">
              <w:rPr>
                <w:rFonts w:ascii="Times New Roman" w:eastAsia="等线" w:cs="Times New Roman" w:hint="eastAsia"/>
                <w:sz w:val="21"/>
                <w:szCs w:val="21"/>
              </w:rPr>
              <w:t>.</w:t>
            </w:r>
            <w:r>
              <w:rPr>
                <w:rFonts w:ascii="Times New Roman" w:eastAsia="等线" w:cs="Times New Roman" w:hint="eastAsia"/>
                <w:sz w:val="21"/>
                <w:szCs w:val="21"/>
              </w:rPr>
              <w:t>6</w:t>
            </w:r>
          </w:p>
        </w:tc>
      </w:tr>
      <w:tr w:rsidR="00FE55B9" w:rsidTr="00FE55B9">
        <w:trPr>
          <w:trHeight w:val="290"/>
          <w:jc w:val="center"/>
        </w:trPr>
        <w:tc>
          <w:tcPr>
            <w:tcW w:w="1587" w:type="pct"/>
            <w:shd w:val="clear" w:color="auto" w:fill="auto"/>
            <w:noWrap/>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4010</w:t>
            </w:r>
          </w:p>
        </w:tc>
        <w:tc>
          <w:tcPr>
            <w:tcW w:w="1543" w:type="pct"/>
            <w:shd w:val="clear" w:color="auto" w:fill="auto"/>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33.4</w:t>
            </w:r>
          </w:p>
        </w:tc>
        <w:tc>
          <w:tcPr>
            <w:tcW w:w="1870" w:type="pct"/>
            <w:shd w:val="clear" w:color="auto" w:fill="auto"/>
            <w:vAlign w:val="center"/>
          </w:tcPr>
          <w:p w:rsidR="00FE55B9" w:rsidRDefault="00E0169A" w:rsidP="00E0169A">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2815</w:t>
            </w:r>
            <w:r w:rsidR="00FE55B9">
              <w:rPr>
                <w:rFonts w:ascii="Times New Roman" w:eastAsia="等线" w:cs="Times New Roman" w:hint="eastAsia"/>
                <w:sz w:val="21"/>
                <w:szCs w:val="21"/>
              </w:rPr>
              <w:t>.</w:t>
            </w:r>
            <w:r>
              <w:rPr>
                <w:rFonts w:ascii="Times New Roman" w:eastAsia="等线" w:cs="Times New Roman" w:hint="eastAsia"/>
                <w:sz w:val="21"/>
                <w:szCs w:val="21"/>
              </w:rPr>
              <w:t>3</w:t>
            </w:r>
          </w:p>
        </w:tc>
      </w:tr>
      <w:tr w:rsidR="00FE55B9" w:rsidTr="00FE55B9">
        <w:trPr>
          <w:trHeight w:val="290"/>
          <w:jc w:val="center"/>
        </w:trPr>
        <w:tc>
          <w:tcPr>
            <w:tcW w:w="1587" w:type="pct"/>
            <w:shd w:val="clear" w:color="auto" w:fill="auto"/>
            <w:noWrap/>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4110</w:t>
            </w:r>
          </w:p>
        </w:tc>
        <w:tc>
          <w:tcPr>
            <w:tcW w:w="1543" w:type="pct"/>
            <w:shd w:val="clear" w:color="auto" w:fill="auto"/>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34.3</w:t>
            </w:r>
          </w:p>
        </w:tc>
        <w:tc>
          <w:tcPr>
            <w:tcW w:w="1870" w:type="pct"/>
            <w:shd w:val="clear" w:color="auto" w:fill="auto"/>
            <w:vAlign w:val="center"/>
          </w:tcPr>
          <w:p w:rsidR="00FE55B9" w:rsidRDefault="00E0169A" w:rsidP="00FE55B9">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2657</w:t>
            </w:r>
            <w:r w:rsidR="00FE55B9">
              <w:rPr>
                <w:rFonts w:ascii="Times New Roman" w:eastAsia="等线" w:cs="Times New Roman" w:hint="eastAsia"/>
                <w:sz w:val="21"/>
                <w:szCs w:val="21"/>
              </w:rPr>
              <w:t>.5</w:t>
            </w:r>
          </w:p>
        </w:tc>
      </w:tr>
      <w:tr w:rsidR="00FE55B9" w:rsidTr="00FE55B9">
        <w:trPr>
          <w:trHeight w:val="290"/>
          <w:jc w:val="center"/>
        </w:trPr>
        <w:tc>
          <w:tcPr>
            <w:tcW w:w="1587" w:type="pct"/>
            <w:shd w:val="clear" w:color="auto" w:fill="auto"/>
            <w:noWrap/>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4210</w:t>
            </w:r>
          </w:p>
        </w:tc>
        <w:tc>
          <w:tcPr>
            <w:tcW w:w="1543" w:type="pct"/>
            <w:shd w:val="clear" w:color="auto" w:fill="auto"/>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35.1</w:t>
            </w:r>
          </w:p>
        </w:tc>
        <w:tc>
          <w:tcPr>
            <w:tcW w:w="1870" w:type="pct"/>
            <w:shd w:val="clear" w:color="auto" w:fill="auto"/>
            <w:vAlign w:val="center"/>
          </w:tcPr>
          <w:p w:rsidR="00FE55B9" w:rsidRDefault="00E0169A" w:rsidP="00E0169A">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25</w:t>
            </w:r>
            <w:r w:rsidR="00FE55B9">
              <w:rPr>
                <w:rFonts w:ascii="Times New Roman" w:eastAsia="等线" w:cs="Times New Roman" w:hint="eastAsia"/>
                <w:sz w:val="21"/>
                <w:szCs w:val="21"/>
              </w:rPr>
              <w:t>39.</w:t>
            </w:r>
            <w:r>
              <w:rPr>
                <w:rFonts w:ascii="Times New Roman" w:eastAsia="等线" w:cs="Times New Roman" w:hint="eastAsia"/>
                <w:sz w:val="21"/>
                <w:szCs w:val="21"/>
              </w:rPr>
              <w:t>5</w:t>
            </w:r>
          </w:p>
        </w:tc>
      </w:tr>
      <w:tr w:rsidR="00FE55B9" w:rsidTr="00FE55B9">
        <w:trPr>
          <w:trHeight w:val="290"/>
          <w:jc w:val="center"/>
        </w:trPr>
        <w:tc>
          <w:tcPr>
            <w:tcW w:w="1587" w:type="pct"/>
            <w:shd w:val="clear" w:color="auto" w:fill="auto"/>
            <w:noWrap/>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4310</w:t>
            </w:r>
          </w:p>
        </w:tc>
        <w:tc>
          <w:tcPr>
            <w:tcW w:w="1543" w:type="pct"/>
            <w:shd w:val="clear" w:color="auto" w:fill="auto"/>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35.9</w:t>
            </w:r>
          </w:p>
        </w:tc>
        <w:tc>
          <w:tcPr>
            <w:tcW w:w="1870" w:type="pct"/>
            <w:shd w:val="clear" w:color="auto" w:fill="auto"/>
            <w:vAlign w:val="center"/>
          </w:tcPr>
          <w:p w:rsidR="00FE55B9" w:rsidRDefault="00E0169A" w:rsidP="00E0169A">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2339</w:t>
            </w:r>
            <w:r w:rsidR="00FE55B9">
              <w:rPr>
                <w:rFonts w:ascii="Times New Roman" w:eastAsia="等线" w:cs="Times New Roman" w:hint="eastAsia"/>
                <w:sz w:val="21"/>
                <w:szCs w:val="21"/>
              </w:rPr>
              <w:t>.</w:t>
            </w:r>
            <w:r>
              <w:rPr>
                <w:rFonts w:ascii="Times New Roman" w:eastAsia="等线" w:cs="Times New Roman" w:hint="eastAsia"/>
                <w:sz w:val="21"/>
                <w:szCs w:val="21"/>
              </w:rPr>
              <w:t>4</w:t>
            </w:r>
          </w:p>
        </w:tc>
      </w:tr>
      <w:tr w:rsidR="00FE55B9" w:rsidTr="00FE55B9">
        <w:trPr>
          <w:trHeight w:val="290"/>
          <w:jc w:val="center"/>
        </w:trPr>
        <w:tc>
          <w:tcPr>
            <w:tcW w:w="1587" w:type="pct"/>
            <w:shd w:val="clear" w:color="auto" w:fill="auto"/>
            <w:noWrap/>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4410</w:t>
            </w:r>
          </w:p>
        </w:tc>
        <w:tc>
          <w:tcPr>
            <w:tcW w:w="1543" w:type="pct"/>
            <w:shd w:val="clear" w:color="auto" w:fill="auto"/>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36.8</w:t>
            </w:r>
          </w:p>
        </w:tc>
        <w:tc>
          <w:tcPr>
            <w:tcW w:w="1870" w:type="pct"/>
            <w:shd w:val="clear" w:color="auto" w:fill="auto"/>
            <w:vAlign w:val="center"/>
          </w:tcPr>
          <w:p w:rsidR="00FE55B9" w:rsidRDefault="00E0169A" w:rsidP="00E0169A">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2225</w:t>
            </w:r>
            <w:r w:rsidR="00FE55B9">
              <w:rPr>
                <w:rFonts w:ascii="Times New Roman" w:eastAsia="等线" w:cs="Times New Roman" w:hint="eastAsia"/>
                <w:sz w:val="21"/>
                <w:szCs w:val="21"/>
              </w:rPr>
              <w:t>.</w:t>
            </w:r>
            <w:r>
              <w:rPr>
                <w:rFonts w:ascii="Times New Roman" w:eastAsia="等线" w:cs="Times New Roman" w:hint="eastAsia"/>
                <w:sz w:val="21"/>
                <w:szCs w:val="21"/>
              </w:rPr>
              <w:t>1</w:t>
            </w:r>
          </w:p>
        </w:tc>
      </w:tr>
      <w:tr w:rsidR="00FE55B9" w:rsidTr="00FE55B9">
        <w:trPr>
          <w:trHeight w:val="290"/>
          <w:jc w:val="center"/>
        </w:trPr>
        <w:tc>
          <w:tcPr>
            <w:tcW w:w="1587" w:type="pct"/>
            <w:shd w:val="clear" w:color="auto" w:fill="auto"/>
            <w:noWrap/>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4510</w:t>
            </w:r>
          </w:p>
        </w:tc>
        <w:tc>
          <w:tcPr>
            <w:tcW w:w="1543" w:type="pct"/>
            <w:shd w:val="clear" w:color="auto" w:fill="auto"/>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37.6</w:t>
            </w:r>
          </w:p>
        </w:tc>
        <w:tc>
          <w:tcPr>
            <w:tcW w:w="1870" w:type="pct"/>
            <w:shd w:val="clear" w:color="auto" w:fill="auto"/>
            <w:vAlign w:val="center"/>
          </w:tcPr>
          <w:p w:rsidR="00FE55B9" w:rsidRDefault="00E0169A" w:rsidP="00E0169A">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2175</w:t>
            </w:r>
            <w:r w:rsidR="00FE55B9">
              <w:rPr>
                <w:rFonts w:ascii="Times New Roman" w:eastAsia="等线" w:cs="Times New Roman" w:hint="eastAsia"/>
                <w:sz w:val="21"/>
                <w:szCs w:val="21"/>
              </w:rPr>
              <w:t>.</w:t>
            </w:r>
            <w:r>
              <w:rPr>
                <w:rFonts w:ascii="Times New Roman" w:eastAsia="等线" w:cs="Times New Roman" w:hint="eastAsia"/>
                <w:sz w:val="21"/>
                <w:szCs w:val="21"/>
              </w:rPr>
              <w:t>3</w:t>
            </w:r>
          </w:p>
        </w:tc>
      </w:tr>
      <w:tr w:rsidR="00FE55B9" w:rsidTr="00FE55B9">
        <w:trPr>
          <w:trHeight w:val="290"/>
          <w:jc w:val="center"/>
        </w:trPr>
        <w:tc>
          <w:tcPr>
            <w:tcW w:w="1587" w:type="pct"/>
            <w:shd w:val="clear" w:color="auto" w:fill="auto"/>
            <w:noWrap/>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4610</w:t>
            </w:r>
          </w:p>
        </w:tc>
        <w:tc>
          <w:tcPr>
            <w:tcW w:w="1543" w:type="pct"/>
            <w:shd w:val="clear" w:color="auto" w:fill="auto"/>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38.4</w:t>
            </w:r>
          </w:p>
        </w:tc>
        <w:tc>
          <w:tcPr>
            <w:tcW w:w="1870" w:type="pct"/>
            <w:shd w:val="clear" w:color="auto" w:fill="auto"/>
            <w:vAlign w:val="center"/>
          </w:tcPr>
          <w:p w:rsidR="00FE55B9" w:rsidRDefault="00E0169A" w:rsidP="00E0169A">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21</w:t>
            </w:r>
            <w:r w:rsidR="00FE55B9">
              <w:rPr>
                <w:rFonts w:ascii="Times New Roman" w:eastAsia="等线" w:cs="Times New Roman" w:hint="eastAsia"/>
                <w:sz w:val="21"/>
                <w:szCs w:val="21"/>
              </w:rPr>
              <w:t>5</w:t>
            </w:r>
            <w:r>
              <w:rPr>
                <w:rFonts w:ascii="Times New Roman" w:eastAsia="等线" w:cs="Times New Roman" w:hint="eastAsia"/>
                <w:sz w:val="21"/>
                <w:szCs w:val="21"/>
              </w:rPr>
              <w:t>0</w:t>
            </w:r>
            <w:r w:rsidR="00FE55B9">
              <w:rPr>
                <w:rFonts w:ascii="Times New Roman" w:eastAsia="等线" w:cs="Times New Roman" w:hint="eastAsia"/>
                <w:sz w:val="21"/>
                <w:szCs w:val="21"/>
              </w:rPr>
              <w:t>.</w:t>
            </w:r>
            <w:r>
              <w:rPr>
                <w:rFonts w:ascii="Times New Roman" w:eastAsia="等线" w:cs="Times New Roman" w:hint="eastAsia"/>
                <w:sz w:val="21"/>
                <w:szCs w:val="21"/>
              </w:rPr>
              <w:t>5</w:t>
            </w:r>
          </w:p>
        </w:tc>
      </w:tr>
      <w:tr w:rsidR="00FE55B9" w:rsidTr="00FE55B9">
        <w:trPr>
          <w:trHeight w:val="290"/>
          <w:jc w:val="center"/>
        </w:trPr>
        <w:tc>
          <w:tcPr>
            <w:tcW w:w="1587" w:type="pct"/>
            <w:shd w:val="clear" w:color="auto" w:fill="auto"/>
            <w:noWrap/>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4710</w:t>
            </w:r>
          </w:p>
        </w:tc>
        <w:tc>
          <w:tcPr>
            <w:tcW w:w="1543" w:type="pct"/>
            <w:shd w:val="clear" w:color="auto" w:fill="auto"/>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39.3</w:t>
            </w:r>
          </w:p>
        </w:tc>
        <w:tc>
          <w:tcPr>
            <w:tcW w:w="1870" w:type="pct"/>
            <w:shd w:val="clear" w:color="auto" w:fill="auto"/>
            <w:vAlign w:val="center"/>
          </w:tcPr>
          <w:p w:rsidR="00FE55B9" w:rsidRDefault="00E0169A" w:rsidP="00E0169A">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1942</w:t>
            </w:r>
            <w:r w:rsidR="00FE55B9">
              <w:rPr>
                <w:rFonts w:ascii="Times New Roman" w:eastAsia="等线" w:cs="Times New Roman" w:hint="eastAsia"/>
                <w:sz w:val="21"/>
                <w:szCs w:val="21"/>
              </w:rPr>
              <w:t>.2</w:t>
            </w:r>
          </w:p>
        </w:tc>
      </w:tr>
      <w:tr w:rsidR="00FE55B9" w:rsidTr="00FE55B9">
        <w:trPr>
          <w:trHeight w:val="290"/>
          <w:jc w:val="center"/>
        </w:trPr>
        <w:tc>
          <w:tcPr>
            <w:tcW w:w="1587" w:type="pct"/>
            <w:shd w:val="clear" w:color="auto" w:fill="auto"/>
            <w:noWrap/>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4810</w:t>
            </w:r>
          </w:p>
        </w:tc>
        <w:tc>
          <w:tcPr>
            <w:tcW w:w="1543" w:type="pct"/>
            <w:shd w:val="clear" w:color="auto" w:fill="auto"/>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40.1</w:t>
            </w:r>
          </w:p>
        </w:tc>
        <w:tc>
          <w:tcPr>
            <w:tcW w:w="1870" w:type="pct"/>
            <w:shd w:val="clear" w:color="auto" w:fill="auto"/>
            <w:vAlign w:val="center"/>
          </w:tcPr>
          <w:p w:rsidR="00FE55B9" w:rsidRDefault="00E0169A" w:rsidP="00E0169A">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1826</w:t>
            </w:r>
            <w:r w:rsidR="00FE55B9">
              <w:rPr>
                <w:rFonts w:ascii="Times New Roman" w:eastAsia="等线" w:cs="Times New Roman" w:hint="eastAsia"/>
                <w:sz w:val="21"/>
                <w:szCs w:val="21"/>
              </w:rPr>
              <w:t>.</w:t>
            </w:r>
            <w:r>
              <w:rPr>
                <w:rFonts w:ascii="Times New Roman" w:eastAsia="等线" w:cs="Times New Roman" w:hint="eastAsia"/>
                <w:sz w:val="21"/>
                <w:szCs w:val="21"/>
              </w:rPr>
              <w:t>4</w:t>
            </w:r>
          </w:p>
        </w:tc>
      </w:tr>
      <w:tr w:rsidR="00FE55B9" w:rsidTr="00FE55B9">
        <w:trPr>
          <w:trHeight w:val="290"/>
          <w:jc w:val="center"/>
        </w:trPr>
        <w:tc>
          <w:tcPr>
            <w:tcW w:w="1587" w:type="pct"/>
            <w:shd w:val="clear" w:color="auto" w:fill="auto"/>
            <w:noWrap/>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4910</w:t>
            </w:r>
          </w:p>
        </w:tc>
        <w:tc>
          <w:tcPr>
            <w:tcW w:w="1543" w:type="pct"/>
            <w:shd w:val="clear" w:color="auto" w:fill="auto"/>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40.9</w:t>
            </w:r>
          </w:p>
        </w:tc>
        <w:tc>
          <w:tcPr>
            <w:tcW w:w="1870" w:type="pct"/>
            <w:shd w:val="clear" w:color="auto" w:fill="auto"/>
            <w:vAlign w:val="center"/>
          </w:tcPr>
          <w:p w:rsidR="00FE55B9" w:rsidRDefault="00E0169A" w:rsidP="00E0169A">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1805</w:t>
            </w:r>
            <w:r w:rsidR="00FE55B9">
              <w:rPr>
                <w:rFonts w:ascii="Times New Roman" w:eastAsia="等线" w:cs="Times New Roman" w:hint="eastAsia"/>
                <w:sz w:val="21"/>
                <w:szCs w:val="21"/>
              </w:rPr>
              <w:t>.</w:t>
            </w:r>
            <w:r>
              <w:rPr>
                <w:rFonts w:ascii="Times New Roman" w:eastAsia="等线" w:cs="Times New Roman" w:hint="eastAsia"/>
                <w:sz w:val="21"/>
                <w:szCs w:val="21"/>
              </w:rPr>
              <w:t>3</w:t>
            </w:r>
          </w:p>
        </w:tc>
      </w:tr>
    </w:tbl>
    <w:p w:rsidR="00FE55B9" w:rsidRDefault="00FE55B9" w:rsidP="00FE55B9">
      <w:pPr>
        <w:pStyle w:val="affa"/>
        <w:ind w:firstLine="480"/>
      </w:pPr>
      <w:r w:rsidRPr="00FE55B9">
        <w:t>甲烷泄漏时下风向浓度分布</w:t>
      </w:r>
      <w:r w:rsidRPr="00FE55B9">
        <w:rPr>
          <w:rFonts w:hint="eastAsia"/>
        </w:rPr>
        <w:t>计算结果见图</w:t>
      </w:r>
      <w:r w:rsidRPr="00FE55B9">
        <w:rPr>
          <w:rFonts w:hint="eastAsia"/>
        </w:rPr>
        <w:t>7.8-1</w:t>
      </w:r>
      <w:r w:rsidRPr="00FE55B9">
        <w:rPr>
          <w:rFonts w:hint="eastAsia"/>
        </w:rPr>
        <w:t>。</w:t>
      </w:r>
    </w:p>
    <w:p w:rsidR="00FE55B9" w:rsidRDefault="00FE55B9" w:rsidP="00FE55B9">
      <w:pPr>
        <w:pStyle w:val="affa"/>
        <w:ind w:firstLineChars="83" w:firstLine="199"/>
        <w:jc w:val="center"/>
      </w:pPr>
      <w:r w:rsidRPr="00FE55B9">
        <w:rPr>
          <w:noProof/>
        </w:rPr>
        <w:drawing>
          <wp:inline distT="0" distB="0" distL="114300" distR="114300">
            <wp:extent cx="4920018" cy="2872432"/>
            <wp:effectExtent l="19050" t="0" r="0" b="0"/>
            <wp:docPr id="3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8"/>
                    <pic:cNvPicPr>
                      <a:picLocks noChangeAspect="1"/>
                    </pic:cNvPicPr>
                  </pic:nvPicPr>
                  <pic:blipFill>
                    <a:blip r:embed="rId112" cstate="print"/>
                    <a:stretch>
                      <a:fillRect/>
                    </a:stretch>
                  </pic:blipFill>
                  <pic:spPr>
                    <a:xfrm>
                      <a:off x="0" y="0"/>
                      <a:ext cx="4922748" cy="2874026"/>
                    </a:xfrm>
                    <a:prstGeom prst="rect">
                      <a:avLst/>
                    </a:prstGeom>
                    <a:noFill/>
                    <a:ln>
                      <a:noFill/>
                    </a:ln>
                  </pic:spPr>
                </pic:pic>
              </a:graphicData>
            </a:graphic>
          </wp:inline>
        </w:drawing>
      </w:r>
    </w:p>
    <w:p w:rsidR="00FE55B9" w:rsidRDefault="00FE55B9" w:rsidP="00FE55B9">
      <w:pPr>
        <w:pStyle w:val="affa"/>
        <w:ind w:firstLineChars="83" w:firstLine="175"/>
        <w:jc w:val="center"/>
      </w:pPr>
      <w:r>
        <w:rPr>
          <w:rFonts w:hint="eastAsia"/>
          <w:b/>
          <w:kern w:val="2"/>
          <w:sz w:val="21"/>
          <w:szCs w:val="21"/>
        </w:rPr>
        <w:t>图</w:t>
      </w:r>
      <w:r>
        <w:rPr>
          <w:rFonts w:hint="eastAsia"/>
          <w:b/>
          <w:kern w:val="2"/>
          <w:sz w:val="21"/>
          <w:szCs w:val="21"/>
        </w:rPr>
        <w:t xml:space="preserve">7.8-1 </w:t>
      </w:r>
      <w:r>
        <w:rPr>
          <w:b/>
          <w:bCs/>
          <w:kern w:val="2"/>
          <w:sz w:val="21"/>
          <w:szCs w:val="21"/>
        </w:rPr>
        <w:t>甲烷泄漏时下风向</w:t>
      </w:r>
      <w:r>
        <w:rPr>
          <w:b/>
          <w:kern w:val="2"/>
          <w:sz w:val="21"/>
          <w:szCs w:val="21"/>
        </w:rPr>
        <w:t>浓度</w:t>
      </w:r>
      <w:r>
        <w:rPr>
          <w:b/>
          <w:bCs/>
          <w:kern w:val="2"/>
          <w:sz w:val="21"/>
          <w:szCs w:val="21"/>
        </w:rPr>
        <w:t>分布</w:t>
      </w:r>
      <w:r>
        <w:rPr>
          <w:rFonts w:hint="eastAsia"/>
          <w:b/>
          <w:kern w:val="2"/>
          <w:sz w:val="21"/>
          <w:szCs w:val="21"/>
        </w:rPr>
        <w:t>计算结果</w:t>
      </w:r>
    </w:p>
    <w:p w:rsidR="00FE55B9" w:rsidRDefault="00FE55B9" w:rsidP="00FE55B9">
      <w:pPr>
        <w:topLinePunct w:val="0"/>
        <w:adjustRightInd/>
        <w:ind w:firstLineChars="0" w:firstLine="0"/>
        <w:jc w:val="center"/>
        <w:rPr>
          <w:rFonts w:ascii="Times New Roman" w:cs="Times New Roman"/>
          <w:b/>
          <w:kern w:val="2"/>
          <w:sz w:val="21"/>
          <w:szCs w:val="21"/>
          <w:vertAlign w:val="superscript"/>
        </w:rPr>
      </w:pPr>
      <w:r>
        <w:rPr>
          <w:rFonts w:ascii="Times New Roman" w:cs="Times New Roman"/>
          <w:b/>
          <w:kern w:val="2"/>
          <w:sz w:val="21"/>
          <w:szCs w:val="21"/>
        </w:rPr>
        <w:lastRenderedPageBreak/>
        <w:t>表</w:t>
      </w:r>
      <w:r>
        <w:rPr>
          <w:rFonts w:ascii="Times New Roman" w:cs="Times New Roman" w:hint="eastAsia"/>
          <w:b/>
          <w:kern w:val="2"/>
          <w:sz w:val="21"/>
          <w:szCs w:val="21"/>
        </w:rPr>
        <w:t>7</w:t>
      </w:r>
      <w:r>
        <w:rPr>
          <w:rFonts w:ascii="Times New Roman" w:cs="Times New Roman"/>
          <w:b/>
          <w:kern w:val="2"/>
          <w:sz w:val="21"/>
          <w:szCs w:val="21"/>
        </w:rPr>
        <w:t>.</w:t>
      </w:r>
      <w:r>
        <w:rPr>
          <w:rFonts w:ascii="Times New Roman" w:cs="Times New Roman" w:hint="eastAsia"/>
          <w:b/>
          <w:kern w:val="2"/>
          <w:sz w:val="21"/>
          <w:szCs w:val="21"/>
        </w:rPr>
        <w:t>8</w:t>
      </w:r>
      <w:r>
        <w:rPr>
          <w:rFonts w:ascii="Times New Roman" w:cs="Times New Roman"/>
          <w:b/>
          <w:kern w:val="2"/>
          <w:sz w:val="21"/>
          <w:szCs w:val="21"/>
        </w:rPr>
        <w:t>-</w:t>
      </w:r>
      <w:r>
        <w:rPr>
          <w:rFonts w:ascii="Times New Roman" w:cs="Times New Roman" w:hint="eastAsia"/>
          <w:b/>
          <w:kern w:val="2"/>
          <w:sz w:val="21"/>
          <w:szCs w:val="21"/>
        </w:rPr>
        <w:t>4</w:t>
      </w:r>
      <w:r>
        <w:rPr>
          <w:rFonts w:ascii="Times New Roman" w:cs="Times New Roman"/>
          <w:b/>
          <w:kern w:val="2"/>
          <w:sz w:val="21"/>
          <w:szCs w:val="21"/>
        </w:rPr>
        <w:t xml:space="preserve">  </w:t>
      </w:r>
      <w:r>
        <w:rPr>
          <w:rFonts w:ascii="Times New Roman" w:cs="Times New Roman" w:hint="eastAsia"/>
          <w:b/>
          <w:bCs/>
          <w:kern w:val="2"/>
          <w:sz w:val="21"/>
          <w:szCs w:val="21"/>
        </w:rPr>
        <w:t>硫化氢</w:t>
      </w:r>
      <w:r>
        <w:rPr>
          <w:rFonts w:ascii="Times New Roman" w:cs="Times New Roman"/>
          <w:b/>
          <w:bCs/>
          <w:kern w:val="2"/>
          <w:sz w:val="21"/>
          <w:szCs w:val="21"/>
        </w:rPr>
        <w:t>泄漏时下风向</w:t>
      </w:r>
      <w:r>
        <w:rPr>
          <w:rFonts w:ascii="Times New Roman" w:cs="Times New Roman"/>
          <w:b/>
          <w:kern w:val="2"/>
          <w:sz w:val="21"/>
          <w:szCs w:val="21"/>
        </w:rPr>
        <w:t>浓度</w:t>
      </w:r>
      <w:r>
        <w:rPr>
          <w:rFonts w:ascii="Times New Roman" w:cs="Times New Roman"/>
          <w:b/>
          <w:bCs/>
          <w:kern w:val="2"/>
          <w:sz w:val="21"/>
          <w:szCs w:val="21"/>
        </w:rPr>
        <w:t>分布表</w:t>
      </w:r>
      <w:r>
        <w:rPr>
          <w:rFonts w:ascii="Times New Roman" w:cs="Times New Roman"/>
          <w:b/>
          <w:kern w:val="2"/>
          <w:sz w:val="21"/>
          <w:szCs w:val="21"/>
        </w:rPr>
        <w:t xml:space="preserve">  </w:t>
      </w:r>
      <w:r>
        <w:rPr>
          <w:rFonts w:ascii="Times New Roman" w:cs="Times New Roman"/>
          <w:b/>
          <w:kern w:val="2"/>
          <w:sz w:val="21"/>
          <w:szCs w:val="21"/>
        </w:rPr>
        <w:t>单位：</w:t>
      </w:r>
      <w:r>
        <w:rPr>
          <w:rFonts w:ascii="Times New Roman" w:cs="Times New Roman"/>
          <w:b/>
          <w:kern w:val="2"/>
          <w:sz w:val="21"/>
          <w:szCs w:val="21"/>
        </w:rPr>
        <w:t>mg/m</w:t>
      </w:r>
      <w:r>
        <w:rPr>
          <w:rFonts w:ascii="Times New Roman" w:cs="Times New Roman"/>
          <w:b/>
          <w:kern w:val="2"/>
          <w:sz w:val="21"/>
          <w:szCs w:val="21"/>
          <w:vertAlign w:val="superscript"/>
        </w:rPr>
        <w:t>3</w:t>
      </w:r>
    </w:p>
    <w:tbl>
      <w:tblPr>
        <w:tblW w:w="5000" w:type="pct"/>
        <w:jc w:val="center"/>
        <w:tblBorders>
          <w:top w:val="single" w:sz="12" w:space="0" w:color="auto"/>
          <w:bottom w:val="single" w:sz="12" w:space="0" w:color="auto"/>
          <w:insideH w:val="single" w:sz="6" w:space="0" w:color="auto"/>
          <w:insideV w:val="single" w:sz="6" w:space="0" w:color="auto"/>
        </w:tblBorders>
        <w:tblLook w:val="04A0"/>
      </w:tblPr>
      <w:tblGrid>
        <w:gridCol w:w="2705"/>
        <w:gridCol w:w="2630"/>
        <w:gridCol w:w="3187"/>
      </w:tblGrid>
      <w:tr w:rsidR="00FE55B9" w:rsidTr="00FE55B9">
        <w:trPr>
          <w:trHeight w:val="290"/>
          <w:jc w:val="center"/>
        </w:trPr>
        <w:tc>
          <w:tcPr>
            <w:tcW w:w="1587" w:type="pct"/>
            <w:shd w:val="clear" w:color="auto" w:fill="auto"/>
            <w:noWrap/>
            <w:vAlign w:val="center"/>
          </w:tcPr>
          <w:p w:rsidR="00FE55B9" w:rsidRDefault="00FE55B9" w:rsidP="00FE55B9">
            <w:pPr>
              <w:widowControl/>
              <w:topLinePunct w:val="0"/>
              <w:adjustRightInd/>
              <w:ind w:firstLine="422"/>
              <w:jc w:val="center"/>
              <w:rPr>
                <w:rFonts w:ascii="Times New Roman" w:eastAsia="等线" w:cs="Times New Roman"/>
                <w:b/>
                <w:sz w:val="21"/>
                <w:szCs w:val="21"/>
              </w:rPr>
            </w:pPr>
            <w:r>
              <w:rPr>
                <w:rFonts w:ascii="Times New Roman" w:cs="Times New Roman"/>
                <w:b/>
                <w:kern w:val="2"/>
                <w:sz w:val="21"/>
                <w:szCs w:val="21"/>
              </w:rPr>
              <w:t>下风向距离</w:t>
            </w:r>
            <w:r>
              <w:rPr>
                <w:rFonts w:ascii="Times New Roman" w:cs="Times New Roman" w:hint="eastAsia"/>
                <w:b/>
                <w:kern w:val="2"/>
                <w:sz w:val="21"/>
                <w:szCs w:val="21"/>
              </w:rPr>
              <w:t>（</w:t>
            </w:r>
            <w:r>
              <w:rPr>
                <w:rFonts w:ascii="Times New Roman" w:cs="Times New Roman"/>
                <w:b/>
                <w:kern w:val="2"/>
                <w:sz w:val="21"/>
                <w:szCs w:val="21"/>
              </w:rPr>
              <w:t>m</w:t>
            </w:r>
            <w:r>
              <w:rPr>
                <w:rFonts w:ascii="Times New Roman" w:cs="Times New Roman" w:hint="eastAsia"/>
                <w:b/>
                <w:kern w:val="2"/>
                <w:sz w:val="21"/>
                <w:szCs w:val="21"/>
              </w:rPr>
              <w:t>）</w:t>
            </w:r>
          </w:p>
        </w:tc>
        <w:tc>
          <w:tcPr>
            <w:tcW w:w="1543" w:type="pct"/>
            <w:shd w:val="clear" w:color="auto" w:fill="auto"/>
            <w:vAlign w:val="center"/>
          </w:tcPr>
          <w:p w:rsidR="00FE55B9" w:rsidRDefault="00FE55B9" w:rsidP="00FE55B9">
            <w:pPr>
              <w:widowControl/>
              <w:topLinePunct w:val="0"/>
              <w:adjustRightInd/>
              <w:ind w:firstLine="422"/>
              <w:jc w:val="center"/>
              <w:rPr>
                <w:rFonts w:ascii="Times New Roman" w:eastAsia="等线" w:cs="Times New Roman"/>
                <w:b/>
                <w:sz w:val="21"/>
                <w:szCs w:val="21"/>
              </w:rPr>
            </w:pPr>
            <w:r>
              <w:rPr>
                <w:rFonts w:ascii="Times New Roman" w:cs="Times New Roman"/>
                <w:b/>
                <w:kern w:val="2"/>
                <w:sz w:val="21"/>
                <w:szCs w:val="21"/>
              </w:rPr>
              <w:t>浓度出现时间</w:t>
            </w:r>
            <w:r>
              <w:rPr>
                <w:rFonts w:ascii="Times New Roman" w:cs="Times New Roman" w:hint="eastAsia"/>
                <w:b/>
                <w:kern w:val="2"/>
                <w:sz w:val="21"/>
                <w:szCs w:val="21"/>
              </w:rPr>
              <w:t>（</w:t>
            </w:r>
            <w:r>
              <w:rPr>
                <w:rFonts w:ascii="Times New Roman" w:cs="Times New Roman"/>
                <w:b/>
                <w:kern w:val="2"/>
                <w:sz w:val="21"/>
                <w:szCs w:val="21"/>
              </w:rPr>
              <w:t>min</w:t>
            </w:r>
            <w:r>
              <w:rPr>
                <w:rFonts w:ascii="Times New Roman" w:cs="Times New Roman" w:hint="eastAsia"/>
                <w:b/>
                <w:kern w:val="2"/>
                <w:sz w:val="21"/>
                <w:szCs w:val="21"/>
              </w:rPr>
              <w:t>）</w:t>
            </w:r>
          </w:p>
        </w:tc>
        <w:tc>
          <w:tcPr>
            <w:tcW w:w="1870" w:type="pct"/>
            <w:shd w:val="clear" w:color="auto" w:fill="auto"/>
            <w:vAlign w:val="center"/>
          </w:tcPr>
          <w:p w:rsidR="00FE55B9" w:rsidRDefault="00FE55B9" w:rsidP="00FE55B9">
            <w:pPr>
              <w:widowControl/>
              <w:topLinePunct w:val="0"/>
              <w:adjustRightInd/>
              <w:ind w:firstLineChars="100" w:firstLine="211"/>
              <w:jc w:val="center"/>
              <w:rPr>
                <w:rFonts w:ascii="Times New Roman" w:eastAsia="等线" w:cs="Times New Roman"/>
                <w:b/>
                <w:sz w:val="21"/>
                <w:szCs w:val="21"/>
              </w:rPr>
            </w:pPr>
            <w:r>
              <w:rPr>
                <w:rFonts w:ascii="Times New Roman" w:cs="Times New Roman"/>
                <w:b/>
                <w:kern w:val="2"/>
                <w:sz w:val="21"/>
                <w:szCs w:val="21"/>
              </w:rPr>
              <w:t>高峰浓度</w:t>
            </w:r>
            <w:r>
              <w:rPr>
                <w:rFonts w:ascii="Times New Roman" w:cs="Times New Roman" w:hint="eastAsia"/>
                <w:b/>
                <w:kern w:val="2"/>
                <w:sz w:val="21"/>
                <w:szCs w:val="21"/>
              </w:rPr>
              <w:t>（</w:t>
            </w:r>
            <w:r>
              <w:rPr>
                <w:rFonts w:ascii="Times New Roman" w:cs="Times New Roman"/>
                <w:b/>
                <w:kern w:val="2"/>
                <w:sz w:val="21"/>
                <w:szCs w:val="21"/>
              </w:rPr>
              <w:t>mg/m</w:t>
            </w:r>
            <w:r>
              <w:rPr>
                <w:rFonts w:ascii="Times New Roman" w:cs="Times New Roman"/>
                <w:b/>
                <w:kern w:val="2"/>
                <w:sz w:val="21"/>
                <w:szCs w:val="21"/>
                <w:vertAlign w:val="superscript"/>
              </w:rPr>
              <w:t>3</w:t>
            </w:r>
            <w:r>
              <w:rPr>
                <w:rFonts w:ascii="Times New Roman" w:cs="Times New Roman" w:hint="eastAsia"/>
                <w:b/>
                <w:kern w:val="2"/>
                <w:sz w:val="21"/>
                <w:szCs w:val="21"/>
              </w:rPr>
              <w:t>）</w:t>
            </w:r>
          </w:p>
        </w:tc>
      </w:tr>
      <w:tr w:rsidR="00FE55B9" w:rsidTr="00FE55B9">
        <w:trPr>
          <w:trHeight w:val="290"/>
          <w:jc w:val="center"/>
        </w:trPr>
        <w:tc>
          <w:tcPr>
            <w:tcW w:w="1587" w:type="pct"/>
            <w:shd w:val="clear" w:color="auto" w:fill="auto"/>
            <w:noWrap/>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10</w:t>
            </w:r>
          </w:p>
        </w:tc>
        <w:tc>
          <w:tcPr>
            <w:tcW w:w="1543" w:type="pct"/>
            <w:shd w:val="clear" w:color="auto" w:fill="auto"/>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0.</w:t>
            </w:r>
            <w:r>
              <w:rPr>
                <w:rFonts w:ascii="Times New Roman" w:eastAsia="等线" w:cs="Times New Roman" w:hint="eastAsia"/>
                <w:sz w:val="21"/>
                <w:szCs w:val="21"/>
              </w:rPr>
              <w:t>1</w:t>
            </w:r>
          </w:p>
        </w:tc>
        <w:tc>
          <w:tcPr>
            <w:tcW w:w="1870" w:type="pct"/>
            <w:shd w:val="clear" w:color="auto" w:fill="auto"/>
            <w:vAlign w:val="center"/>
          </w:tcPr>
          <w:p w:rsidR="00FE55B9" w:rsidRDefault="00E0169A" w:rsidP="00E0169A">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1</w:t>
            </w:r>
            <w:r w:rsidR="00FE55B9">
              <w:rPr>
                <w:rFonts w:ascii="Times New Roman" w:eastAsia="等线" w:cs="Times New Roman" w:hint="eastAsia"/>
                <w:sz w:val="21"/>
                <w:szCs w:val="21"/>
              </w:rPr>
              <w:t>.</w:t>
            </w:r>
            <w:r>
              <w:rPr>
                <w:rFonts w:ascii="Times New Roman" w:eastAsia="等线" w:cs="Times New Roman" w:hint="eastAsia"/>
                <w:sz w:val="21"/>
                <w:szCs w:val="21"/>
              </w:rPr>
              <w:t>38</w:t>
            </w:r>
          </w:p>
        </w:tc>
      </w:tr>
      <w:tr w:rsidR="00FE55B9" w:rsidTr="00FE55B9">
        <w:trPr>
          <w:trHeight w:val="290"/>
          <w:jc w:val="center"/>
        </w:trPr>
        <w:tc>
          <w:tcPr>
            <w:tcW w:w="1587" w:type="pct"/>
            <w:shd w:val="clear" w:color="auto" w:fill="auto"/>
            <w:noWrap/>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hint="eastAsia"/>
                <w:sz w:val="21"/>
                <w:szCs w:val="21"/>
              </w:rPr>
              <w:t>11</w:t>
            </w:r>
          </w:p>
        </w:tc>
        <w:tc>
          <w:tcPr>
            <w:tcW w:w="1543" w:type="pct"/>
            <w:shd w:val="clear" w:color="auto" w:fill="auto"/>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hint="eastAsia"/>
                <w:sz w:val="21"/>
                <w:szCs w:val="21"/>
              </w:rPr>
              <w:t>0.2</w:t>
            </w:r>
          </w:p>
        </w:tc>
        <w:tc>
          <w:tcPr>
            <w:tcW w:w="1870" w:type="pct"/>
            <w:shd w:val="clear" w:color="auto" w:fill="auto"/>
            <w:vAlign w:val="center"/>
          </w:tcPr>
          <w:p w:rsidR="00FE55B9" w:rsidRPr="00E0169A" w:rsidRDefault="00E0169A" w:rsidP="00FE55B9">
            <w:pPr>
              <w:widowControl/>
              <w:topLinePunct w:val="0"/>
              <w:adjustRightInd/>
              <w:ind w:firstLineChars="100" w:firstLine="210"/>
              <w:jc w:val="center"/>
              <w:rPr>
                <w:rFonts w:ascii="Times New Roman" w:eastAsia="等线" w:cs="Times New Roman"/>
                <w:sz w:val="21"/>
                <w:szCs w:val="21"/>
              </w:rPr>
            </w:pPr>
            <w:r w:rsidRPr="00E0169A">
              <w:rPr>
                <w:rFonts w:ascii="Times New Roman" w:eastAsia="等线" w:cs="Times New Roman" w:hint="eastAsia"/>
                <w:sz w:val="21"/>
                <w:szCs w:val="21"/>
              </w:rPr>
              <w:t>9.5</w:t>
            </w:r>
          </w:p>
        </w:tc>
      </w:tr>
      <w:tr w:rsidR="00FE55B9" w:rsidTr="00FE55B9">
        <w:trPr>
          <w:trHeight w:val="290"/>
          <w:jc w:val="center"/>
        </w:trPr>
        <w:tc>
          <w:tcPr>
            <w:tcW w:w="1587" w:type="pct"/>
            <w:shd w:val="clear" w:color="auto" w:fill="auto"/>
            <w:noWrap/>
            <w:vAlign w:val="center"/>
          </w:tcPr>
          <w:p w:rsidR="00FE55B9" w:rsidRDefault="00E0169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hint="eastAsia"/>
                <w:sz w:val="21"/>
                <w:szCs w:val="21"/>
              </w:rPr>
              <w:t>25</w:t>
            </w:r>
          </w:p>
        </w:tc>
        <w:tc>
          <w:tcPr>
            <w:tcW w:w="1543" w:type="pct"/>
            <w:shd w:val="clear" w:color="auto" w:fill="auto"/>
            <w:vAlign w:val="center"/>
          </w:tcPr>
          <w:p w:rsidR="00FE55B9" w:rsidRDefault="00FE55B9"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hint="eastAsia"/>
                <w:sz w:val="21"/>
                <w:szCs w:val="21"/>
              </w:rPr>
              <w:t>0.3</w:t>
            </w:r>
          </w:p>
        </w:tc>
        <w:tc>
          <w:tcPr>
            <w:tcW w:w="1870" w:type="pct"/>
            <w:shd w:val="clear" w:color="auto" w:fill="auto"/>
            <w:vAlign w:val="center"/>
          </w:tcPr>
          <w:p w:rsidR="00FE55B9" w:rsidRDefault="00E0169A" w:rsidP="00FE55B9">
            <w:pPr>
              <w:widowControl/>
              <w:topLinePunct w:val="0"/>
              <w:adjustRightInd/>
              <w:ind w:firstLineChars="100" w:firstLine="210"/>
              <w:jc w:val="center"/>
              <w:rPr>
                <w:rFonts w:ascii="Times New Roman" w:eastAsia="等线" w:cs="Times New Roman"/>
                <w:b/>
                <w:sz w:val="21"/>
                <w:szCs w:val="21"/>
              </w:rPr>
            </w:pPr>
            <w:r>
              <w:rPr>
                <w:rFonts w:ascii="Times New Roman" w:eastAsia="等线" w:cs="Times New Roman" w:hint="eastAsia"/>
                <w:b/>
                <w:sz w:val="21"/>
                <w:szCs w:val="21"/>
              </w:rPr>
              <w:t>38.0</w:t>
            </w:r>
          </w:p>
        </w:tc>
      </w:tr>
      <w:tr w:rsidR="00590E1A" w:rsidTr="00FE55B9">
        <w:trPr>
          <w:trHeight w:val="290"/>
          <w:jc w:val="center"/>
        </w:trPr>
        <w:tc>
          <w:tcPr>
            <w:tcW w:w="1587" w:type="pct"/>
            <w:shd w:val="clear" w:color="auto" w:fill="auto"/>
            <w:noWrap/>
            <w:vAlign w:val="center"/>
          </w:tcPr>
          <w:p w:rsidR="00590E1A" w:rsidRDefault="00590E1A" w:rsidP="00590E1A">
            <w:pPr>
              <w:widowControl/>
              <w:topLinePunct w:val="0"/>
              <w:adjustRightInd/>
              <w:ind w:firstLine="420"/>
              <w:jc w:val="center"/>
              <w:rPr>
                <w:rFonts w:ascii="Times New Roman" w:eastAsia="等线" w:cs="Times New Roman"/>
                <w:sz w:val="21"/>
                <w:szCs w:val="21"/>
              </w:rPr>
            </w:pPr>
            <w:r>
              <w:rPr>
                <w:rFonts w:ascii="Times New Roman" w:eastAsia="等线" w:cs="Times New Roman" w:hint="eastAsia"/>
                <w:sz w:val="21"/>
                <w:szCs w:val="21"/>
              </w:rPr>
              <w:t>48</w:t>
            </w:r>
          </w:p>
        </w:tc>
        <w:tc>
          <w:tcPr>
            <w:tcW w:w="1543" w:type="pct"/>
            <w:shd w:val="clear" w:color="auto" w:fill="auto"/>
            <w:vAlign w:val="center"/>
          </w:tcPr>
          <w:p w:rsidR="00590E1A" w:rsidRDefault="00590E1A" w:rsidP="00590E1A">
            <w:pPr>
              <w:widowControl/>
              <w:topLinePunct w:val="0"/>
              <w:adjustRightInd/>
              <w:ind w:firstLine="420"/>
              <w:jc w:val="center"/>
              <w:rPr>
                <w:rFonts w:ascii="Times New Roman" w:eastAsia="等线" w:cs="Times New Roman"/>
                <w:sz w:val="21"/>
                <w:szCs w:val="21"/>
              </w:rPr>
            </w:pPr>
            <w:r>
              <w:rPr>
                <w:rFonts w:ascii="Times New Roman" w:eastAsia="等线" w:cs="Times New Roman" w:hint="eastAsia"/>
                <w:sz w:val="21"/>
                <w:szCs w:val="21"/>
              </w:rPr>
              <w:t>0.5</w:t>
            </w:r>
          </w:p>
        </w:tc>
        <w:tc>
          <w:tcPr>
            <w:tcW w:w="1870" w:type="pct"/>
            <w:shd w:val="clear" w:color="auto" w:fill="auto"/>
            <w:vAlign w:val="center"/>
          </w:tcPr>
          <w:p w:rsidR="00590E1A" w:rsidRDefault="00590E1A" w:rsidP="00263423">
            <w:pPr>
              <w:widowControl/>
              <w:topLinePunct w:val="0"/>
              <w:adjustRightInd/>
              <w:ind w:firstLineChars="100" w:firstLine="210"/>
              <w:jc w:val="center"/>
              <w:rPr>
                <w:rFonts w:ascii="Times New Roman" w:eastAsia="等线" w:cs="Times New Roman"/>
                <w:b/>
                <w:sz w:val="21"/>
                <w:szCs w:val="21"/>
              </w:rPr>
            </w:pPr>
            <w:r>
              <w:rPr>
                <w:rFonts w:ascii="Times New Roman" w:eastAsia="等线" w:cs="Times New Roman" w:hint="eastAsia"/>
                <w:b/>
                <w:sz w:val="21"/>
                <w:szCs w:val="21"/>
              </w:rPr>
              <w:t>70.0</w:t>
            </w:r>
          </w:p>
        </w:tc>
      </w:tr>
      <w:tr w:rsidR="00590E1A" w:rsidTr="00FE55B9">
        <w:trPr>
          <w:trHeight w:val="290"/>
          <w:jc w:val="center"/>
        </w:trPr>
        <w:tc>
          <w:tcPr>
            <w:tcW w:w="1587" w:type="pct"/>
            <w:shd w:val="clear" w:color="auto" w:fill="auto"/>
            <w:noWrap/>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110</w:t>
            </w:r>
          </w:p>
        </w:tc>
        <w:tc>
          <w:tcPr>
            <w:tcW w:w="1543" w:type="pct"/>
            <w:shd w:val="clear" w:color="auto" w:fill="auto"/>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0.9</w:t>
            </w:r>
          </w:p>
        </w:tc>
        <w:tc>
          <w:tcPr>
            <w:tcW w:w="1870" w:type="pct"/>
            <w:shd w:val="clear" w:color="auto" w:fill="auto"/>
            <w:vAlign w:val="center"/>
          </w:tcPr>
          <w:p w:rsidR="00590E1A" w:rsidRDefault="00590E1A" w:rsidP="00FE55B9">
            <w:pPr>
              <w:widowControl/>
              <w:topLinePunct w:val="0"/>
              <w:adjustRightInd/>
              <w:ind w:firstLineChars="100" w:firstLine="210"/>
              <w:jc w:val="center"/>
              <w:rPr>
                <w:rFonts w:ascii="Times New Roman" w:eastAsia="等线" w:cs="Times New Roman"/>
                <w:b/>
                <w:sz w:val="21"/>
                <w:szCs w:val="21"/>
              </w:rPr>
            </w:pPr>
            <w:r>
              <w:rPr>
                <w:rFonts w:ascii="Times New Roman" w:eastAsia="等线" w:cs="Times New Roman" w:hint="eastAsia"/>
                <w:b/>
                <w:sz w:val="21"/>
                <w:szCs w:val="21"/>
              </w:rPr>
              <w:t>454.5</w:t>
            </w:r>
          </w:p>
        </w:tc>
      </w:tr>
      <w:tr w:rsidR="00590E1A" w:rsidTr="00FE55B9">
        <w:trPr>
          <w:trHeight w:val="290"/>
          <w:jc w:val="center"/>
        </w:trPr>
        <w:tc>
          <w:tcPr>
            <w:tcW w:w="1587" w:type="pct"/>
            <w:shd w:val="clear" w:color="auto" w:fill="auto"/>
            <w:noWrap/>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210</w:t>
            </w:r>
          </w:p>
        </w:tc>
        <w:tc>
          <w:tcPr>
            <w:tcW w:w="1543" w:type="pct"/>
            <w:shd w:val="clear" w:color="auto" w:fill="auto"/>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1.8</w:t>
            </w:r>
          </w:p>
        </w:tc>
        <w:tc>
          <w:tcPr>
            <w:tcW w:w="1870" w:type="pct"/>
            <w:shd w:val="clear" w:color="auto" w:fill="auto"/>
            <w:vAlign w:val="center"/>
          </w:tcPr>
          <w:p w:rsidR="00590E1A" w:rsidRDefault="00590E1A" w:rsidP="00FE55B9">
            <w:pPr>
              <w:widowControl/>
              <w:topLinePunct w:val="0"/>
              <w:adjustRightInd/>
              <w:ind w:firstLineChars="100" w:firstLine="210"/>
              <w:jc w:val="center"/>
              <w:rPr>
                <w:rFonts w:ascii="Times New Roman" w:eastAsia="等线" w:cs="Times New Roman"/>
                <w:b/>
                <w:sz w:val="21"/>
                <w:szCs w:val="21"/>
              </w:rPr>
            </w:pPr>
            <w:r>
              <w:rPr>
                <w:rFonts w:ascii="Times New Roman" w:eastAsia="等线" w:cs="Times New Roman" w:hint="eastAsia"/>
                <w:b/>
                <w:sz w:val="21"/>
                <w:szCs w:val="21"/>
              </w:rPr>
              <w:t>179.5</w:t>
            </w:r>
          </w:p>
        </w:tc>
      </w:tr>
      <w:tr w:rsidR="00590E1A" w:rsidTr="00FE55B9">
        <w:trPr>
          <w:trHeight w:val="290"/>
          <w:jc w:val="center"/>
        </w:trPr>
        <w:tc>
          <w:tcPr>
            <w:tcW w:w="1587" w:type="pct"/>
            <w:shd w:val="clear" w:color="auto" w:fill="auto"/>
            <w:noWrap/>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310</w:t>
            </w:r>
          </w:p>
        </w:tc>
        <w:tc>
          <w:tcPr>
            <w:tcW w:w="1543" w:type="pct"/>
            <w:shd w:val="clear" w:color="auto" w:fill="auto"/>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2.6</w:t>
            </w:r>
          </w:p>
        </w:tc>
        <w:tc>
          <w:tcPr>
            <w:tcW w:w="1870" w:type="pct"/>
            <w:shd w:val="clear" w:color="auto" w:fill="auto"/>
            <w:vAlign w:val="center"/>
          </w:tcPr>
          <w:p w:rsidR="00590E1A" w:rsidRDefault="00590E1A" w:rsidP="00E0169A">
            <w:pPr>
              <w:widowControl/>
              <w:topLinePunct w:val="0"/>
              <w:adjustRightInd/>
              <w:ind w:firstLineChars="100" w:firstLine="210"/>
              <w:jc w:val="center"/>
              <w:rPr>
                <w:rFonts w:ascii="Times New Roman" w:eastAsia="等线" w:cs="Times New Roman"/>
                <w:b/>
                <w:sz w:val="21"/>
                <w:szCs w:val="21"/>
              </w:rPr>
            </w:pPr>
            <w:r>
              <w:rPr>
                <w:rFonts w:ascii="Times New Roman" w:eastAsia="等线" w:cs="Times New Roman" w:hint="eastAsia"/>
                <w:b/>
                <w:sz w:val="21"/>
                <w:szCs w:val="21"/>
              </w:rPr>
              <w:t>100.3</w:t>
            </w:r>
          </w:p>
        </w:tc>
      </w:tr>
      <w:tr w:rsidR="00590E1A" w:rsidTr="00FE55B9">
        <w:trPr>
          <w:trHeight w:val="290"/>
          <w:jc w:val="center"/>
        </w:trPr>
        <w:tc>
          <w:tcPr>
            <w:tcW w:w="1587" w:type="pct"/>
            <w:shd w:val="clear" w:color="auto" w:fill="auto"/>
            <w:noWrap/>
            <w:vAlign w:val="center"/>
          </w:tcPr>
          <w:p w:rsidR="00590E1A" w:rsidRDefault="00590E1A" w:rsidP="00590E1A">
            <w:pPr>
              <w:widowControl/>
              <w:topLinePunct w:val="0"/>
              <w:adjustRightInd/>
              <w:ind w:firstLine="420"/>
              <w:jc w:val="center"/>
              <w:rPr>
                <w:rFonts w:ascii="Times New Roman" w:eastAsia="等线" w:cs="Times New Roman"/>
                <w:sz w:val="21"/>
                <w:szCs w:val="21"/>
              </w:rPr>
            </w:pPr>
            <w:r>
              <w:rPr>
                <w:rFonts w:ascii="Times New Roman" w:eastAsia="等线" w:cs="Times New Roman" w:hint="eastAsia"/>
                <w:sz w:val="21"/>
                <w:szCs w:val="21"/>
              </w:rPr>
              <w:t>362</w:t>
            </w:r>
          </w:p>
        </w:tc>
        <w:tc>
          <w:tcPr>
            <w:tcW w:w="1543" w:type="pct"/>
            <w:shd w:val="clear" w:color="auto" w:fill="auto"/>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hint="eastAsia"/>
                <w:sz w:val="21"/>
                <w:szCs w:val="21"/>
              </w:rPr>
              <w:t>2.9</w:t>
            </w:r>
          </w:p>
        </w:tc>
        <w:tc>
          <w:tcPr>
            <w:tcW w:w="1870" w:type="pct"/>
            <w:shd w:val="clear" w:color="auto" w:fill="auto"/>
            <w:vAlign w:val="center"/>
          </w:tcPr>
          <w:p w:rsidR="00590E1A" w:rsidRDefault="00590E1A" w:rsidP="00E0169A">
            <w:pPr>
              <w:widowControl/>
              <w:topLinePunct w:val="0"/>
              <w:adjustRightInd/>
              <w:ind w:firstLineChars="100" w:firstLine="210"/>
              <w:jc w:val="center"/>
              <w:rPr>
                <w:rFonts w:ascii="Times New Roman" w:eastAsia="等线" w:cs="Times New Roman"/>
                <w:b/>
                <w:sz w:val="21"/>
                <w:szCs w:val="21"/>
              </w:rPr>
            </w:pPr>
            <w:r>
              <w:rPr>
                <w:rFonts w:ascii="Times New Roman" w:eastAsia="等线" w:cs="Times New Roman" w:hint="eastAsia"/>
                <w:b/>
                <w:sz w:val="21"/>
                <w:szCs w:val="21"/>
              </w:rPr>
              <w:t>70.0</w:t>
            </w:r>
          </w:p>
        </w:tc>
      </w:tr>
      <w:tr w:rsidR="00590E1A" w:rsidTr="00FE55B9">
        <w:trPr>
          <w:trHeight w:val="290"/>
          <w:jc w:val="center"/>
        </w:trPr>
        <w:tc>
          <w:tcPr>
            <w:tcW w:w="1587" w:type="pct"/>
            <w:shd w:val="clear" w:color="auto" w:fill="auto"/>
            <w:noWrap/>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410</w:t>
            </w:r>
          </w:p>
        </w:tc>
        <w:tc>
          <w:tcPr>
            <w:tcW w:w="1543" w:type="pct"/>
            <w:shd w:val="clear" w:color="auto" w:fill="auto"/>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3.4</w:t>
            </w:r>
          </w:p>
        </w:tc>
        <w:tc>
          <w:tcPr>
            <w:tcW w:w="1870" w:type="pct"/>
            <w:shd w:val="clear" w:color="auto" w:fill="auto"/>
            <w:vAlign w:val="center"/>
          </w:tcPr>
          <w:p w:rsidR="00590E1A" w:rsidRDefault="00590E1A" w:rsidP="00C316F0">
            <w:pPr>
              <w:widowControl/>
              <w:topLinePunct w:val="0"/>
              <w:adjustRightInd/>
              <w:ind w:firstLineChars="100" w:firstLine="210"/>
              <w:jc w:val="center"/>
              <w:rPr>
                <w:rFonts w:ascii="Times New Roman" w:eastAsia="等线" w:cs="Times New Roman"/>
                <w:b/>
                <w:sz w:val="21"/>
                <w:szCs w:val="21"/>
              </w:rPr>
            </w:pPr>
            <w:r>
              <w:rPr>
                <w:rFonts w:ascii="Times New Roman" w:eastAsia="等线" w:cs="Times New Roman" w:hint="eastAsia"/>
                <w:b/>
                <w:sz w:val="21"/>
                <w:szCs w:val="21"/>
              </w:rPr>
              <w:t>60.7</w:t>
            </w:r>
          </w:p>
        </w:tc>
      </w:tr>
      <w:tr w:rsidR="00590E1A" w:rsidTr="00FE55B9">
        <w:trPr>
          <w:trHeight w:val="442"/>
          <w:jc w:val="center"/>
        </w:trPr>
        <w:tc>
          <w:tcPr>
            <w:tcW w:w="1587" w:type="pct"/>
            <w:shd w:val="clear" w:color="auto" w:fill="auto"/>
            <w:noWrap/>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hint="eastAsia"/>
                <w:sz w:val="21"/>
                <w:szCs w:val="21"/>
              </w:rPr>
              <w:t>465</w:t>
            </w:r>
          </w:p>
        </w:tc>
        <w:tc>
          <w:tcPr>
            <w:tcW w:w="1543" w:type="pct"/>
            <w:shd w:val="clear" w:color="auto" w:fill="auto"/>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hint="eastAsia"/>
                <w:sz w:val="21"/>
                <w:szCs w:val="21"/>
              </w:rPr>
              <w:t>3.8</w:t>
            </w:r>
          </w:p>
        </w:tc>
        <w:tc>
          <w:tcPr>
            <w:tcW w:w="1870" w:type="pct"/>
            <w:shd w:val="clear" w:color="auto" w:fill="auto"/>
            <w:vAlign w:val="center"/>
          </w:tcPr>
          <w:p w:rsidR="00590E1A" w:rsidRDefault="00590E1A" w:rsidP="00C316F0">
            <w:pPr>
              <w:widowControl/>
              <w:topLinePunct w:val="0"/>
              <w:adjustRightInd/>
              <w:ind w:firstLineChars="100" w:firstLine="210"/>
              <w:jc w:val="center"/>
              <w:rPr>
                <w:rFonts w:ascii="Times New Roman" w:eastAsia="等线" w:cs="Times New Roman"/>
                <w:b/>
                <w:sz w:val="21"/>
                <w:szCs w:val="21"/>
              </w:rPr>
            </w:pPr>
            <w:r>
              <w:rPr>
                <w:rFonts w:ascii="Times New Roman" w:eastAsia="等线" w:cs="Times New Roman" w:hint="eastAsia"/>
                <w:b/>
                <w:sz w:val="21"/>
                <w:szCs w:val="21"/>
              </w:rPr>
              <w:t>55.3</w:t>
            </w:r>
          </w:p>
        </w:tc>
      </w:tr>
      <w:tr w:rsidR="00590E1A" w:rsidTr="00FE55B9">
        <w:trPr>
          <w:trHeight w:val="290"/>
          <w:jc w:val="center"/>
        </w:trPr>
        <w:tc>
          <w:tcPr>
            <w:tcW w:w="1587" w:type="pct"/>
            <w:shd w:val="clear" w:color="auto" w:fill="auto"/>
            <w:noWrap/>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510</w:t>
            </w:r>
          </w:p>
        </w:tc>
        <w:tc>
          <w:tcPr>
            <w:tcW w:w="1543" w:type="pct"/>
            <w:shd w:val="clear" w:color="auto" w:fill="auto"/>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4.3</w:t>
            </w:r>
          </w:p>
        </w:tc>
        <w:tc>
          <w:tcPr>
            <w:tcW w:w="1870" w:type="pct"/>
            <w:shd w:val="clear" w:color="auto" w:fill="auto"/>
            <w:vAlign w:val="center"/>
          </w:tcPr>
          <w:p w:rsidR="00590E1A" w:rsidRDefault="00590E1A" w:rsidP="00FE55B9">
            <w:pPr>
              <w:widowControl/>
              <w:topLinePunct w:val="0"/>
              <w:adjustRightInd/>
              <w:ind w:firstLineChars="100" w:firstLine="210"/>
              <w:jc w:val="center"/>
              <w:rPr>
                <w:rFonts w:ascii="Times New Roman" w:eastAsia="等线" w:cs="Times New Roman"/>
                <w:b/>
                <w:sz w:val="21"/>
                <w:szCs w:val="21"/>
              </w:rPr>
            </w:pPr>
            <w:r>
              <w:rPr>
                <w:rFonts w:ascii="Times New Roman" w:eastAsia="等线" w:cs="Times New Roman" w:hint="eastAsia"/>
                <w:b/>
                <w:sz w:val="21"/>
                <w:szCs w:val="21"/>
              </w:rPr>
              <w:t>50.5</w:t>
            </w:r>
          </w:p>
        </w:tc>
      </w:tr>
      <w:tr w:rsidR="00590E1A" w:rsidTr="00FE55B9">
        <w:trPr>
          <w:trHeight w:val="290"/>
          <w:jc w:val="center"/>
        </w:trPr>
        <w:tc>
          <w:tcPr>
            <w:tcW w:w="1587" w:type="pct"/>
            <w:shd w:val="clear" w:color="auto" w:fill="auto"/>
            <w:noWrap/>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610</w:t>
            </w:r>
          </w:p>
        </w:tc>
        <w:tc>
          <w:tcPr>
            <w:tcW w:w="1543" w:type="pct"/>
            <w:shd w:val="clear" w:color="auto" w:fill="auto"/>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5.1</w:t>
            </w:r>
          </w:p>
        </w:tc>
        <w:tc>
          <w:tcPr>
            <w:tcW w:w="1870" w:type="pct"/>
            <w:shd w:val="clear" w:color="auto" w:fill="auto"/>
            <w:vAlign w:val="center"/>
          </w:tcPr>
          <w:p w:rsidR="00590E1A" w:rsidRDefault="00590E1A" w:rsidP="00FE55B9">
            <w:pPr>
              <w:widowControl/>
              <w:topLinePunct w:val="0"/>
              <w:adjustRightInd/>
              <w:ind w:firstLineChars="100" w:firstLine="210"/>
              <w:jc w:val="center"/>
              <w:rPr>
                <w:rFonts w:ascii="Times New Roman" w:eastAsia="等线" w:cs="Times New Roman"/>
                <w:b/>
                <w:sz w:val="21"/>
                <w:szCs w:val="21"/>
              </w:rPr>
            </w:pPr>
            <w:r>
              <w:rPr>
                <w:rFonts w:ascii="Times New Roman" w:eastAsia="等线" w:cs="Times New Roman" w:hint="eastAsia"/>
                <w:b/>
                <w:sz w:val="21"/>
                <w:szCs w:val="21"/>
              </w:rPr>
              <w:t>48.7</w:t>
            </w:r>
          </w:p>
        </w:tc>
      </w:tr>
      <w:tr w:rsidR="00590E1A" w:rsidTr="00FE55B9">
        <w:trPr>
          <w:trHeight w:val="290"/>
          <w:jc w:val="center"/>
        </w:trPr>
        <w:tc>
          <w:tcPr>
            <w:tcW w:w="1587" w:type="pct"/>
            <w:shd w:val="clear" w:color="auto" w:fill="auto"/>
            <w:noWrap/>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710</w:t>
            </w:r>
          </w:p>
        </w:tc>
        <w:tc>
          <w:tcPr>
            <w:tcW w:w="1543" w:type="pct"/>
            <w:shd w:val="clear" w:color="auto" w:fill="auto"/>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5.9</w:t>
            </w:r>
          </w:p>
        </w:tc>
        <w:tc>
          <w:tcPr>
            <w:tcW w:w="1870" w:type="pct"/>
            <w:shd w:val="clear" w:color="auto" w:fill="auto"/>
            <w:vAlign w:val="center"/>
          </w:tcPr>
          <w:p w:rsidR="00590E1A" w:rsidRDefault="00590E1A" w:rsidP="00FE55B9">
            <w:pPr>
              <w:widowControl/>
              <w:topLinePunct w:val="0"/>
              <w:adjustRightInd/>
              <w:ind w:firstLineChars="100" w:firstLine="210"/>
              <w:jc w:val="center"/>
              <w:rPr>
                <w:rFonts w:ascii="Times New Roman" w:eastAsia="等线" w:cs="Times New Roman"/>
                <w:b/>
                <w:sz w:val="21"/>
                <w:szCs w:val="21"/>
              </w:rPr>
            </w:pPr>
            <w:r>
              <w:rPr>
                <w:rFonts w:ascii="Times New Roman" w:eastAsia="等线" w:cs="Times New Roman" w:hint="eastAsia"/>
                <w:b/>
                <w:sz w:val="21"/>
                <w:szCs w:val="21"/>
              </w:rPr>
              <w:t>38.7</w:t>
            </w:r>
          </w:p>
        </w:tc>
      </w:tr>
      <w:tr w:rsidR="00590E1A" w:rsidTr="00FE55B9">
        <w:trPr>
          <w:trHeight w:val="290"/>
          <w:jc w:val="center"/>
        </w:trPr>
        <w:tc>
          <w:tcPr>
            <w:tcW w:w="1587" w:type="pct"/>
            <w:shd w:val="clear" w:color="auto" w:fill="auto"/>
            <w:noWrap/>
            <w:vAlign w:val="center"/>
          </w:tcPr>
          <w:p w:rsidR="00590E1A" w:rsidRDefault="00590E1A" w:rsidP="00C316F0">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7</w:t>
            </w:r>
            <w:r>
              <w:rPr>
                <w:rFonts w:ascii="Times New Roman" w:eastAsia="等线" w:cs="Times New Roman" w:hint="eastAsia"/>
                <w:sz w:val="21"/>
                <w:szCs w:val="21"/>
              </w:rPr>
              <w:t>46</w:t>
            </w:r>
          </w:p>
        </w:tc>
        <w:tc>
          <w:tcPr>
            <w:tcW w:w="1543" w:type="pct"/>
            <w:shd w:val="clear" w:color="auto" w:fill="auto"/>
            <w:vAlign w:val="center"/>
          </w:tcPr>
          <w:p w:rsidR="00590E1A" w:rsidRDefault="00590E1A" w:rsidP="00263423">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5.9</w:t>
            </w:r>
          </w:p>
        </w:tc>
        <w:tc>
          <w:tcPr>
            <w:tcW w:w="1870" w:type="pct"/>
            <w:shd w:val="clear" w:color="auto" w:fill="auto"/>
            <w:vAlign w:val="center"/>
          </w:tcPr>
          <w:p w:rsidR="00590E1A" w:rsidRDefault="00590E1A" w:rsidP="00C316F0">
            <w:pPr>
              <w:widowControl/>
              <w:topLinePunct w:val="0"/>
              <w:adjustRightInd/>
              <w:ind w:firstLineChars="100" w:firstLine="210"/>
              <w:jc w:val="center"/>
              <w:rPr>
                <w:rFonts w:ascii="Times New Roman" w:eastAsia="等线" w:cs="Times New Roman"/>
                <w:b/>
                <w:sz w:val="21"/>
                <w:szCs w:val="21"/>
              </w:rPr>
            </w:pPr>
            <w:r>
              <w:rPr>
                <w:rFonts w:ascii="Times New Roman" w:eastAsia="等线" w:cs="Times New Roman" w:hint="eastAsia"/>
                <w:b/>
                <w:sz w:val="21"/>
                <w:szCs w:val="21"/>
              </w:rPr>
              <w:t>38.0</w:t>
            </w:r>
          </w:p>
        </w:tc>
      </w:tr>
      <w:tr w:rsidR="00590E1A" w:rsidTr="00FE55B9">
        <w:trPr>
          <w:trHeight w:val="290"/>
          <w:jc w:val="center"/>
        </w:trPr>
        <w:tc>
          <w:tcPr>
            <w:tcW w:w="1587" w:type="pct"/>
            <w:shd w:val="clear" w:color="auto" w:fill="auto"/>
            <w:noWrap/>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810</w:t>
            </w:r>
          </w:p>
        </w:tc>
        <w:tc>
          <w:tcPr>
            <w:tcW w:w="1543" w:type="pct"/>
            <w:shd w:val="clear" w:color="auto" w:fill="auto"/>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6.8</w:t>
            </w:r>
          </w:p>
        </w:tc>
        <w:tc>
          <w:tcPr>
            <w:tcW w:w="1870" w:type="pct"/>
            <w:shd w:val="clear" w:color="auto" w:fill="auto"/>
            <w:vAlign w:val="center"/>
          </w:tcPr>
          <w:p w:rsidR="00590E1A" w:rsidRPr="00C316F0" w:rsidRDefault="00590E1A" w:rsidP="00FE55B9">
            <w:pPr>
              <w:widowControl/>
              <w:topLinePunct w:val="0"/>
              <w:adjustRightInd/>
              <w:ind w:firstLineChars="100" w:firstLine="210"/>
              <w:jc w:val="center"/>
              <w:rPr>
                <w:rFonts w:ascii="Times New Roman" w:eastAsia="等线" w:cs="Times New Roman"/>
                <w:sz w:val="21"/>
                <w:szCs w:val="21"/>
              </w:rPr>
            </w:pPr>
            <w:r w:rsidRPr="00C316F0">
              <w:rPr>
                <w:rFonts w:ascii="Times New Roman" w:eastAsia="等线" w:cs="Times New Roman" w:hint="eastAsia"/>
                <w:sz w:val="21"/>
                <w:szCs w:val="21"/>
              </w:rPr>
              <w:t>37.2</w:t>
            </w:r>
          </w:p>
        </w:tc>
      </w:tr>
      <w:tr w:rsidR="00590E1A" w:rsidTr="00FE55B9">
        <w:trPr>
          <w:trHeight w:val="290"/>
          <w:jc w:val="center"/>
        </w:trPr>
        <w:tc>
          <w:tcPr>
            <w:tcW w:w="1587" w:type="pct"/>
            <w:shd w:val="clear" w:color="auto" w:fill="auto"/>
            <w:noWrap/>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910</w:t>
            </w:r>
          </w:p>
        </w:tc>
        <w:tc>
          <w:tcPr>
            <w:tcW w:w="1543" w:type="pct"/>
            <w:shd w:val="clear" w:color="auto" w:fill="auto"/>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7.6</w:t>
            </w:r>
          </w:p>
        </w:tc>
        <w:tc>
          <w:tcPr>
            <w:tcW w:w="1870" w:type="pct"/>
            <w:shd w:val="clear" w:color="auto" w:fill="auto"/>
            <w:vAlign w:val="center"/>
          </w:tcPr>
          <w:p w:rsidR="00590E1A" w:rsidRPr="00C316F0" w:rsidRDefault="00590E1A" w:rsidP="00FE55B9">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34</w:t>
            </w:r>
            <w:r w:rsidRPr="00C316F0">
              <w:rPr>
                <w:rFonts w:ascii="Times New Roman" w:eastAsia="等线" w:cs="Times New Roman" w:hint="eastAsia"/>
                <w:sz w:val="21"/>
                <w:szCs w:val="21"/>
              </w:rPr>
              <w:t>.0</w:t>
            </w:r>
          </w:p>
        </w:tc>
      </w:tr>
      <w:tr w:rsidR="00590E1A" w:rsidTr="00FE55B9">
        <w:trPr>
          <w:trHeight w:val="290"/>
          <w:jc w:val="center"/>
        </w:trPr>
        <w:tc>
          <w:tcPr>
            <w:tcW w:w="1587" w:type="pct"/>
            <w:shd w:val="clear" w:color="auto" w:fill="auto"/>
            <w:noWrap/>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1010</w:t>
            </w:r>
          </w:p>
        </w:tc>
        <w:tc>
          <w:tcPr>
            <w:tcW w:w="1543" w:type="pct"/>
            <w:shd w:val="clear" w:color="auto" w:fill="auto"/>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8.4</w:t>
            </w:r>
          </w:p>
        </w:tc>
        <w:tc>
          <w:tcPr>
            <w:tcW w:w="1870" w:type="pct"/>
            <w:shd w:val="clear" w:color="auto" w:fill="auto"/>
            <w:vAlign w:val="center"/>
          </w:tcPr>
          <w:p w:rsidR="00590E1A" w:rsidRPr="00C316F0" w:rsidRDefault="00590E1A" w:rsidP="00C316F0">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33</w:t>
            </w:r>
            <w:r w:rsidRPr="00C316F0">
              <w:rPr>
                <w:rFonts w:ascii="Times New Roman" w:eastAsia="等线" w:cs="Times New Roman" w:hint="eastAsia"/>
                <w:sz w:val="21"/>
                <w:szCs w:val="21"/>
              </w:rPr>
              <w:t>.</w:t>
            </w:r>
            <w:r>
              <w:rPr>
                <w:rFonts w:ascii="Times New Roman" w:eastAsia="等线" w:cs="Times New Roman" w:hint="eastAsia"/>
                <w:sz w:val="21"/>
                <w:szCs w:val="21"/>
              </w:rPr>
              <w:t>4</w:t>
            </w:r>
          </w:p>
        </w:tc>
      </w:tr>
      <w:tr w:rsidR="00590E1A" w:rsidTr="00FE55B9">
        <w:trPr>
          <w:trHeight w:val="290"/>
          <w:jc w:val="center"/>
        </w:trPr>
        <w:tc>
          <w:tcPr>
            <w:tcW w:w="1587" w:type="pct"/>
            <w:shd w:val="clear" w:color="auto" w:fill="auto"/>
            <w:noWrap/>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1110</w:t>
            </w:r>
          </w:p>
        </w:tc>
        <w:tc>
          <w:tcPr>
            <w:tcW w:w="1543" w:type="pct"/>
            <w:shd w:val="clear" w:color="auto" w:fill="auto"/>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9.3</w:t>
            </w:r>
          </w:p>
        </w:tc>
        <w:tc>
          <w:tcPr>
            <w:tcW w:w="1870" w:type="pct"/>
            <w:shd w:val="clear" w:color="auto" w:fill="auto"/>
            <w:vAlign w:val="center"/>
          </w:tcPr>
          <w:p w:rsidR="00590E1A" w:rsidRPr="00C316F0" w:rsidRDefault="00590E1A" w:rsidP="00C316F0">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32.8</w:t>
            </w:r>
          </w:p>
        </w:tc>
      </w:tr>
      <w:tr w:rsidR="00590E1A" w:rsidTr="00FE55B9">
        <w:trPr>
          <w:trHeight w:val="290"/>
          <w:jc w:val="center"/>
        </w:trPr>
        <w:tc>
          <w:tcPr>
            <w:tcW w:w="1587" w:type="pct"/>
            <w:shd w:val="clear" w:color="auto" w:fill="auto"/>
            <w:noWrap/>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1210</w:t>
            </w:r>
          </w:p>
        </w:tc>
        <w:tc>
          <w:tcPr>
            <w:tcW w:w="1543" w:type="pct"/>
            <w:shd w:val="clear" w:color="auto" w:fill="auto"/>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10.1</w:t>
            </w:r>
          </w:p>
        </w:tc>
        <w:tc>
          <w:tcPr>
            <w:tcW w:w="1870" w:type="pct"/>
            <w:shd w:val="clear" w:color="auto" w:fill="auto"/>
            <w:vAlign w:val="center"/>
          </w:tcPr>
          <w:p w:rsidR="00590E1A" w:rsidRPr="00C316F0" w:rsidRDefault="00590E1A" w:rsidP="00FE55B9">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30.8</w:t>
            </w:r>
          </w:p>
        </w:tc>
      </w:tr>
      <w:tr w:rsidR="00590E1A" w:rsidTr="00FE55B9">
        <w:trPr>
          <w:trHeight w:val="290"/>
          <w:jc w:val="center"/>
        </w:trPr>
        <w:tc>
          <w:tcPr>
            <w:tcW w:w="1587" w:type="pct"/>
            <w:shd w:val="clear" w:color="auto" w:fill="auto"/>
            <w:noWrap/>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1310</w:t>
            </w:r>
          </w:p>
        </w:tc>
        <w:tc>
          <w:tcPr>
            <w:tcW w:w="1543" w:type="pct"/>
            <w:shd w:val="clear" w:color="auto" w:fill="auto"/>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10.9</w:t>
            </w:r>
          </w:p>
        </w:tc>
        <w:tc>
          <w:tcPr>
            <w:tcW w:w="1870" w:type="pct"/>
            <w:shd w:val="clear" w:color="auto" w:fill="auto"/>
            <w:vAlign w:val="center"/>
          </w:tcPr>
          <w:p w:rsidR="00590E1A" w:rsidRPr="00C316F0" w:rsidRDefault="00590E1A" w:rsidP="00FE55B9">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28.5</w:t>
            </w:r>
          </w:p>
        </w:tc>
      </w:tr>
      <w:tr w:rsidR="00590E1A" w:rsidTr="00FE55B9">
        <w:trPr>
          <w:trHeight w:val="290"/>
          <w:jc w:val="center"/>
        </w:trPr>
        <w:tc>
          <w:tcPr>
            <w:tcW w:w="1587" w:type="pct"/>
            <w:shd w:val="clear" w:color="auto" w:fill="auto"/>
            <w:noWrap/>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1410</w:t>
            </w:r>
          </w:p>
        </w:tc>
        <w:tc>
          <w:tcPr>
            <w:tcW w:w="1543" w:type="pct"/>
            <w:shd w:val="clear" w:color="auto" w:fill="auto"/>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11.8</w:t>
            </w:r>
          </w:p>
        </w:tc>
        <w:tc>
          <w:tcPr>
            <w:tcW w:w="1870" w:type="pct"/>
            <w:shd w:val="clear" w:color="auto" w:fill="auto"/>
            <w:vAlign w:val="center"/>
          </w:tcPr>
          <w:p w:rsidR="00590E1A" w:rsidRPr="00C316F0" w:rsidRDefault="00590E1A" w:rsidP="00FE55B9">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26.2</w:t>
            </w:r>
          </w:p>
        </w:tc>
      </w:tr>
      <w:tr w:rsidR="00590E1A" w:rsidTr="00FE55B9">
        <w:trPr>
          <w:trHeight w:val="290"/>
          <w:jc w:val="center"/>
        </w:trPr>
        <w:tc>
          <w:tcPr>
            <w:tcW w:w="1587" w:type="pct"/>
            <w:shd w:val="clear" w:color="auto" w:fill="auto"/>
            <w:noWrap/>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1510</w:t>
            </w:r>
          </w:p>
        </w:tc>
        <w:tc>
          <w:tcPr>
            <w:tcW w:w="1543" w:type="pct"/>
            <w:shd w:val="clear" w:color="auto" w:fill="auto"/>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12.6</w:t>
            </w:r>
          </w:p>
        </w:tc>
        <w:tc>
          <w:tcPr>
            <w:tcW w:w="1870" w:type="pct"/>
            <w:shd w:val="clear" w:color="auto" w:fill="auto"/>
            <w:vAlign w:val="center"/>
          </w:tcPr>
          <w:p w:rsidR="00590E1A" w:rsidRPr="00C316F0" w:rsidRDefault="00590E1A" w:rsidP="00FE55B9">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24.2</w:t>
            </w:r>
          </w:p>
        </w:tc>
      </w:tr>
      <w:tr w:rsidR="00590E1A" w:rsidTr="00FE55B9">
        <w:trPr>
          <w:trHeight w:val="290"/>
          <w:jc w:val="center"/>
        </w:trPr>
        <w:tc>
          <w:tcPr>
            <w:tcW w:w="1587" w:type="pct"/>
            <w:shd w:val="clear" w:color="auto" w:fill="auto"/>
            <w:noWrap/>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1610</w:t>
            </w:r>
          </w:p>
        </w:tc>
        <w:tc>
          <w:tcPr>
            <w:tcW w:w="1543" w:type="pct"/>
            <w:shd w:val="clear" w:color="auto" w:fill="auto"/>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13.4</w:t>
            </w:r>
          </w:p>
        </w:tc>
        <w:tc>
          <w:tcPr>
            <w:tcW w:w="1870" w:type="pct"/>
            <w:shd w:val="clear" w:color="auto" w:fill="auto"/>
            <w:vAlign w:val="center"/>
          </w:tcPr>
          <w:p w:rsidR="00590E1A" w:rsidRPr="00C316F0" w:rsidRDefault="00590E1A" w:rsidP="00FE55B9">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22.9</w:t>
            </w:r>
          </w:p>
        </w:tc>
      </w:tr>
      <w:tr w:rsidR="00590E1A" w:rsidTr="00FE55B9">
        <w:trPr>
          <w:trHeight w:val="290"/>
          <w:jc w:val="center"/>
        </w:trPr>
        <w:tc>
          <w:tcPr>
            <w:tcW w:w="1587" w:type="pct"/>
            <w:shd w:val="clear" w:color="auto" w:fill="auto"/>
            <w:noWrap/>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1710</w:t>
            </w:r>
          </w:p>
        </w:tc>
        <w:tc>
          <w:tcPr>
            <w:tcW w:w="1543" w:type="pct"/>
            <w:shd w:val="clear" w:color="auto" w:fill="auto"/>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14.3</w:t>
            </w:r>
          </w:p>
        </w:tc>
        <w:tc>
          <w:tcPr>
            <w:tcW w:w="1870" w:type="pct"/>
            <w:shd w:val="clear" w:color="auto" w:fill="auto"/>
            <w:vAlign w:val="center"/>
          </w:tcPr>
          <w:p w:rsidR="00590E1A" w:rsidRPr="00C316F0" w:rsidRDefault="00590E1A" w:rsidP="00FE55B9">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21.2</w:t>
            </w:r>
          </w:p>
        </w:tc>
      </w:tr>
      <w:tr w:rsidR="00590E1A" w:rsidTr="00FE55B9">
        <w:trPr>
          <w:trHeight w:val="290"/>
          <w:jc w:val="center"/>
        </w:trPr>
        <w:tc>
          <w:tcPr>
            <w:tcW w:w="1587" w:type="pct"/>
            <w:shd w:val="clear" w:color="auto" w:fill="auto"/>
            <w:noWrap/>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1810</w:t>
            </w:r>
          </w:p>
        </w:tc>
        <w:tc>
          <w:tcPr>
            <w:tcW w:w="1543" w:type="pct"/>
            <w:shd w:val="clear" w:color="auto" w:fill="auto"/>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15.1</w:t>
            </w:r>
          </w:p>
        </w:tc>
        <w:tc>
          <w:tcPr>
            <w:tcW w:w="1870" w:type="pct"/>
            <w:shd w:val="clear" w:color="auto" w:fill="auto"/>
            <w:vAlign w:val="center"/>
          </w:tcPr>
          <w:p w:rsidR="00590E1A" w:rsidRPr="00C316F0" w:rsidRDefault="00590E1A" w:rsidP="00FE55B9">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19.6</w:t>
            </w:r>
          </w:p>
        </w:tc>
      </w:tr>
      <w:tr w:rsidR="00590E1A" w:rsidTr="00FE55B9">
        <w:trPr>
          <w:trHeight w:val="290"/>
          <w:jc w:val="center"/>
        </w:trPr>
        <w:tc>
          <w:tcPr>
            <w:tcW w:w="1587" w:type="pct"/>
            <w:shd w:val="clear" w:color="auto" w:fill="auto"/>
            <w:noWrap/>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1910</w:t>
            </w:r>
          </w:p>
        </w:tc>
        <w:tc>
          <w:tcPr>
            <w:tcW w:w="1543" w:type="pct"/>
            <w:shd w:val="clear" w:color="auto" w:fill="auto"/>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15.9</w:t>
            </w:r>
          </w:p>
        </w:tc>
        <w:tc>
          <w:tcPr>
            <w:tcW w:w="1870" w:type="pct"/>
            <w:shd w:val="clear" w:color="auto" w:fill="auto"/>
            <w:vAlign w:val="center"/>
          </w:tcPr>
          <w:p w:rsidR="00590E1A" w:rsidRPr="00C316F0" w:rsidRDefault="00590E1A" w:rsidP="00FE55B9">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18.9</w:t>
            </w:r>
          </w:p>
        </w:tc>
      </w:tr>
      <w:tr w:rsidR="00590E1A" w:rsidTr="00FE55B9">
        <w:trPr>
          <w:trHeight w:val="290"/>
          <w:jc w:val="center"/>
        </w:trPr>
        <w:tc>
          <w:tcPr>
            <w:tcW w:w="1587" w:type="pct"/>
            <w:shd w:val="clear" w:color="auto" w:fill="auto"/>
            <w:noWrap/>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lastRenderedPageBreak/>
              <w:t>2010</w:t>
            </w:r>
          </w:p>
        </w:tc>
        <w:tc>
          <w:tcPr>
            <w:tcW w:w="1543" w:type="pct"/>
            <w:shd w:val="clear" w:color="auto" w:fill="auto"/>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16.8</w:t>
            </w:r>
          </w:p>
        </w:tc>
        <w:tc>
          <w:tcPr>
            <w:tcW w:w="1870" w:type="pct"/>
            <w:shd w:val="clear" w:color="auto" w:fill="auto"/>
            <w:vAlign w:val="center"/>
          </w:tcPr>
          <w:p w:rsidR="00590E1A" w:rsidRPr="00C316F0" w:rsidRDefault="00590E1A" w:rsidP="00FE55B9">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18.0</w:t>
            </w:r>
          </w:p>
        </w:tc>
      </w:tr>
      <w:tr w:rsidR="00590E1A" w:rsidTr="00FE55B9">
        <w:trPr>
          <w:trHeight w:val="290"/>
          <w:jc w:val="center"/>
        </w:trPr>
        <w:tc>
          <w:tcPr>
            <w:tcW w:w="1587" w:type="pct"/>
            <w:shd w:val="clear" w:color="auto" w:fill="auto"/>
            <w:noWrap/>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20</w:t>
            </w:r>
            <w:r>
              <w:rPr>
                <w:rFonts w:ascii="Times New Roman" w:eastAsia="等线" w:cs="Times New Roman" w:hint="eastAsia"/>
                <w:sz w:val="21"/>
                <w:szCs w:val="21"/>
              </w:rPr>
              <w:t>55</w:t>
            </w:r>
          </w:p>
        </w:tc>
        <w:tc>
          <w:tcPr>
            <w:tcW w:w="1543" w:type="pct"/>
            <w:shd w:val="clear" w:color="auto" w:fill="auto"/>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hint="eastAsia"/>
                <w:sz w:val="21"/>
                <w:szCs w:val="21"/>
              </w:rPr>
              <w:t>17.0</w:t>
            </w:r>
          </w:p>
        </w:tc>
        <w:tc>
          <w:tcPr>
            <w:tcW w:w="1870" w:type="pct"/>
            <w:shd w:val="clear" w:color="auto" w:fill="auto"/>
            <w:vAlign w:val="center"/>
          </w:tcPr>
          <w:p w:rsidR="00590E1A" w:rsidRPr="00C316F0" w:rsidRDefault="00590E1A" w:rsidP="00FE55B9">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17.5</w:t>
            </w:r>
          </w:p>
        </w:tc>
      </w:tr>
      <w:tr w:rsidR="00590E1A" w:rsidTr="00FE55B9">
        <w:trPr>
          <w:trHeight w:val="290"/>
          <w:jc w:val="center"/>
        </w:trPr>
        <w:tc>
          <w:tcPr>
            <w:tcW w:w="1587" w:type="pct"/>
            <w:shd w:val="clear" w:color="auto" w:fill="auto"/>
            <w:noWrap/>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2110</w:t>
            </w:r>
          </w:p>
        </w:tc>
        <w:tc>
          <w:tcPr>
            <w:tcW w:w="1543" w:type="pct"/>
            <w:shd w:val="clear" w:color="auto" w:fill="auto"/>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17.6</w:t>
            </w:r>
          </w:p>
        </w:tc>
        <w:tc>
          <w:tcPr>
            <w:tcW w:w="1870" w:type="pct"/>
            <w:shd w:val="clear" w:color="auto" w:fill="auto"/>
            <w:vAlign w:val="center"/>
          </w:tcPr>
          <w:p w:rsidR="00590E1A" w:rsidRPr="00C316F0" w:rsidRDefault="00590E1A" w:rsidP="00FE55B9">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17.1</w:t>
            </w:r>
          </w:p>
        </w:tc>
      </w:tr>
      <w:tr w:rsidR="00590E1A" w:rsidTr="00FE55B9">
        <w:trPr>
          <w:trHeight w:val="290"/>
          <w:jc w:val="center"/>
        </w:trPr>
        <w:tc>
          <w:tcPr>
            <w:tcW w:w="1587" w:type="pct"/>
            <w:shd w:val="clear" w:color="auto" w:fill="auto"/>
            <w:noWrap/>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2210</w:t>
            </w:r>
          </w:p>
        </w:tc>
        <w:tc>
          <w:tcPr>
            <w:tcW w:w="1543" w:type="pct"/>
            <w:shd w:val="clear" w:color="auto" w:fill="auto"/>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18.4</w:t>
            </w:r>
          </w:p>
        </w:tc>
        <w:tc>
          <w:tcPr>
            <w:tcW w:w="1870" w:type="pct"/>
            <w:shd w:val="clear" w:color="auto" w:fill="auto"/>
            <w:vAlign w:val="center"/>
          </w:tcPr>
          <w:p w:rsidR="00590E1A" w:rsidRPr="00C316F0" w:rsidRDefault="00590E1A" w:rsidP="00FE55B9">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16.7</w:t>
            </w:r>
          </w:p>
        </w:tc>
      </w:tr>
      <w:tr w:rsidR="00590E1A" w:rsidTr="00FE55B9">
        <w:trPr>
          <w:trHeight w:val="290"/>
          <w:jc w:val="center"/>
        </w:trPr>
        <w:tc>
          <w:tcPr>
            <w:tcW w:w="1587" w:type="pct"/>
            <w:shd w:val="clear" w:color="auto" w:fill="auto"/>
            <w:noWrap/>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2310</w:t>
            </w:r>
          </w:p>
        </w:tc>
        <w:tc>
          <w:tcPr>
            <w:tcW w:w="1543" w:type="pct"/>
            <w:shd w:val="clear" w:color="auto" w:fill="auto"/>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19.3</w:t>
            </w:r>
          </w:p>
        </w:tc>
        <w:tc>
          <w:tcPr>
            <w:tcW w:w="1870" w:type="pct"/>
            <w:shd w:val="clear" w:color="auto" w:fill="auto"/>
            <w:vAlign w:val="center"/>
          </w:tcPr>
          <w:p w:rsidR="00590E1A" w:rsidRPr="00C316F0" w:rsidRDefault="00590E1A" w:rsidP="00FE55B9">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15.6</w:t>
            </w:r>
          </w:p>
        </w:tc>
      </w:tr>
      <w:tr w:rsidR="00590E1A" w:rsidTr="00FE55B9">
        <w:trPr>
          <w:trHeight w:val="290"/>
          <w:jc w:val="center"/>
        </w:trPr>
        <w:tc>
          <w:tcPr>
            <w:tcW w:w="1587" w:type="pct"/>
            <w:shd w:val="clear" w:color="auto" w:fill="auto"/>
            <w:noWrap/>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2410</w:t>
            </w:r>
          </w:p>
        </w:tc>
        <w:tc>
          <w:tcPr>
            <w:tcW w:w="1543" w:type="pct"/>
            <w:shd w:val="clear" w:color="auto" w:fill="auto"/>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20.1</w:t>
            </w:r>
          </w:p>
        </w:tc>
        <w:tc>
          <w:tcPr>
            <w:tcW w:w="1870" w:type="pct"/>
            <w:shd w:val="clear" w:color="auto" w:fill="auto"/>
            <w:vAlign w:val="center"/>
          </w:tcPr>
          <w:p w:rsidR="00590E1A" w:rsidRPr="00C316F0" w:rsidRDefault="00590E1A" w:rsidP="00FE55B9">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14.5</w:t>
            </w:r>
          </w:p>
        </w:tc>
      </w:tr>
      <w:tr w:rsidR="00590E1A" w:rsidTr="00FE55B9">
        <w:trPr>
          <w:trHeight w:val="290"/>
          <w:jc w:val="center"/>
        </w:trPr>
        <w:tc>
          <w:tcPr>
            <w:tcW w:w="1587" w:type="pct"/>
            <w:shd w:val="clear" w:color="auto" w:fill="auto"/>
            <w:noWrap/>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2510</w:t>
            </w:r>
          </w:p>
        </w:tc>
        <w:tc>
          <w:tcPr>
            <w:tcW w:w="1543" w:type="pct"/>
            <w:shd w:val="clear" w:color="auto" w:fill="auto"/>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20.9</w:t>
            </w:r>
          </w:p>
        </w:tc>
        <w:tc>
          <w:tcPr>
            <w:tcW w:w="1870" w:type="pct"/>
            <w:shd w:val="clear" w:color="auto" w:fill="auto"/>
            <w:vAlign w:val="center"/>
          </w:tcPr>
          <w:p w:rsidR="00590E1A" w:rsidRPr="00C316F0" w:rsidRDefault="00590E1A" w:rsidP="00FE55B9">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13.5</w:t>
            </w:r>
          </w:p>
        </w:tc>
      </w:tr>
      <w:tr w:rsidR="00590E1A" w:rsidTr="00FE55B9">
        <w:trPr>
          <w:trHeight w:val="290"/>
          <w:jc w:val="center"/>
        </w:trPr>
        <w:tc>
          <w:tcPr>
            <w:tcW w:w="1587" w:type="pct"/>
            <w:shd w:val="clear" w:color="auto" w:fill="auto"/>
            <w:noWrap/>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2610</w:t>
            </w:r>
          </w:p>
        </w:tc>
        <w:tc>
          <w:tcPr>
            <w:tcW w:w="1543" w:type="pct"/>
            <w:shd w:val="clear" w:color="auto" w:fill="auto"/>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21.8</w:t>
            </w:r>
          </w:p>
        </w:tc>
        <w:tc>
          <w:tcPr>
            <w:tcW w:w="1870" w:type="pct"/>
            <w:shd w:val="clear" w:color="auto" w:fill="auto"/>
            <w:vAlign w:val="center"/>
          </w:tcPr>
          <w:p w:rsidR="00590E1A" w:rsidRPr="00C316F0" w:rsidRDefault="00590E1A" w:rsidP="00FE55B9">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12.3</w:t>
            </w:r>
          </w:p>
        </w:tc>
      </w:tr>
      <w:tr w:rsidR="00590E1A" w:rsidTr="00FE55B9">
        <w:trPr>
          <w:trHeight w:val="290"/>
          <w:jc w:val="center"/>
        </w:trPr>
        <w:tc>
          <w:tcPr>
            <w:tcW w:w="1587" w:type="pct"/>
            <w:shd w:val="clear" w:color="auto" w:fill="auto"/>
            <w:noWrap/>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2710</w:t>
            </w:r>
          </w:p>
        </w:tc>
        <w:tc>
          <w:tcPr>
            <w:tcW w:w="1543" w:type="pct"/>
            <w:shd w:val="clear" w:color="auto" w:fill="auto"/>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22.6</w:t>
            </w:r>
          </w:p>
        </w:tc>
        <w:tc>
          <w:tcPr>
            <w:tcW w:w="1870" w:type="pct"/>
            <w:shd w:val="clear" w:color="auto" w:fill="auto"/>
            <w:vAlign w:val="center"/>
          </w:tcPr>
          <w:p w:rsidR="00590E1A" w:rsidRPr="00C316F0" w:rsidRDefault="00590E1A" w:rsidP="00FE55B9">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12.1</w:t>
            </w:r>
          </w:p>
        </w:tc>
      </w:tr>
      <w:tr w:rsidR="00590E1A" w:rsidTr="00FE55B9">
        <w:trPr>
          <w:trHeight w:val="290"/>
          <w:jc w:val="center"/>
        </w:trPr>
        <w:tc>
          <w:tcPr>
            <w:tcW w:w="1587" w:type="pct"/>
            <w:shd w:val="clear" w:color="auto" w:fill="auto"/>
            <w:noWrap/>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2810</w:t>
            </w:r>
          </w:p>
        </w:tc>
        <w:tc>
          <w:tcPr>
            <w:tcW w:w="1543" w:type="pct"/>
            <w:shd w:val="clear" w:color="auto" w:fill="auto"/>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23.4</w:t>
            </w:r>
          </w:p>
        </w:tc>
        <w:tc>
          <w:tcPr>
            <w:tcW w:w="1870" w:type="pct"/>
            <w:shd w:val="clear" w:color="auto" w:fill="auto"/>
            <w:vAlign w:val="center"/>
          </w:tcPr>
          <w:p w:rsidR="00590E1A" w:rsidRPr="00C316F0" w:rsidRDefault="00590E1A" w:rsidP="00FE55B9">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10.8</w:t>
            </w:r>
          </w:p>
        </w:tc>
      </w:tr>
      <w:tr w:rsidR="00590E1A" w:rsidTr="00FE55B9">
        <w:trPr>
          <w:trHeight w:val="290"/>
          <w:jc w:val="center"/>
        </w:trPr>
        <w:tc>
          <w:tcPr>
            <w:tcW w:w="1587" w:type="pct"/>
            <w:shd w:val="clear" w:color="auto" w:fill="auto"/>
            <w:noWrap/>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hint="eastAsia"/>
                <w:sz w:val="21"/>
                <w:szCs w:val="21"/>
              </w:rPr>
              <w:t>2854</w:t>
            </w:r>
          </w:p>
        </w:tc>
        <w:tc>
          <w:tcPr>
            <w:tcW w:w="1543" w:type="pct"/>
            <w:shd w:val="clear" w:color="auto" w:fill="auto"/>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hint="eastAsia"/>
                <w:sz w:val="21"/>
                <w:szCs w:val="21"/>
              </w:rPr>
              <w:t>23.8</w:t>
            </w:r>
          </w:p>
        </w:tc>
        <w:tc>
          <w:tcPr>
            <w:tcW w:w="1870" w:type="pct"/>
            <w:shd w:val="clear" w:color="auto" w:fill="auto"/>
            <w:vAlign w:val="center"/>
          </w:tcPr>
          <w:p w:rsidR="00590E1A" w:rsidRPr="00C316F0" w:rsidRDefault="00590E1A" w:rsidP="00FE55B9">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9.6</w:t>
            </w:r>
          </w:p>
        </w:tc>
      </w:tr>
      <w:tr w:rsidR="00590E1A" w:rsidTr="00FE55B9">
        <w:trPr>
          <w:trHeight w:val="290"/>
          <w:jc w:val="center"/>
        </w:trPr>
        <w:tc>
          <w:tcPr>
            <w:tcW w:w="1587" w:type="pct"/>
            <w:shd w:val="clear" w:color="auto" w:fill="auto"/>
            <w:noWrap/>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2910</w:t>
            </w:r>
          </w:p>
        </w:tc>
        <w:tc>
          <w:tcPr>
            <w:tcW w:w="1543" w:type="pct"/>
            <w:shd w:val="clear" w:color="auto" w:fill="auto"/>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24.3</w:t>
            </w:r>
          </w:p>
        </w:tc>
        <w:tc>
          <w:tcPr>
            <w:tcW w:w="1870" w:type="pct"/>
            <w:shd w:val="clear" w:color="auto" w:fill="auto"/>
            <w:vAlign w:val="center"/>
          </w:tcPr>
          <w:p w:rsidR="00590E1A" w:rsidRPr="00C316F0" w:rsidRDefault="00590E1A" w:rsidP="00FE55B9">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9.2</w:t>
            </w:r>
          </w:p>
        </w:tc>
      </w:tr>
      <w:tr w:rsidR="00590E1A" w:rsidTr="00FE55B9">
        <w:trPr>
          <w:trHeight w:val="290"/>
          <w:jc w:val="center"/>
        </w:trPr>
        <w:tc>
          <w:tcPr>
            <w:tcW w:w="1587" w:type="pct"/>
            <w:shd w:val="clear" w:color="auto" w:fill="auto"/>
            <w:noWrap/>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3010</w:t>
            </w:r>
          </w:p>
        </w:tc>
        <w:tc>
          <w:tcPr>
            <w:tcW w:w="1543" w:type="pct"/>
            <w:shd w:val="clear" w:color="auto" w:fill="auto"/>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25.1</w:t>
            </w:r>
          </w:p>
        </w:tc>
        <w:tc>
          <w:tcPr>
            <w:tcW w:w="1870" w:type="pct"/>
            <w:shd w:val="clear" w:color="auto" w:fill="auto"/>
            <w:vAlign w:val="center"/>
          </w:tcPr>
          <w:p w:rsidR="00590E1A" w:rsidRPr="00C316F0" w:rsidRDefault="00590E1A" w:rsidP="00FE55B9">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8.8</w:t>
            </w:r>
          </w:p>
        </w:tc>
      </w:tr>
      <w:tr w:rsidR="00590E1A" w:rsidTr="00FE55B9">
        <w:trPr>
          <w:trHeight w:val="290"/>
          <w:jc w:val="center"/>
        </w:trPr>
        <w:tc>
          <w:tcPr>
            <w:tcW w:w="1587" w:type="pct"/>
            <w:shd w:val="clear" w:color="auto" w:fill="auto"/>
            <w:noWrap/>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3110</w:t>
            </w:r>
          </w:p>
        </w:tc>
        <w:tc>
          <w:tcPr>
            <w:tcW w:w="1543" w:type="pct"/>
            <w:shd w:val="clear" w:color="auto" w:fill="auto"/>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25.9</w:t>
            </w:r>
          </w:p>
        </w:tc>
        <w:tc>
          <w:tcPr>
            <w:tcW w:w="1870" w:type="pct"/>
            <w:shd w:val="clear" w:color="auto" w:fill="auto"/>
            <w:vAlign w:val="center"/>
          </w:tcPr>
          <w:p w:rsidR="00590E1A" w:rsidRPr="00C316F0" w:rsidRDefault="00590E1A" w:rsidP="00FE55B9">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7.9</w:t>
            </w:r>
          </w:p>
        </w:tc>
      </w:tr>
      <w:tr w:rsidR="00590E1A" w:rsidTr="00FE55B9">
        <w:trPr>
          <w:trHeight w:val="290"/>
          <w:jc w:val="center"/>
        </w:trPr>
        <w:tc>
          <w:tcPr>
            <w:tcW w:w="1587" w:type="pct"/>
            <w:shd w:val="clear" w:color="auto" w:fill="auto"/>
            <w:noWrap/>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3210</w:t>
            </w:r>
          </w:p>
        </w:tc>
        <w:tc>
          <w:tcPr>
            <w:tcW w:w="1543" w:type="pct"/>
            <w:shd w:val="clear" w:color="auto" w:fill="auto"/>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26.8</w:t>
            </w:r>
          </w:p>
        </w:tc>
        <w:tc>
          <w:tcPr>
            <w:tcW w:w="1870" w:type="pct"/>
            <w:shd w:val="clear" w:color="auto" w:fill="auto"/>
            <w:vAlign w:val="center"/>
          </w:tcPr>
          <w:p w:rsidR="00590E1A" w:rsidRPr="00C316F0" w:rsidRDefault="00590E1A" w:rsidP="00FE55B9">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6.5</w:t>
            </w:r>
          </w:p>
        </w:tc>
      </w:tr>
      <w:tr w:rsidR="00590E1A" w:rsidTr="00FE55B9">
        <w:trPr>
          <w:trHeight w:val="290"/>
          <w:jc w:val="center"/>
        </w:trPr>
        <w:tc>
          <w:tcPr>
            <w:tcW w:w="1587" w:type="pct"/>
            <w:shd w:val="clear" w:color="auto" w:fill="auto"/>
            <w:noWrap/>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3310</w:t>
            </w:r>
          </w:p>
        </w:tc>
        <w:tc>
          <w:tcPr>
            <w:tcW w:w="1543" w:type="pct"/>
            <w:shd w:val="clear" w:color="auto" w:fill="auto"/>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27.6</w:t>
            </w:r>
          </w:p>
        </w:tc>
        <w:tc>
          <w:tcPr>
            <w:tcW w:w="1870" w:type="pct"/>
            <w:shd w:val="clear" w:color="auto" w:fill="auto"/>
            <w:vAlign w:val="center"/>
          </w:tcPr>
          <w:p w:rsidR="00590E1A" w:rsidRPr="00C316F0" w:rsidRDefault="00590E1A" w:rsidP="00FE55B9">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5.8</w:t>
            </w:r>
          </w:p>
        </w:tc>
      </w:tr>
      <w:tr w:rsidR="00590E1A" w:rsidTr="00FE55B9">
        <w:trPr>
          <w:trHeight w:val="290"/>
          <w:jc w:val="center"/>
        </w:trPr>
        <w:tc>
          <w:tcPr>
            <w:tcW w:w="1587" w:type="pct"/>
            <w:shd w:val="clear" w:color="auto" w:fill="auto"/>
            <w:noWrap/>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3410</w:t>
            </w:r>
          </w:p>
        </w:tc>
        <w:tc>
          <w:tcPr>
            <w:tcW w:w="1543" w:type="pct"/>
            <w:shd w:val="clear" w:color="auto" w:fill="auto"/>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28.4</w:t>
            </w:r>
          </w:p>
        </w:tc>
        <w:tc>
          <w:tcPr>
            <w:tcW w:w="1870" w:type="pct"/>
            <w:shd w:val="clear" w:color="auto" w:fill="auto"/>
            <w:vAlign w:val="center"/>
          </w:tcPr>
          <w:p w:rsidR="00590E1A" w:rsidRPr="00C316F0" w:rsidRDefault="00590E1A" w:rsidP="00FE55B9">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5.4</w:t>
            </w:r>
          </w:p>
        </w:tc>
      </w:tr>
      <w:tr w:rsidR="00590E1A" w:rsidTr="00FE55B9">
        <w:trPr>
          <w:trHeight w:val="290"/>
          <w:jc w:val="center"/>
        </w:trPr>
        <w:tc>
          <w:tcPr>
            <w:tcW w:w="1587" w:type="pct"/>
            <w:shd w:val="clear" w:color="auto" w:fill="auto"/>
            <w:noWrap/>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3510</w:t>
            </w:r>
          </w:p>
        </w:tc>
        <w:tc>
          <w:tcPr>
            <w:tcW w:w="1543" w:type="pct"/>
            <w:shd w:val="clear" w:color="auto" w:fill="auto"/>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29.3</w:t>
            </w:r>
          </w:p>
        </w:tc>
        <w:tc>
          <w:tcPr>
            <w:tcW w:w="1870" w:type="pct"/>
            <w:shd w:val="clear" w:color="auto" w:fill="auto"/>
            <w:vAlign w:val="center"/>
          </w:tcPr>
          <w:p w:rsidR="00590E1A" w:rsidRPr="00C316F0" w:rsidRDefault="00590E1A" w:rsidP="00FE55B9">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4.8</w:t>
            </w:r>
          </w:p>
        </w:tc>
      </w:tr>
      <w:tr w:rsidR="00590E1A" w:rsidTr="00FE55B9">
        <w:trPr>
          <w:trHeight w:val="290"/>
          <w:jc w:val="center"/>
        </w:trPr>
        <w:tc>
          <w:tcPr>
            <w:tcW w:w="1587" w:type="pct"/>
            <w:shd w:val="clear" w:color="auto" w:fill="auto"/>
            <w:noWrap/>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3610</w:t>
            </w:r>
          </w:p>
        </w:tc>
        <w:tc>
          <w:tcPr>
            <w:tcW w:w="1543" w:type="pct"/>
            <w:shd w:val="clear" w:color="auto" w:fill="auto"/>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30.1</w:t>
            </w:r>
          </w:p>
        </w:tc>
        <w:tc>
          <w:tcPr>
            <w:tcW w:w="1870" w:type="pct"/>
            <w:shd w:val="clear" w:color="auto" w:fill="auto"/>
            <w:vAlign w:val="center"/>
          </w:tcPr>
          <w:p w:rsidR="00590E1A" w:rsidRPr="00C316F0" w:rsidRDefault="00590E1A" w:rsidP="00FE55B9">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3.9</w:t>
            </w:r>
          </w:p>
        </w:tc>
      </w:tr>
      <w:tr w:rsidR="00590E1A" w:rsidTr="00FE55B9">
        <w:trPr>
          <w:trHeight w:val="290"/>
          <w:jc w:val="center"/>
        </w:trPr>
        <w:tc>
          <w:tcPr>
            <w:tcW w:w="1587" w:type="pct"/>
            <w:shd w:val="clear" w:color="auto" w:fill="auto"/>
            <w:noWrap/>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3710</w:t>
            </w:r>
          </w:p>
        </w:tc>
        <w:tc>
          <w:tcPr>
            <w:tcW w:w="1543" w:type="pct"/>
            <w:shd w:val="clear" w:color="auto" w:fill="auto"/>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30.9</w:t>
            </w:r>
          </w:p>
        </w:tc>
        <w:tc>
          <w:tcPr>
            <w:tcW w:w="1870" w:type="pct"/>
            <w:shd w:val="clear" w:color="auto" w:fill="auto"/>
            <w:vAlign w:val="center"/>
          </w:tcPr>
          <w:p w:rsidR="00590E1A" w:rsidRPr="00C316F0" w:rsidRDefault="00590E1A" w:rsidP="00FE55B9">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2.8</w:t>
            </w:r>
          </w:p>
        </w:tc>
      </w:tr>
      <w:tr w:rsidR="00590E1A" w:rsidTr="00FE55B9">
        <w:trPr>
          <w:trHeight w:val="290"/>
          <w:jc w:val="center"/>
        </w:trPr>
        <w:tc>
          <w:tcPr>
            <w:tcW w:w="1587" w:type="pct"/>
            <w:shd w:val="clear" w:color="auto" w:fill="auto"/>
            <w:noWrap/>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3810</w:t>
            </w:r>
          </w:p>
        </w:tc>
        <w:tc>
          <w:tcPr>
            <w:tcW w:w="1543" w:type="pct"/>
            <w:shd w:val="clear" w:color="auto" w:fill="auto"/>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31.8</w:t>
            </w:r>
          </w:p>
        </w:tc>
        <w:tc>
          <w:tcPr>
            <w:tcW w:w="1870" w:type="pct"/>
            <w:shd w:val="clear" w:color="auto" w:fill="auto"/>
            <w:vAlign w:val="center"/>
          </w:tcPr>
          <w:p w:rsidR="00590E1A" w:rsidRPr="00C316F0" w:rsidRDefault="00590E1A" w:rsidP="00FE55B9">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2.1</w:t>
            </w:r>
          </w:p>
        </w:tc>
      </w:tr>
      <w:tr w:rsidR="00590E1A" w:rsidTr="00FE55B9">
        <w:trPr>
          <w:trHeight w:val="290"/>
          <w:jc w:val="center"/>
        </w:trPr>
        <w:tc>
          <w:tcPr>
            <w:tcW w:w="1587" w:type="pct"/>
            <w:shd w:val="clear" w:color="auto" w:fill="auto"/>
            <w:noWrap/>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3910</w:t>
            </w:r>
          </w:p>
        </w:tc>
        <w:tc>
          <w:tcPr>
            <w:tcW w:w="1543" w:type="pct"/>
            <w:shd w:val="clear" w:color="auto" w:fill="auto"/>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32.6</w:t>
            </w:r>
          </w:p>
        </w:tc>
        <w:tc>
          <w:tcPr>
            <w:tcW w:w="1870" w:type="pct"/>
            <w:shd w:val="clear" w:color="auto" w:fill="auto"/>
            <w:vAlign w:val="center"/>
          </w:tcPr>
          <w:p w:rsidR="00590E1A" w:rsidRPr="00C316F0" w:rsidRDefault="00590E1A" w:rsidP="00FE55B9">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1.8</w:t>
            </w:r>
          </w:p>
        </w:tc>
      </w:tr>
      <w:tr w:rsidR="00590E1A" w:rsidTr="00FE55B9">
        <w:trPr>
          <w:trHeight w:val="290"/>
          <w:jc w:val="center"/>
        </w:trPr>
        <w:tc>
          <w:tcPr>
            <w:tcW w:w="1587" w:type="pct"/>
            <w:shd w:val="clear" w:color="auto" w:fill="auto"/>
            <w:noWrap/>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4010</w:t>
            </w:r>
          </w:p>
        </w:tc>
        <w:tc>
          <w:tcPr>
            <w:tcW w:w="1543" w:type="pct"/>
            <w:shd w:val="clear" w:color="auto" w:fill="auto"/>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33.4</w:t>
            </w:r>
          </w:p>
        </w:tc>
        <w:tc>
          <w:tcPr>
            <w:tcW w:w="1870" w:type="pct"/>
            <w:shd w:val="clear" w:color="auto" w:fill="auto"/>
            <w:vAlign w:val="center"/>
          </w:tcPr>
          <w:p w:rsidR="00590E1A" w:rsidRPr="00C316F0" w:rsidRDefault="00590E1A" w:rsidP="00FE55B9">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1.5</w:t>
            </w:r>
          </w:p>
        </w:tc>
      </w:tr>
      <w:tr w:rsidR="00590E1A" w:rsidTr="00FE55B9">
        <w:trPr>
          <w:trHeight w:val="290"/>
          <w:jc w:val="center"/>
        </w:trPr>
        <w:tc>
          <w:tcPr>
            <w:tcW w:w="1587" w:type="pct"/>
            <w:shd w:val="clear" w:color="auto" w:fill="auto"/>
            <w:noWrap/>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4110</w:t>
            </w:r>
          </w:p>
        </w:tc>
        <w:tc>
          <w:tcPr>
            <w:tcW w:w="1543" w:type="pct"/>
            <w:shd w:val="clear" w:color="auto" w:fill="auto"/>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34.3</w:t>
            </w:r>
          </w:p>
        </w:tc>
        <w:tc>
          <w:tcPr>
            <w:tcW w:w="1870" w:type="pct"/>
            <w:shd w:val="clear" w:color="auto" w:fill="auto"/>
            <w:vAlign w:val="center"/>
          </w:tcPr>
          <w:p w:rsidR="00590E1A" w:rsidRPr="00C316F0" w:rsidRDefault="00590E1A" w:rsidP="00FE55B9">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1.3</w:t>
            </w:r>
          </w:p>
        </w:tc>
      </w:tr>
      <w:tr w:rsidR="00590E1A" w:rsidTr="00FE55B9">
        <w:trPr>
          <w:trHeight w:val="290"/>
          <w:jc w:val="center"/>
        </w:trPr>
        <w:tc>
          <w:tcPr>
            <w:tcW w:w="1587" w:type="pct"/>
            <w:shd w:val="clear" w:color="auto" w:fill="auto"/>
            <w:noWrap/>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4210</w:t>
            </w:r>
          </w:p>
        </w:tc>
        <w:tc>
          <w:tcPr>
            <w:tcW w:w="1543" w:type="pct"/>
            <w:shd w:val="clear" w:color="auto" w:fill="auto"/>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35.1</w:t>
            </w:r>
          </w:p>
        </w:tc>
        <w:tc>
          <w:tcPr>
            <w:tcW w:w="1870" w:type="pct"/>
            <w:shd w:val="clear" w:color="auto" w:fill="auto"/>
            <w:vAlign w:val="center"/>
          </w:tcPr>
          <w:p w:rsidR="00590E1A" w:rsidRPr="00C316F0" w:rsidRDefault="00590E1A" w:rsidP="00FE55B9">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1.2</w:t>
            </w:r>
          </w:p>
        </w:tc>
      </w:tr>
      <w:tr w:rsidR="00590E1A" w:rsidTr="00FE55B9">
        <w:trPr>
          <w:trHeight w:val="290"/>
          <w:jc w:val="center"/>
        </w:trPr>
        <w:tc>
          <w:tcPr>
            <w:tcW w:w="1587" w:type="pct"/>
            <w:shd w:val="clear" w:color="auto" w:fill="auto"/>
            <w:noWrap/>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4310</w:t>
            </w:r>
          </w:p>
        </w:tc>
        <w:tc>
          <w:tcPr>
            <w:tcW w:w="1543" w:type="pct"/>
            <w:shd w:val="clear" w:color="auto" w:fill="auto"/>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35.9</w:t>
            </w:r>
          </w:p>
        </w:tc>
        <w:tc>
          <w:tcPr>
            <w:tcW w:w="1870" w:type="pct"/>
            <w:shd w:val="clear" w:color="auto" w:fill="auto"/>
            <w:vAlign w:val="center"/>
          </w:tcPr>
          <w:p w:rsidR="00590E1A" w:rsidRPr="00C316F0" w:rsidRDefault="00590E1A" w:rsidP="00FE55B9">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1.0</w:t>
            </w:r>
          </w:p>
        </w:tc>
      </w:tr>
      <w:tr w:rsidR="00590E1A" w:rsidTr="00FE55B9">
        <w:trPr>
          <w:trHeight w:val="290"/>
          <w:jc w:val="center"/>
        </w:trPr>
        <w:tc>
          <w:tcPr>
            <w:tcW w:w="1587" w:type="pct"/>
            <w:shd w:val="clear" w:color="auto" w:fill="auto"/>
            <w:noWrap/>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4410</w:t>
            </w:r>
          </w:p>
        </w:tc>
        <w:tc>
          <w:tcPr>
            <w:tcW w:w="1543" w:type="pct"/>
            <w:shd w:val="clear" w:color="auto" w:fill="auto"/>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36.8</w:t>
            </w:r>
          </w:p>
        </w:tc>
        <w:tc>
          <w:tcPr>
            <w:tcW w:w="1870" w:type="pct"/>
            <w:shd w:val="clear" w:color="auto" w:fill="auto"/>
            <w:vAlign w:val="center"/>
          </w:tcPr>
          <w:p w:rsidR="00590E1A" w:rsidRPr="00C316F0" w:rsidRDefault="00590E1A" w:rsidP="00FE55B9">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0.9</w:t>
            </w:r>
          </w:p>
        </w:tc>
      </w:tr>
      <w:tr w:rsidR="00590E1A" w:rsidTr="00FE55B9">
        <w:trPr>
          <w:trHeight w:val="290"/>
          <w:jc w:val="center"/>
        </w:trPr>
        <w:tc>
          <w:tcPr>
            <w:tcW w:w="1587" w:type="pct"/>
            <w:shd w:val="clear" w:color="auto" w:fill="auto"/>
            <w:noWrap/>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4510</w:t>
            </w:r>
          </w:p>
        </w:tc>
        <w:tc>
          <w:tcPr>
            <w:tcW w:w="1543" w:type="pct"/>
            <w:shd w:val="clear" w:color="auto" w:fill="auto"/>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37.6</w:t>
            </w:r>
          </w:p>
        </w:tc>
        <w:tc>
          <w:tcPr>
            <w:tcW w:w="1870" w:type="pct"/>
            <w:shd w:val="clear" w:color="auto" w:fill="auto"/>
            <w:vAlign w:val="center"/>
          </w:tcPr>
          <w:p w:rsidR="00590E1A" w:rsidRPr="00C316F0" w:rsidRDefault="00590E1A" w:rsidP="00C316F0">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0.7</w:t>
            </w:r>
          </w:p>
        </w:tc>
      </w:tr>
      <w:tr w:rsidR="00590E1A" w:rsidTr="00FE55B9">
        <w:trPr>
          <w:trHeight w:val="290"/>
          <w:jc w:val="center"/>
        </w:trPr>
        <w:tc>
          <w:tcPr>
            <w:tcW w:w="1587" w:type="pct"/>
            <w:shd w:val="clear" w:color="auto" w:fill="auto"/>
            <w:noWrap/>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lastRenderedPageBreak/>
              <w:t>4610</w:t>
            </w:r>
          </w:p>
        </w:tc>
        <w:tc>
          <w:tcPr>
            <w:tcW w:w="1543" w:type="pct"/>
            <w:shd w:val="clear" w:color="auto" w:fill="auto"/>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38.4</w:t>
            </w:r>
          </w:p>
        </w:tc>
        <w:tc>
          <w:tcPr>
            <w:tcW w:w="1870" w:type="pct"/>
            <w:shd w:val="clear" w:color="auto" w:fill="auto"/>
            <w:vAlign w:val="center"/>
          </w:tcPr>
          <w:p w:rsidR="00590E1A" w:rsidRPr="00C316F0" w:rsidRDefault="00590E1A" w:rsidP="00C316F0">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0.6</w:t>
            </w:r>
          </w:p>
        </w:tc>
      </w:tr>
      <w:tr w:rsidR="00590E1A" w:rsidTr="00FE55B9">
        <w:trPr>
          <w:trHeight w:val="290"/>
          <w:jc w:val="center"/>
        </w:trPr>
        <w:tc>
          <w:tcPr>
            <w:tcW w:w="1587" w:type="pct"/>
            <w:shd w:val="clear" w:color="auto" w:fill="auto"/>
            <w:noWrap/>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4710</w:t>
            </w:r>
          </w:p>
        </w:tc>
        <w:tc>
          <w:tcPr>
            <w:tcW w:w="1543" w:type="pct"/>
            <w:shd w:val="clear" w:color="auto" w:fill="auto"/>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39.3</w:t>
            </w:r>
          </w:p>
        </w:tc>
        <w:tc>
          <w:tcPr>
            <w:tcW w:w="1870" w:type="pct"/>
            <w:shd w:val="clear" w:color="auto" w:fill="auto"/>
            <w:vAlign w:val="center"/>
          </w:tcPr>
          <w:p w:rsidR="00590E1A" w:rsidRPr="00C316F0" w:rsidRDefault="00590E1A" w:rsidP="00C316F0">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0.4</w:t>
            </w:r>
          </w:p>
        </w:tc>
      </w:tr>
      <w:tr w:rsidR="00590E1A" w:rsidTr="00FE55B9">
        <w:trPr>
          <w:trHeight w:val="290"/>
          <w:jc w:val="center"/>
        </w:trPr>
        <w:tc>
          <w:tcPr>
            <w:tcW w:w="1587" w:type="pct"/>
            <w:shd w:val="clear" w:color="auto" w:fill="auto"/>
            <w:noWrap/>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4810</w:t>
            </w:r>
          </w:p>
        </w:tc>
        <w:tc>
          <w:tcPr>
            <w:tcW w:w="1543" w:type="pct"/>
            <w:shd w:val="clear" w:color="auto" w:fill="auto"/>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40.1</w:t>
            </w:r>
          </w:p>
        </w:tc>
        <w:tc>
          <w:tcPr>
            <w:tcW w:w="1870" w:type="pct"/>
            <w:shd w:val="clear" w:color="auto" w:fill="auto"/>
            <w:vAlign w:val="center"/>
          </w:tcPr>
          <w:p w:rsidR="00590E1A" w:rsidRDefault="00590E1A" w:rsidP="00FE55B9">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0.2</w:t>
            </w:r>
          </w:p>
        </w:tc>
      </w:tr>
      <w:tr w:rsidR="00590E1A" w:rsidTr="00FE55B9">
        <w:trPr>
          <w:trHeight w:val="290"/>
          <w:jc w:val="center"/>
        </w:trPr>
        <w:tc>
          <w:tcPr>
            <w:tcW w:w="1587" w:type="pct"/>
            <w:shd w:val="clear" w:color="auto" w:fill="auto"/>
            <w:noWrap/>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4910</w:t>
            </w:r>
          </w:p>
        </w:tc>
        <w:tc>
          <w:tcPr>
            <w:tcW w:w="1543" w:type="pct"/>
            <w:shd w:val="clear" w:color="auto" w:fill="auto"/>
            <w:vAlign w:val="center"/>
          </w:tcPr>
          <w:p w:rsidR="00590E1A" w:rsidRDefault="00590E1A" w:rsidP="00FE55B9">
            <w:pPr>
              <w:widowControl/>
              <w:topLinePunct w:val="0"/>
              <w:adjustRightInd/>
              <w:ind w:firstLine="420"/>
              <w:jc w:val="center"/>
              <w:rPr>
                <w:rFonts w:ascii="Times New Roman" w:eastAsia="等线" w:cs="Times New Roman"/>
                <w:sz w:val="21"/>
                <w:szCs w:val="21"/>
              </w:rPr>
            </w:pPr>
            <w:r>
              <w:rPr>
                <w:rFonts w:ascii="Times New Roman" w:eastAsia="等线" w:cs="Times New Roman"/>
                <w:sz w:val="21"/>
                <w:szCs w:val="21"/>
              </w:rPr>
              <w:t>40.9</w:t>
            </w:r>
          </w:p>
        </w:tc>
        <w:tc>
          <w:tcPr>
            <w:tcW w:w="1870" w:type="pct"/>
            <w:shd w:val="clear" w:color="auto" w:fill="auto"/>
            <w:vAlign w:val="center"/>
          </w:tcPr>
          <w:p w:rsidR="00590E1A" w:rsidRDefault="00590E1A" w:rsidP="00FE55B9">
            <w:pPr>
              <w:widowControl/>
              <w:topLinePunct w:val="0"/>
              <w:adjustRightInd/>
              <w:ind w:firstLineChars="100" w:firstLine="210"/>
              <w:jc w:val="center"/>
              <w:rPr>
                <w:rFonts w:ascii="Times New Roman" w:eastAsia="等线" w:cs="Times New Roman"/>
                <w:sz w:val="21"/>
                <w:szCs w:val="21"/>
              </w:rPr>
            </w:pPr>
            <w:r>
              <w:rPr>
                <w:rFonts w:ascii="Times New Roman" w:eastAsia="等线" w:cs="Times New Roman" w:hint="eastAsia"/>
                <w:sz w:val="21"/>
                <w:szCs w:val="21"/>
              </w:rPr>
              <w:t>0.1</w:t>
            </w:r>
          </w:p>
        </w:tc>
      </w:tr>
    </w:tbl>
    <w:p w:rsidR="00FE55B9" w:rsidRDefault="00FE55B9" w:rsidP="00FE55B9">
      <w:pPr>
        <w:pStyle w:val="affa"/>
        <w:ind w:firstLine="480"/>
      </w:pPr>
      <w:r w:rsidRPr="00FE55B9">
        <w:rPr>
          <w:rFonts w:hint="eastAsia"/>
        </w:rPr>
        <w:t>硫化氢</w:t>
      </w:r>
      <w:r w:rsidRPr="00FE55B9">
        <w:t>泄漏时下风向浓度分布</w:t>
      </w:r>
      <w:r w:rsidRPr="00FE55B9">
        <w:rPr>
          <w:rFonts w:hint="eastAsia"/>
        </w:rPr>
        <w:t>计算结果见图</w:t>
      </w:r>
      <w:r w:rsidRPr="00FE55B9">
        <w:rPr>
          <w:rFonts w:hint="eastAsia"/>
        </w:rPr>
        <w:t>7.8-2</w:t>
      </w:r>
      <w:r w:rsidRPr="00FE55B9">
        <w:rPr>
          <w:rFonts w:hint="eastAsia"/>
        </w:rPr>
        <w:t>。</w:t>
      </w:r>
    </w:p>
    <w:p w:rsidR="00FE55B9" w:rsidRDefault="00FE55B9" w:rsidP="00FE55B9">
      <w:pPr>
        <w:pStyle w:val="affa"/>
        <w:ind w:firstLineChars="83" w:firstLine="199"/>
        <w:jc w:val="center"/>
      </w:pPr>
      <w:r w:rsidRPr="00FE55B9">
        <w:rPr>
          <w:noProof/>
        </w:rPr>
        <w:drawing>
          <wp:inline distT="0" distB="0" distL="114300" distR="114300">
            <wp:extent cx="5267960" cy="3036570"/>
            <wp:effectExtent l="0" t="0" r="8890" b="11430"/>
            <wp:docPr id="41"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9"/>
                    <pic:cNvPicPr>
                      <a:picLocks noChangeAspect="1"/>
                    </pic:cNvPicPr>
                  </pic:nvPicPr>
                  <pic:blipFill>
                    <a:blip r:embed="rId113" cstate="print"/>
                    <a:stretch>
                      <a:fillRect/>
                    </a:stretch>
                  </pic:blipFill>
                  <pic:spPr>
                    <a:xfrm>
                      <a:off x="0" y="0"/>
                      <a:ext cx="5267960" cy="3036570"/>
                    </a:xfrm>
                    <a:prstGeom prst="rect">
                      <a:avLst/>
                    </a:prstGeom>
                    <a:noFill/>
                    <a:ln>
                      <a:noFill/>
                    </a:ln>
                  </pic:spPr>
                </pic:pic>
              </a:graphicData>
            </a:graphic>
          </wp:inline>
        </w:drawing>
      </w:r>
    </w:p>
    <w:p w:rsidR="00FE55B9" w:rsidRPr="00FE55B9" w:rsidRDefault="00FE55B9" w:rsidP="00FE55B9">
      <w:pPr>
        <w:pStyle w:val="affa"/>
        <w:ind w:firstLineChars="83" w:firstLine="175"/>
        <w:jc w:val="center"/>
      </w:pPr>
      <w:r>
        <w:rPr>
          <w:rFonts w:hint="eastAsia"/>
          <w:b/>
          <w:kern w:val="2"/>
          <w:sz w:val="21"/>
          <w:szCs w:val="21"/>
        </w:rPr>
        <w:t>图</w:t>
      </w:r>
      <w:r>
        <w:rPr>
          <w:rFonts w:hint="eastAsia"/>
          <w:b/>
          <w:kern w:val="2"/>
          <w:sz w:val="21"/>
          <w:szCs w:val="21"/>
        </w:rPr>
        <w:t xml:space="preserve">7.8-2 </w:t>
      </w:r>
      <w:r>
        <w:rPr>
          <w:rFonts w:hint="eastAsia"/>
          <w:b/>
          <w:bCs/>
          <w:kern w:val="2"/>
          <w:sz w:val="21"/>
          <w:szCs w:val="21"/>
        </w:rPr>
        <w:t>硫化氢</w:t>
      </w:r>
      <w:r>
        <w:rPr>
          <w:b/>
          <w:bCs/>
          <w:kern w:val="2"/>
          <w:sz w:val="21"/>
          <w:szCs w:val="21"/>
        </w:rPr>
        <w:t>泄漏时下风向</w:t>
      </w:r>
      <w:r>
        <w:rPr>
          <w:b/>
          <w:kern w:val="2"/>
          <w:sz w:val="21"/>
          <w:szCs w:val="21"/>
        </w:rPr>
        <w:t>浓度</w:t>
      </w:r>
      <w:r>
        <w:rPr>
          <w:b/>
          <w:bCs/>
          <w:kern w:val="2"/>
          <w:sz w:val="21"/>
          <w:szCs w:val="21"/>
        </w:rPr>
        <w:t>分布</w:t>
      </w:r>
      <w:r>
        <w:rPr>
          <w:rFonts w:hint="eastAsia"/>
          <w:b/>
          <w:kern w:val="2"/>
          <w:sz w:val="21"/>
          <w:szCs w:val="21"/>
        </w:rPr>
        <w:t>计算结果</w:t>
      </w:r>
    </w:p>
    <w:p w:rsidR="00FE55B9" w:rsidRDefault="00FE55B9" w:rsidP="00FE55B9">
      <w:pPr>
        <w:topLinePunct w:val="0"/>
        <w:adjustRightInd/>
        <w:ind w:firstLine="480"/>
        <w:rPr>
          <w:rFonts w:ascii="Times New Roman" w:cs="Times New Roman"/>
          <w:kern w:val="2"/>
        </w:rPr>
      </w:pPr>
      <w:r>
        <w:rPr>
          <w:rFonts w:ascii="Times New Roman" w:cs="Times New Roman"/>
          <w:kern w:val="2"/>
        </w:rPr>
        <w:t>（</w:t>
      </w:r>
      <w:r>
        <w:rPr>
          <w:rFonts w:ascii="Times New Roman" w:cs="Times New Roman"/>
          <w:kern w:val="2"/>
        </w:rPr>
        <w:t>4</w:t>
      </w:r>
      <w:r>
        <w:rPr>
          <w:rFonts w:ascii="Times New Roman" w:cs="Times New Roman"/>
          <w:kern w:val="2"/>
        </w:rPr>
        <w:t>）后果分析</w:t>
      </w:r>
    </w:p>
    <w:p w:rsidR="00FE55B9" w:rsidRDefault="00FE55B9" w:rsidP="00FE55B9">
      <w:pPr>
        <w:pStyle w:val="affa"/>
        <w:ind w:firstLine="480"/>
        <w:rPr>
          <w:kern w:val="2"/>
        </w:rPr>
      </w:pPr>
      <w:r>
        <w:rPr>
          <w:kern w:val="2"/>
        </w:rPr>
        <w:t>甲烷泄漏后果分析见表</w:t>
      </w:r>
      <w:r>
        <w:rPr>
          <w:rFonts w:hint="eastAsia"/>
          <w:kern w:val="2"/>
        </w:rPr>
        <w:t>7</w:t>
      </w:r>
      <w:r>
        <w:rPr>
          <w:kern w:val="2"/>
        </w:rPr>
        <w:t>.</w:t>
      </w:r>
      <w:r>
        <w:rPr>
          <w:rFonts w:hint="eastAsia"/>
          <w:kern w:val="2"/>
        </w:rPr>
        <w:t>8</w:t>
      </w:r>
      <w:r>
        <w:rPr>
          <w:kern w:val="2"/>
        </w:rPr>
        <w:t>-</w:t>
      </w:r>
      <w:r>
        <w:rPr>
          <w:rFonts w:hint="eastAsia"/>
          <w:kern w:val="2"/>
        </w:rPr>
        <w:t>5</w:t>
      </w:r>
      <w:r>
        <w:rPr>
          <w:rFonts w:hint="eastAsia"/>
          <w:kern w:val="2"/>
        </w:rPr>
        <w:t>，</w:t>
      </w:r>
      <w:r>
        <w:rPr>
          <w:kern w:val="2"/>
        </w:rPr>
        <w:t>硫化氢泄漏后果分析见表</w:t>
      </w:r>
      <w:r>
        <w:rPr>
          <w:rFonts w:hint="eastAsia"/>
          <w:kern w:val="2"/>
        </w:rPr>
        <w:t>7</w:t>
      </w:r>
      <w:r>
        <w:rPr>
          <w:kern w:val="2"/>
        </w:rPr>
        <w:t>.</w:t>
      </w:r>
      <w:r>
        <w:rPr>
          <w:rFonts w:hint="eastAsia"/>
          <w:kern w:val="2"/>
        </w:rPr>
        <w:t>8</w:t>
      </w:r>
      <w:r>
        <w:rPr>
          <w:kern w:val="2"/>
        </w:rPr>
        <w:t>-</w:t>
      </w:r>
      <w:r>
        <w:rPr>
          <w:rFonts w:hint="eastAsia"/>
          <w:kern w:val="2"/>
        </w:rPr>
        <w:t>6</w:t>
      </w:r>
      <w:r>
        <w:rPr>
          <w:kern w:val="2"/>
        </w:rPr>
        <w:t>。</w:t>
      </w:r>
    </w:p>
    <w:p w:rsidR="00FE55B9" w:rsidRDefault="00FE55B9" w:rsidP="00FE55B9">
      <w:pPr>
        <w:topLinePunct w:val="0"/>
        <w:adjustRightInd/>
        <w:snapToGrid w:val="0"/>
        <w:spacing w:line="500" w:lineRule="exact"/>
        <w:ind w:firstLine="420"/>
        <w:jc w:val="center"/>
        <w:rPr>
          <w:rFonts w:ascii="Times New Roman" w:cs="Times New Roman"/>
          <w:kern w:val="2"/>
          <w:sz w:val="21"/>
          <w:szCs w:val="21"/>
        </w:rPr>
      </w:pPr>
      <w:r>
        <w:rPr>
          <w:rFonts w:ascii="Times New Roman" w:cs="Times New Roman"/>
          <w:kern w:val="2"/>
          <w:sz w:val="21"/>
          <w:szCs w:val="21"/>
        </w:rPr>
        <w:t>表</w:t>
      </w:r>
      <w:r>
        <w:rPr>
          <w:rFonts w:ascii="Times New Roman" w:cs="Times New Roman" w:hint="eastAsia"/>
          <w:kern w:val="2"/>
          <w:sz w:val="21"/>
          <w:szCs w:val="21"/>
        </w:rPr>
        <w:t>7</w:t>
      </w:r>
      <w:r>
        <w:rPr>
          <w:rFonts w:ascii="Times New Roman" w:cs="Times New Roman"/>
          <w:kern w:val="2"/>
          <w:sz w:val="21"/>
          <w:szCs w:val="21"/>
        </w:rPr>
        <w:t>.</w:t>
      </w:r>
      <w:r>
        <w:rPr>
          <w:rFonts w:ascii="Times New Roman" w:cs="Times New Roman" w:hint="eastAsia"/>
          <w:kern w:val="2"/>
          <w:sz w:val="21"/>
          <w:szCs w:val="21"/>
        </w:rPr>
        <w:t>8</w:t>
      </w:r>
      <w:r>
        <w:rPr>
          <w:rFonts w:ascii="Times New Roman" w:cs="Times New Roman"/>
          <w:kern w:val="2"/>
          <w:sz w:val="21"/>
          <w:szCs w:val="21"/>
        </w:rPr>
        <w:t>-</w:t>
      </w:r>
      <w:r>
        <w:rPr>
          <w:rFonts w:ascii="Times New Roman" w:cs="Times New Roman" w:hint="eastAsia"/>
          <w:kern w:val="2"/>
          <w:sz w:val="21"/>
          <w:szCs w:val="21"/>
        </w:rPr>
        <w:t>5</w:t>
      </w:r>
      <w:r>
        <w:rPr>
          <w:rFonts w:ascii="Times New Roman" w:cs="Times New Roman"/>
          <w:kern w:val="2"/>
          <w:sz w:val="21"/>
          <w:szCs w:val="21"/>
        </w:rPr>
        <w:t xml:space="preserve">  </w:t>
      </w:r>
      <w:r>
        <w:rPr>
          <w:rFonts w:ascii="Times New Roman" w:cs="Times New Roman"/>
          <w:kern w:val="2"/>
          <w:sz w:val="21"/>
          <w:szCs w:val="21"/>
        </w:rPr>
        <w:t>甲烷泄漏事故后果分析</w:t>
      </w:r>
    </w:p>
    <w:tbl>
      <w:tblPr>
        <w:tblW w:w="5000" w:type="pct"/>
        <w:jc w:val="center"/>
        <w:tblBorders>
          <w:top w:val="single" w:sz="12" w:space="0" w:color="auto"/>
          <w:bottom w:val="single" w:sz="12" w:space="0" w:color="auto"/>
          <w:insideH w:val="single" w:sz="6" w:space="0" w:color="auto"/>
          <w:insideV w:val="single" w:sz="6" w:space="0" w:color="auto"/>
        </w:tblBorders>
        <w:tblLook w:val="04A0"/>
      </w:tblPr>
      <w:tblGrid>
        <w:gridCol w:w="5217"/>
        <w:gridCol w:w="3305"/>
      </w:tblGrid>
      <w:tr w:rsidR="00FE55B9" w:rsidTr="00FE55B9">
        <w:trPr>
          <w:trHeight w:val="20"/>
          <w:jc w:val="center"/>
        </w:trPr>
        <w:tc>
          <w:tcPr>
            <w:tcW w:w="3061" w:type="pct"/>
            <w:vAlign w:val="center"/>
          </w:tcPr>
          <w:p w:rsidR="00FE55B9" w:rsidRDefault="00FE55B9" w:rsidP="00FE55B9">
            <w:pPr>
              <w:topLinePunct w:val="0"/>
              <w:adjustRightInd/>
              <w:spacing w:line="240" w:lineRule="exact"/>
              <w:ind w:firstLineChars="0" w:firstLine="0"/>
              <w:jc w:val="center"/>
              <w:rPr>
                <w:rFonts w:ascii="Times New Roman" w:cs="Times New Roman"/>
                <w:kern w:val="2"/>
                <w:sz w:val="21"/>
                <w:szCs w:val="21"/>
              </w:rPr>
            </w:pPr>
            <w:r>
              <w:rPr>
                <w:rFonts w:ascii="Times New Roman" w:cs="Times New Roman"/>
                <w:kern w:val="2"/>
                <w:sz w:val="21"/>
                <w:szCs w:val="21"/>
              </w:rPr>
              <w:t>浓度</w:t>
            </w:r>
          </w:p>
        </w:tc>
        <w:tc>
          <w:tcPr>
            <w:tcW w:w="1939" w:type="pct"/>
            <w:vAlign w:val="center"/>
          </w:tcPr>
          <w:p w:rsidR="00FE55B9" w:rsidRDefault="00FE55B9" w:rsidP="00FE55B9">
            <w:pPr>
              <w:topLinePunct w:val="0"/>
              <w:adjustRightInd/>
              <w:spacing w:line="240" w:lineRule="exact"/>
              <w:ind w:firstLineChars="0" w:firstLine="0"/>
              <w:jc w:val="center"/>
              <w:rPr>
                <w:rFonts w:ascii="Times New Roman" w:cs="Times New Roman"/>
                <w:kern w:val="2"/>
                <w:sz w:val="21"/>
                <w:szCs w:val="21"/>
              </w:rPr>
            </w:pPr>
            <w:r>
              <w:rPr>
                <w:rFonts w:ascii="Times New Roman" w:cs="Times New Roman"/>
                <w:kern w:val="2"/>
                <w:sz w:val="21"/>
                <w:szCs w:val="21"/>
              </w:rPr>
              <w:t>最不利气象</w:t>
            </w:r>
          </w:p>
        </w:tc>
      </w:tr>
      <w:tr w:rsidR="00FE55B9" w:rsidTr="00FE55B9">
        <w:trPr>
          <w:trHeight w:val="20"/>
          <w:jc w:val="center"/>
        </w:trPr>
        <w:tc>
          <w:tcPr>
            <w:tcW w:w="3061" w:type="pct"/>
            <w:vAlign w:val="center"/>
          </w:tcPr>
          <w:p w:rsidR="00FE55B9" w:rsidRDefault="00FE55B9" w:rsidP="00FE55B9">
            <w:pPr>
              <w:topLinePunct w:val="0"/>
              <w:adjustRightInd/>
              <w:spacing w:line="240" w:lineRule="exact"/>
              <w:ind w:firstLineChars="0" w:firstLine="0"/>
              <w:jc w:val="center"/>
              <w:rPr>
                <w:rFonts w:ascii="Times New Roman" w:cs="Times New Roman"/>
                <w:kern w:val="2"/>
                <w:sz w:val="21"/>
                <w:szCs w:val="21"/>
              </w:rPr>
            </w:pPr>
            <w:r>
              <w:rPr>
                <w:rFonts w:ascii="Times New Roman" w:cs="Times New Roman"/>
                <w:kern w:val="2"/>
                <w:sz w:val="21"/>
                <w:szCs w:val="21"/>
              </w:rPr>
              <w:t>毒性终点浓度</w:t>
            </w:r>
            <w:r>
              <w:rPr>
                <w:rFonts w:ascii="Times New Roman" w:cs="Times New Roman"/>
                <w:kern w:val="2"/>
                <w:sz w:val="21"/>
                <w:szCs w:val="21"/>
              </w:rPr>
              <w:t>-1/</w:t>
            </w:r>
            <w:r>
              <w:rPr>
                <w:rFonts w:ascii="Times New Roman" w:cs="Times New Roman"/>
                <w:kern w:val="2"/>
                <w:sz w:val="21"/>
                <w:szCs w:val="21"/>
              </w:rPr>
              <w:t>（</w:t>
            </w:r>
            <w:r>
              <w:rPr>
                <w:rFonts w:ascii="Times New Roman" w:cs="Times New Roman"/>
                <w:kern w:val="2"/>
                <w:sz w:val="21"/>
                <w:szCs w:val="21"/>
              </w:rPr>
              <w:t>260000mg/m</w:t>
            </w:r>
            <w:r>
              <w:rPr>
                <w:rFonts w:ascii="Times New Roman" w:cs="Times New Roman"/>
                <w:kern w:val="2"/>
                <w:sz w:val="21"/>
                <w:szCs w:val="21"/>
                <w:vertAlign w:val="superscript"/>
              </w:rPr>
              <w:t>3</w:t>
            </w:r>
            <w:r>
              <w:rPr>
                <w:rFonts w:ascii="Times New Roman" w:cs="Times New Roman"/>
                <w:kern w:val="2"/>
                <w:sz w:val="21"/>
                <w:szCs w:val="21"/>
              </w:rPr>
              <w:t>）</w:t>
            </w:r>
          </w:p>
        </w:tc>
        <w:tc>
          <w:tcPr>
            <w:tcW w:w="1939" w:type="pct"/>
            <w:vAlign w:val="center"/>
          </w:tcPr>
          <w:p w:rsidR="00FE55B9" w:rsidRDefault="00FE55B9" w:rsidP="00FE55B9">
            <w:pPr>
              <w:topLinePunct w:val="0"/>
              <w:adjustRightInd/>
              <w:spacing w:line="240" w:lineRule="exact"/>
              <w:ind w:firstLineChars="0" w:firstLine="0"/>
              <w:jc w:val="center"/>
              <w:rPr>
                <w:rFonts w:ascii="Times New Roman" w:cs="Times New Roman"/>
                <w:kern w:val="2"/>
                <w:sz w:val="21"/>
                <w:szCs w:val="21"/>
              </w:rPr>
            </w:pPr>
            <w:r>
              <w:rPr>
                <w:rFonts w:ascii="Times New Roman" w:cs="Times New Roman"/>
                <w:kern w:val="2"/>
                <w:sz w:val="21"/>
                <w:szCs w:val="21"/>
              </w:rPr>
              <w:t>～</w:t>
            </w:r>
            <w:r>
              <w:rPr>
                <w:rFonts w:ascii="Times New Roman" w:cs="Times New Roman"/>
                <w:kern w:val="2"/>
                <w:sz w:val="21"/>
                <w:szCs w:val="21"/>
              </w:rPr>
              <w:t>0m</w:t>
            </w:r>
          </w:p>
        </w:tc>
      </w:tr>
      <w:tr w:rsidR="00FE55B9" w:rsidTr="00FE55B9">
        <w:trPr>
          <w:trHeight w:val="20"/>
          <w:jc w:val="center"/>
        </w:trPr>
        <w:tc>
          <w:tcPr>
            <w:tcW w:w="3061" w:type="pct"/>
            <w:vAlign w:val="center"/>
          </w:tcPr>
          <w:p w:rsidR="00FE55B9" w:rsidRDefault="00FE55B9" w:rsidP="00FE55B9">
            <w:pPr>
              <w:topLinePunct w:val="0"/>
              <w:adjustRightInd/>
              <w:spacing w:line="240" w:lineRule="exact"/>
              <w:ind w:firstLineChars="0" w:firstLine="0"/>
              <w:jc w:val="center"/>
              <w:rPr>
                <w:rFonts w:ascii="Times New Roman" w:cs="Times New Roman"/>
                <w:kern w:val="2"/>
                <w:sz w:val="21"/>
                <w:szCs w:val="21"/>
              </w:rPr>
            </w:pPr>
            <w:r>
              <w:rPr>
                <w:rFonts w:ascii="Times New Roman" w:cs="Times New Roman"/>
                <w:kern w:val="2"/>
                <w:sz w:val="21"/>
                <w:szCs w:val="21"/>
              </w:rPr>
              <w:t>毒性终点浓度</w:t>
            </w:r>
            <w:r>
              <w:rPr>
                <w:rFonts w:ascii="Times New Roman" w:cs="Times New Roman"/>
                <w:kern w:val="2"/>
                <w:sz w:val="21"/>
                <w:szCs w:val="21"/>
              </w:rPr>
              <w:t>-2/</w:t>
            </w:r>
            <w:r>
              <w:rPr>
                <w:rFonts w:ascii="Times New Roman" w:cs="Times New Roman"/>
                <w:kern w:val="2"/>
                <w:sz w:val="21"/>
                <w:szCs w:val="21"/>
              </w:rPr>
              <w:t>（</w:t>
            </w:r>
            <w:r>
              <w:rPr>
                <w:rFonts w:ascii="Times New Roman" w:cs="Times New Roman"/>
                <w:kern w:val="2"/>
                <w:sz w:val="21"/>
                <w:szCs w:val="21"/>
              </w:rPr>
              <w:t>150000mg/m</w:t>
            </w:r>
            <w:r>
              <w:rPr>
                <w:rFonts w:ascii="Times New Roman" w:cs="Times New Roman"/>
                <w:kern w:val="2"/>
                <w:sz w:val="21"/>
                <w:szCs w:val="21"/>
                <w:vertAlign w:val="superscript"/>
              </w:rPr>
              <w:t>3</w:t>
            </w:r>
            <w:r>
              <w:rPr>
                <w:rFonts w:ascii="Times New Roman" w:cs="Times New Roman"/>
                <w:kern w:val="2"/>
                <w:sz w:val="21"/>
                <w:szCs w:val="21"/>
              </w:rPr>
              <w:t>）</w:t>
            </w:r>
          </w:p>
        </w:tc>
        <w:tc>
          <w:tcPr>
            <w:tcW w:w="1939" w:type="pct"/>
            <w:vAlign w:val="center"/>
          </w:tcPr>
          <w:p w:rsidR="00FE55B9" w:rsidRDefault="00FE55B9" w:rsidP="00FE55B9">
            <w:pPr>
              <w:topLinePunct w:val="0"/>
              <w:adjustRightInd/>
              <w:spacing w:line="240" w:lineRule="exact"/>
              <w:ind w:firstLineChars="0" w:firstLine="0"/>
              <w:jc w:val="center"/>
              <w:rPr>
                <w:rFonts w:ascii="Times New Roman" w:cs="Times New Roman"/>
                <w:kern w:val="2"/>
                <w:sz w:val="21"/>
                <w:szCs w:val="21"/>
              </w:rPr>
            </w:pPr>
            <w:r>
              <w:rPr>
                <w:rFonts w:ascii="Times New Roman" w:cs="Times New Roman"/>
                <w:kern w:val="2"/>
                <w:sz w:val="21"/>
                <w:szCs w:val="21"/>
              </w:rPr>
              <w:t>～</w:t>
            </w:r>
            <w:r>
              <w:rPr>
                <w:rFonts w:ascii="Times New Roman" w:cs="Times New Roman"/>
                <w:kern w:val="2"/>
                <w:sz w:val="21"/>
                <w:szCs w:val="21"/>
              </w:rPr>
              <w:t>0m</w:t>
            </w:r>
          </w:p>
        </w:tc>
      </w:tr>
    </w:tbl>
    <w:p w:rsidR="00FE55B9" w:rsidRDefault="00FE55B9" w:rsidP="00FE55B9">
      <w:pPr>
        <w:topLinePunct w:val="0"/>
        <w:adjustRightInd/>
        <w:snapToGrid w:val="0"/>
        <w:spacing w:line="500" w:lineRule="exact"/>
        <w:ind w:firstLine="420"/>
        <w:jc w:val="center"/>
        <w:rPr>
          <w:rFonts w:ascii="Times New Roman" w:cs="Times New Roman"/>
          <w:kern w:val="2"/>
          <w:sz w:val="21"/>
          <w:szCs w:val="21"/>
        </w:rPr>
      </w:pPr>
      <w:r>
        <w:rPr>
          <w:rFonts w:ascii="Times New Roman" w:cs="Times New Roman"/>
          <w:kern w:val="2"/>
          <w:sz w:val="21"/>
          <w:szCs w:val="21"/>
        </w:rPr>
        <w:t>表</w:t>
      </w:r>
      <w:r>
        <w:rPr>
          <w:rFonts w:ascii="Times New Roman" w:cs="Times New Roman" w:hint="eastAsia"/>
          <w:kern w:val="2"/>
          <w:sz w:val="21"/>
          <w:szCs w:val="21"/>
        </w:rPr>
        <w:t>7</w:t>
      </w:r>
      <w:r>
        <w:rPr>
          <w:rFonts w:ascii="Times New Roman" w:cs="Times New Roman"/>
          <w:kern w:val="2"/>
          <w:sz w:val="21"/>
          <w:szCs w:val="21"/>
        </w:rPr>
        <w:t>.</w:t>
      </w:r>
      <w:r>
        <w:rPr>
          <w:rFonts w:ascii="Times New Roman" w:cs="Times New Roman" w:hint="eastAsia"/>
          <w:kern w:val="2"/>
          <w:sz w:val="21"/>
          <w:szCs w:val="21"/>
        </w:rPr>
        <w:t>8</w:t>
      </w:r>
      <w:r>
        <w:rPr>
          <w:rFonts w:ascii="Times New Roman" w:cs="Times New Roman"/>
          <w:kern w:val="2"/>
          <w:sz w:val="21"/>
          <w:szCs w:val="21"/>
        </w:rPr>
        <w:t>-</w:t>
      </w:r>
      <w:r>
        <w:rPr>
          <w:rFonts w:ascii="Times New Roman" w:cs="Times New Roman" w:hint="eastAsia"/>
          <w:kern w:val="2"/>
          <w:sz w:val="21"/>
          <w:szCs w:val="21"/>
        </w:rPr>
        <w:t>6</w:t>
      </w:r>
      <w:r>
        <w:rPr>
          <w:rFonts w:ascii="Times New Roman" w:cs="Times New Roman"/>
          <w:kern w:val="2"/>
          <w:sz w:val="21"/>
          <w:szCs w:val="21"/>
        </w:rPr>
        <w:t xml:space="preserve">  </w:t>
      </w:r>
      <w:r>
        <w:rPr>
          <w:rFonts w:ascii="Times New Roman" w:cs="Times New Roman" w:hint="eastAsia"/>
          <w:kern w:val="2"/>
          <w:sz w:val="21"/>
          <w:szCs w:val="21"/>
        </w:rPr>
        <w:t>硫化氢</w:t>
      </w:r>
      <w:r>
        <w:rPr>
          <w:rFonts w:ascii="Times New Roman" w:cs="Times New Roman"/>
          <w:kern w:val="2"/>
          <w:sz w:val="21"/>
          <w:szCs w:val="21"/>
        </w:rPr>
        <w:t>泄漏事故后果分析</w:t>
      </w:r>
    </w:p>
    <w:tbl>
      <w:tblPr>
        <w:tblW w:w="5000" w:type="pct"/>
        <w:jc w:val="center"/>
        <w:tblBorders>
          <w:top w:val="single" w:sz="12" w:space="0" w:color="auto"/>
          <w:bottom w:val="single" w:sz="12" w:space="0" w:color="auto"/>
          <w:insideH w:val="single" w:sz="6" w:space="0" w:color="auto"/>
          <w:insideV w:val="single" w:sz="6" w:space="0" w:color="auto"/>
        </w:tblBorders>
        <w:tblLook w:val="04A0"/>
      </w:tblPr>
      <w:tblGrid>
        <w:gridCol w:w="5217"/>
        <w:gridCol w:w="3305"/>
      </w:tblGrid>
      <w:tr w:rsidR="00FE55B9" w:rsidTr="00FE55B9">
        <w:trPr>
          <w:trHeight w:val="20"/>
          <w:jc w:val="center"/>
        </w:trPr>
        <w:tc>
          <w:tcPr>
            <w:tcW w:w="3061" w:type="pct"/>
            <w:vAlign w:val="center"/>
          </w:tcPr>
          <w:p w:rsidR="00FE55B9" w:rsidRDefault="00FE55B9" w:rsidP="00FE55B9">
            <w:pPr>
              <w:topLinePunct w:val="0"/>
              <w:adjustRightInd/>
              <w:spacing w:line="240" w:lineRule="exact"/>
              <w:ind w:firstLineChars="0" w:firstLine="0"/>
              <w:jc w:val="center"/>
              <w:rPr>
                <w:rFonts w:ascii="Times New Roman" w:cs="Times New Roman"/>
                <w:kern w:val="2"/>
                <w:sz w:val="21"/>
                <w:szCs w:val="21"/>
              </w:rPr>
            </w:pPr>
            <w:r>
              <w:rPr>
                <w:rFonts w:ascii="Times New Roman" w:cs="Times New Roman"/>
                <w:kern w:val="2"/>
                <w:sz w:val="21"/>
                <w:szCs w:val="21"/>
              </w:rPr>
              <w:t>浓度</w:t>
            </w:r>
          </w:p>
        </w:tc>
        <w:tc>
          <w:tcPr>
            <w:tcW w:w="1939" w:type="pct"/>
            <w:vAlign w:val="center"/>
          </w:tcPr>
          <w:p w:rsidR="00FE55B9" w:rsidRDefault="00FE55B9" w:rsidP="00FE55B9">
            <w:pPr>
              <w:topLinePunct w:val="0"/>
              <w:adjustRightInd/>
              <w:spacing w:line="240" w:lineRule="exact"/>
              <w:ind w:firstLineChars="0" w:firstLine="0"/>
              <w:jc w:val="center"/>
              <w:rPr>
                <w:rFonts w:ascii="Times New Roman" w:cs="Times New Roman"/>
                <w:kern w:val="2"/>
                <w:sz w:val="21"/>
                <w:szCs w:val="21"/>
              </w:rPr>
            </w:pPr>
            <w:r>
              <w:rPr>
                <w:rFonts w:ascii="Times New Roman" w:cs="Times New Roman"/>
                <w:kern w:val="2"/>
                <w:sz w:val="21"/>
                <w:szCs w:val="21"/>
              </w:rPr>
              <w:t>最不利气象</w:t>
            </w:r>
          </w:p>
        </w:tc>
      </w:tr>
      <w:tr w:rsidR="00FE55B9" w:rsidTr="00FE55B9">
        <w:trPr>
          <w:trHeight w:val="20"/>
          <w:jc w:val="center"/>
        </w:trPr>
        <w:tc>
          <w:tcPr>
            <w:tcW w:w="3061" w:type="pct"/>
            <w:vAlign w:val="center"/>
          </w:tcPr>
          <w:p w:rsidR="00FE55B9" w:rsidRDefault="00FE55B9" w:rsidP="00FE55B9">
            <w:pPr>
              <w:topLinePunct w:val="0"/>
              <w:adjustRightInd/>
              <w:spacing w:line="240" w:lineRule="exact"/>
              <w:ind w:firstLineChars="0" w:firstLine="0"/>
              <w:jc w:val="center"/>
              <w:rPr>
                <w:rFonts w:ascii="Times New Roman" w:cs="Times New Roman"/>
                <w:kern w:val="2"/>
                <w:sz w:val="21"/>
                <w:szCs w:val="21"/>
              </w:rPr>
            </w:pPr>
            <w:r>
              <w:rPr>
                <w:rFonts w:ascii="Times New Roman" w:cs="Times New Roman"/>
                <w:kern w:val="2"/>
                <w:sz w:val="21"/>
                <w:szCs w:val="21"/>
              </w:rPr>
              <w:t>毒性终点浓度</w:t>
            </w:r>
            <w:r>
              <w:rPr>
                <w:rFonts w:ascii="Times New Roman" w:cs="Times New Roman"/>
                <w:kern w:val="2"/>
                <w:sz w:val="21"/>
                <w:szCs w:val="21"/>
              </w:rPr>
              <w:t>-1/</w:t>
            </w:r>
            <w:r>
              <w:rPr>
                <w:rFonts w:ascii="Times New Roman" w:cs="Times New Roman"/>
                <w:kern w:val="2"/>
                <w:sz w:val="21"/>
                <w:szCs w:val="21"/>
              </w:rPr>
              <w:t>（</w:t>
            </w:r>
            <w:r>
              <w:rPr>
                <w:rFonts w:ascii="Times New Roman" w:cs="Times New Roman" w:hint="eastAsia"/>
                <w:kern w:val="2"/>
                <w:sz w:val="21"/>
                <w:szCs w:val="21"/>
              </w:rPr>
              <w:t>7</w:t>
            </w:r>
            <w:r>
              <w:rPr>
                <w:rFonts w:ascii="Times New Roman" w:cs="Times New Roman"/>
                <w:kern w:val="2"/>
                <w:sz w:val="21"/>
                <w:szCs w:val="21"/>
              </w:rPr>
              <w:t>0mg/m</w:t>
            </w:r>
            <w:r>
              <w:rPr>
                <w:rFonts w:ascii="Times New Roman" w:cs="Times New Roman"/>
                <w:kern w:val="2"/>
                <w:sz w:val="21"/>
                <w:szCs w:val="21"/>
                <w:vertAlign w:val="superscript"/>
              </w:rPr>
              <w:t>3</w:t>
            </w:r>
            <w:r>
              <w:rPr>
                <w:rFonts w:ascii="Times New Roman" w:cs="Times New Roman"/>
                <w:kern w:val="2"/>
                <w:sz w:val="21"/>
                <w:szCs w:val="21"/>
              </w:rPr>
              <w:t>）</w:t>
            </w:r>
          </w:p>
        </w:tc>
        <w:tc>
          <w:tcPr>
            <w:tcW w:w="1939" w:type="pct"/>
            <w:vAlign w:val="center"/>
          </w:tcPr>
          <w:p w:rsidR="00FE55B9" w:rsidRDefault="00590E1A" w:rsidP="00590E1A">
            <w:pPr>
              <w:topLinePunct w:val="0"/>
              <w:adjustRightInd/>
              <w:spacing w:line="240" w:lineRule="exact"/>
              <w:ind w:firstLineChars="0" w:firstLine="0"/>
              <w:jc w:val="center"/>
              <w:rPr>
                <w:rFonts w:ascii="Times New Roman" w:cs="Times New Roman"/>
                <w:kern w:val="2"/>
                <w:sz w:val="21"/>
                <w:szCs w:val="21"/>
              </w:rPr>
            </w:pPr>
            <w:r>
              <w:rPr>
                <w:rFonts w:ascii="Times New Roman" w:cs="Times New Roman" w:hint="eastAsia"/>
                <w:kern w:val="2"/>
                <w:sz w:val="21"/>
                <w:szCs w:val="21"/>
              </w:rPr>
              <w:t>48</w:t>
            </w:r>
            <w:r w:rsidR="00FE55B9">
              <w:rPr>
                <w:rFonts w:ascii="Times New Roman" w:cs="Times New Roman"/>
                <w:kern w:val="2"/>
                <w:sz w:val="21"/>
                <w:szCs w:val="21"/>
              </w:rPr>
              <w:t>～</w:t>
            </w:r>
            <w:r>
              <w:rPr>
                <w:rFonts w:ascii="Times New Roman" w:cs="Times New Roman" w:hint="eastAsia"/>
                <w:kern w:val="2"/>
                <w:sz w:val="21"/>
                <w:szCs w:val="21"/>
              </w:rPr>
              <w:t>362</w:t>
            </w:r>
            <w:r w:rsidR="00FE55B9">
              <w:rPr>
                <w:rFonts w:ascii="Times New Roman" w:cs="Times New Roman"/>
                <w:kern w:val="2"/>
                <w:sz w:val="21"/>
                <w:szCs w:val="21"/>
              </w:rPr>
              <w:t>m</w:t>
            </w:r>
          </w:p>
        </w:tc>
      </w:tr>
      <w:tr w:rsidR="00FE55B9" w:rsidTr="00FE55B9">
        <w:trPr>
          <w:trHeight w:val="20"/>
          <w:jc w:val="center"/>
        </w:trPr>
        <w:tc>
          <w:tcPr>
            <w:tcW w:w="3061" w:type="pct"/>
            <w:vAlign w:val="center"/>
          </w:tcPr>
          <w:p w:rsidR="00FE55B9" w:rsidRDefault="00FE55B9" w:rsidP="00FE55B9">
            <w:pPr>
              <w:topLinePunct w:val="0"/>
              <w:adjustRightInd/>
              <w:spacing w:line="240" w:lineRule="exact"/>
              <w:ind w:firstLineChars="0" w:firstLine="0"/>
              <w:jc w:val="center"/>
              <w:rPr>
                <w:rFonts w:ascii="Times New Roman" w:cs="Times New Roman"/>
                <w:kern w:val="2"/>
                <w:sz w:val="21"/>
                <w:szCs w:val="21"/>
              </w:rPr>
            </w:pPr>
            <w:r>
              <w:rPr>
                <w:rFonts w:ascii="Times New Roman" w:cs="Times New Roman"/>
                <w:kern w:val="2"/>
                <w:sz w:val="21"/>
                <w:szCs w:val="21"/>
              </w:rPr>
              <w:t>毒性终点浓度</w:t>
            </w:r>
            <w:r>
              <w:rPr>
                <w:rFonts w:ascii="Times New Roman" w:cs="Times New Roman"/>
                <w:kern w:val="2"/>
                <w:sz w:val="21"/>
                <w:szCs w:val="21"/>
              </w:rPr>
              <w:t>-2/</w:t>
            </w:r>
            <w:r>
              <w:rPr>
                <w:rFonts w:ascii="Times New Roman" w:cs="Times New Roman"/>
                <w:kern w:val="2"/>
                <w:sz w:val="21"/>
                <w:szCs w:val="21"/>
              </w:rPr>
              <w:t>（</w:t>
            </w:r>
            <w:r>
              <w:rPr>
                <w:rFonts w:ascii="Times New Roman" w:cs="Times New Roman" w:hint="eastAsia"/>
                <w:kern w:val="2"/>
                <w:sz w:val="21"/>
                <w:szCs w:val="21"/>
              </w:rPr>
              <w:t>38</w:t>
            </w:r>
            <w:r>
              <w:rPr>
                <w:rFonts w:ascii="Times New Roman" w:cs="Times New Roman"/>
                <w:kern w:val="2"/>
                <w:sz w:val="21"/>
                <w:szCs w:val="21"/>
              </w:rPr>
              <w:t>mg/m</w:t>
            </w:r>
            <w:r>
              <w:rPr>
                <w:rFonts w:ascii="Times New Roman" w:cs="Times New Roman"/>
                <w:kern w:val="2"/>
                <w:sz w:val="21"/>
                <w:szCs w:val="21"/>
                <w:vertAlign w:val="superscript"/>
              </w:rPr>
              <w:t>3</w:t>
            </w:r>
            <w:r>
              <w:rPr>
                <w:rFonts w:ascii="Times New Roman" w:cs="Times New Roman"/>
                <w:kern w:val="2"/>
                <w:sz w:val="21"/>
                <w:szCs w:val="21"/>
              </w:rPr>
              <w:t>）</w:t>
            </w:r>
          </w:p>
        </w:tc>
        <w:tc>
          <w:tcPr>
            <w:tcW w:w="1939" w:type="pct"/>
            <w:vAlign w:val="center"/>
          </w:tcPr>
          <w:p w:rsidR="00FE55B9" w:rsidRDefault="00590E1A" w:rsidP="00590E1A">
            <w:pPr>
              <w:topLinePunct w:val="0"/>
              <w:adjustRightInd/>
              <w:spacing w:line="240" w:lineRule="exact"/>
              <w:ind w:firstLineChars="0" w:firstLine="0"/>
              <w:jc w:val="center"/>
              <w:rPr>
                <w:rFonts w:ascii="Times New Roman" w:cs="Times New Roman"/>
                <w:kern w:val="2"/>
                <w:sz w:val="21"/>
                <w:szCs w:val="21"/>
              </w:rPr>
            </w:pPr>
            <w:r>
              <w:rPr>
                <w:rFonts w:ascii="Times New Roman" w:cs="Times New Roman" w:hint="eastAsia"/>
                <w:kern w:val="2"/>
                <w:sz w:val="21"/>
                <w:szCs w:val="21"/>
              </w:rPr>
              <w:t>25</w:t>
            </w:r>
            <w:r w:rsidR="00FE55B9">
              <w:rPr>
                <w:rFonts w:ascii="Times New Roman" w:cs="Times New Roman"/>
                <w:kern w:val="2"/>
                <w:sz w:val="21"/>
                <w:szCs w:val="21"/>
              </w:rPr>
              <w:t>～</w:t>
            </w:r>
            <w:r>
              <w:rPr>
                <w:rFonts w:ascii="Times New Roman" w:cs="Times New Roman" w:hint="eastAsia"/>
                <w:kern w:val="2"/>
                <w:sz w:val="21"/>
                <w:szCs w:val="21"/>
              </w:rPr>
              <w:t>746</w:t>
            </w:r>
            <w:r w:rsidR="00FE55B9">
              <w:rPr>
                <w:rFonts w:ascii="Times New Roman" w:cs="Times New Roman"/>
                <w:kern w:val="2"/>
                <w:sz w:val="21"/>
                <w:szCs w:val="21"/>
              </w:rPr>
              <w:t>m</w:t>
            </w:r>
          </w:p>
        </w:tc>
      </w:tr>
    </w:tbl>
    <w:p w:rsidR="00FE55B9" w:rsidRPr="00FE55B9" w:rsidRDefault="00FE55B9" w:rsidP="00FE55B9">
      <w:pPr>
        <w:pStyle w:val="affa"/>
        <w:ind w:firstLine="480"/>
      </w:pPr>
      <w:r w:rsidRPr="00FE55B9">
        <w:t>最不利气象状况下，甲烷泄漏，超过毒性终点浓度</w:t>
      </w:r>
      <w:r w:rsidRPr="00FE55B9">
        <w:t>-1</w:t>
      </w:r>
      <w:r w:rsidRPr="00FE55B9">
        <w:t>和毒性终点浓度</w:t>
      </w:r>
      <w:r w:rsidRPr="00FE55B9">
        <w:t>-2</w:t>
      </w:r>
      <w:r w:rsidRPr="00FE55B9">
        <w:t>的距离均为</w:t>
      </w:r>
      <w:r w:rsidRPr="00FE55B9">
        <w:t>0m</w:t>
      </w:r>
      <w:r w:rsidRPr="00FE55B9">
        <w:t>，下风向的最大浓度均远低于毒性终点浓度</w:t>
      </w:r>
      <w:r w:rsidRPr="00FE55B9">
        <w:t>-1</w:t>
      </w:r>
      <w:r w:rsidRPr="00FE55B9">
        <w:t>和毒性终点浓度</w:t>
      </w:r>
      <w:r w:rsidRPr="00FE55B9">
        <w:t>-2</w:t>
      </w:r>
      <w:r w:rsidRPr="00FE55B9">
        <w:rPr>
          <w:rFonts w:hint="eastAsia"/>
        </w:rPr>
        <w:t>；</w:t>
      </w:r>
      <w:r w:rsidRPr="00FE55B9">
        <w:t>最不利气象状况下，</w:t>
      </w:r>
      <w:r w:rsidRPr="00FE55B9">
        <w:rPr>
          <w:rFonts w:hint="eastAsia"/>
        </w:rPr>
        <w:t>硫化氢</w:t>
      </w:r>
      <w:r w:rsidRPr="00FE55B9">
        <w:t>泄漏，超过毒性终点浓度</w:t>
      </w:r>
      <w:r w:rsidRPr="00FE55B9">
        <w:t>-1</w:t>
      </w:r>
      <w:r w:rsidRPr="00FE55B9">
        <w:t>的距离范围为</w:t>
      </w:r>
      <w:r w:rsidR="00590E1A">
        <w:rPr>
          <w:rFonts w:hint="eastAsia"/>
        </w:rPr>
        <w:t>48</w:t>
      </w:r>
      <w:r w:rsidRPr="00FE55B9">
        <w:t>～</w:t>
      </w:r>
      <w:r w:rsidR="00590E1A">
        <w:rPr>
          <w:rFonts w:hint="eastAsia"/>
        </w:rPr>
        <w:t>362</w:t>
      </w:r>
      <w:r w:rsidRPr="00FE55B9">
        <w:t>m</w:t>
      </w:r>
      <w:r w:rsidRPr="00FE55B9">
        <w:rPr>
          <w:rFonts w:hint="eastAsia"/>
        </w:rPr>
        <w:t>；</w:t>
      </w:r>
      <w:r w:rsidRPr="00FE55B9">
        <w:t>超过毒性终点浓度</w:t>
      </w:r>
      <w:r w:rsidRPr="00FE55B9">
        <w:t>-2</w:t>
      </w:r>
      <w:r w:rsidRPr="00FE55B9">
        <w:t>的距离范围为</w:t>
      </w:r>
      <w:r w:rsidR="00590E1A">
        <w:rPr>
          <w:rFonts w:hint="eastAsia"/>
        </w:rPr>
        <w:t>25</w:t>
      </w:r>
      <w:r w:rsidRPr="00FE55B9">
        <w:t>～</w:t>
      </w:r>
      <w:r w:rsidR="00590E1A">
        <w:rPr>
          <w:rFonts w:hint="eastAsia"/>
        </w:rPr>
        <w:t>746</w:t>
      </w:r>
      <w:r w:rsidRPr="00FE55B9">
        <w:t>m</w:t>
      </w:r>
      <w:r w:rsidRPr="00FE55B9">
        <w:rPr>
          <w:rFonts w:hint="eastAsia"/>
        </w:rPr>
        <w:t>，</w:t>
      </w:r>
      <w:r w:rsidR="00590E1A">
        <w:t>同时</w:t>
      </w:r>
      <w:r w:rsidR="00590E1A">
        <w:rPr>
          <w:rFonts w:hint="eastAsia"/>
        </w:rPr>
        <w:t>参考普光气田（平均硫化氢含量</w:t>
      </w:r>
      <w:r w:rsidR="00590E1A">
        <w:rPr>
          <w:rFonts w:hint="eastAsia"/>
        </w:rPr>
        <w:t>15%</w:t>
      </w:r>
      <w:r w:rsidR="00590E1A">
        <w:rPr>
          <w:rFonts w:hint="eastAsia"/>
        </w:rPr>
        <w:t>）的安全评价结论，即应急撤离距离为周边</w:t>
      </w:r>
      <w:r w:rsidR="00590E1A">
        <w:rPr>
          <w:rFonts w:hint="eastAsia"/>
        </w:rPr>
        <w:t>1500m</w:t>
      </w:r>
      <w:r w:rsidR="00590E1A">
        <w:rPr>
          <w:rFonts w:hint="eastAsia"/>
        </w:rPr>
        <w:t>，</w:t>
      </w:r>
      <w:r w:rsidRPr="00FE55B9">
        <w:t>因此</w:t>
      </w:r>
      <w:r w:rsidRPr="00FE55B9">
        <w:rPr>
          <w:rFonts w:hint="eastAsia"/>
        </w:rPr>
        <w:t>，</w:t>
      </w:r>
      <w:r w:rsidRPr="00FE55B9">
        <w:t>若发生</w:t>
      </w:r>
      <w:r>
        <w:t>天</w:t>
      </w:r>
      <w:r>
        <w:lastRenderedPageBreak/>
        <w:t>然气管道泄漏事故</w:t>
      </w:r>
      <w:r w:rsidRPr="00FE55B9">
        <w:rPr>
          <w:rFonts w:hint="eastAsia"/>
        </w:rPr>
        <w:t>，</w:t>
      </w:r>
      <w:r w:rsidRPr="00FE55B9">
        <w:t>应对</w:t>
      </w:r>
      <w:r>
        <w:rPr>
          <w:rFonts w:hint="eastAsia"/>
        </w:rPr>
        <w:t>管道</w:t>
      </w:r>
      <w:r w:rsidRPr="00FE55B9">
        <w:t>周边</w:t>
      </w:r>
      <w:r w:rsidR="00590E1A">
        <w:rPr>
          <w:rFonts w:hint="eastAsia"/>
        </w:rPr>
        <w:t>1500</w:t>
      </w:r>
      <w:r w:rsidRPr="00FE55B9">
        <w:rPr>
          <w:rFonts w:hint="eastAsia"/>
        </w:rPr>
        <w:t>m</w:t>
      </w:r>
      <w:r w:rsidRPr="00FE55B9">
        <w:rPr>
          <w:rFonts w:hint="eastAsia"/>
        </w:rPr>
        <w:t>范围内的居民</w:t>
      </w:r>
      <w:r w:rsidR="008A6122" w:rsidRPr="00AC7E70">
        <w:rPr>
          <w:rFonts w:hint="eastAsia"/>
          <w:color w:val="FF0000"/>
        </w:rPr>
        <w:t>（约</w:t>
      </w:r>
      <w:r w:rsidR="008A6122" w:rsidRPr="00AC7E70">
        <w:rPr>
          <w:rFonts w:hint="eastAsia"/>
          <w:color w:val="FF0000"/>
        </w:rPr>
        <w:t>1</w:t>
      </w:r>
      <w:r w:rsidR="00AC7E70" w:rsidRPr="00AC7E70">
        <w:rPr>
          <w:rFonts w:hint="eastAsia"/>
          <w:color w:val="FF0000"/>
        </w:rPr>
        <w:t>77</w:t>
      </w:r>
      <w:r w:rsidR="008A6122" w:rsidRPr="00AC7E70">
        <w:rPr>
          <w:rFonts w:hint="eastAsia"/>
          <w:color w:val="FF0000"/>
        </w:rPr>
        <w:t>9</w:t>
      </w:r>
      <w:r w:rsidR="008A6122" w:rsidRPr="00AC7E70">
        <w:rPr>
          <w:rFonts w:hint="eastAsia"/>
          <w:color w:val="FF0000"/>
        </w:rPr>
        <w:t>人）</w:t>
      </w:r>
      <w:r w:rsidRPr="00FE55B9">
        <w:rPr>
          <w:rFonts w:hint="eastAsia"/>
        </w:rPr>
        <w:t>采取</w:t>
      </w:r>
      <w:r w:rsidRPr="00FE55B9">
        <w:t>紧急疏散措施</w:t>
      </w:r>
      <w:r w:rsidRPr="00FE55B9">
        <w:rPr>
          <w:rFonts w:hint="eastAsia"/>
        </w:rPr>
        <w:t>，同时</w:t>
      </w:r>
      <w:r w:rsidRPr="00FE55B9">
        <w:t>企业天然气管道均设有自动阀门，若遇泄漏，系统会自动启动关闭阀门，</w:t>
      </w:r>
      <w:r w:rsidR="00FC36E7" w:rsidRPr="00FC36E7">
        <w:t>管道内天然气通过点火火炬放空</w:t>
      </w:r>
      <w:r w:rsidR="00FC36E7">
        <w:rPr>
          <w:rFonts w:hint="eastAsia"/>
        </w:rPr>
        <w:t>，</w:t>
      </w:r>
      <w:r w:rsidR="00FC36E7" w:rsidRPr="00FC36E7">
        <w:t>项目风险可控，对环境空气影响较小</w:t>
      </w:r>
      <w:r w:rsidRPr="00FE55B9">
        <w:t>。</w:t>
      </w:r>
    </w:p>
    <w:p w:rsidR="00BD5820" w:rsidRDefault="00F64314">
      <w:pPr>
        <w:pStyle w:val="3"/>
        <w:rPr>
          <w:rFonts w:eastAsia="宋体"/>
        </w:rPr>
      </w:pPr>
      <w:r>
        <w:rPr>
          <w:rFonts w:eastAsia="宋体"/>
        </w:rPr>
        <w:t>7.8.</w:t>
      </w:r>
      <w:r>
        <w:rPr>
          <w:rFonts w:eastAsia="宋体" w:hint="eastAsia"/>
        </w:rPr>
        <w:t>3</w:t>
      </w:r>
      <w:r>
        <w:rPr>
          <w:rFonts w:eastAsia="宋体" w:hint="eastAsia"/>
        </w:rPr>
        <w:t>润滑油</w:t>
      </w:r>
      <w:r>
        <w:rPr>
          <w:rFonts w:eastAsia="宋体"/>
        </w:rPr>
        <w:t>泄漏后果分析</w:t>
      </w:r>
    </w:p>
    <w:p w:rsidR="00BD5820" w:rsidRDefault="00F64314">
      <w:pPr>
        <w:pStyle w:val="affa"/>
        <w:ind w:firstLine="480"/>
      </w:pPr>
      <w:r>
        <w:t>本项目</w:t>
      </w:r>
      <w:r>
        <w:rPr>
          <w:rFonts w:hint="eastAsia"/>
        </w:rPr>
        <w:t>润滑油主要储存于润滑油储罐</w:t>
      </w:r>
      <w:r>
        <w:t>，主要考虑</w:t>
      </w:r>
      <w:r>
        <w:rPr>
          <w:rFonts w:hint="eastAsia"/>
        </w:rPr>
        <w:t>罐体破损</w:t>
      </w:r>
      <w:r>
        <w:t>引起的</w:t>
      </w:r>
      <w:r>
        <w:rPr>
          <w:rFonts w:hint="eastAsia"/>
        </w:rPr>
        <w:t>润滑油</w:t>
      </w:r>
      <w:r>
        <w:t>泄漏</w:t>
      </w:r>
      <w:r>
        <w:rPr>
          <w:rFonts w:hint="eastAsia"/>
        </w:rPr>
        <w:t>、</w:t>
      </w:r>
      <w:r>
        <w:t>火灾事故，进而进入大气</w:t>
      </w:r>
      <w:r>
        <w:rPr>
          <w:rFonts w:hint="eastAsia"/>
        </w:rPr>
        <w:t>、</w:t>
      </w:r>
      <w:r>
        <w:t>地下水、土壤环境，降低大气</w:t>
      </w:r>
      <w:r>
        <w:rPr>
          <w:rFonts w:hint="eastAsia"/>
        </w:rPr>
        <w:t>、</w:t>
      </w:r>
      <w:r>
        <w:t>地下水水质及土壤质量，影响植被生长。</w:t>
      </w:r>
    </w:p>
    <w:p w:rsidR="00BD5820" w:rsidRDefault="00F64314">
      <w:pPr>
        <w:pStyle w:val="affa"/>
        <w:ind w:firstLine="480"/>
        <w:rPr>
          <w:sz w:val="23"/>
          <w:szCs w:val="23"/>
        </w:rPr>
      </w:pPr>
      <w:r>
        <w:t>本项目</w:t>
      </w:r>
      <w:r>
        <w:rPr>
          <w:rFonts w:hint="eastAsia"/>
        </w:rPr>
        <w:t>润滑油</w:t>
      </w:r>
      <w:r>
        <w:t>采用符合标准的</w:t>
      </w:r>
      <w:r>
        <w:rPr>
          <w:rFonts w:hint="eastAsia"/>
        </w:rPr>
        <w:t>储罐</w:t>
      </w:r>
      <w:r>
        <w:t>进行密闭储存，</w:t>
      </w:r>
      <w:r>
        <w:rPr>
          <w:rFonts w:hint="eastAsia"/>
        </w:rPr>
        <w:t>润滑油储罐四周设置围堰，并</w:t>
      </w:r>
      <w:r>
        <w:t>进行防渗处理。一般情况管道阀门泄漏，少量跑冒漏滴均收集在围堰内，可有效进行防止污染。罐体破裂导致大量泄漏的机率很小，即便储罐发生泄漏，也能够通过围堰收集，避免泄漏进入周边环境中。因此，</w:t>
      </w:r>
      <w:r>
        <w:rPr>
          <w:rFonts w:hint="eastAsia"/>
        </w:rPr>
        <w:t>润滑油</w:t>
      </w:r>
      <w:r>
        <w:t>发生泄漏进入周边环境的概率极低，影响较小。</w:t>
      </w:r>
    </w:p>
    <w:p w:rsidR="00BD5820" w:rsidRDefault="00F64314">
      <w:pPr>
        <w:pStyle w:val="3"/>
        <w:rPr>
          <w:rFonts w:eastAsia="宋体"/>
        </w:rPr>
      </w:pPr>
      <w:r>
        <w:rPr>
          <w:rFonts w:eastAsia="宋体"/>
        </w:rPr>
        <w:t>7.8.</w:t>
      </w:r>
      <w:bookmarkStart w:id="462" w:name="OLE_LINK118"/>
      <w:bookmarkStart w:id="463" w:name="OLE_LINK117"/>
      <w:r>
        <w:rPr>
          <w:rFonts w:eastAsia="宋体" w:hint="eastAsia"/>
        </w:rPr>
        <w:t>4</w:t>
      </w:r>
      <w:bookmarkEnd w:id="462"/>
      <w:bookmarkEnd w:id="463"/>
      <w:r>
        <w:rPr>
          <w:rFonts w:eastAsia="宋体" w:hint="eastAsia"/>
        </w:rPr>
        <w:t>气田水</w:t>
      </w:r>
      <w:r>
        <w:rPr>
          <w:rFonts w:eastAsia="宋体"/>
        </w:rPr>
        <w:t>泄漏后果分析</w:t>
      </w:r>
    </w:p>
    <w:p w:rsidR="00BD5820" w:rsidRDefault="00F64314">
      <w:pPr>
        <w:pStyle w:val="affa"/>
        <w:ind w:firstLine="480"/>
      </w:pPr>
      <w:r>
        <w:t>本项目</w:t>
      </w:r>
      <w:r>
        <w:rPr>
          <w:rFonts w:hint="eastAsia"/>
        </w:rPr>
        <w:t>气田水主要储存于污水罐</w:t>
      </w:r>
      <w:r>
        <w:t>，主要考虑</w:t>
      </w:r>
      <w:r>
        <w:rPr>
          <w:rFonts w:hint="eastAsia"/>
        </w:rPr>
        <w:t>罐体破损</w:t>
      </w:r>
      <w:r>
        <w:t>引起的污水泄漏事故，进而进入地下水、土壤环境，降低地下水水质及土壤质量，影响植被生长。</w:t>
      </w:r>
    </w:p>
    <w:p w:rsidR="00BD5820" w:rsidRDefault="00F64314">
      <w:pPr>
        <w:pStyle w:val="affa"/>
        <w:ind w:firstLine="480"/>
      </w:pPr>
      <w:r>
        <w:t>本项目</w:t>
      </w:r>
      <w:r>
        <w:rPr>
          <w:rFonts w:hint="eastAsia"/>
        </w:rPr>
        <w:t>气田水</w:t>
      </w:r>
      <w:r>
        <w:t>储罐采用符合标准的</w:t>
      </w:r>
      <w:r>
        <w:rPr>
          <w:rFonts w:hint="eastAsia"/>
        </w:rPr>
        <w:t>污水罐</w:t>
      </w:r>
      <w:r>
        <w:t>进行密闭储存，</w:t>
      </w:r>
      <w:r>
        <w:rPr>
          <w:rFonts w:hint="eastAsia"/>
        </w:rPr>
        <w:t>污水罐四周设置围堰，并</w:t>
      </w:r>
      <w:r>
        <w:t>进行防渗处理。一般情况管道阀门泄漏，少量跑冒漏滴均收集在围堰内，可有效进行防止污染。罐体破裂导致大量泄漏的机率很小，即便储罐发生泄漏，也能够通过围堰收集，避免泄漏进入周边环境中。因此，</w:t>
      </w:r>
      <w:r>
        <w:rPr>
          <w:rFonts w:hint="eastAsia"/>
        </w:rPr>
        <w:t>气田水</w:t>
      </w:r>
      <w:r>
        <w:t>发生泄漏进入周边环境的概率极低，影响较小。</w:t>
      </w:r>
    </w:p>
    <w:p w:rsidR="00BD5820" w:rsidRDefault="00F64314">
      <w:pPr>
        <w:pStyle w:val="3"/>
        <w:rPr>
          <w:rFonts w:eastAsia="宋体"/>
        </w:rPr>
      </w:pPr>
      <w:r>
        <w:rPr>
          <w:rFonts w:eastAsia="宋体"/>
        </w:rPr>
        <w:t>7.8.</w:t>
      </w:r>
      <w:r>
        <w:rPr>
          <w:rFonts w:eastAsia="宋体" w:hint="eastAsia"/>
        </w:rPr>
        <w:t>5</w:t>
      </w:r>
      <w:r>
        <w:rPr>
          <w:rFonts w:eastAsia="宋体"/>
        </w:rPr>
        <w:t xml:space="preserve"> </w:t>
      </w:r>
      <w:r>
        <w:rPr>
          <w:rFonts w:eastAsia="宋体"/>
          <w:bCs/>
        </w:rPr>
        <w:t>环境风险事故对生态环境影响分析</w:t>
      </w:r>
    </w:p>
    <w:p w:rsidR="00BD5820" w:rsidRDefault="00F64314">
      <w:pPr>
        <w:pStyle w:val="a1"/>
        <w:ind w:firstLine="480"/>
        <w:rPr>
          <w:rFonts w:ascii="Times New Roman" w:cs="Times New Roman"/>
        </w:rPr>
      </w:pPr>
      <w:r>
        <w:rPr>
          <w:rFonts w:ascii="Times New Roman" w:cs="Times New Roman"/>
        </w:rPr>
        <w:t>如果在处理泄漏事故时，由于误操作引发火灾、爆炸，发生火灾的地方为林场、森林一类的植被茂密地区，在一定的气象条件下还可能引发森林大火，这会给当地的生态环境造成极大的破坏。在管道经过林区段，分别依据《中华人民共和国森林法》、《森林防火条例》及省、市森林防火条例，采取营造生物防火带、加强瞭望、巡视等措施，严格规范管道维修、维护操作规程等措施，防止事故或处理事故时引起森林火灾。由于环境风险具有突发性和破坏性（有时甚至为灾难性）的特点，所以必须采取措施加以防范，加强控制和管理是杜绝、减轻和避免环境风险的有效办法。沿线要加大力度进行《中华人民共和国石油天然气管道保</w:t>
      </w:r>
      <w:r>
        <w:rPr>
          <w:rFonts w:ascii="Times New Roman" w:cs="Times New Roman"/>
        </w:rPr>
        <w:lastRenderedPageBreak/>
        <w:t>护法》的宣传，强化</w:t>
      </w:r>
      <w:r>
        <w:rPr>
          <w:rFonts w:ascii="Times New Roman" w:cs="Times New Roman"/>
        </w:rPr>
        <w:t>“</w:t>
      </w:r>
      <w:r>
        <w:rPr>
          <w:rFonts w:ascii="Times New Roman" w:cs="Times New Roman"/>
        </w:rPr>
        <w:t>保护管道安全就是保护沿线群众自身安全</w:t>
      </w:r>
      <w:r>
        <w:rPr>
          <w:rFonts w:ascii="Times New Roman" w:cs="Times New Roman"/>
        </w:rPr>
        <w:t>”</w:t>
      </w:r>
      <w:r>
        <w:rPr>
          <w:rFonts w:ascii="Times New Roman" w:cs="Times New Roman"/>
        </w:rPr>
        <w:t>的教育，并密切与地方有关部门共同协调保护管道，以法律来约束管道保护中的违规行为，做到有法可依，有法必依，严惩罪犯，确保管道长期安全稳定运行。管道建设管理方还应与沿线各级地方政府、各基础设施所属管辖单位协调配合，进行事故应急演练，通过宣传、教育、演练等手段加强沿线居民、相关企事业单位、相关人员的事故防范意识和能力，正确采取各种应急措施的能力，以将事故损失降低到最小。事故状态下，主要影响是天然气泄漏，伴生或次生火灾爆炸事故。由于天然气属于易燃易爆危险物品，其管线的泄漏环境为开放环境，不易形成爆炸性蒸气云，多数形成火灾，会对保护区内的人员和周围环境产生破坏性的影响。主要影响表现在：</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1</w:t>
      </w:r>
      <w:r>
        <w:rPr>
          <w:rFonts w:ascii="Times New Roman" w:cs="Times New Roman"/>
        </w:rPr>
        <w:t>）直接伤害保护区内的生物资源，包括动物、植物、微生物等。</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2</w:t>
      </w:r>
      <w:r>
        <w:rPr>
          <w:rFonts w:ascii="Times New Roman" w:cs="Times New Roman"/>
        </w:rPr>
        <w:t>）改变土壤的温度、结构、理化性质、肥力、土壤微生物含量等。</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3</w:t>
      </w:r>
      <w:r>
        <w:rPr>
          <w:rFonts w:ascii="Times New Roman" w:cs="Times New Roman"/>
        </w:rPr>
        <w:t>）改变野生动物的栖息环境、食源、种间竞争关系、野生动物之间的捕食与被捕食关系等。</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4</w:t>
      </w:r>
      <w:r>
        <w:rPr>
          <w:rFonts w:ascii="Times New Roman" w:cs="Times New Roman"/>
        </w:rPr>
        <w:t>）对植物的影响表现为直接伤害、促进、引起植物种群和群落的变化。根据国际国内的类比调查，同类天然气输送管路工程运行阶段发生泄漏引起爆炸、火灾的几率非常低。尽管如此，在该工程的运行阶段，对其发生的风险应给于足够的重视，采取必要的防范、防</w:t>
      </w:r>
      <w:r w:rsidR="00F76A35">
        <w:rPr>
          <w:rFonts w:ascii="Times New Roman" w:cs="Times New Roman"/>
        </w:rPr>
        <w:t>护措施，主要从施工阶段和运行阶段采取防护措施。事故产生的影响在</w:t>
      </w:r>
      <w:r>
        <w:rPr>
          <w:rFonts w:ascii="Times New Roman" w:cs="Times New Roman"/>
        </w:rPr>
        <w:t>半径</w:t>
      </w:r>
      <w:r w:rsidR="00F76A35">
        <w:rPr>
          <w:rFonts w:ascii="Times New Roman" w:cs="Times New Roman" w:hint="eastAsia"/>
        </w:rPr>
        <w:t>15</w:t>
      </w:r>
      <w:r>
        <w:rPr>
          <w:rFonts w:ascii="Times New Roman" w:cs="Times New Roman"/>
        </w:rPr>
        <w:t>00m</w:t>
      </w:r>
      <w:r>
        <w:rPr>
          <w:rFonts w:ascii="Times New Roman" w:cs="Times New Roman"/>
        </w:rPr>
        <w:t>范围内，影响时间相对较短，从管线沿线植被分布图来看，该区域基本为栽培植被和草地植被，另有小面积的灌木林地，有林地相对较少，因此对植被造成的破坏损失量较小。</w:t>
      </w:r>
    </w:p>
    <w:p w:rsidR="00BD5820" w:rsidRDefault="00F64314">
      <w:pPr>
        <w:pStyle w:val="a1"/>
        <w:ind w:firstLine="480"/>
        <w:rPr>
          <w:rFonts w:ascii="Times New Roman" w:cs="Times New Roman"/>
        </w:rPr>
      </w:pPr>
      <w:r>
        <w:rPr>
          <w:rFonts w:ascii="Times New Roman" w:cs="Times New Roman"/>
        </w:rPr>
        <w:t>因此，在管道经过林区段，应依据《中华人民共和国森林法》、《森林防火条例》等采取营造制定森林防火预案、增加巡线频次，发现隐患及时处理，防患于未然，防止林区火灾发生，杜绝破坏林区生态系统的事故发生。</w:t>
      </w:r>
    </w:p>
    <w:p w:rsidR="00BD5820" w:rsidRDefault="00F64314">
      <w:pPr>
        <w:pStyle w:val="2"/>
        <w:spacing w:before="120"/>
        <w:rPr>
          <w:rFonts w:cs="Times New Roman"/>
        </w:rPr>
      </w:pPr>
      <w:bookmarkStart w:id="464" w:name="bookmark64"/>
      <w:bookmarkStart w:id="465" w:name="_Toc19816113"/>
      <w:bookmarkStart w:id="466" w:name="_Toc6728"/>
      <w:bookmarkStart w:id="467" w:name="_Hlk56973869"/>
      <w:bookmarkEnd w:id="410"/>
      <w:bookmarkEnd w:id="464"/>
      <w:r>
        <w:rPr>
          <w:rFonts w:cs="Times New Roman"/>
        </w:rPr>
        <w:t xml:space="preserve">7.9 </w:t>
      </w:r>
      <w:r>
        <w:rPr>
          <w:rFonts w:cs="Times New Roman"/>
        </w:rPr>
        <w:t>环境风险管理</w:t>
      </w:r>
      <w:bookmarkEnd w:id="465"/>
      <w:bookmarkEnd w:id="466"/>
    </w:p>
    <w:p w:rsidR="00BD5820" w:rsidRDefault="00F64314">
      <w:pPr>
        <w:pStyle w:val="3"/>
        <w:rPr>
          <w:rFonts w:eastAsia="宋体"/>
        </w:rPr>
      </w:pPr>
      <w:bookmarkStart w:id="468" w:name="_Toc19816114"/>
      <w:r>
        <w:rPr>
          <w:rFonts w:eastAsia="宋体"/>
        </w:rPr>
        <w:t xml:space="preserve">7.9.1 </w:t>
      </w:r>
      <w:bookmarkEnd w:id="468"/>
      <w:r>
        <w:rPr>
          <w:rFonts w:eastAsia="宋体"/>
          <w:bCs/>
        </w:rPr>
        <w:t>工程前期及设计阶段的风险防范措施</w:t>
      </w:r>
    </w:p>
    <w:p w:rsidR="00BD5820" w:rsidRDefault="00F64314">
      <w:pPr>
        <w:pStyle w:val="affa"/>
        <w:ind w:firstLine="482"/>
        <w:rPr>
          <w:b/>
          <w:bCs/>
        </w:rPr>
      </w:pPr>
      <w:r>
        <w:rPr>
          <w:b/>
          <w:bCs/>
        </w:rPr>
        <w:t>1</w:t>
      </w:r>
      <w:r>
        <w:rPr>
          <w:b/>
          <w:bCs/>
        </w:rPr>
        <w:t>、管道风险防范措施</w:t>
      </w:r>
    </w:p>
    <w:p w:rsidR="00BD5820" w:rsidRDefault="00F64314">
      <w:pPr>
        <w:pStyle w:val="affa"/>
        <w:ind w:firstLine="480"/>
      </w:pPr>
      <w:r>
        <w:rPr>
          <w:rFonts w:ascii="宋体" w:hAnsi="宋体" w:cs="宋体" w:hint="eastAsia"/>
        </w:rPr>
        <w:t>①</w:t>
      </w:r>
      <w:r>
        <w:t>选择线路走向时，尽可能避开居民区以及复杂地质段，以减少由于不良地质造成管道泄漏事故，以及天然气泄漏引起的火灾、爆炸事故对居民危害经济损</w:t>
      </w:r>
      <w:r>
        <w:lastRenderedPageBreak/>
        <w:t>失；</w:t>
      </w:r>
    </w:p>
    <w:p w:rsidR="00BD5820" w:rsidRDefault="00F64314">
      <w:pPr>
        <w:pStyle w:val="affa"/>
        <w:ind w:firstLine="480"/>
      </w:pPr>
      <w:r>
        <w:rPr>
          <w:rFonts w:ascii="宋体" w:hAnsi="宋体" w:cs="宋体" w:hint="eastAsia"/>
        </w:rPr>
        <w:t>②</w:t>
      </w:r>
      <w:r>
        <w:t>管道沿线人口密集、房屋距管线较近等敏感地区，提高设计系数，增加管线壁厚，以及其它保护管道的措施，以增强管道抵抗外部可能造成破坏的能力；</w:t>
      </w:r>
    </w:p>
    <w:p w:rsidR="00BD5820" w:rsidRDefault="00F64314">
      <w:pPr>
        <w:pStyle w:val="affa"/>
        <w:ind w:firstLine="480"/>
      </w:pPr>
      <w:r>
        <w:rPr>
          <w:rFonts w:ascii="宋体" w:hAnsi="宋体" w:cs="宋体" w:hint="eastAsia"/>
        </w:rPr>
        <w:t>③</w:t>
      </w:r>
      <w:r>
        <w:t>据《输气管道工程设计规范》（</w:t>
      </w:r>
      <w:r>
        <w:t>GB50251-2003</w:t>
      </w:r>
      <w:r>
        <w:t>）的要求，输气管道通过的地区，应按沿线居民户数和建筑物的密集程度，划分地区等级，并依据地区等级作出相应的管道设计。</w:t>
      </w:r>
    </w:p>
    <w:p w:rsidR="00BD5820" w:rsidRDefault="00F64314">
      <w:pPr>
        <w:pStyle w:val="affa"/>
        <w:ind w:firstLine="482"/>
        <w:rPr>
          <w:b/>
          <w:bCs/>
        </w:rPr>
      </w:pPr>
      <w:r>
        <w:rPr>
          <w:b/>
          <w:bCs/>
        </w:rPr>
        <w:t>2</w:t>
      </w:r>
      <w:r>
        <w:rPr>
          <w:b/>
          <w:bCs/>
        </w:rPr>
        <w:t>、线路用管选择</w:t>
      </w:r>
    </w:p>
    <w:p w:rsidR="00BD5820" w:rsidRDefault="00F64314">
      <w:pPr>
        <w:pStyle w:val="affa"/>
        <w:ind w:firstLine="480"/>
      </w:pPr>
      <w:r>
        <w:rPr>
          <w:rFonts w:ascii="宋体" w:hAnsi="宋体" w:cs="宋体" w:hint="eastAsia"/>
        </w:rPr>
        <w:t>①</w:t>
      </w:r>
      <w:r>
        <w:t>选择符合国家标准《石油天然气工业输送钢管交货技术条件》（</w:t>
      </w:r>
      <w:r>
        <w:t>GB/T9711.1-1997</w:t>
      </w:r>
      <w:r>
        <w:t>）的钢管。</w:t>
      </w:r>
    </w:p>
    <w:p w:rsidR="00BD5820" w:rsidRDefault="00F64314">
      <w:pPr>
        <w:pStyle w:val="affa"/>
        <w:ind w:firstLine="480"/>
      </w:pPr>
      <w:r>
        <w:rPr>
          <w:rFonts w:ascii="宋体" w:hAnsi="宋体" w:cs="宋体" w:hint="eastAsia"/>
        </w:rPr>
        <w:t>②</w:t>
      </w:r>
      <w:r>
        <w:rPr>
          <w:rFonts w:hint="eastAsia"/>
        </w:rPr>
        <w:t>气田水</w:t>
      </w:r>
      <w:r>
        <w:rPr>
          <w:szCs w:val="26"/>
        </w:rPr>
        <w:t>管线采用增强型塑料复合管，是一种由高分子复合材料制成的具有一定高强度、高压力、耐腐蚀、耐结垢、摩阻系数小、保温性好、柔性好、寿命长的石油天然气工业用管件，该类管道在污水输送管中被大规模的使用，技术成熟可靠。</w:t>
      </w:r>
    </w:p>
    <w:p w:rsidR="00BD5820" w:rsidRDefault="00F64314">
      <w:pPr>
        <w:pStyle w:val="affa"/>
        <w:ind w:firstLine="482"/>
        <w:rPr>
          <w:b/>
          <w:bCs/>
        </w:rPr>
      </w:pPr>
      <w:r>
        <w:rPr>
          <w:b/>
          <w:bCs/>
        </w:rPr>
        <w:t>3</w:t>
      </w:r>
      <w:r>
        <w:rPr>
          <w:b/>
          <w:bCs/>
        </w:rPr>
        <w:t>、防腐蚀措施</w:t>
      </w:r>
    </w:p>
    <w:p w:rsidR="00BD5820" w:rsidRDefault="00F64314">
      <w:pPr>
        <w:pStyle w:val="affa"/>
        <w:ind w:firstLine="480"/>
      </w:pPr>
      <w:r>
        <w:rPr>
          <w:rFonts w:ascii="宋体" w:hAnsi="宋体" w:cs="宋体" w:hint="eastAsia"/>
        </w:rPr>
        <w:t>①</w:t>
      </w:r>
      <w:r>
        <w:t>外防腐</w:t>
      </w:r>
    </w:p>
    <w:p w:rsidR="00BD5820" w:rsidRDefault="00F64314">
      <w:pPr>
        <w:pStyle w:val="affa"/>
        <w:ind w:firstLine="480"/>
      </w:pPr>
      <w:r>
        <w:t>埋地酸气管线防腐保温采用</w:t>
      </w:r>
      <w:r>
        <w:t>“</w:t>
      </w:r>
      <w:r>
        <w:t>管中管</w:t>
      </w:r>
      <w:r>
        <w:t>”</w:t>
      </w:r>
      <w:r>
        <w:t>成型工艺，保温层采用硬质聚氨脂泡沫聚乙烯防腐保温层（保温层厚</w:t>
      </w:r>
      <w:r>
        <w:t>40mm</w:t>
      </w:r>
      <w:r>
        <w:t>），防腐层采用环氧粉末；防护层采用聚乙烯层，酸气管道补口采用现场发泡，补口防腐采用无溶剂液体环氧涂料</w:t>
      </w:r>
      <w:r>
        <w:t>+</w:t>
      </w:r>
      <w:r>
        <w:t>粘弹体胶带</w:t>
      </w:r>
      <w:r>
        <w:t>+</w:t>
      </w:r>
      <w:r>
        <w:t>聚乙烯袖套管</w:t>
      </w:r>
      <w:r>
        <w:t>+</w:t>
      </w:r>
      <w:r>
        <w:t>粘弹体胶带</w:t>
      </w:r>
      <w:r>
        <w:t>+</w:t>
      </w:r>
      <w:r>
        <w:t>辐射交联聚乙烯热收缩带。</w:t>
      </w:r>
    </w:p>
    <w:p w:rsidR="00BD5820" w:rsidRDefault="00F64314">
      <w:pPr>
        <w:pStyle w:val="affa"/>
        <w:ind w:firstLine="480"/>
      </w:pPr>
      <w:r>
        <w:t>燃料气管线采用机械强度高，耐磨耐冲击，耐化学介质腐蚀，抗植物根茎穿透，吸水性低，使用寿命长，电绝缘性好，使用寿命长的加强级三层</w:t>
      </w:r>
      <w:r>
        <w:t>PE</w:t>
      </w:r>
      <w:r>
        <w:t>防腐层，管道补口采用辐射交联聚乙烯热收缩套。</w:t>
      </w:r>
    </w:p>
    <w:p w:rsidR="00BD5820" w:rsidRDefault="00F64314">
      <w:pPr>
        <w:pStyle w:val="affa"/>
        <w:ind w:firstLine="480"/>
      </w:pPr>
      <w:r>
        <w:rPr>
          <w:rFonts w:ascii="宋体" w:hAnsi="宋体" w:cs="宋体" w:hint="eastAsia"/>
        </w:rPr>
        <w:t>②</w:t>
      </w:r>
      <w:r>
        <w:t>阴极保护</w:t>
      </w:r>
    </w:p>
    <w:p w:rsidR="00BD5820" w:rsidRDefault="00F64314">
      <w:pPr>
        <w:pStyle w:val="affa"/>
        <w:ind w:firstLine="480"/>
      </w:pPr>
      <w:r>
        <w:t>为保证防腐工作的可靠性，采用外防腐层和强制电流阴极保护联合方式。对管线采用以强制电流为主，牲牺阳极为辅的阴极保护方法。</w:t>
      </w:r>
    </w:p>
    <w:p w:rsidR="00BD5820" w:rsidRDefault="00F64314">
      <w:pPr>
        <w:pStyle w:val="affa"/>
        <w:ind w:firstLine="480"/>
      </w:pPr>
      <w:r>
        <w:t>在杂散电流流出点安装成组的锌阳极，以达到排流的目的，减轻干扰。</w:t>
      </w:r>
    </w:p>
    <w:p w:rsidR="00BD5820" w:rsidRDefault="00F64314">
      <w:pPr>
        <w:pStyle w:val="affa"/>
        <w:ind w:firstLine="480"/>
      </w:pPr>
      <w:r>
        <w:rPr>
          <w:rFonts w:ascii="宋体" w:hAnsi="宋体" w:cs="宋体" w:hint="eastAsia"/>
        </w:rPr>
        <w:t>③</w:t>
      </w:r>
      <w:r>
        <w:rPr>
          <w:szCs w:val="26"/>
        </w:rPr>
        <w:t>外部干预消除</w:t>
      </w:r>
    </w:p>
    <w:p w:rsidR="00BD5820" w:rsidRDefault="00F64314">
      <w:pPr>
        <w:pStyle w:val="affa"/>
        <w:ind w:firstLine="480"/>
        <w:rPr>
          <w:szCs w:val="26"/>
        </w:rPr>
      </w:pPr>
      <w:r>
        <w:rPr>
          <w:szCs w:val="26"/>
        </w:rPr>
        <w:t>近年来，随着国家经济发展，外部干扰（第三方破坏）导致天然气管道环境风险事故的情况持续上升。针对这一情况，建设单位制定了一系列的宣传、保护</w:t>
      </w:r>
      <w:r>
        <w:rPr>
          <w:szCs w:val="26"/>
        </w:rPr>
        <w:lastRenderedPageBreak/>
        <w:t>措施。管道敷设完毕后，建设单位在管道沿线设置明显的标志桩，组织站场、管道沿线居民学习《中华人民共和国石油天然气管道保护法》，强化</w:t>
      </w:r>
      <w:r>
        <w:rPr>
          <w:szCs w:val="26"/>
        </w:rPr>
        <w:t>“</w:t>
      </w:r>
      <w:r>
        <w:rPr>
          <w:szCs w:val="26"/>
        </w:rPr>
        <w:t>保护管道安全就是保护沿线群众自身安全</w:t>
      </w:r>
      <w:r>
        <w:rPr>
          <w:szCs w:val="26"/>
        </w:rPr>
        <w:t>”</w:t>
      </w:r>
      <w:r>
        <w:rPr>
          <w:szCs w:val="26"/>
        </w:rPr>
        <w:t>的教育，并密切与地方有关部门共同协调保护管道，以法律来约束管道保护中的违规行为，确保管道安全运行。</w:t>
      </w:r>
    </w:p>
    <w:p w:rsidR="00BD5820" w:rsidRDefault="00F64314">
      <w:pPr>
        <w:pStyle w:val="affa"/>
        <w:ind w:firstLine="482"/>
        <w:rPr>
          <w:b/>
          <w:bCs/>
        </w:rPr>
      </w:pPr>
      <w:r>
        <w:rPr>
          <w:b/>
          <w:bCs/>
        </w:rPr>
        <w:t>4</w:t>
      </w:r>
      <w:r>
        <w:rPr>
          <w:b/>
          <w:bCs/>
        </w:rPr>
        <w:t>、管道抗震防范措施</w:t>
      </w:r>
    </w:p>
    <w:p w:rsidR="00BD5820" w:rsidRDefault="00F64314">
      <w:pPr>
        <w:pStyle w:val="affa"/>
        <w:ind w:firstLine="480"/>
      </w:pPr>
      <w:r>
        <w:rPr>
          <w:rFonts w:ascii="宋体" w:hAnsi="宋体" w:cs="宋体" w:hint="eastAsia"/>
        </w:rPr>
        <w:t>①</w:t>
      </w:r>
      <w:r>
        <w:t>管线与活动断裂平行时，管线设在其外</w:t>
      </w:r>
      <w:r>
        <w:t>200m</w:t>
      </w:r>
      <w:r>
        <w:t>；与管线交叉时，选择合适的交角，或采取管线水平弯曲补偿形式敷设。</w:t>
      </w:r>
    </w:p>
    <w:p w:rsidR="00BD5820" w:rsidRDefault="00F64314">
      <w:pPr>
        <w:pStyle w:val="affa"/>
        <w:ind w:firstLine="480"/>
      </w:pPr>
      <w:r>
        <w:rPr>
          <w:rFonts w:ascii="宋体" w:hAnsi="宋体" w:cs="宋体" w:hint="eastAsia"/>
        </w:rPr>
        <w:t>②</w:t>
      </w:r>
      <w:r>
        <w:t>增加交叉段管壁厚度。</w:t>
      </w:r>
    </w:p>
    <w:p w:rsidR="00BD5820" w:rsidRDefault="00F64314">
      <w:pPr>
        <w:pStyle w:val="affa"/>
        <w:ind w:firstLine="480"/>
      </w:pPr>
      <w:r>
        <w:rPr>
          <w:rFonts w:ascii="宋体" w:hAnsi="宋体" w:cs="宋体" w:hint="eastAsia"/>
        </w:rPr>
        <w:t>③</w:t>
      </w:r>
      <w:r>
        <w:t>尽量采取弹性敷设来处理管道转角。</w:t>
      </w:r>
    </w:p>
    <w:p w:rsidR="00BD5820" w:rsidRDefault="00F64314">
      <w:pPr>
        <w:pStyle w:val="affa"/>
        <w:ind w:firstLine="480"/>
      </w:pPr>
      <w:r>
        <w:rPr>
          <w:rFonts w:ascii="宋体" w:hAnsi="宋体" w:cs="宋体" w:hint="eastAsia"/>
        </w:rPr>
        <w:t>④</w:t>
      </w:r>
      <w:r>
        <w:t>加宽管沟，回填松散土。</w:t>
      </w:r>
    </w:p>
    <w:p w:rsidR="00BD5820" w:rsidRDefault="00F64314">
      <w:pPr>
        <w:pStyle w:val="affa"/>
        <w:ind w:firstLine="480"/>
      </w:pPr>
      <w:r>
        <w:rPr>
          <w:rFonts w:ascii="宋体" w:hAnsi="宋体" w:cs="宋体" w:hint="eastAsia"/>
        </w:rPr>
        <w:t>⑤</w:t>
      </w:r>
      <w:r>
        <w:t>对可能发生崩塌和沙土液化地区，采取排水，支挡、削坡等。</w:t>
      </w:r>
    </w:p>
    <w:p w:rsidR="00BD5820" w:rsidRDefault="00F64314">
      <w:pPr>
        <w:pStyle w:val="affa"/>
        <w:ind w:firstLine="480"/>
      </w:pPr>
      <w:r>
        <w:rPr>
          <w:rFonts w:ascii="宋体" w:hAnsi="宋体" w:cs="宋体" w:hint="eastAsia"/>
        </w:rPr>
        <w:t>⑥</w:t>
      </w:r>
      <w:r>
        <w:t>采用外壁摩阻较小的外防腐涂层。</w:t>
      </w:r>
    </w:p>
    <w:p w:rsidR="00BD5820" w:rsidRDefault="00F64314">
      <w:pPr>
        <w:pStyle w:val="3"/>
        <w:rPr>
          <w:rFonts w:eastAsia="宋体"/>
        </w:rPr>
      </w:pPr>
      <w:bookmarkStart w:id="469" w:name="_Toc12288751"/>
      <w:r>
        <w:rPr>
          <w:rFonts w:eastAsia="宋体"/>
        </w:rPr>
        <w:t xml:space="preserve">7.9.2 </w:t>
      </w:r>
      <w:r>
        <w:rPr>
          <w:rFonts w:eastAsia="宋体"/>
        </w:rPr>
        <w:t>施工阶段的事故防范措施</w:t>
      </w:r>
    </w:p>
    <w:bookmarkEnd w:id="469"/>
    <w:p w:rsidR="00BD5820" w:rsidRDefault="00F64314">
      <w:pPr>
        <w:pStyle w:val="a1"/>
        <w:ind w:firstLine="482"/>
        <w:rPr>
          <w:rFonts w:ascii="Times New Roman" w:cs="Times New Roman"/>
          <w:b/>
        </w:rPr>
      </w:pPr>
      <w:r>
        <w:rPr>
          <w:rFonts w:ascii="Times New Roman" w:cs="Times New Roman" w:hint="eastAsia"/>
          <w:b/>
        </w:rPr>
        <w:t>1</w:t>
      </w:r>
      <w:r>
        <w:rPr>
          <w:rFonts w:ascii="Times New Roman" w:cs="Times New Roman"/>
          <w:b/>
        </w:rPr>
        <w:t>、天然气</w:t>
      </w:r>
      <w:r>
        <w:rPr>
          <w:rFonts w:ascii="Times New Roman" w:cs="Times New Roman" w:hint="eastAsia"/>
          <w:b/>
        </w:rPr>
        <w:t>管道</w:t>
      </w:r>
      <w:r>
        <w:rPr>
          <w:rFonts w:ascii="Times New Roman" w:cs="Times New Roman"/>
          <w:b/>
        </w:rPr>
        <w:t>施工过程风险防范措施</w:t>
      </w:r>
    </w:p>
    <w:p w:rsidR="00BD5820" w:rsidRDefault="00F64314">
      <w:pPr>
        <w:pStyle w:val="a1"/>
        <w:ind w:firstLine="480"/>
        <w:rPr>
          <w:rFonts w:ascii="Times New Roman" w:cs="Times New Roman"/>
        </w:rPr>
      </w:pPr>
      <w:r>
        <w:rPr>
          <w:rFonts w:hAnsi="宋体" w:hint="eastAsia"/>
        </w:rPr>
        <w:t>①</w:t>
      </w:r>
      <w:r>
        <w:rPr>
          <w:rFonts w:ascii="Times New Roman" w:cs="Times New Roman"/>
        </w:rPr>
        <w:t>对于林区内的管道施工，管沟成型组焊前，应清除管沟附近的树枝、树叶，组焊建议采用沟下焊方式；焊接过程中，应对焊接区一定范围设置临时的隔阻材料（如钢板），防止电弧和火花进入林区；严禁在树林边或树林内吸烟、引弧；对于材料中的易燃物质，应设置于空旷的场地且远离焊接区；施工中应配备一定数量的移动灭火器。</w:t>
      </w:r>
    </w:p>
    <w:p w:rsidR="00BD5820" w:rsidRDefault="00F64314">
      <w:pPr>
        <w:pStyle w:val="a1"/>
        <w:ind w:firstLine="480"/>
        <w:rPr>
          <w:rFonts w:ascii="Times New Roman" w:cs="Times New Roman"/>
        </w:rPr>
      </w:pPr>
      <w:r>
        <w:rPr>
          <w:rFonts w:hAnsi="宋体" w:hint="eastAsia"/>
        </w:rPr>
        <w:t>②</w:t>
      </w:r>
      <w:r>
        <w:rPr>
          <w:rFonts w:ascii="Times New Roman" w:cs="Times New Roman"/>
        </w:rPr>
        <w:t>试压过程中用氮气吹扫管线时，吹扫口应选择在空旷开阔的地区，其前方</w:t>
      </w:r>
      <w:r>
        <w:rPr>
          <w:rFonts w:ascii="Times New Roman" w:cs="Times New Roman"/>
        </w:rPr>
        <w:t>100m</w:t>
      </w:r>
      <w:r>
        <w:rPr>
          <w:rFonts w:ascii="Times New Roman" w:cs="Times New Roman"/>
        </w:rPr>
        <w:t>，左右</w:t>
      </w:r>
      <w:r>
        <w:rPr>
          <w:rFonts w:ascii="Times New Roman" w:cs="Times New Roman"/>
        </w:rPr>
        <w:t>50m</w:t>
      </w:r>
      <w:r>
        <w:rPr>
          <w:rFonts w:ascii="Times New Roman" w:cs="Times New Roman"/>
        </w:rPr>
        <w:t>以内不得有人、畜和火源。吹扫口</w:t>
      </w:r>
      <w:r>
        <w:rPr>
          <w:rFonts w:ascii="Times New Roman" w:cs="Times New Roman"/>
        </w:rPr>
        <w:t>50m</w:t>
      </w:r>
      <w:r>
        <w:rPr>
          <w:rFonts w:ascii="Times New Roman" w:cs="Times New Roman"/>
        </w:rPr>
        <w:t>范围内应有专人警戒，有具体的防火、防爆措施。</w:t>
      </w:r>
    </w:p>
    <w:p w:rsidR="00BD5820" w:rsidRDefault="00F64314">
      <w:pPr>
        <w:pStyle w:val="a1"/>
        <w:ind w:firstLine="480"/>
        <w:rPr>
          <w:rFonts w:ascii="Times New Roman" w:cs="Times New Roman"/>
        </w:rPr>
      </w:pPr>
      <w:r>
        <w:rPr>
          <w:rFonts w:hAnsi="宋体" w:hint="eastAsia"/>
        </w:rPr>
        <w:t>③</w:t>
      </w:r>
      <w:r>
        <w:rPr>
          <w:rFonts w:ascii="Times New Roman" w:cs="Times New Roman"/>
        </w:rPr>
        <w:t>在施工过程中，加强监理，确保防腐、焊接、探伤等施工工艺的质量；制定严格的规章制度，发现缺陷及时正确修补并做好记录；进行水压试验，排除更多的存在于焊缝和母材的缺陷；选择有丰富经验的单位进行施工，并有优秀的第三方对其施工质量进行强有力的监督，减少施工误操作。</w:t>
      </w:r>
    </w:p>
    <w:p w:rsidR="00BD5820" w:rsidRDefault="00F64314">
      <w:pPr>
        <w:pStyle w:val="a1"/>
        <w:ind w:firstLine="480"/>
        <w:rPr>
          <w:rFonts w:ascii="Times New Roman" w:cs="Times New Roman"/>
        </w:rPr>
      </w:pPr>
      <w:r>
        <w:rPr>
          <w:rFonts w:hAnsi="宋体" w:hint="eastAsia"/>
        </w:rPr>
        <w:t>④</w:t>
      </w:r>
      <w:r>
        <w:rPr>
          <w:rFonts w:ascii="Times New Roman" w:cs="Times New Roman"/>
        </w:rPr>
        <w:t>需动火施工管道的降压、停产、扫线及管道沿线与动火点直接有关阀门的控制应由管理部门安排专人操作。</w:t>
      </w:r>
    </w:p>
    <w:p w:rsidR="00BD5820" w:rsidRDefault="00F64314">
      <w:pPr>
        <w:pStyle w:val="a1"/>
        <w:ind w:firstLine="480"/>
        <w:rPr>
          <w:rFonts w:ascii="Times New Roman" w:cs="Times New Roman"/>
        </w:rPr>
      </w:pPr>
      <w:r>
        <w:rPr>
          <w:rFonts w:hAnsi="宋体" w:hint="eastAsia"/>
        </w:rPr>
        <w:t>⑤</w:t>
      </w:r>
      <w:r>
        <w:rPr>
          <w:rFonts w:ascii="Times New Roman" w:cs="Times New Roman"/>
        </w:rPr>
        <w:t>动火中各种用电设备，严禁以管道充作导体。</w:t>
      </w:r>
    </w:p>
    <w:p w:rsidR="00BD5820" w:rsidRDefault="00F64314">
      <w:pPr>
        <w:pStyle w:val="a1"/>
        <w:ind w:firstLine="480"/>
        <w:rPr>
          <w:rFonts w:ascii="Times New Roman" w:cs="Times New Roman"/>
        </w:rPr>
      </w:pPr>
      <w:r>
        <w:rPr>
          <w:rFonts w:hAnsi="宋体" w:hint="eastAsia"/>
        </w:rPr>
        <w:lastRenderedPageBreak/>
        <w:t>⑥</w:t>
      </w:r>
      <w:r>
        <w:rPr>
          <w:rFonts w:ascii="Times New Roman" w:cs="Times New Roman"/>
        </w:rPr>
        <w:t>动火施工区域应设置警戒，防止与动火工作无关人员或设备等进入施工区域。</w:t>
      </w:r>
    </w:p>
    <w:p w:rsidR="00BD5820" w:rsidRDefault="00F64314">
      <w:pPr>
        <w:pStyle w:val="a1"/>
        <w:ind w:firstLine="480"/>
        <w:rPr>
          <w:rFonts w:ascii="Times New Roman" w:cs="Times New Roman"/>
        </w:rPr>
      </w:pPr>
      <w:r>
        <w:rPr>
          <w:rFonts w:hAnsi="宋体" w:hint="eastAsia"/>
        </w:rPr>
        <w:t>⑦</w:t>
      </w:r>
      <w:r>
        <w:rPr>
          <w:rFonts w:ascii="Times New Roman" w:cs="Times New Roman"/>
        </w:rPr>
        <w:t>动火施工现场根据施工的危险程度配备一定数量性能可靠的消防器材或消防车。</w:t>
      </w:r>
    </w:p>
    <w:p w:rsidR="00BD5820" w:rsidRDefault="00F64314">
      <w:pPr>
        <w:pStyle w:val="a1"/>
        <w:ind w:firstLine="480"/>
        <w:rPr>
          <w:rFonts w:ascii="Times New Roman" w:cs="Times New Roman"/>
        </w:rPr>
      </w:pPr>
      <w:r>
        <w:rPr>
          <w:rFonts w:hAnsi="宋体" w:hint="eastAsia"/>
        </w:rPr>
        <w:t>⑧</w:t>
      </w:r>
      <w:r>
        <w:rPr>
          <w:rFonts w:ascii="Times New Roman" w:cs="Times New Roman"/>
        </w:rPr>
        <w:t>动火施工后，施工人员和管理人员应进行全面检查，确认没有火种及其它隐患后，方可离开施工现场。</w:t>
      </w:r>
    </w:p>
    <w:p w:rsidR="00BD5820" w:rsidRDefault="00F64314">
      <w:pPr>
        <w:pStyle w:val="a1"/>
        <w:ind w:firstLine="480"/>
        <w:rPr>
          <w:rFonts w:ascii="Times New Roman" w:cs="Times New Roman"/>
        </w:rPr>
      </w:pPr>
      <w:r>
        <w:rPr>
          <w:rFonts w:hAnsi="宋体" w:hint="eastAsia"/>
        </w:rPr>
        <w:t>⑨</w:t>
      </w:r>
      <w:r>
        <w:rPr>
          <w:rFonts w:ascii="Times New Roman" w:cs="Times New Roman"/>
        </w:rPr>
        <w:t>严格按设计选定管材、设备和各项技术要求备料、制造、组装施工和检验。</w:t>
      </w:r>
    </w:p>
    <w:p w:rsidR="00BD5820" w:rsidRDefault="00F64314">
      <w:pPr>
        <w:pStyle w:val="affa"/>
        <w:ind w:firstLine="480"/>
      </w:pPr>
      <w:r>
        <w:rPr>
          <w:rFonts w:ascii="宋体" w:hAnsi="宋体" w:cs="宋体" w:hint="eastAsia"/>
        </w:rPr>
        <w:t>⑩</w:t>
      </w:r>
      <w:r>
        <w:t>电工必须经过按国家现行标准考核合格后，持证上岗工作；其他用电人员必须通过相关安全教育培训和技术交底，考核合格后方可上岗工作。</w:t>
      </w:r>
    </w:p>
    <w:p w:rsidR="00BD5820" w:rsidRDefault="00F64314">
      <w:pPr>
        <w:pStyle w:val="affa"/>
        <w:ind w:firstLine="480"/>
      </w:pPr>
      <w:r>
        <w:rPr>
          <w:rFonts w:ascii="Cambria Math" w:hAnsi="Cambria Math" w:cs="Cambria Math"/>
        </w:rPr>
        <w:t>⑪</w:t>
      </w:r>
      <w:r>
        <w:t>安装、巡检、维修或拆除临时用电设备和线路，必须由电工完成，并应有人监护。电工等级应同工程的难易程度和技术复杂性相适应。</w:t>
      </w:r>
    </w:p>
    <w:p w:rsidR="00BD5820" w:rsidRDefault="00F64314">
      <w:pPr>
        <w:pStyle w:val="affa"/>
        <w:ind w:firstLine="480"/>
      </w:pPr>
      <w:r>
        <w:rPr>
          <w:rFonts w:ascii="Cambria Math" w:hAnsi="Cambria Math" w:cs="Cambria Math"/>
        </w:rPr>
        <w:t>⑫</w:t>
      </w:r>
      <w:r>
        <w:t>各类用电人员应掌握安全用电基本知识和所用设备的性能</w:t>
      </w:r>
    </w:p>
    <w:p w:rsidR="00BD5820" w:rsidRDefault="00F64314">
      <w:pPr>
        <w:pStyle w:val="affa"/>
        <w:ind w:firstLine="480"/>
      </w:pPr>
      <w:r>
        <w:rPr>
          <w:rFonts w:ascii="Cambria Math" w:hAnsi="Cambria Math" w:cs="Cambria Math"/>
        </w:rPr>
        <w:t>⑬</w:t>
      </w:r>
      <w:r>
        <w:t>施工现场临时用电必须建立安全技术档案，安全技术档案应由主管该现场的电气技术人员负责建立与管理。</w:t>
      </w:r>
    </w:p>
    <w:p w:rsidR="00BD5820" w:rsidRDefault="00F64314">
      <w:pPr>
        <w:pStyle w:val="affa"/>
        <w:ind w:firstLine="480"/>
      </w:pPr>
      <w:r>
        <w:rPr>
          <w:rFonts w:ascii="Cambria Math" w:hAnsi="Cambria Math" w:cs="Cambria Math"/>
        </w:rPr>
        <w:t>⑭</w:t>
      </w:r>
      <w:r>
        <w:t>临时用电工程应定期检查。定期检查时，应复查接地电阻值和绝缘电阻值。临时用电工程定期检查应按分部、分项工程进行，对安全隐患必须及时处理，并应履行复查验收手续。</w:t>
      </w:r>
    </w:p>
    <w:p w:rsidR="00BD5820" w:rsidRDefault="00F64314">
      <w:pPr>
        <w:pStyle w:val="affa"/>
        <w:ind w:firstLine="480"/>
      </w:pPr>
      <w:r>
        <w:rPr>
          <w:rFonts w:ascii="Cambria Math" w:hAnsi="Cambria Math" w:cs="Cambria Math"/>
        </w:rPr>
        <w:t>⑮</w:t>
      </w:r>
      <w:r>
        <w:t>在防爆区域内的用电设备必须满足相关防爆等级及各区域防火等级的要求。</w:t>
      </w:r>
    </w:p>
    <w:p w:rsidR="00BD5820" w:rsidRDefault="00F64314">
      <w:pPr>
        <w:pStyle w:val="affa"/>
        <w:ind w:firstLine="480"/>
      </w:pPr>
      <w:r>
        <w:rPr>
          <w:rFonts w:ascii="Cambria Math" w:hAnsi="Cambria Math" w:cs="Cambria Math"/>
        </w:rPr>
        <w:t>⑯</w:t>
      </w:r>
      <w:r>
        <w:t>施工现场临时用电工程专用的电源中性点直接接地的</w:t>
      </w:r>
      <w:r>
        <w:t>220/380V</w:t>
      </w:r>
      <w:r>
        <w:t>三相四线制低压电力系统，必须符合下列规定：</w:t>
      </w:r>
    </w:p>
    <w:p w:rsidR="00BD5820" w:rsidRDefault="00F64314">
      <w:pPr>
        <w:pStyle w:val="affa"/>
        <w:ind w:firstLine="480"/>
      </w:pPr>
      <w:r>
        <w:t>a.</w:t>
      </w:r>
      <w:r>
        <w:t>采用三级配电系统；</w:t>
      </w:r>
    </w:p>
    <w:p w:rsidR="00BD5820" w:rsidRDefault="00F64314">
      <w:pPr>
        <w:pStyle w:val="affa"/>
        <w:ind w:firstLine="480"/>
      </w:pPr>
      <w:r>
        <w:t>b.</w:t>
      </w:r>
      <w:r>
        <w:t>采用</w:t>
      </w:r>
      <w:r>
        <w:t>TN-S</w:t>
      </w:r>
      <w:r>
        <w:t>接零保护系统；</w:t>
      </w:r>
    </w:p>
    <w:p w:rsidR="00BD5820" w:rsidRDefault="00F64314">
      <w:pPr>
        <w:pStyle w:val="affa"/>
        <w:ind w:firstLine="480"/>
      </w:pPr>
      <w:r>
        <w:t>c.</w:t>
      </w:r>
      <w:r>
        <w:t>采用二级漏电保护系统。</w:t>
      </w:r>
    </w:p>
    <w:p w:rsidR="00BD5820" w:rsidRDefault="00F64314">
      <w:pPr>
        <w:pStyle w:val="3"/>
        <w:rPr>
          <w:rFonts w:eastAsia="宋体"/>
        </w:rPr>
      </w:pPr>
      <w:bookmarkStart w:id="470" w:name="_Toc12288752"/>
      <w:r>
        <w:rPr>
          <w:rFonts w:eastAsia="宋体"/>
        </w:rPr>
        <w:t xml:space="preserve">7.9.2 </w:t>
      </w:r>
      <w:r>
        <w:rPr>
          <w:rFonts w:eastAsia="宋体"/>
        </w:rPr>
        <w:t>运营阶段的事故防范措施</w:t>
      </w:r>
    </w:p>
    <w:bookmarkEnd w:id="470"/>
    <w:p w:rsidR="00BD5820" w:rsidRDefault="00F64314">
      <w:pPr>
        <w:pStyle w:val="a1"/>
        <w:ind w:firstLine="482"/>
        <w:rPr>
          <w:rFonts w:ascii="Times New Roman" w:cs="Times New Roman"/>
          <w:b/>
          <w:bCs/>
        </w:rPr>
      </w:pPr>
      <w:r>
        <w:rPr>
          <w:rFonts w:ascii="Times New Roman" w:cs="Times New Roman"/>
          <w:b/>
          <w:bCs/>
        </w:rPr>
        <w:t>1</w:t>
      </w:r>
      <w:r>
        <w:rPr>
          <w:rFonts w:ascii="Times New Roman" w:cs="Times New Roman"/>
          <w:b/>
          <w:bCs/>
        </w:rPr>
        <w:t>、常规环境风险防范措施</w:t>
      </w:r>
    </w:p>
    <w:p w:rsidR="00BD5820" w:rsidRDefault="00F64314">
      <w:pPr>
        <w:pStyle w:val="a1"/>
        <w:ind w:firstLine="480"/>
        <w:rPr>
          <w:rFonts w:ascii="Times New Roman" w:cs="Times New Roman"/>
        </w:rPr>
      </w:pPr>
      <w:r>
        <w:rPr>
          <w:rFonts w:hAnsi="宋体" w:hint="eastAsia"/>
        </w:rPr>
        <w:t>①</w:t>
      </w:r>
      <w:r>
        <w:rPr>
          <w:rFonts w:ascii="Times New Roman" w:cs="Times New Roman"/>
        </w:rPr>
        <w:t>严格控制天然气的气质。</w:t>
      </w:r>
    </w:p>
    <w:p w:rsidR="00BD5820" w:rsidRDefault="00F64314">
      <w:pPr>
        <w:pStyle w:val="a1"/>
        <w:ind w:firstLine="480"/>
        <w:rPr>
          <w:rFonts w:ascii="Times New Roman" w:cs="Times New Roman"/>
        </w:rPr>
      </w:pPr>
      <w:r>
        <w:rPr>
          <w:rFonts w:hAnsi="宋体" w:hint="eastAsia"/>
        </w:rPr>
        <w:t>②</w:t>
      </w:r>
      <w:r>
        <w:rPr>
          <w:rFonts w:ascii="Times New Roman" w:cs="Times New Roman"/>
        </w:rPr>
        <w:t>定期检查管道安全保护系统（如截断阀、安全阀等），使管道在超压时能够得到安全处理。</w:t>
      </w:r>
    </w:p>
    <w:p w:rsidR="00BD5820" w:rsidRDefault="00F64314">
      <w:pPr>
        <w:pStyle w:val="a1"/>
        <w:ind w:firstLine="480"/>
        <w:rPr>
          <w:rFonts w:ascii="Times New Roman" w:cs="Times New Roman"/>
        </w:rPr>
      </w:pPr>
      <w:r>
        <w:rPr>
          <w:rFonts w:hAnsi="宋体" w:hint="eastAsia"/>
        </w:rPr>
        <w:lastRenderedPageBreak/>
        <w:t>③</w:t>
      </w:r>
      <w:r>
        <w:rPr>
          <w:rFonts w:ascii="Times New Roman" w:cs="Times New Roman"/>
        </w:rPr>
        <w:t>在困难地段招募当地农民为义务巡线工，增加困难地段的巡检频次，减少第三方破坏、地质灾害等引发的环境风险事故。</w:t>
      </w:r>
    </w:p>
    <w:p w:rsidR="00BD5820" w:rsidRDefault="00F64314">
      <w:pPr>
        <w:pStyle w:val="a1"/>
        <w:ind w:firstLine="480"/>
        <w:rPr>
          <w:rFonts w:ascii="Times New Roman" w:cs="Times New Roman"/>
        </w:rPr>
      </w:pPr>
      <w:r>
        <w:rPr>
          <w:rFonts w:hAnsi="宋体" w:hint="eastAsia"/>
        </w:rPr>
        <w:t>④</w:t>
      </w:r>
      <w:r>
        <w:rPr>
          <w:rFonts w:ascii="Times New Roman" w:cs="Times New Roman"/>
        </w:rPr>
        <w:t>管道标志桩应尽可能清晰。巡线员定期巡线，发现危及管道安全的情况及时处理和汇报。</w:t>
      </w:r>
    </w:p>
    <w:p w:rsidR="00BD5820" w:rsidRDefault="00F64314">
      <w:pPr>
        <w:pStyle w:val="a1"/>
        <w:ind w:firstLine="480"/>
        <w:rPr>
          <w:rFonts w:ascii="Times New Roman" w:cs="Times New Roman"/>
        </w:rPr>
      </w:pPr>
      <w:r>
        <w:rPr>
          <w:rFonts w:hAnsi="宋体" w:hint="eastAsia"/>
        </w:rPr>
        <w:t>⑤</w:t>
      </w:r>
      <w:r>
        <w:rPr>
          <w:rFonts w:ascii="Times New Roman" w:cs="Times New Roman"/>
        </w:rPr>
        <w:t>建设单位设有应急抢、维修指挥中心，并在其下属各作业区设有抢、维修队伍和装备，但由于</w:t>
      </w:r>
      <w:r>
        <w:rPr>
          <w:rFonts w:ascii="Times New Roman" w:cs="Times New Roman" w:hint="eastAsia"/>
        </w:rPr>
        <w:t>本项目</w:t>
      </w:r>
      <w:r>
        <w:rPr>
          <w:rFonts w:ascii="Times New Roman" w:cs="Times New Roman"/>
        </w:rPr>
        <w:t>管道部分地处山区，路况较差，为能及时处理事故，营救伤员，建议配备性能优良的抢险车辆，保证事故后第一时间到达现场。</w:t>
      </w:r>
    </w:p>
    <w:p w:rsidR="00BD5820" w:rsidRDefault="00F64314">
      <w:pPr>
        <w:pStyle w:val="a1"/>
        <w:ind w:firstLine="480"/>
        <w:rPr>
          <w:rFonts w:ascii="Times New Roman" w:cs="Times New Roman"/>
        </w:rPr>
      </w:pPr>
      <w:r>
        <w:rPr>
          <w:rFonts w:hAnsi="宋体" w:hint="eastAsia"/>
        </w:rPr>
        <w:t>⑥</w:t>
      </w:r>
      <w:r>
        <w:rPr>
          <w:rFonts w:ascii="Times New Roman" w:cs="Times New Roman"/>
        </w:rPr>
        <w:t>在管道系统投产运行前，应制订出供正常、异常或紧急状态下的操作手册和维修手册，并对操作、维修人员进行培训，持证上岗。</w:t>
      </w:r>
    </w:p>
    <w:p w:rsidR="00BD5820" w:rsidRDefault="00F64314">
      <w:pPr>
        <w:pStyle w:val="a1"/>
        <w:ind w:firstLine="480"/>
        <w:rPr>
          <w:rFonts w:ascii="Times New Roman" w:cs="Times New Roman"/>
        </w:rPr>
      </w:pPr>
      <w:r>
        <w:rPr>
          <w:rFonts w:hAnsi="宋体" w:hint="eastAsia"/>
        </w:rPr>
        <w:t>⑦</w:t>
      </w:r>
      <w:r>
        <w:rPr>
          <w:rFonts w:ascii="Times New Roman" w:cs="Times New Roman"/>
        </w:rPr>
        <w:t>制订应急操作规程，在规程中应说明发生管道事故时应采取的操作步骤，规定抢修进度，限制事故的影响，另外还应说明与管道操作人员有关的安全问题。</w:t>
      </w:r>
    </w:p>
    <w:p w:rsidR="00BD5820" w:rsidRDefault="00F64314">
      <w:pPr>
        <w:pStyle w:val="a1"/>
        <w:ind w:firstLine="480"/>
        <w:rPr>
          <w:rFonts w:ascii="Times New Roman" w:cs="Times New Roman"/>
        </w:rPr>
      </w:pPr>
      <w:r>
        <w:rPr>
          <w:rFonts w:hAnsi="宋体" w:hint="eastAsia"/>
        </w:rPr>
        <w:t>⑧</w:t>
      </w:r>
      <w:r>
        <w:rPr>
          <w:rFonts w:ascii="Times New Roman" w:cs="Times New Roman"/>
        </w:rPr>
        <w:t>操作人员每周应进行安全活动，提高职工的安全意识，识别事故发生前的异常状态，并采取相应的措施。</w:t>
      </w:r>
    </w:p>
    <w:p w:rsidR="00BD5820" w:rsidRDefault="00F64314">
      <w:pPr>
        <w:pStyle w:val="a1"/>
        <w:ind w:firstLine="480"/>
        <w:rPr>
          <w:rFonts w:ascii="Times New Roman" w:cs="Times New Roman"/>
        </w:rPr>
      </w:pPr>
      <w:r>
        <w:rPr>
          <w:rFonts w:hAnsi="宋体" w:hint="eastAsia"/>
        </w:rPr>
        <w:t>⑨</w:t>
      </w:r>
      <w:r>
        <w:rPr>
          <w:rFonts w:ascii="Times New Roman" w:cs="Times New Roman"/>
        </w:rPr>
        <w:t>对重要的仪器设备有完善的检查项目、维护方法；按计划进行定期维护；有专门档案（包括维护记录档案），文件齐全。</w:t>
      </w:r>
    </w:p>
    <w:p w:rsidR="00BD5820" w:rsidRDefault="00F64314">
      <w:pPr>
        <w:pStyle w:val="a1"/>
        <w:ind w:firstLine="480"/>
        <w:rPr>
          <w:rFonts w:ascii="Times New Roman" w:cs="Times New Roman"/>
        </w:rPr>
      </w:pPr>
      <w:r>
        <w:rPr>
          <w:rFonts w:hAnsi="宋体" w:hint="eastAsia"/>
        </w:rPr>
        <w:t>⑩</w:t>
      </w:r>
      <w:r>
        <w:rPr>
          <w:rFonts w:ascii="Times New Roman" w:cs="Times New Roman"/>
        </w:rPr>
        <w:t>对管道沿线的居民作好宣传，张贴《中华人民共和国石油天然气管道保护法》（中华人民共和国主席令第</w:t>
      </w:r>
      <w:r>
        <w:rPr>
          <w:rFonts w:ascii="Times New Roman" w:cs="Times New Roman"/>
        </w:rPr>
        <w:t>30</w:t>
      </w:r>
      <w:r>
        <w:rPr>
          <w:rFonts w:ascii="Times New Roman" w:cs="Times New Roman"/>
        </w:rPr>
        <w:t>号），加强居民认识。</w:t>
      </w:r>
    </w:p>
    <w:p w:rsidR="00BD5820" w:rsidRDefault="00F64314">
      <w:pPr>
        <w:pStyle w:val="a1"/>
        <w:ind w:firstLine="480"/>
        <w:rPr>
          <w:rFonts w:ascii="Times New Roman" w:cs="Times New Roman"/>
        </w:rPr>
      </w:pPr>
      <w:r>
        <w:rPr>
          <w:rFonts w:ascii="Cambria Math" w:hAnsi="Cambria Math" w:cs="Cambria Math"/>
        </w:rPr>
        <w:t>⑪</w:t>
      </w:r>
      <w:r>
        <w:rPr>
          <w:rFonts w:ascii="Times New Roman" w:cs="Times New Roman"/>
        </w:rPr>
        <w:t>建设单位设有应急抢、维修指挥中心，并在其下属各作业区设有抢、维修队伍和装备，但由于</w:t>
      </w:r>
      <w:r>
        <w:rPr>
          <w:rFonts w:ascii="Times New Roman" w:cs="Times New Roman" w:hint="eastAsia"/>
        </w:rPr>
        <w:t>本项目</w:t>
      </w:r>
      <w:r>
        <w:rPr>
          <w:rFonts w:ascii="Times New Roman" w:cs="Times New Roman"/>
        </w:rPr>
        <w:t>管道部分地处山区，路况较差，为能及时处理事故，营救伤员，建议配备性能优良的抢险车辆，保证事故后第一时间到达现场。</w:t>
      </w:r>
    </w:p>
    <w:p w:rsidR="00BD5820" w:rsidRDefault="00F64314">
      <w:pPr>
        <w:pStyle w:val="a1"/>
        <w:ind w:firstLine="480"/>
        <w:rPr>
          <w:rFonts w:ascii="Times New Roman" w:cs="Times New Roman"/>
        </w:rPr>
      </w:pPr>
      <w:r>
        <w:rPr>
          <w:rFonts w:ascii="Cambria Math" w:hAnsi="Cambria Math" w:cs="Cambria Math"/>
        </w:rPr>
        <w:t>⑫</w:t>
      </w:r>
      <w:r>
        <w:rPr>
          <w:rFonts w:ascii="Times New Roman" w:cs="Times New Roman"/>
        </w:rPr>
        <w:t>对管道两侧</w:t>
      </w:r>
      <w:r w:rsidR="00076395">
        <w:rPr>
          <w:rFonts w:ascii="Times New Roman" w:cs="Times New Roman" w:hint="eastAsia"/>
        </w:rPr>
        <w:t>15</w:t>
      </w:r>
      <w:r>
        <w:rPr>
          <w:rFonts w:ascii="Times New Roman" w:cs="Times New Roman"/>
        </w:rPr>
        <w:t>00m</w:t>
      </w:r>
      <w:r>
        <w:rPr>
          <w:rFonts w:ascii="Times New Roman" w:cs="Times New Roman"/>
        </w:rPr>
        <w:t>范围内的受管道风险事故影响的集中居民区和社会关注区的居民、医生、病人、教师、学生、风景区管理人员和游客等作好事故应急宣传，保证一旦发生天然气泄漏事故时，能作出正确反应。巡线工应加强集中居民区段和社会关注区段的巡线工作，发现隐患及时汇报和处理。</w:t>
      </w:r>
    </w:p>
    <w:p w:rsidR="00BD5820" w:rsidRDefault="00F64314">
      <w:pPr>
        <w:pStyle w:val="a1"/>
        <w:ind w:firstLine="480"/>
        <w:rPr>
          <w:rFonts w:ascii="Times New Roman" w:cs="Times New Roman"/>
        </w:rPr>
      </w:pPr>
      <w:r>
        <w:rPr>
          <w:rFonts w:ascii="Cambria Math" w:hAnsi="Cambria Math" w:cs="Cambria Math"/>
        </w:rPr>
        <w:t>⑬</w:t>
      </w:r>
      <w:r>
        <w:rPr>
          <w:rFonts w:ascii="Times New Roman" w:cs="Times New Roman"/>
        </w:rPr>
        <w:t>管道穿越林区时，应根据《森林防火条例》制定森林防火应急预案。如果管道穿孔或破裂后，泄漏天然气在林区段引发火灾时，应及时切断气源并同时联系当地消防部门灭火。</w:t>
      </w:r>
    </w:p>
    <w:p w:rsidR="00BD5820" w:rsidRDefault="00F64314">
      <w:pPr>
        <w:pStyle w:val="a1"/>
        <w:ind w:firstLine="480"/>
        <w:rPr>
          <w:rFonts w:ascii="Times New Roman" w:cs="Times New Roman"/>
        </w:rPr>
      </w:pPr>
      <w:r>
        <w:rPr>
          <w:rFonts w:ascii="Cambria Math" w:hAnsi="Cambria Math" w:cs="Cambria Math"/>
        </w:rPr>
        <w:t>⑭</w:t>
      </w:r>
      <w:r>
        <w:rPr>
          <w:rFonts w:ascii="Times New Roman" w:cs="Times New Roman"/>
        </w:rPr>
        <w:t>建设单位应随时保持与管道沿线县、区规划部门的联系，杜绝沿线乡镇建设过程中的占管、压管及其他破坏管道的活动，降低第三方破坏管道引发环境</w:t>
      </w:r>
      <w:r>
        <w:rPr>
          <w:rFonts w:ascii="Times New Roman" w:cs="Times New Roman"/>
        </w:rPr>
        <w:lastRenderedPageBreak/>
        <w:t>风险事故的可能性。</w:t>
      </w:r>
    </w:p>
    <w:p w:rsidR="00BD5820" w:rsidRDefault="00F64314">
      <w:pPr>
        <w:ind w:firstLine="482"/>
        <w:rPr>
          <w:rFonts w:ascii="Times New Roman" w:cs="Times New Roman"/>
          <w:b/>
          <w:bCs/>
        </w:rPr>
      </w:pPr>
      <w:r>
        <w:rPr>
          <w:rFonts w:ascii="Times New Roman" w:cs="Times New Roman"/>
          <w:b/>
          <w:bCs/>
        </w:rPr>
        <w:t>2</w:t>
      </w:r>
      <w:r>
        <w:rPr>
          <w:rFonts w:ascii="Times New Roman" w:cs="Times New Roman"/>
          <w:b/>
          <w:bCs/>
        </w:rPr>
        <w:t>、硫化氢泄漏的相关措施</w:t>
      </w:r>
    </w:p>
    <w:p w:rsidR="00BD5820" w:rsidRDefault="00F64314">
      <w:pPr>
        <w:pStyle w:val="affa"/>
        <w:ind w:firstLine="480"/>
      </w:pPr>
      <w:r>
        <w:rPr>
          <w:rFonts w:ascii="宋体" w:hAnsi="宋体" w:cs="宋体" w:hint="eastAsia"/>
        </w:rPr>
        <w:t>①</w:t>
      </w:r>
      <w:r>
        <w:t>制定应急救援预案并定期演练，出现事故后必须立即向当地政府报告，同时通知事故影响范围内的厂矿企业和居民立即撤离，并组织和协助当地政府作好事故影响范围内居民的疏散工作。根据当地情况，应立即组织周边居民向管道上风向方向进行撤离。考虑风向、地形、人口密度、受影响程度等情况及时作出风险和危害程度评估，决定是否扩大撤离范围。</w:t>
      </w:r>
    </w:p>
    <w:p w:rsidR="00BD5820" w:rsidRDefault="00F64314">
      <w:pPr>
        <w:pStyle w:val="affa"/>
        <w:ind w:firstLine="480"/>
      </w:pPr>
      <w:r>
        <w:rPr>
          <w:rFonts w:ascii="宋体" w:hAnsi="宋体" w:cs="宋体" w:hint="eastAsia"/>
        </w:rPr>
        <w:t>②</w:t>
      </w:r>
      <w:r>
        <w:t>确保项目的紧急切断装置保持正常状态，确保在事故状态下能够做到立即进行放空作业，以减缓硫化氢对周边环境造成的影响。</w:t>
      </w:r>
    </w:p>
    <w:p w:rsidR="00BD5820" w:rsidRDefault="00F64314">
      <w:pPr>
        <w:pStyle w:val="affa"/>
        <w:ind w:firstLine="480"/>
      </w:pPr>
      <w:r>
        <w:rPr>
          <w:rFonts w:ascii="宋体" w:hAnsi="宋体" w:cs="宋体" w:hint="eastAsia"/>
        </w:rPr>
        <w:t>③</w:t>
      </w:r>
      <w:r>
        <w:t>管线发生泄漏后，应在泄漏点下风向立即设置临时观察点，定时取样，监测（大气</w:t>
      </w:r>
      <w:r>
        <w:t>/</w:t>
      </w:r>
      <w:r>
        <w:t>空气）中的（天然气、硫化氢和二氧化碳含量</w:t>
      </w:r>
      <w:r>
        <w:t>/</w:t>
      </w:r>
      <w:r>
        <w:t>有毒有害气体（如</w:t>
      </w:r>
      <w:r>
        <w:t>H</w:t>
      </w:r>
      <w:r>
        <w:rPr>
          <w:vertAlign w:val="subscript"/>
        </w:rPr>
        <w:t>2</w:t>
      </w:r>
      <w:r>
        <w:t>S</w:t>
      </w:r>
      <w:r>
        <w:t>）的浓度），划分安全范围，并根据监测情况决定是否扩大撤离范围。</w:t>
      </w:r>
    </w:p>
    <w:p w:rsidR="00BD5820" w:rsidRDefault="00F64314">
      <w:pPr>
        <w:pStyle w:val="affa"/>
        <w:ind w:firstLine="480"/>
      </w:pPr>
      <w:r>
        <w:rPr>
          <w:rFonts w:ascii="宋体" w:hAnsi="宋体" w:cs="宋体" w:hint="eastAsia"/>
        </w:rPr>
        <w:t>④</w:t>
      </w:r>
      <w:r>
        <w:t>迅速成立现场抢险领导小组，根据失控状况制定抢险方案，统一指挥、组织和协调抢险工作。抢险方案制订及实施，要把环境保护同时考虑，同时实施，防止出现次生环境事故。</w:t>
      </w:r>
    </w:p>
    <w:p w:rsidR="00BD5820" w:rsidRDefault="00F64314">
      <w:pPr>
        <w:pStyle w:val="affa"/>
        <w:ind w:firstLine="482"/>
        <w:rPr>
          <w:b/>
          <w:bCs/>
        </w:rPr>
      </w:pPr>
      <w:r>
        <w:rPr>
          <w:b/>
          <w:bCs/>
        </w:rPr>
        <w:t>3</w:t>
      </w:r>
      <w:r>
        <w:rPr>
          <w:b/>
          <w:bCs/>
        </w:rPr>
        <w:t>、</w:t>
      </w:r>
      <w:r>
        <w:rPr>
          <w:rFonts w:hint="eastAsia"/>
          <w:b/>
          <w:bCs/>
        </w:rPr>
        <w:t>润滑油</w:t>
      </w:r>
      <w:r>
        <w:rPr>
          <w:b/>
          <w:bCs/>
        </w:rPr>
        <w:t>泄漏风险防范措施</w:t>
      </w:r>
    </w:p>
    <w:p w:rsidR="00BD5820" w:rsidRDefault="00F64314">
      <w:pPr>
        <w:pStyle w:val="affa"/>
        <w:ind w:firstLine="480"/>
        <w:rPr>
          <w:szCs w:val="24"/>
        </w:rPr>
      </w:pPr>
      <w:r>
        <w:rPr>
          <w:rFonts w:ascii="宋体" w:hAnsi="宋体" w:cs="宋体" w:hint="eastAsia"/>
          <w:szCs w:val="24"/>
        </w:rPr>
        <w:t>①</w:t>
      </w:r>
      <w:r>
        <w:rPr>
          <w:rFonts w:hint="eastAsia"/>
          <w:szCs w:val="24"/>
        </w:rPr>
        <w:t>润滑油储罐</w:t>
      </w:r>
      <w:r>
        <w:rPr>
          <w:szCs w:val="24"/>
        </w:rPr>
        <w:t>四周设置围堰</w:t>
      </w:r>
      <w:r>
        <w:rPr>
          <w:rFonts w:hint="eastAsia"/>
          <w:szCs w:val="24"/>
        </w:rPr>
        <w:t>，</w:t>
      </w:r>
      <w:r>
        <w:rPr>
          <w:szCs w:val="24"/>
        </w:rPr>
        <w:t>并进行防渗处理，避免泄漏物料进入环境。</w:t>
      </w:r>
    </w:p>
    <w:p w:rsidR="00BD5820" w:rsidRDefault="00F64314">
      <w:pPr>
        <w:pStyle w:val="affa"/>
        <w:ind w:firstLine="480"/>
        <w:rPr>
          <w:szCs w:val="24"/>
        </w:rPr>
      </w:pPr>
      <w:r>
        <w:rPr>
          <w:rFonts w:ascii="宋体" w:hAnsi="宋体" w:cs="宋体" w:hint="eastAsia"/>
          <w:szCs w:val="24"/>
        </w:rPr>
        <w:t>②</w:t>
      </w:r>
      <w:r>
        <w:rPr>
          <w:szCs w:val="24"/>
        </w:rPr>
        <w:t>做好日常安全检查，定期检测罐体的完好情况，避免</w:t>
      </w:r>
      <w:r>
        <w:rPr>
          <w:rFonts w:hint="eastAsia"/>
          <w:szCs w:val="24"/>
        </w:rPr>
        <w:t>润滑油</w:t>
      </w:r>
      <w:r>
        <w:rPr>
          <w:szCs w:val="24"/>
        </w:rPr>
        <w:t>泄漏导致环境风险事故。定期对储罐进行维护</w:t>
      </w:r>
      <w:r>
        <w:rPr>
          <w:rFonts w:hint="eastAsia"/>
          <w:szCs w:val="24"/>
        </w:rPr>
        <w:t>检修</w:t>
      </w:r>
      <w:r>
        <w:rPr>
          <w:szCs w:val="24"/>
        </w:rPr>
        <w:t>。</w:t>
      </w:r>
    </w:p>
    <w:p w:rsidR="00BD5820" w:rsidRDefault="00F64314">
      <w:pPr>
        <w:pStyle w:val="affa"/>
        <w:ind w:firstLine="480"/>
        <w:rPr>
          <w:szCs w:val="24"/>
        </w:rPr>
      </w:pPr>
      <w:r>
        <w:rPr>
          <w:rFonts w:ascii="宋体" w:hAnsi="宋体" w:cs="宋体" w:hint="eastAsia"/>
          <w:szCs w:val="24"/>
        </w:rPr>
        <w:t>③</w:t>
      </w:r>
      <w:r>
        <w:rPr>
          <w:szCs w:val="24"/>
        </w:rPr>
        <w:t>站场内按要求储备灭火毯、干沙等消防用品，可用作泄漏时吸收之用。</w:t>
      </w:r>
    </w:p>
    <w:p w:rsidR="00BD5820" w:rsidRDefault="00F64314">
      <w:pPr>
        <w:pStyle w:val="affa"/>
        <w:ind w:firstLine="480"/>
      </w:pPr>
      <w:r>
        <w:rPr>
          <w:rFonts w:ascii="宋体" w:hAnsi="宋体" w:cs="宋体" w:hint="eastAsia"/>
          <w:szCs w:val="24"/>
        </w:rPr>
        <w:t>④</w:t>
      </w:r>
      <w:r>
        <w:t>在发现</w:t>
      </w:r>
      <w:r>
        <w:rPr>
          <w:rFonts w:hint="eastAsia"/>
          <w:szCs w:val="24"/>
        </w:rPr>
        <w:t>润滑油储罐</w:t>
      </w:r>
      <w:r>
        <w:t>泄漏时立即进行截断，减小对地下水和土壤环境影响。</w:t>
      </w:r>
    </w:p>
    <w:p w:rsidR="00BD5820" w:rsidRDefault="00F64314">
      <w:pPr>
        <w:pStyle w:val="affa"/>
        <w:ind w:firstLine="482"/>
        <w:rPr>
          <w:b/>
          <w:bCs/>
        </w:rPr>
      </w:pPr>
      <w:r>
        <w:rPr>
          <w:rFonts w:hint="eastAsia"/>
          <w:b/>
          <w:bCs/>
        </w:rPr>
        <w:t>4</w:t>
      </w:r>
      <w:r>
        <w:rPr>
          <w:b/>
          <w:bCs/>
        </w:rPr>
        <w:t>、</w:t>
      </w:r>
      <w:r>
        <w:rPr>
          <w:rFonts w:hint="eastAsia"/>
          <w:b/>
          <w:bCs/>
        </w:rPr>
        <w:t>气田水</w:t>
      </w:r>
      <w:r>
        <w:rPr>
          <w:b/>
          <w:bCs/>
        </w:rPr>
        <w:t>泄漏风险防范措施</w:t>
      </w:r>
    </w:p>
    <w:p w:rsidR="00BD5820" w:rsidRDefault="00F64314">
      <w:pPr>
        <w:pStyle w:val="affa"/>
        <w:ind w:firstLine="480"/>
        <w:rPr>
          <w:szCs w:val="24"/>
        </w:rPr>
      </w:pPr>
      <w:r>
        <w:rPr>
          <w:rFonts w:ascii="宋体" w:hAnsi="宋体" w:cs="宋体" w:hint="eastAsia"/>
          <w:szCs w:val="24"/>
        </w:rPr>
        <w:t>①</w:t>
      </w:r>
      <w:r>
        <w:rPr>
          <w:szCs w:val="24"/>
        </w:rPr>
        <w:t>污水罐四周设置围堰</w:t>
      </w:r>
      <w:r>
        <w:rPr>
          <w:rFonts w:hint="eastAsia"/>
          <w:szCs w:val="24"/>
        </w:rPr>
        <w:t>，</w:t>
      </w:r>
      <w:r>
        <w:rPr>
          <w:szCs w:val="24"/>
        </w:rPr>
        <w:t>并进行防渗处理，避免泄漏物料进入环境。</w:t>
      </w:r>
    </w:p>
    <w:p w:rsidR="00BD5820" w:rsidRDefault="00F64314">
      <w:pPr>
        <w:pStyle w:val="affa"/>
        <w:ind w:firstLine="480"/>
        <w:rPr>
          <w:szCs w:val="24"/>
        </w:rPr>
      </w:pPr>
      <w:r>
        <w:rPr>
          <w:rFonts w:ascii="宋体" w:hAnsi="宋体" w:cs="宋体" w:hint="eastAsia"/>
          <w:szCs w:val="24"/>
        </w:rPr>
        <w:t>②</w:t>
      </w:r>
      <w:r>
        <w:rPr>
          <w:szCs w:val="24"/>
        </w:rPr>
        <w:t>做好日常安全检查，定期检测罐体的完好情况，避免</w:t>
      </w:r>
      <w:r>
        <w:rPr>
          <w:rFonts w:hint="eastAsia"/>
        </w:rPr>
        <w:t>气田水</w:t>
      </w:r>
      <w:r>
        <w:rPr>
          <w:szCs w:val="24"/>
        </w:rPr>
        <w:t>泄漏导致环境风险事故。定期检查</w:t>
      </w:r>
      <w:r>
        <w:rPr>
          <w:kern w:val="2"/>
          <w:szCs w:val="22"/>
        </w:rPr>
        <w:t>污水罐</w:t>
      </w:r>
      <w:r>
        <w:rPr>
          <w:szCs w:val="24"/>
        </w:rPr>
        <w:t>安全保护系统（如截断阀、安全阀等），使管道在超压时能够得到安全处理。</w:t>
      </w:r>
    </w:p>
    <w:p w:rsidR="00BD5820" w:rsidRDefault="00F64314">
      <w:pPr>
        <w:pStyle w:val="affa"/>
        <w:ind w:firstLine="480"/>
        <w:rPr>
          <w:szCs w:val="24"/>
        </w:rPr>
      </w:pPr>
      <w:r>
        <w:rPr>
          <w:rFonts w:ascii="宋体" w:hAnsi="宋体" w:cs="宋体" w:hint="eastAsia"/>
          <w:szCs w:val="24"/>
        </w:rPr>
        <w:t>③</w:t>
      </w:r>
      <w:r>
        <w:rPr>
          <w:szCs w:val="24"/>
        </w:rPr>
        <w:t>站场内按要求储备灭火毯、干沙等消防用品，可用作泄漏时吸收之用。</w:t>
      </w:r>
    </w:p>
    <w:p w:rsidR="00BD5820" w:rsidRDefault="00F64314">
      <w:pPr>
        <w:pStyle w:val="affa"/>
        <w:ind w:firstLine="480"/>
      </w:pPr>
      <w:r>
        <w:rPr>
          <w:rFonts w:ascii="宋体" w:hAnsi="宋体" w:cs="宋体" w:hint="eastAsia"/>
          <w:szCs w:val="24"/>
        </w:rPr>
        <w:t>④</w:t>
      </w:r>
      <w:r>
        <w:t>在发现</w:t>
      </w:r>
      <w:r>
        <w:rPr>
          <w:kern w:val="2"/>
          <w:szCs w:val="22"/>
        </w:rPr>
        <w:t>污水罐</w:t>
      </w:r>
      <w:r>
        <w:t>泄漏时立即进行截断，减小对地下水和土壤环境影响。</w:t>
      </w:r>
    </w:p>
    <w:p w:rsidR="00BD5820" w:rsidRDefault="00F64314">
      <w:pPr>
        <w:pStyle w:val="a1"/>
        <w:ind w:firstLine="482"/>
        <w:rPr>
          <w:rFonts w:ascii="Times New Roman" w:cs="Times New Roman"/>
          <w:b/>
        </w:rPr>
      </w:pPr>
      <w:r>
        <w:rPr>
          <w:rFonts w:ascii="Times New Roman" w:cs="Times New Roman" w:hint="eastAsia"/>
          <w:b/>
        </w:rPr>
        <w:t>5</w:t>
      </w:r>
      <w:r>
        <w:rPr>
          <w:rFonts w:ascii="Times New Roman" w:cs="Times New Roman"/>
          <w:b/>
        </w:rPr>
        <w:t>、特别强调的风险防范措施</w:t>
      </w:r>
    </w:p>
    <w:p w:rsidR="00BD5820" w:rsidRDefault="00F64314">
      <w:pPr>
        <w:pStyle w:val="affa"/>
        <w:ind w:firstLine="480"/>
      </w:pPr>
      <w:r>
        <w:rPr>
          <w:rFonts w:ascii="宋体" w:hAnsi="宋体" w:cs="宋体" w:hint="eastAsia"/>
        </w:rPr>
        <w:lastRenderedPageBreak/>
        <w:t>①</w:t>
      </w:r>
      <w:r>
        <w:rPr>
          <w:rFonts w:hint="eastAsia"/>
        </w:rPr>
        <w:t>本项目</w:t>
      </w:r>
      <w:r>
        <w:t>所属公司应建立健全的义务消防组织，熟悉灭火作战方案，定期组织演练。应定期对消防设施、消防器材和灭火剂进行检查。灭火剂应每年全面检查一次，并定期更换。</w:t>
      </w:r>
    </w:p>
    <w:p w:rsidR="00BD5820" w:rsidRDefault="00F64314">
      <w:pPr>
        <w:pStyle w:val="affa"/>
        <w:ind w:firstLine="480"/>
      </w:pPr>
      <w:r>
        <w:rPr>
          <w:rFonts w:ascii="宋体" w:hAnsi="宋体" w:cs="宋体" w:hint="eastAsia"/>
        </w:rPr>
        <w:t>②</w:t>
      </w:r>
      <w:r>
        <w:t>岗位值班人员和干部对消防器材和消防设备应作到懂原理、懂性能、懂结构、懂用途、会使用、会保养、会检查。</w:t>
      </w:r>
    </w:p>
    <w:p w:rsidR="00BD5820" w:rsidRDefault="00F64314">
      <w:pPr>
        <w:pStyle w:val="affa"/>
        <w:ind w:firstLine="480"/>
      </w:pPr>
      <w:r>
        <w:rPr>
          <w:rFonts w:ascii="宋体" w:hAnsi="宋体" w:cs="宋体" w:hint="eastAsia"/>
        </w:rPr>
        <w:t>③</w:t>
      </w:r>
      <w:r>
        <w:t>对管道沿线周围的居民做好事故应急宣传，以保证一旦发生天然气泄漏事故时，居民作出正确反应。</w:t>
      </w:r>
    </w:p>
    <w:p w:rsidR="00BD5820" w:rsidRDefault="00F64314">
      <w:pPr>
        <w:pStyle w:val="affa"/>
        <w:ind w:firstLine="480"/>
      </w:pPr>
      <w:r>
        <w:rPr>
          <w:rFonts w:ascii="宋体" w:hAnsi="宋体" w:cs="宋体" w:hint="eastAsia"/>
        </w:rPr>
        <w:t>④</w:t>
      </w:r>
      <w:r>
        <w:t>管道沿线人类活动频繁，管道沿线应标志清晰，巡线员定期巡线，发现危及管道安全的情况及时处理和汇报。</w:t>
      </w:r>
    </w:p>
    <w:p w:rsidR="00BD5820" w:rsidRDefault="00F64314">
      <w:pPr>
        <w:pStyle w:val="affa"/>
        <w:ind w:firstLine="480"/>
      </w:pPr>
      <w:r>
        <w:rPr>
          <w:rFonts w:ascii="宋体" w:hAnsi="宋体" w:cs="宋体" w:hint="eastAsia"/>
        </w:rPr>
        <w:t>⑤</w:t>
      </w:r>
      <w:r>
        <w:t>对管道沿线的居民作好宣传，张贴《中华人民共和国石油天然气管道保护法》，加强居民保护管道安全的知识和意识。</w:t>
      </w:r>
    </w:p>
    <w:p w:rsidR="00BD5820" w:rsidRDefault="00F64314">
      <w:pPr>
        <w:pStyle w:val="affa"/>
        <w:ind w:firstLine="480"/>
      </w:pPr>
      <w:r>
        <w:rPr>
          <w:rFonts w:ascii="宋体" w:hAnsi="宋体" w:cs="宋体" w:hint="eastAsia"/>
        </w:rPr>
        <w:t>⑥</w:t>
      </w:r>
      <w:r>
        <w:t>根据《石油天然气管道安全规程》的规定，管道使用单位应制定定期检验计划：除日常巡检外，一年至少一次外部检验，由使用单位专职人员进行；全面检验每五年一次，由专业检验单位承担。外部检验包括管道损伤、变形缺陷、管道防腐层、绝热层、管道附件、安全装置电法保护系统和管道标志桩、测试桩和标志牌等。</w:t>
      </w:r>
    </w:p>
    <w:p w:rsidR="00BD5820" w:rsidRDefault="00F64314">
      <w:pPr>
        <w:pStyle w:val="affa"/>
        <w:ind w:firstLine="480"/>
      </w:pPr>
      <w:r>
        <w:rPr>
          <w:rFonts w:ascii="宋体" w:hAnsi="宋体" w:cs="宋体" w:hint="eastAsia"/>
        </w:rPr>
        <w:t>⑦</w:t>
      </w:r>
      <w:r>
        <w:t>管道防腐设备、检测仪器、仪表，应实行专人专责制，必须定期检定和正确使用。</w:t>
      </w:r>
    </w:p>
    <w:p w:rsidR="00BD5820" w:rsidRDefault="00F64314">
      <w:pPr>
        <w:pStyle w:val="affa"/>
        <w:ind w:firstLine="480"/>
      </w:pPr>
      <w:r>
        <w:rPr>
          <w:rFonts w:ascii="宋体" w:hAnsi="宋体" w:cs="宋体" w:hint="eastAsia"/>
        </w:rPr>
        <w:t>⑧</w:t>
      </w:r>
      <w:r>
        <w:t>在今后的运营过程中，建设方必须保证沿线各标示装置、标示设施的完整，并对周边群众，可能涉及管线的施工单位、施工人员做好宣传教育工作；加强巡检工作，编制应急预案并按照预案内容进行定期演练，定期采用试压等方式检验管线的封闭性；同时还必须同开江县人民政府、规划部门、生态环境局等做好协调工作，避免将来在撤离范围内规划建设有人居住的建构筑物。</w:t>
      </w:r>
    </w:p>
    <w:p w:rsidR="00BD5820" w:rsidRDefault="00F64314">
      <w:pPr>
        <w:pStyle w:val="affa"/>
        <w:ind w:firstLine="480"/>
      </w:pPr>
      <w:r>
        <w:rPr>
          <w:rFonts w:ascii="宋体" w:hAnsi="宋体" w:cs="宋体" w:hint="eastAsia"/>
        </w:rPr>
        <w:t>⑨</w:t>
      </w:r>
      <w:r>
        <w:t>建设单位应与当地有关部门做好沟通，并加强对管线沿线居民对管线保护的宣传工作，特别是加强宣传《中华人民共和国石油天然气管道保护法》：在管道</w:t>
      </w:r>
      <w:r>
        <w:t>5m</w:t>
      </w:r>
      <w:r>
        <w:t>范围内不得</w:t>
      </w:r>
      <w:r>
        <w:t>“</w:t>
      </w:r>
      <w:r>
        <w:t>取土、挖塘、修渠、修建养殖水场，排放腐蚀性物质，堆放大宗物资，采石、盖房、建温室、垒家禽棚圈、修筑其它建筑物、构筑物或者种植深根植物</w:t>
      </w:r>
      <w:r>
        <w:t>”</w:t>
      </w:r>
      <w:r>
        <w:t>的宣传。</w:t>
      </w:r>
    </w:p>
    <w:p w:rsidR="00BD5820" w:rsidRDefault="00F64314">
      <w:pPr>
        <w:pStyle w:val="2"/>
        <w:spacing w:before="120"/>
        <w:rPr>
          <w:rFonts w:cs="Times New Roman"/>
        </w:rPr>
      </w:pPr>
      <w:bookmarkStart w:id="471" w:name="_Toc12839"/>
      <w:r>
        <w:rPr>
          <w:rFonts w:cs="Times New Roman"/>
        </w:rPr>
        <w:lastRenderedPageBreak/>
        <w:t xml:space="preserve">7.10 </w:t>
      </w:r>
      <w:r>
        <w:rPr>
          <w:rFonts w:cs="Times New Roman"/>
        </w:rPr>
        <w:t>事故应急预案</w:t>
      </w:r>
      <w:bookmarkEnd w:id="471"/>
    </w:p>
    <w:p w:rsidR="00BD5820" w:rsidRDefault="00F64314">
      <w:pPr>
        <w:pStyle w:val="3"/>
        <w:rPr>
          <w:rFonts w:eastAsia="宋体"/>
        </w:rPr>
      </w:pPr>
      <w:bookmarkStart w:id="472" w:name="_Toc12288761"/>
      <w:bookmarkStart w:id="473" w:name="_Toc19816116"/>
      <w:r>
        <w:rPr>
          <w:rFonts w:eastAsia="宋体"/>
        </w:rPr>
        <w:t>7.10.1</w:t>
      </w:r>
      <w:bookmarkEnd w:id="472"/>
      <w:bookmarkEnd w:id="473"/>
      <w:r>
        <w:rPr>
          <w:rFonts w:eastAsia="宋体"/>
        </w:rPr>
        <w:t xml:space="preserve"> </w:t>
      </w:r>
      <w:r>
        <w:rPr>
          <w:rFonts w:eastAsia="宋体"/>
        </w:rPr>
        <w:t>普光分公司应急预案体系介绍</w:t>
      </w:r>
    </w:p>
    <w:p w:rsidR="00BD5820" w:rsidRDefault="00F64314">
      <w:pPr>
        <w:ind w:firstLine="482"/>
        <w:rPr>
          <w:rFonts w:ascii="Times New Roman" w:cs="Times New Roman"/>
          <w:b/>
        </w:rPr>
      </w:pPr>
      <w:r>
        <w:rPr>
          <w:rFonts w:ascii="Times New Roman" w:cs="Times New Roman"/>
          <w:b/>
        </w:rPr>
        <w:t>1</w:t>
      </w:r>
      <w:r>
        <w:rPr>
          <w:rFonts w:ascii="Times New Roman" w:cs="Times New Roman"/>
          <w:b/>
        </w:rPr>
        <w:t>、备案情况</w:t>
      </w:r>
    </w:p>
    <w:p w:rsidR="00BD5820" w:rsidRDefault="00F64314">
      <w:pPr>
        <w:pStyle w:val="affa"/>
        <w:ind w:firstLine="480"/>
      </w:pPr>
      <w:r>
        <w:t>中原油田普光分公司编制有《中原油田普光分公司环境应急预案（</w:t>
      </w:r>
      <w:r>
        <w:t>20</w:t>
      </w:r>
      <w:r>
        <w:rPr>
          <w:rFonts w:hint="eastAsia"/>
        </w:rPr>
        <w:t>21</w:t>
      </w:r>
      <w:r>
        <w:t>年</w:t>
      </w:r>
      <w:r>
        <w:rPr>
          <w:rFonts w:hint="eastAsia"/>
        </w:rPr>
        <w:t>6</w:t>
      </w:r>
      <w:r>
        <w:t>月》，</w:t>
      </w:r>
      <w:r>
        <w:t>20</w:t>
      </w:r>
      <w:r>
        <w:rPr>
          <w:rFonts w:hint="eastAsia"/>
        </w:rPr>
        <w:t>21</w:t>
      </w:r>
      <w:r>
        <w:t>年</w:t>
      </w:r>
      <w:r>
        <w:rPr>
          <w:rFonts w:hint="eastAsia"/>
        </w:rPr>
        <w:t>6</w:t>
      </w:r>
      <w:r>
        <w:t>月</w:t>
      </w:r>
      <w:r>
        <w:rPr>
          <w:rFonts w:hint="eastAsia"/>
        </w:rPr>
        <w:t>6</w:t>
      </w:r>
      <w:r>
        <w:t>日，</w:t>
      </w:r>
      <w:r w:rsidRPr="005A638B">
        <w:rPr>
          <w:color w:val="FF0000"/>
        </w:rPr>
        <w:t>达州市</w:t>
      </w:r>
      <w:r w:rsidR="005A638B" w:rsidRPr="005A638B">
        <w:rPr>
          <w:rFonts w:hint="eastAsia"/>
          <w:color w:val="FF0000"/>
        </w:rPr>
        <w:t>宣汉</w:t>
      </w:r>
      <w:r w:rsidR="005A638B" w:rsidRPr="005A638B">
        <w:rPr>
          <w:color w:val="FF0000"/>
        </w:rPr>
        <w:t>生态环境</w:t>
      </w:r>
      <w:r w:rsidRPr="005A638B">
        <w:rPr>
          <w:color w:val="FF0000"/>
        </w:rPr>
        <w:t>局</w:t>
      </w:r>
      <w:r>
        <w:t>同意备案（备案号：</w:t>
      </w:r>
      <w:r>
        <w:t>511722-20</w:t>
      </w:r>
      <w:r>
        <w:rPr>
          <w:rFonts w:hint="eastAsia"/>
        </w:rPr>
        <w:t>21</w:t>
      </w:r>
      <w:r>
        <w:t>-0</w:t>
      </w:r>
      <w:r>
        <w:rPr>
          <w:rFonts w:hint="eastAsia"/>
        </w:rPr>
        <w:t>12</w:t>
      </w:r>
      <w:r>
        <w:t>-L</w:t>
      </w:r>
      <w:r>
        <w:t>），详见附件。</w:t>
      </w:r>
    </w:p>
    <w:p w:rsidR="00BD5820" w:rsidRDefault="00F64314">
      <w:pPr>
        <w:pStyle w:val="a1"/>
        <w:ind w:firstLine="482"/>
        <w:rPr>
          <w:rFonts w:ascii="Times New Roman" w:cs="Times New Roman"/>
          <w:b/>
        </w:rPr>
      </w:pPr>
      <w:bookmarkStart w:id="474" w:name="_Toc12288762"/>
      <w:r>
        <w:rPr>
          <w:rFonts w:ascii="Times New Roman" w:cs="Times New Roman"/>
          <w:b/>
        </w:rPr>
        <w:t>2</w:t>
      </w:r>
      <w:r>
        <w:rPr>
          <w:rFonts w:ascii="Times New Roman" w:cs="Times New Roman"/>
          <w:b/>
        </w:rPr>
        <w:t>、</w:t>
      </w:r>
      <w:bookmarkEnd w:id="474"/>
      <w:r>
        <w:rPr>
          <w:rFonts w:ascii="Times New Roman" w:cs="Times New Roman"/>
          <w:b/>
        </w:rPr>
        <w:t>应急预案体系</w:t>
      </w:r>
    </w:p>
    <w:p w:rsidR="00BD5820" w:rsidRDefault="00F64314">
      <w:pPr>
        <w:pStyle w:val="a1"/>
        <w:ind w:firstLine="482"/>
        <w:rPr>
          <w:rFonts w:ascii="Times New Roman" w:cs="Times New Roman"/>
          <w:b/>
        </w:rPr>
      </w:pPr>
      <w:r>
        <w:rPr>
          <w:rFonts w:ascii="Times New Roman" w:cs="Times New Roman"/>
          <w:b/>
        </w:rPr>
        <w:t>（</w:t>
      </w:r>
      <w:r>
        <w:rPr>
          <w:rFonts w:ascii="Times New Roman" w:cs="Times New Roman"/>
          <w:b/>
        </w:rPr>
        <w:t>1</w:t>
      </w:r>
      <w:r>
        <w:rPr>
          <w:rFonts w:ascii="Times New Roman" w:cs="Times New Roman"/>
          <w:b/>
        </w:rPr>
        <w:t>）体系介绍</w:t>
      </w:r>
    </w:p>
    <w:p w:rsidR="00BD5820" w:rsidRDefault="00F64314">
      <w:pPr>
        <w:pStyle w:val="a1"/>
        <w:ind w:firstLine="480"/>
        <w:rPr>
          <w:rFonts w:ascii="Times New Roman" w:cs="Times New Roman"/>
          <w:bCs/>
        </w:rPr>
      </w:pPr>
      <w:r>
        <w:rPr>
          <w:rFonts w:ascii="Times New Roman" w:cs="Times New Roman"/>
          <w:bCs/>
        </w:rPr>
        <w:t>普光分公司应急预案体系见图</w:t>
      </w:r>
      <w:r>
        <w:rPr>
          <w:rFonts w:ascii="Times New Roman" w:cs="Times New Roman"/>
          <w:bCs/>
        </w:rPr>
        <w:t>7.10-1</w:t>
      </w:r>
      <w:r>
        <w:rPr>
          <w:rFonts w:ascii="Times New Roman" w:cs="Times New Roman"/>
          <w:bCs/>
        </w:rPr>
        <w:t>。</w:t>
      </w:r>
    </w:p>
    <w:p w:rsidR="00BD5820" w:rsidRDefault="00F64314">
      <w:pPr>
        <w:pStyle w:val="10"/>
        <w:rPr>
          <w:rFonts w:cs="Times New Roman"/>
        </w:rPr>
      </w:pPr>
      <w:r>
        <w:rPr>
          <w:rFonts w:cs="Times New Roman"/>
          <w:noProof/>
        </w:rPr>
        <w:drawing>
          <wp:inline distT="0" distB="0" distL="0" distR="0">
            <wp:extent cx="4137660" cy="2641600"/>
            <wp:effectExtent l="19050" t="0" r="0" b="0"/>
            <wp:docPr id="61"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7"/>
                    <pic:cNvPicPr>
                      <a:picLocks noChangeAspect="1" noChangeArrowheads="1"/>
                    </pic:cNvPicPr>
                  </pic:nvPicPr>
                  <pic:blipFill>
                    <a:blip r:embed="rId114" cstate="print"/>
                    <a:srcRect/>
                    <a:stretch>
                      <a:fillRect/>
                    </a:stretch>
                  </pic:blipFill>
                  <pic:spPr>
                    <a:xfrm>
                      <a:off x="0" y="0"/>
                      <a:ext cx="4137660" cy="2641600"/>
                    </a:xfrm>
                    <a:prstGeom prst="rect">
                      <a:avLst/>
                    </a:prstGeom>
                    <a:noFill/>
                    <a:ln w="9525">
                      <a:noFill/>
                      <a:miter lim="800000"/>
                      <a:headEnd/>
                      <a:tailEnd/>
                    </a:ln>
                  </pic:spPr>
                </pic:pic>
              </a:graphicData>
            </a:graphic>
          </wp:inline>
        </w:drawing>
      </w:r>
      <w:r>
        <w:rPr>
          <w:rFonts w:cs="Times New Roman"/>
        </w:rPr>
        <w:t xml:space="preserve"> </w:t>
      </w:r>
    </w:p>
    <w:p w:rsidR="00BD5820" w:rsidRDefault="00F64314">
      <w:pPr>
        <w:pStyle w:val="10"/>
        <w:rPr>
          <w:rFonts w:cs="Times New Roman"/>
        </w:rPr>
      </w:pPr>
      <w:bookmarkStart w:id="475" w:name="_Ref524704207"/>
      <w:r>
        <w:rPr>
          <w:rFonts w:cs="Times New Roman"/>
        </w:rPr>
        <w:t>图</w:t>
      </w:r>
      <w:r>
        <w:rPr>
          <w:rFonts w:cs="Times New Roman" w:hint="eastAsia"/>
        </w:rPr>
        <w:t>7</w:t>
      </w:r>
      <w:r>
        <w:rPr>
          <w:rFonts w:cs="Times New Roman"/>
        </w:rPr>
        <w:t>.10</w:t>
      </w:r>
      <w:r>
        <w:rPr>
          <w:rFonts w:cs="Times New Roman"/>
        </w:rPr>
        <w:noBreakHyphen/>
      </w:r>
      <w:r w:rsidR="00EA3750">
        <w:rPr>
          <w:rFonts w:cs="Times New Roman"/>
        </w:rPr>
        <w:fldChar w:fldCharType="begin"/>
      </w:r>
      <w:r>
        <w:rPr>
          <w:rFonts w:cs="Times New Roman"/>
        </w:rPr>
        <w:instrText xml:space="preserve"> SEQ </w:instrText>
      </w:r>
      <w:r>
        <w:rPr>
          <w:rFonts w:cs="Times New Roman"/>
        </w:rPr>
        <w:instrText>图</w:instrText>
      </w:r>
      <w:r>
        <w:rPr>
          <w:rFonts w:cs="Times New Roman"/>
        </w:rPr>
        <w:instrText xml:space="preserve"> \* ARABIC \s 1 </w:instrText>
      </w:r>
      <w:r w:rsidR="00EA3750">
        <w:rPr>
          <w:rFonts w:cs="Times New Roman"/>
        </w:rPr>
        <w:fldChar w:fldCharType="separate"/>
      </w:r>
      <w:r w:rsidR="00EC0676">
        <w:rPr>
          <w:rFonts w:cs="Times New Roman"/>
          <w:noProof/>
        </w:rPr>
        <w:t>1</w:t>
      </w:r>
      <w:r w:rsidR="00EA3750">
        <w:rPr>
          <w:rFonts w:cs="Times New Roman"/>
        </w:rPr>
        <w:fldChar w:fldCharType="end"/>
      </w:r>
      <w:bookmarkEnd w:id="475"/>
      <w:r>
        <w:rPr>
          <w:rFonts w:cs="Times New Roman"/>
        </w:rPr>
        <w:t xml:space="preserve">  </w:t>
      </w:r>
      <w:r>
        <w:rPr>
          <w:rFonts w:cs="Times New Roman"/>
        </w:rPr>
        <w:t>普光分公司应急预案体系图</w:t>
      </w:r>
    </w:p>
    <w:p w:rsidR="00BD5820" w:rsidRDefault="00F64314">
      <w:pPr>
        <w:pStyle w:val="affa"/>
        <w:ind w:firstLine="480"/>
      </w:pPr>
      <w:r>
        <w:t>专项应急预案包括高含</w:t>
      </w:r>
      <w:r>
        <w:t>H</w:t>
      </w:r>
      <w:r>
        <w:rPr>
          <w:vertAlign w:val="subscript"/>
        </w:rPr>
        <w:t>2</w:t>
      </w:r>
      <w:r>
        <w:t>S</w:t>
      </w:r>
      <w:r>
        <w:t>泄漏环境应急预案、火灾爆炸环境应急预案、水体环境污染应急预案、大气环境污染应急预案等。此外，普光分公司应急救援中心还编制了水体污染事件环境应急监测预案和</w:t>
      </w:r>
      <w:r>
        <w:t>H</w:t>
      </w:r>
      <w:r>
        <w:rPr>
          <w:vertAlign w:val="subscript"/>
        </w:rPr>
        <w:t>2</w:t>
      </w:r>
      <w:r>
        <w:t>S</w:t>
      </w:r>
      <w:r>
        <w:t>泄漏应急监测预案。</w:t>
      </w:r>
    </w:p>
    <w:p w:rsidR="00BD5820" w:rsidRDefault="00F64314">
      <w:pPr>
        <w:pStyle w:val="a1"/>
        <w:ind w:firstLine="482"/>
        <w:rPr>
          <w:rFonts w:ascii="Times New Roman" w:cs="Times New Roman"/>
          <w:b/>
        </w:rPr>
      </w:pPr>
      <w:r>
        <w:rPr>
          <w:rFonts w:ascii="Times New Roman" w:cs="Times New Roman"/>
          <w:b/>
        </w:rPr>
        <w:t>（</w:t>
      </w:r>
      <w:r>
        <w:rPr>
          <w:rFonts w:ascii="Times New Roman" w:cs="Times New Roman"/>
          <w:b/>
        </w:rPr>
        <w:t>2</w:t>
      </w:r>
      <w:r>
        <w:rPr>
          <w:rFonts w:ascii="Times New Roman" w:cs="Times New Roman"/>
          <w:b/>
        </w:rPr>
        <w:t>）普光分公司应急预案</w:t>
      </w:r>
    </w:p>
    <w:p w:rsidR="00BD5820" w:rsidRDefault="00F64314">
      <w:pPr>
        <w:pStyle w:val="affa"/>
        <w:ind w:firstLine="480"/>
      </w:pPr>
      <w:r>
        <w:t>普光分公司综合应急预案框架见</w:t>
      </w:r>
      <w:fldSimple w:instr=" REF _Ref473017352 \h  \* MERGEFORMAT ">
        <w:r w:rsidR="00EC0676">
          <w:t>图</w:t>
        </w:r>
        <w:r w:rsidR="00EC0676">
          <w:rPr>
            <w:rFonts w:hint="eastAsia"/>
          </w:rPr>
          <w:t>7</w:t>
        </w:r>
        <w:r w:rsidR="00EC0676">
          <w:t>.10</w:t>
        </w:r>
        <w:r w:rsidR="00EC0676">
          <w:noBreakHyphen/>
          <w:t>2</w:t>
        </w:r>
      </w:fldSimple>
      <w:r>
        <w:t>，普光分公司专项应急预案框架见</w:t>
      </w:r>
      <w:fldSimple w:instr=" REF _Ref473017362 \h  \* MERGEFORMAT ">
        <w:r w:rsidR="00EC0676">
          <w:t>图</w:t>
        </w:r>
        <w:r w:rsidR="00EC0676">
          <w:rPr>
            <w:rFonts w:hint="eastAsia"/>
          </w:rPr>
          <w:t>7</w:t>
        </w:r>
        <w:r w:rsidR="00EC0676">
          <w:t>.10</w:t>
        </w:r>
        <w:r w:rsidR="00EC0676">
          <w:noBreakHyphen/>
          <w:t>3</w:t>
        </w:r>
      </w:fldSimple>
      <w:r>
        <w:t>。</w:t>
      </w:r>
    </w:p>
    <w:p w:rsidR="00BD5820" w:rsidRDefault="00F64314">
      <w:pPr>
        <w:pStyle w:val="10"/>
        <w:rPr>
          <w:rFonts w:cs="Times New Roman"/>
        </w:rPr>
      </w:pPr>
      <w:r>
        <w:rPr>
          <w:rFonts w:cs="Times New Roman"/>
          <w:noProof/>
        </w:rPr>
        <w:lastRenderedPageBreak/>
        <w:drawing>
          <wp:inline distT="0" distB="0" distL="0" distR="0">
            <wp:extent cx="5273675" cy="5883275"/>
            <wp:effectExtent l="19050" t="0" r="3175" b="0"/>
            <wp:docPr id="62" name="图片 28" descr="综合应急预案框架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28" descr="综合应急预案框架图.jpg"/>
                    <pic:cNvPicPr>
                      <a:picLocks noChangeAspect="1" noChangeArrowheads="1"/>
                    </pic:cNvPicPr>
                  </pic:nvPicPr>
                  <pic:blipFill>
                    <a:blip r:embed="rId115" cstate="print"/>
                    <a:srcRect/>
                    <a:stretch>
                      <a:fillRect/>
                    </a:stretch>
                  </pic:blipFill>
                  <pic:spPr>
                    <a:xfrm>
                      <a:off x="0" y="0"/>
                      <a:ext cx="5273675" cy="5883275"/>
                    </a:xfrm>
                    <a:prstGeom prst="rect">
                      <a:avLst/>
                    </a:prstGeom>
                    <a:noFill/>
                    <a:ln w="9525">
                      <a:noFill/>
                      <a:miter lim="800000"/>
                      <a:headEnd/>
                      <a:tailEnd/>
                    </a:ln>
                  </pic:spPr>
                </pic:pic>
              </a:graphicData>
            </a:graphic>
          </wp:inline>
        </w:drawing>
      </w:r>
    </w:p>
    <w:p w:rsidR="00BD5820" w:rsidRDefault="00F64314">
      <w:pPr>
        <w:pStyle w:val="10"/>
        <w:rPr>
          <w:rFonts w:cs="Times New Roman"/>
        </w:rPr>
      </w:pPr>
      <w:bookmarkStart w:id="476" w:name="_Ref473017352"/>
      <w:r>
        <w:rPr>
          <w:rFonts w:cs="Times New Roman"/>
        </w:rPr>
        <w:t>图</w:t>
      </w:r>
      <w:r>
        <w:rPr>
          <w:rFonts w:cs="Times New Roman" w:hint="eastAsia"/>
        </w:rPr>
        <w:t>7</w:t>
      </w:r>
      <w:r>
        <w:rPr>
          <w:rFonts w:cs="Times New Roman"/>
        </w:rPr>
        <w:t>.10</w:t>
      </w:r>
      <w:r>
        <w:rPr>
          <w:rFonts w:cs="Times New Roman"/>
        </w:rPr>
        <w:noBreakHyphen/>
      </w:r>
      <w:r w:rsidR="00EA3750">
        <w:rPr>
          <w:rFonts w:cs="Times New Roman"/>
        </w:rPr>
        <w:fldChar w:fldCharType="begin"/>
      </w:r>
      <w:r>
        <w:rPr>
          <w:rFonts w:cs="Times New Roman"/>
        </w:rPr>
        <w:instrText xml:space="preserve"> SEQ </w:instrText>
      </w:r>
      <w:r>
        <w:rPr>
          <w:rFonts w:cs="Times New Roman"/>
        </w:rPr>
        <w:instrText>图</w:instrText>
      </w:r>
      <w:r>
        <w:rPr>
          <w:rFonts w:cs="Times New Roman"/>
        </w:rPr>
        <w:instrText xml:space="preserve"> \* ARABIC \s 1 </w:instrText>
      </w:r>
      <w:r w:rsidR="00EA3750">
        <w:rPr>
          <w:rFonts w:cs="Times New Roman"/>
        </w:rPr>
        <w:fldChar w:fldCharType="separate"/>
      </w:r>
      <w:r w:rsidR="00EC0676">
        <w:rPr>
          <w:rFonts w:cs="Times New Roman"/>
          <w:noProof/>
        </w:rPr>
        <w:t>2</w:t>
      </w:r>
      <w:r w:rsidR="00EA3750">
        <w:rPr>
          <w:rFonts w:cs="Times New Roman"/>
        </w:rPr>
        <w:fldChar w:fldCharType="end"/>
      </w:r>
      <w:bookmarkEnd w:id="476"/>
      <w:r>
        <w:rPr>
          <w:rFonts w:cs="Times New Roman"/>
        </w:rPr>
        <w:t xml:space="preserve">  </w:t>
      </w:r>
      <w:r>
        <w:rPr>
          <w:rFonts w:cs="Times New Roman"/>
        </w:rPr>
        <w:t>普光分公司综合应急预案框架图</w:t>
      </w:r>
    </w:p>
    <w:p w:rsidR="00BD5820" w:rsidRDefault="00F64314">
      <w:pPr>
        <w:pStyle w:val="10"/>
        <w:rPr>
          <w:rFonts w:cs="Times New Roman"/>
        </w:rPr>
      </w:pPr>
      <w:r>
        <w:rPr>
          <w:rFonts w:cs="Times New Roman"/>
          <w:noProof/>
        </w:rPr>
        <w:lastRenderedPageBreak/>
        <w:drawing>
          <wp:inline distT="0" distB="0" distL="0" distR="0">
            <wp:extent cx="5144770" cy="5754370"/>
            <wp:effectExtent l="19050" t="0" r="0" b="0"/>
            <wp:docPr id="63" name="图片 33" descr="应急预案结构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3" descr="应急预案结构图.jpg"/>
                    <pic:cNvPicPr>
                      <a:picLocks noChangeAspect="1" noChangeArrowheads="1"/>
                    </pic:cNvPicPr>
                  </pic:nvPicPr>
                  <pic:blipFill>
                    <a:blip r:embed="rId116" cstate="print"/>
                    <a:srcRect/>
                    <a:stretch>
                      <a:fillRect/>
                    </a:stretch>
                  </pic:blipFill>
                  <pic:spPr>
                    <a:xfrm>
                      <a:off x="0" y="0"/>
                      <a:ext cx="5144770" cy="5754370"/>
                    </a:xfrm>
                    <a:prstGeom prst="rect">
                      <a:avLst/>
                    </a:prstGeom>
                    <a:noFill/>
                    <a:ln w="9525">
                      <a:noFill/>
                      <a:miter lim="800000"/>
                      <a:headEnd/>
                      <a:tailEnd/>
                    </a:ln>
                  </pic:spPr>
                </pic:pic>
              </a:graphicData>
            </a:graphic>
          </wp:inline>
        </w:drawing>
      </w:r>
    </w:p>
    <w:p w:rsidR="00BD5820" w:rsidRDefault="00F64314">
      <w:pPr>
        <w:pStyle w:val="10"/>
        <w:rPr>
          <w:rFonts w:cs="Times New Roman"/>
        </w:rPr>
      </w:pPr>
      <w:bookmarkStart w:id="477" w:name="_Ref473017362"/>
      <w:r>
        <w:rPr>
          <w:rFonts w:cs="Times New Roman"/>
        </w:rPr>
        <w:t>图</w:t>
      </w:r>
      <w:r>
        <w:rPr>
          <w:rFonts w:cs="Times New Roman" w:hint="eastAsia"/>
        </w:rPr>
        <w:t>7</w:t>
      </w:r>
      <w:r>
        <w:rPr>
          <w:rFonts w:cs="Times New Roman"/>
        </w:rPr>
        <w:t>.10</w:t>
      </w:r>
      <w:r>
        <w:rPr>
          <w:rFonts w:cs="Times New Roman"/>
        </w:rPr>
        <w:noBreakHyphen/>
      </w:r>
      <w:r w:rsidR="00EA3750">
        <w:rPr>
          <w:rFonts w:cs="Times New Roman"/>
        </w:rPr>
        <w:fldChar w:fldCharType="begin"/>
      </w:r>
      <w:r>
        <w:rPr>
          <w:rFonts w:cs="Times New Roman"/>
        </w:rPr>
        <w:instrText xml:space="preserve"> SEQ </w:instrText>
      </w:r>
      <w:r>
        <w:rPr>
          <w:rFonts w:cs="Times New Roman"/>
        </w:rPr>
        <w:instrText>图</w:instrText>
      </w:r>
      <w:r>
        <w:rPr>
          <w:rFonts w:cs="Times New Roman"/>
        </w:rPr>
        <w:instrText xml:space="preserve"> \* ARABIC \s 1 </w:instrText>
      </w:r>
      <w:r w:rsidR="00EA3750">
        <w:rPr>
          <w:rFonts w:cs="Times New Roman"/>
        </w:rPr>
        <w:fldChar w:fldCharType="separate"/>
      </w:r>
      <w:r w:rsidR="00EC0676">
        <w:rPr>
          <w:rFonts w:cs="Times New Roman"/>
          <w:noProof/>
        </w:rPr>
        <w:t>3</w:t>
      </w:r>
      <w:r w:rsidR="00EA3750">
        <w:rPr>
          <w:rFonts w:cs="Times New Roman"/>
        </w:rPr>
        <w:fldChar w:fldCharType="end"/>
      </w:r>
      <w:bookmarkEnd w:id="477"/>
      <w:r>
        <w:rPr>
          <w:rFonts w:cs="Times New Roman"/>
        </w:rPr>
        <w:t xml:space="preserve">  </w:t>
      </w:r>
      <w:r>
        <w:rPr>
          <w:rFonts w:cs="Times New Roman"/>
        </w:rPr>
        <w:t>普光分公司专项应急预案框架图</w:t>
      </w:r>
    </w:p>
    <w:p w:rsidR="00BD5820" w:rsidRDefault="00F64314">
      <w:pPr>
        <w:pStyle w:val="a1"/>
        <w:ind w:firstLine="482"/>
        <w:rPr>
          <w:rFonts w:ascii="Times New Roman" w:cs="Times New Roman"/>
          <w:b/>
        </w:rPr>
      </w:pPr>
      <w:r>
        <w:rPr>
          <w:rFonts w:ascii="Times New Roman" w:cs="Times New Roman"/>
          <w:b/>
        </w:rPr>
        <w:t>3</w:t>
      </w:r>
      <w:r>
        <w:rPr>
          <w:rFonts w:ascii="Times New Roman" w:cs="Times New Roman"/>
          <w:b/>
        </w:rPr>
        <w:t>、普光分公司应急组织机构</w:t>
      </w:r>
    </w:p>
    <w:p w:rsidR="00BD5820" w:rsidRDefault="00F64314">
      <w:pPr>
        <w:pStyle w:val="10"/>
        <w:rPr>
          <w:rFonts w:cs="Times New Roman"/>
        </w:rPr>
      </w:pPr>
      <w:r>
        <w:rPr>
          <w:rFonts w:cs="Times New Roman"/>
          <w:noProof/>
        </w:rPr>
        <w:lastRenderedPageBreak/>
        <w:drawing>
          <wp:inline distT="0" distB="0" distL="0" distR="0">
            <wp:extent cx="5273675" cy="4202430"/>
            <wp:effectExtent l="19050" t="0" r="3175" b="0"/>
            <wp:docPr id="64"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6"/>
                    <pic:cNvPicPr>
                      <a:picLocks noChangeAspect="1" noChangeArrowheads="1"/>
                    </pic:cNvPicPr>
                  </pic:nvPicPr>
                  <pic:blipFill>
                    <a:blip r:embed="rId117" cstate="print"/>
                    <a:srcRect/>
                    <a:stretch>
                      <a:fillRect/>
                    </a:stretch>
                  </pic:blipFill>
                  <pic:spPr>
                    <a:xfrm>
                      <a:off x="0" y="0"/>
                      <a:ext cx="5273675" cy="4202430"/>
                    </a:xfrm>
                    <a:prstGeom prst="rect">
                      <a:avLst/>
                    </a:prstGeom>
                    <a:noFill/>
                    <a:ln w="9525">
                      <a:noFill/>
                      <a:miter lim="800000"/>
                      <a:headEnd/>
                      <a:tailEnd/>
                    </a:ln>
                  </pic:spPr>
                </pic:pic>
              </a:graphicData>
            </a:graphic>
          </wp:inline>
        </w:drawing>
      </w:r>
    </w:p>
    <w:p w:rsidR="00BD5820" w:rsidRDefault="00F64314">
      <w:pPr>
        <w:pStyle w:val="10"/>
        <w:rPr>
          <w:rFonts w:cs="Times New Roman"/>
        </w:rPr>
      </w:pPr>
      <w:bookmarkStart w:id="478" w:name="_Ref524448984"/>
      <w:r>
        <w:rPr>
          <w:rFonts w:cs="Times New Roman"/>
        </w:rPr>
        <w:t>图</w:t>
      </w:r>
      <w:r>
        <w:rPr>
          <w:rFonts w:cs="Times New Roman" w:hint="eastAsia"/>
        </w:rPr>
        <w:t>7</w:t>
      </w:r>
      <w:r>
        <w:rPr>
          <w:rFonts w:cs="Times New Roman"/>
        </w:rPr>
        <w:t>.10</w:t>
      </w:r>
      <w:r>
        <w:rPr>
          <w:rFonts w:cs="Times New Roman"/>
        </w:rPr>
        <w:noBreakHyphen/>
      </w:r>
      <w:r w:rsidR="00EA3750">
        <w:rPr>
          <w:rFonts w:cs="Times New Roman"/>
        </w:rPr>
        <w:fldChar w:fldCharType="begin"/>
      </w:r>
      <w:r>
        <w:rPr>
          <w:rFonts w:cs="Times New Roman"/>
        </w:rPr>
        <w:instrText xml:space="preserve"> SEQ </w:instrText>
      </w:r>
      <w:r>
        <w:rPr>
          <w:rFonts w:cs="Times New Roman"/>
        </w:rPr>
        <w:instrText>图</w:instrText>
      </w:r>
      <w:r>
        <w:rPr>
          <w:rFonts w:cs="Times New Roman"/>
        </w:rPr>
        <w:instrText xml:space="preserve"> \* ARABIC \s 1 </w:instrText>
      </w:r>
      <w:r w:rsidR="00EA3750">
        <w:rPr>
          <w:rFonts w:cs="Times New Roman"/>
        </w:rPr>
        <w:fldChar w:fldCharType="separate"/>
      </w:r>
      <w:r w:rsidR="00EC0676">
        <w:rPr>
          <w:rFonts w:cs="Times New Roman"/>
          <w:noProof/>
        </w:rPr>
        <w:t>4</w:t>
      </w:r>
      <w:r w:rsidR="00EA3750">
        <w:rPr>
          <w:rFonts w:cs="Times New Roman"/>
        </w:rPr>
        <w:fldChar w:fldCharType="end"/>
      </w:r>
      <w:bookmarkEnd w:id="478"/>
      <w:r>
        <w:rPr>
          <w:rFonts w:cs="Times New Roman"/>
        </w:rPr>
        <w:t xml:space="preserve">  </w:t>
      </w:r>
      <w:r>
        <w:rPr>
          <w:rFonts w:cs="Times New Roman"/>
        </w:rPr>
        <w:t>应急管理组织机构框图</w:t>
      </w:r>
    </w:p>
    <w:p w:rsidR="00BD5820" w:rsidRDefault="00F64314">
      <w:pPr>
        <w:pStyle w:val="a1"/>
        <w:ind w:firstLine="482"/>
        <w:rPr>
          <w:rFonts w:ascii="Times New Roman" w:cs="Times New Roman"/>
          <w:b/>
        </w:rPr>
      </w:pPr>
      <w:r>
        <w:rPr>
          <w:rFonts w:ascii="Times New Roman" w:cs="Times New Roman"/>
          <w:b/>
        </w:rPr>
        <w:t>4</w:t>
      </w:r>
      <w:r>
        <w:rPr>
          <w:rFonts w:ascii="Times New Roman" w:cs="Times New Roman"/>
          <w:b/>
        </w:rPr>
        <w:t>、应急响应</w:t>
      </w:r>
    </w:p>
    <w:p w:rsidR="00BD5820" w:rsidRDefault="00F64314">
      <w:pPr>
        <w:pStyle w:val="affa"/>
        <w:ind w:firstLine="480"/>
      </w:pPr>
      <w:r>
        <w:t>（</w:t>
      </w:r>
      <w:r>
        <w:t>1</w:t>
      </w:r>
      <w:r>
        <w:t>）分类与分级</w:t>
      </w:r>
    </w:p>
    <w:p w:rsidR="00BD5820" w:rsidRDefault="00F64314">
      <w:pPr>
        <w:pStyle w:val="affa"/>
        <w:ind w:firstLine="480"/>
      </w:pPr>
      <w:r>
        <w:rPr>
          <w:rFonts w:ascii="宋体" w:hAnsi="宋体" w:cs="宋体" w:hint="eastAsia"/>
        </w:rPr>
        <w:t>①</w:t>
      </w:r>
      <w:r>
        <w:t>分类</w:t>
      </w:r>
    </w:p>
    <w:p w:rsidR="00BD5820" w:rsidRDefault="00F64314">
      <w:pPr>
        <w:pStyle w:val="affa"/>
        <w:ind w:firstLine="480"/>
      </w:pPr>
      <w:r>
        <w:t>分公司各所属单位应根据应急事件的发生过程、性质和机理，按照工业生产事件、公共卫生事件、自然灾害事件和社会安全事件的类别，经危害识别、风险评估，确定单位内可能发生或易发生的应急事件。</w:t>
      </w:r>
    </w:p>
    <w:p w:rsidR="00BD5820" w:rsidRDefault="00F64314">
      <w:pPr>
        <w:pStyle w:val="affa"/>
        <w:ind w:firstLine="480"/>
      </w:pPr>
      <w:r>
        <w:rPr>
          <w:rFonts w:ascii="宋体" w:hAnsi="宋体" w:cs="宋体" w:hint="eastAsia"/>
        </w:rPr>
        <w:t>②</w:t>
      </w:r>
      <w:r>
        <w:t>分级</w:t>
      </w:r>
    </w:p>
    <w:p w:rsidR="00BD5820" w:rsidRDefault="00F64314">
      <w:pPr>
        <w:pStyle w:val="affa"/>
        <w:ind w:firstLine="480"/>
      </w:pPr>
      <w:r>
        <w:t>为了有效处置各类突发事件，按照突发事件的性质、危害程度、可控性、影响范围、人员伤亡和财产损失等因素，并依据机构设置情况，由高到低分为五个级别：</w:t>
      </w:r>
      <w:r>
        <w:t>Ⅰ</w:t>
      </w:r>
      <w:r>
        <w:t>（中国石化）级、</w:t>
      </w:r>
      <w:r>
        <w:t>Ⅱ</w:t>
      </w:r>
      <w:r>
        <w:t>（中原油田）级、</w:t>
      </w:r>
      <w:r>
        <w:t>Ⅲ</w:t>
      </w:r>
      <w:r>
        <w:t>（分公司）级、</w:t>
      </w:r>
      <w:r>
        <w:t>Ⅳ</w:t>
      </w:r>
      <w:r>
        <w:t>（厂）级、</w:t>
      </w:r>
      <w:r>
        <w:t>Ⅴ</w:t>
      </w:r>
      <w:r>
        <w:t>（车间、区）级等。</w:t>
      </w:r>
    </w:p>
    <w:p w:rsidR="00BD5820" w:rsidRDefault="00F64314">
      <w:pPr>
        <w:pStyle w:val="affa"/>
        <w:ind w:firstLine="480"/>
      </w:pPr>
      <w:r>
        <w:t>（</w:t>
      </w:r>
      <w:r>
        <w:t>2</w:t>
      </w:r>
      <w:r>
        <w:t>）响应程序</w:t>
      </w:r>
    </w:p>
    <w:p w:rsidR="00BD5820" w:rsidRDefault="00F64314">
      <w:pPr>
        <w:pStyle w:val="affa"/>
        <w:ind w:firstLine="480"/>
      </w:pPr>
      <w:r>
        <w:rPr>
          <w:rFonts w:ascii="宋体" w:hAnsi="宋体" w:cs="宋体" w:hint="eastAsia"/>
        </w:rPr>
        <w:t>①</w:t>
      </w:r>
      <w:r>
        <w:t>应急启动条件</w:t>
      </w:r>
    </w:p>
    <w:p w:rsidR="00BD5820" w:rsidRDefault="00F64314">
      <w:pPr>
        <w:pStyle w:val="affa"/>
        <w:ind w:firstLine="480"/>
      </w:pPr>
      <w:r>
        <w:t>符合以下条件之一时，应启动本预案：</w:t>
      </w:r>
    </w:p>
    <w:p w:rsidR="00BD5820" w:rsidRDefault="00F64314">
      <w:pPr>
        <w:pStyle w:val="affa"/>
        <w:ind w:firstLine="480"/>
      </w:pPr>
      <w:r>
        <w:lastRenderedPageBreak/>
        <w:t>a</w:t>
      </w:r>
      <w:r>
        <w:t>）中原油田要求分公司启动应急预案时；</w:t>
      </w:r>
    </w:p>
    <w:p w:rsidR="00BD5820" w:rsidRDefault="00F64314">
      <w:pPr>
        <w:pStyle w:val="affa"/>
        <w:ind w:firstLine="480"/>
      </w:pPr>
      <w:r>
        <w:t>b</w:t>
      </w:r>
      <w:r>
        <w:t>）市、县级人民政府要求分公司启动应急预案时；</w:t>
      </w:r>
    </w:p>
    <w:p w:rsidR="00BD5820" w:rsidRDefault="00F64314">
      <w:pPr>
        <w:pStyle w:val="affa"/>
        <w:ind w:firstLine="480"/>
      </w:pPr>
      <w:r>
        <w:t>c</w:t>
      </w:r>
      <w:r>
        <w:t>）发生</w:t>
      </w:r>
      <w:r>
        <w:t>Ⅲ</w:t>
      </w:r>
      <w:r>
        <w:t>（分公司）级及</w:t>
      </w:r>
      <w:r>
        <w:t>Ⅲ</w:t>
      </w:r>
      <w:r>
        <w:t>级以上事件时；</w:t>
      </w:r>
    </w:p>
    <w:p w:rsidR="00BD5820" w:rsidRDefault="00F64314">
      <w:pPr>
        <w:pStyle w:val="affa"/>
        <w:ind w:firstLine="480"/>
      </w:pPr>
      <w:r>
        <w:t>d</w:t>
      </w:r>
      <w:r>
        <w:t>）所属单位请求时。</w:t>
      </w:r>
    </w:p>
    <w:p w:rsidR="00BD5820" w:rsidRDefault="00F64314">
      <w:pPr>
        <w:pStyle w:val="affa"/>
        <w:ind w:firstLine="480"/>
      </w:pPr>
      <w:r>
        <w:rPr>
          <w:rFonts w:ascii="宋体" w:hAnsi="宋体" w:cs="宋体" w:hint="eastAsia"/>
        </w:rPr>
        <w:t>②</w:t>
      </w:r>
      <w:r>
        <w:t>应急指令</w:t>
      </w:r>
    </w:p>
    <w:p w:rsidR="00BD5820" w:rsidRDefault="00F64314">
      <w:pPr>
        <w:pStyle w:val="affa"/>
        <w:ind w:firstLine="480"/>
      </w:pPr>
      <w:r>
        <w:t>发生突发事件时，应急指令下达程序见下图。</w:t>
      </w:r>
    </w:p>
    <w:p w:rsidR="00BD5820" w:rsidRDefault="00F64314">
      <w:pPr>
        <w:pStyle w:val="10"/>
        <w:rPr>
          <w:rFonts w:cs="Times New Roman"/>
        </w:rPr>
      </w:pPr>
      <w:r>
        <w:rPr>
          <w:rFonts w:cs="Times New Roman"/>
          <w:noProof/>
        </w:rPr>
        <w:drawing>
          <wp:inline distT="0" distB="0" distL="0" distR="0">
            <wp:extent cx="5273675" cy="4932045"/>
            <wp:effectExtent l="19050" t="0" r="3175" b="0"/>
            <wp:docPr id="6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38"/>
                    <pic:cNvPicPr>
                      <a:picLocks noChangeAspect="1" noChangeArrowheads="1"/>
                    </pic:cNvPicPr>
                  </pic:nvPicPr>
                  <pic:blipFill>
                    <a:blip r:embed="rId118" cstate="print"/>
                    <a:srcRect/>
                    <a:stretch>
                      <a:fillRect/>
                    </a:stretch>
                  </pic:blipFill>
                  <pic:spPr>
                    <a:xfrm>
                      <a:off x="0" y="0"/>
                      <a:ext cx="5273675" cy="4932045"/>
                    </a:xfrm>
                    <a:prstGeom prst="rect">
                      <a:avLst/>
                    </a:prstGeom>
                    <a:noFill/>
                    <a:ln w="9525">
                      <a:noFill/>
                      <a:miter lim="800000"/>
                      <a:headEnd/>
                      <a:tailEnd/>
                    </a:ln>
                  </pic:spPr>
                </pic:pic>
              </a:graphicData>
            </a:graphic>
          </wp:inline>
        </w:drawing>
      </w:r>
    </w:p>
    <w:p w:rsidR="00BD5820" w:rsidRDefault="00F64314">
      <w:pPr>
        <w:pStyle w:val="10"/>
        <w:rPr>
          <w:rFonts w:cs="Times New Roman"/>
        </w:rPr>
      </w:pPr>
      <w:r>
        <w:rPr>
          <w:rFonts w:cs="Times New Roman"/>
        </w:rPr>
        <w:t>图</w:t>
      </w:r>
      <w:r>
        <w:rPr>
          <w:rFonts w:cs="Times New Roman"/>
        </w:rPr>
        <w:t xml:space="preserve">7.10-5  </w:t>
      </w:r>
      <w:r>
        <w:rPr>
          <w:rFonts w:cs="Times New Roman"/>
        </w:rPr>
        <w:t>普光分公司应急指令下达程序框图</w:t>
      </w:r>
    </w:p>
    <w:p w:rsidR="00BD5820" w:rsidRDefault="00F64314">
      <w:pPr>
        <w:pStyle w:val="affa"/>
        <w:ind w:firstLine="480"/>
      </w:pPr>
      <w:r>
        <w:rPr>
          <w:rFonts w:ascii="宋体" w:hAnsi="宋体" w:cs="宋体" w:hint="eastAsia"/>
        </w:rPr>
        <w:t>③</w:t>
      </w:r>
      <w:r>
        <w:t>应急处置</w:t>
      </w:r>
    </w:p>
    <w:p w:rsidR="00BD5820" w:rsidRDefault="00F64314">
      <w:pPr>
        <w:pStyle w:val="affa"/>
        <w:ind w:firstLine="480"/>
      </w:pPr>
      <w:r>
        <w:t>当符合应急预案启动条件时，分公司应急指挥中心应立即下达启动本预案的指令，并按照本预案中相应专项应急预案的要求实施应急处置。</w:t>
      </w:r>
    </w:p>
    <w:p w:rsidR="00BD5820" w:rsidRDefault="00F64314">
      <w:pPr>
        <w:pStyle w:val="affa"/>
        <w:ind w:firstLine="480"/>
      </w:pPr>
      <w:r>
        <w:t>当事件难以控制时，分公司应急指挥中心应请求启动相应的应急预案，并向市级政府应急管理办公室报告，请求支援。</w:t>
      </w:r>
    </w:p>
    <w:p w:rsidR="00BD5820" w:rsidRDefault="00F64314">
      <w:pPr>
        <w:pStyle w:val="a1"/>
        <w:ind w:firstLine="482"/>
        <w:rPr>
          <w:rFonts w:ascii="Times New Roman" w:cs="Times New Roman"/>
          <w:b/>
        </w:rPr>
      </w:pPr>
      <w:r>
        <w:rPr>
          <w:rFonts w:ascii="Times New Roman" w:cs="Times New Roman"/>
          <w:b/>
        </w:rPr>
        <w:t>5</w:t>
      </w:r>
      <w:r>
        <w:rPr>
          <w:rFonts w:ascii="Times New Roman" w:cs="Times New Roman"/>
          <w:b/>
        </w:rPr>
        <w:t>、应急结束</w:t>
      </w:r>
    </w:p>
    <w:p w:rsidR="00BD5820" w:rsidRDefault="00F64314">
      <w:pPr>
        <w:pStyle w:val="affa"/>
        <w:ind w:firstLine="480"/>
      </w:pPr>
      <w:r>
        <w:lastRenderedPageBreak/>
        <w:t>经应急处置后，现场应急指挥部确认满足专项应急预案终止条件时，向分公司应急指挥中心报告，分公司应急指挥中心可下达应急终止指令。</w:t>
      </w:r>
    </w:p>
    <w:p w:rsidR="00BD5820" w:rsidRDefault="00F64314">
      <w:pPr>
        <w:pStyle w:val="affa"/>
        <w:ind w:firstLine="480"/>
      </w:pPr>
      <w:r>
        <w:t>应急终止后，现场应急指挥部负责编写应急总结，应急指挥中心办公室负责对现场应急指挥部的应急总结、值班记录等资料进行汇总、归档，经理办公室负责起草分公司应急指挥中心的应急总结上报材料。现场应急指挥部向事件调查组移交相关材料。分公司应急指挥中心负责向中原油田上报应急总结。</w:t>
      </w:r>
    </w:p>
    <w:p w:rsidR="00BD5820" w:rsidRDefault="00F64314">
      <w:pPr>
        <w:pStyle w:val="a1"/>
        <w:ind w:firstLine="482"/>
        <w:rPr>
          <w:rFonts w:ascii="Times New Roman" w:cs="Times New Roman"/>
          <w:b/>
        </w:rPr>
      </w:pPr>
      <w:r>
        <w:rPr>
          <w:rFonts w:ascii="Times New Roman" w:cs="Times New Roman"/>
          <w:b/>
        </w:rPr>
        <w:t>6</w:t>
      </w:r>
      <w:r>
        <w:rPr>
          <w:rFonts w:ascii="Times New Roman" w:cs="Times New Roman"/>
          <w:b/>
        </w:rPr>
        <w:t>、应急保障</w:t>
      </w:r>
    </w:p>
    <w:p w:rsidR="00BD5820" w:rsidRDefault="00F64314">
      <w:pPr>
        <w:pStyle w:val="affa"/>
        <w:ind w:firstLine="480"/>
      </w:pPr>
      <w:r>
        <w:t>（</w:t>
      </w:r>
      <w:r>
        <w:t>1</w:t>
      </w:r>
      <w:r>
        <w:t>）应急队伍保障</w:t>
      </w:r>
    </w:p>
    <w:p w:rsidR="00BD5820" w:rsidRDefault="00F64314">
      <w:pPr>
        <w:pStyle w:val="affa"/>
        <w:ind w:firstLine="480"/>
      </w:pPr>
      <w:r>
        <w:t>分公司应急救援队伍由采气厂、净化厂、应急救援中心和社会应急资源组成。应急队伍配备必要的人员、装备等，平时加强应急队伍的业务培训和应急演练，提高应急人员业务水平；与社会应急资源签订互助协议，提供应急期间的消气防、医疗卫生、治安保卫、交通维护和运输等应急救援力量的保障。</w:t>
      </w:r>
    </w:p>
    <w:p w:rsidR="00BD5820" w:rsidRDefault="00F64314">
      <w:pPr>
        <w:pStyle w:val="affa"/>
        <w:ind w:firstLine="480"/>
      </w:pPr>
      <w:r>
        <w:t>（</w:t>
      </w:r>
      <w:r>
        <w:t>2</w:t>
      </w:r>
      <w:r>
        <w:t>）财力保障</w:t>
      </w:r>
    </w:p>
    <w:p w:rsidR="00BD5820" w:rsidRDefault="00F64314">
      <w:pPr>
        <w:pStyle w:val="affa"/>
        <w:ind w:firstLine="480"/>
      </w:pPr>
      <w:r>
        <w:t>事件处置过程中的费用，由计划财务部门负责保障；事件应急处置结束后，各级应急指挥中心办公室对应急处置费用进行整理汇总，计划财务部给予核销。</w:t>
      </w:r>
    </w:p>
    <w:p w:rsidR="00BD5820" w:rsidRDefault="00F64314">
      <w:pPr>
        <w:pStyle w:val="affa"/>
        <w:ind w:firstLine="480"/>
      </w:pPr>
      <w:r>
        <w:t>（</w:t>
      </w:r>
      <w:r>
        <w:t>3</w:t>
      </w:r>
      <w:r>
        <w:t>）物资保障</w:t>
      </w:r>
    </w:p>
    <w:p w:rsidR="00BD5820" w:rsidRDefault="00F64314">
      <w:pPr>
        <w:pStyle w:val="affa"/>
        <w:ind w:firstLine="480"/>
      </w:pPr>
      <w:r>
        <w:t>分公司应急物资由物资保障部应急物资、应急救援中心应急物资、所属单位应急物资和社会救援物资组成。为满足应急处置的需求，同社会救援物资单位签订协议，在应急状态下，由分公司应急指挥中心统一调配使用。</w:t>
      </w:r>
    </w:p>
    <w:p w:rsidR="00BD5820" w:rsidRDefault="00F64314">
      <w:pPr>
        <w:pStyle w:val="affa"/>
        <w:ind w:firstLine="480"/>
      </w:pPr>
      <w:r>
        <w:t>（</w:t>
      </w:r>
      <w:r>
        <w:t>4</w:t>
      </w:r>
      <w:r>
        <w:t>）通讯保障</w:t>
      </w:r>
    </w:p>
    <w:p w:rsidR="00BD5820" w:rsidRDefault="00F64314">
      <w:pPr>
        <w:pStyle w:val="affa"/>
        <w:ind w:firstLine="480"/>
      </w:pPr>
      <w:r>
        <w:t>生产服务中心负责建立、完善应急通讯网络系统，在应急工作中确保应急通信畅通。</w:t>
      </w:r>
    </w:p>
    <w:p w:rsidR="00BD5820" w:rsidRDefault="00F64314">
      <w:pPr>
        <w:pStyle w:val="affa"/>
        <w:ind w:firstLine="480"/>
      </w:pPr>
      <w:r>
        <w:t>（</w:t>
      </w:r>
      <w:r>
        <w:t>5</w:t>
      </w:r>
      <w:r>
        <w:t>）技术保障</w:t>
      </w:r>
    </w:p>
    <w:p w:rsidR="00BD5820" w:rsidRDefault="00F64314">
      <w:pPr>
        <w:pStyle w:val="affa"/>
        <w:ind w:firstLine="480"/>
      </w:pPr>
      <w:r>
        <w:t>天然气技术管理部负责建立由各专业领域技术、经验丰富的人员组成技术专家组，结合事故发生厂所属技术力量，为事故的应急处置提供技术支持。</w:t>
      </w:r>
    </w:p>
    <w:p w:rsidR="00BD5820" w:rsidRDefault="00F64314">
      <w:pPr>
        <w:pStyle w:val="affa"/>
        <w:ind w:firstLine="480"/>
      </w:pPr>
      <w:r>
        <w:t>（</w:t>
      </w:r>
      <w:r>
        <w:t>6</w:t>
      </w:r>
      <w:r>
        <w:t>）基本生活保障</w:t>
      </w:r>
    </w:p>
    <w:p w:rsidR="00BD5820" w:rsidRDefault="00F64314">
      <w:pPr>
        <w:pStyle w:val="affa"/>
        <w:ind w:firstLine="480"/>
      </w:pPr>
      <w:r>
        <w:t>分公司应急指挥中心应会同事发地人民政府做好抢险队伍、受灾员工和疏散群众的基本生活保障工作。</w:t>
      </w:r>
    </w:p>
    <w:p w:rsidR="00BD5820" w:rsidRDefault="00F64314">
      <w:pPr>
        <w:pStyle w:val="affa"/>
        <w:ind w:firstLine="480"/>
      </w:pPr>
      <w:r>
        <w:t>（</w:t>
      </w:r>
      <w:r>
        <w:t>7</w:t>
      </w:r>
      <w:r>
        <w:t>）人员防护</w:t>
      </w:r>
    </w:p>
    <w:p w:rsidR="00BD5820" w:rsidRDefault="00F64314">
      <w:pPr>
        <w:pStyle w:val="affa"/>
        <w:ind w:firstLine="480"/>
      </w:pPr>
      <w:r>
        <w:lastRenderedPageBreak/>
        <w:t>按照国家法律法规、标准、规范的要求，应急救援人员配备安全职业防护装备，严格按照救援程序开展应急救援工作，确保人员安全。在生产区域内岗位人员配备安全职业防护装备，建立紧急集合点。</w:t>
      </w:r>
    </w:p>
    <w:p w:rsidR="00BD5820" w:rsidRDefault="00F64314">
      <w:pPr>
        <w:pStyle w:val="a1"/>
        <w:ind w:firstLine="482"/>
        <w:rPr>
          <w:rFonts w:ascii="Times New Roman" w:cs="Times New Roman"/>
          <w:b/>
        </w:rPr>
      </w:pPr>
      <w:r>
        <w:rPr>
          <w:rFonts w:ascii="Times New Roman" w:cs="Times New Roman" w:hint="eastAsia"/>
          <w:b/>
        </w:rPr>
        <w:t>7</w:t>
      </w:r>
      <w:r>
        <w:rPr>
          <w:rFonts w:ascii="Times New Roman" w:cs="Times New Roman"/>
          <w:b/>
        </w:rPr>
        <w:t>、</w:t>
      </w:r>
      <w:r>
        <w:rPr>
          <w:rFonts w:ascii="Times New Roman" w:cs="Times New Roman" w:hint="eastAsia"/>
          <w:b/>
        </w:rPr>
        <w:t>培训</w:t>
      </w:r>
      <w:r>
        <w:rPr>
          <w:rFonts w:ascii="Times New Roman" w:cs="Times New Roman"/>
          <w:b/>
        </w:rPr>
        <w:t>与演练</w:t>
      </w:r>
    </w:p>
    <w:p w:rsidR="00BD5820" w:rsidRDefault="00F64314">
      <w:pPr>
        <w:pStyle w:val="affa"/>
        <w:ind w:firstLine="480"/>
      </w:pPr>
      <w:r>
        <w:rPr>
          <w:rFonts w:hint="eastAsia"/>
        </w:rPr>
        <w:t>1</w:t>
      </w:r>
      <w:r>
        <w:rPr>
          <w:rFonts w:hint="eastAsia"/>
        </w:rPr>
        <w:t>）宣传和培训</w:t>
      </w:r>
    </w:p>
    <w:p w:rsidR="00BD5820" w:rsidRDefault="00F64314">
      <w:pPr>
        <w:pStyle w:val="affa"/>
        <w:ind w:firstLine="480"/>
      </w:pPr>
      <w:r>
        <w:rPr>
          <w:rFonts w:hint="eastAsia"/>
        </w:rPr>
        <w:t>党群工作部会同相关职能部门，通过各种宣传手段，对分公司员工和周边公众广泛宣传应急法律法规和应急常识。</w:t>
      </w:r>
    </w:p>
    <w:p w:rsidR="00BD5820" w:rsidRDefault="00F64314">
      <w:pPr>
        <w:pStyle w:val="affa"/>
        <w:ind w:firstLine="480"/>
      </w:pPr>
      <w:r>
        <w:rPr>
          <w:rFonts w:hint="eastAsia"/>
        </w:rPr>
        <w:t>HSE</w:t>
      </w:r>
      <w:r>
        <w:rPr>
          <w:rFonts w:hint="eastAsia"/>
        </w:rPr>
        <w:t>监督管理部应组织编制对各类专业应急人员、企业员工的年度培训计划，由人力资源部负责组织实施。</w:t>
      </w:r>
    </w:p>
    <w:p w:rsidR="00BD5820" w:rsidRDefault="00F64314">
      <w:pPr>
        <w:pStyle w:val="affa"/>
        <w:ind w:firstLine="480"/>
      </w:pPr>
      <w:r>
        <w:rPr>
          <w:rFonts w:hint="eastAsia"/>
        </w:rPr>
        <w:t>2</w:t>
      </w:r>
      <w:r>
        <w:rPr>
          <w:rFonts w:hint="eastAsia"/>
        </w:rPr>
        <w:t>）</w:t>
      </w:r>
      <w:r>
        <w:t>预案演练</w:t>
      </w:r>
    </w:p>
    <w:p w:rsidR="00BD5820" w:rsidRDefault="00F64314">
      <w:pPr>
        <w:pStyle w:val="affa"/>
        <w:ind w:firstLine="480"/>
      </w:pPr>
      <w:r>
        <w:rPr>
          <w:rFonts w:hint="eastAsia"/>
        </w:rPr>
        <w:t>普光分公司预案演练每年不少于一次。应急指挥中心办公室应做好演练方案的策划。演练结束后做好总结。</w:t>
      </w:r>
    </w:p>
    <w:p w:rsidR="00BD5820" w:rsidRDefault="00F64314">
      <w:pPr>
        <w:pStyle w:val="3"/>
        <w:rPr>
          <w:rFonts w:eastAsia="宋体"/>
        </w:rPr>
      </w:pPr>
      <w:r>
        <w:rPr>
          <w:rFonts w:eastAsia="宋体"/>
        </w:rPr>
        <w:t xml:space="preserve">7.10.2 </w:t>
      </w:r>
      <w:r>
        <w:rPr>
          <w:rFonts w:eastAsia="宋体"/>
        </w:rPr>
        <w:t>本项目环境风险应急预案</w:t>
      </w:r>
    </w:p>
    <w:p w:rsidR="00BD5820" w:rsidRDefault="00F64314">
      <w:pPr>
        <w:pStyle w:val="affa"/>
        <w:ind w:firstLine="480"/>
      </w:pPr>
      <w:r>
        <w:t>根据前述环境风险事故分析，本次评价将针对本项目作业的特点，结合企业制定的应急预案，提出环境风险事故应急预案编制要求，供企业及有关部门参考。</w:t>
      </w:r>
      <w:r>
        <w:rPr>
          <w:rFonts w:hint="eastAsia"/>
        </w:rPr>
        <w:t>见</w:t>
      </w:r>
      <w:fldSimple w:instr=" REF _Ref524449032 \h  \* MERGEFORMAT ">
        <w:r w:rsidR="00EC0676" w:rsidRPr="00EC0676">
          <w:t>表</w:t>
        </w:r>
        <w:r w:rsidR="00EC0676" w:rsidRPr="00EC0676">
          <w:t>0.10</w:t>
        </w:r>
        <w:r w:rsidR="00EC0676" w:rsidRPr="00EC0676">
          <w:noBreakHyphen/>
          <w:t>1</w:t>
        </w:r>
      </w:fldSimple>
      <w:r>
        <w:rPr>
          <w:rFonts w:hint="eastAsia"/>
        </w:rPr>
        <w:t>。</w:t>
      </w:r>
    </w:p>
    <w:p w:rsidR="00BD5820" w:rsidRDefault="00F64314" w:rsidP="00511129">
      <w:pPr>
        <w:widowControl/>
        <w:topLinePunct w:val="0"/>
        <w:snapToGrid w:val="0"/>
        <w:spacing w:beforeLines="50"/>
        <w:ind w:firstLineChars="0" w:firstLine="0"/>
        <w:jc w:val="center"/>
        <w:rPr>
          <w:rFonts w:ascii="Times New Roman" w:cs="Times New Roman"/>
          <w:b/>
          <w:kern w:val="2"/>
          <w:sz w:val="21"/>
          <w:szCs w:val="20"/>
        </w:rPr>
      </w:pPr>
      <w:bookmarkStart w:id="479" w:name="_Ref524449032"/>
      <w:r>
        <w:rPr>
          <w:rFonts w:ascii="Times New Roman" w:cs="Times New Roman"/>
          <w:b/>
          <w:kern w:val="2"/>
          <w:sz w:val="21"/>
          <w:szCs w:val="20"/>
        </w:rPr>
        <w:t>表</w:t>
      </w:r>
      <w:r w:rsidR="00EA3750">
        <w:rPr>
          <w:rFonts w:ascii="Times New Roman" w:cs="Times New Roman"/>
          <w:b/>
          <w:kern w:val="2"/>
          <w:sz w:val="21"/>
          <w:szCs w:val="20"/>
        </w:rPr>
        <w:fldChar w:fldCharType="begin"/>
      </w:r>
      <w:r>
        <w:rPr>
          <w:rFonts w:ascii="Times New Roman" w:cs="Times New Roman"/>
          <w:b/>
          <w:kern w:val="2"/>
          <w:sz w:val="21"/>
          <w:szCs w:val="20"/>
        </w:rPr>
        <w:instrText xml:space="preserve"> STYLEREF 1 \s </w:instrText>
      </w:r>
      <w:r w:rsidR="00EA3750">
        <w:rPr>
          <w:rFonts w:ascii="Times New Roman" w:cs="Times New Roman"/>
          <w:b/>
          <w:kern w:val="2"/>
          <w:sz w:val="21"/>
          <w:szCs w:val="20"/>
        </w:rPr>
        <w:fldChar w:fldCharType="separate"/>
      </w:r>
      <w:r w:rsidR="00EC0676">
        <w:rPr>
          <w:rFonts w:ascii="Times New Roman" w:cs="Times New Roman"/>
          <w:b/>
          <w:noProof/>
          <w:kern w:val="2"/>
          <w:sz w:val="21"/>
          <w:szCs w:val="20"/>
        </w:rPr>
        <w:t>0</w:t>
      </w:r>
      <w:r w:rsidR="00EA3750">
        <w:rPr>
          <w:rFonts w:ascii="Times New Roman" w:cs="Times New Roman"/>
          <w:b/>
          <w:kern w:val="2"/>
          <w:sz w:val="21"/>
          <w:szCs w:val="20"/>
        </w:rPr>
        <w:fldChar w:fldCharType="end"/>
      </w:r>
      <w:r>
        <w:rPr>
          <w:rFonts w:ascii="Times New Roman" w:cs="Times New Roman"/>
          <w:b/>
          <w:kern w:val="2"/>
          <w:sz w:val="21"/>
          <w:szCs w:val="20"/>
        </w:rPr>
        <w:t>.10</w:t>
      </w:r>
      <w:r>
        <w:rPr>
          <w:rFonts w:ascii="Times New Roman" w:cs="Times New Roman"/>
          <w:b/>
          <w:kern w:val="2"/>
          <w:sz w:val="21"/>
          <w:szCs w:val="20"/>
        </w:rPr>
        <w:noBreakHyphen/>
      </w:r>
      <w:r w:rsidR="00EA3750">
        <w:rPr>
          <w:rFonts w:ascii="Times New Roman" w:cs="Times New Roman"/>
          <w:b/>
          <w:kern w:val="2"/>
          <w:sz w:val="21"/>
          <w:szCs w:val="20"/>
        </w:rPr>
        <w:fldChar w:fldCharType="begin"/>
      </w:r>
      <w:r>
        <w:rPr>
          <w:rFonts w:ascii="Times New Roman" w:cs="Times New Roman"/>
          <w:b/>
          <w:kern w:val="2"/>
          <w:sz w:val="21"/>
          <w:szCs w:val="20"/>
        </w:rPr>
        <w:instrText xml:space="preserve"> SEQ </w:instrText>
      </w:r>
      <w:r>
        <w:rPr>
          <w:rFonts w:ascii="Times New Roman" w:cs="Times New Roman"/>
          <w:b/>
          <w:kern w:val="2"/>
          <w:sz w:val="21"/>
          <w:szCs w:val="20"/>
        </w:rPr>
        <w:instrText>表</w:instrText>
      </w:r>
      <w:r>
        <w:rPr>
          <w:rFonts w:ascii="Times New Roman" w:cs="Times New Roman"/>
          <w:b/>
          <w:kern w:val="2"/>
          <w:sz w:val="21"/>
          <w:szCs w:val="20"/>
        </w:rPr>
        <w:instrText xml:space="preserve"> \* ARABIC \s 1 </w:instrText>
      </w:r>
      <w:r w:rsidR="00EA3750">
        <w:rPr>
          <w:rFonts w:ascii="Times New Roman" w:cs="Times New Roman"/>
          <w:b/>
          <w:kern w:val="2"/>
          <w:sz w:val="21"/>
          <w:szCs w:val="20"/>
        </w:rPr>
        <w:fldChar w:fldCharType="separate"/>
      </w:r>
      <w:r w:rsidR="00EC0676">
        <w:rPr>
          <w:rFonts w:ascii="Times New Roman" w:cs="Times New Roman"/>
          <w:b/>
          <w:noProof/>
          <w:kern w:val="2"/>
          <w:sz w:val="21"/>
          <w:szCs w:val="20"/>
        </w:rPr>
        <w:t>1</w:t>
      </w:r>
      <w:r w:rsidR="00EA3750">
        <w:rPr>
          <w:rFonts w:ascii="Times New Roman" w:cs="Times New Roman"/>
          <w:b/>
          <w:kern w:val="2"/>
          <w:sz w:val="21"/>
          <w:szCs w:val="20"/>
        </w:rPr>
        <w:fldChar w:fldCharType="end"/>
      </w:r>
      <w:bookmarkEnd w:id="479"/>
      <w:r>
        <w:rPr>
          <w:rFonts w:ascii="Times New Roman" w:cs="Times New Roman"/>
          <w:b/>
          <w:kern w:val="2"/>
          <w:sz w:val="21"/>
          <w:szCs w:val="20"/>
        </w:rPr>
        <w:t xml:space="preserve">  </w:t>
      </w:r>
      <w:r>
        <w:rPr>
          <w:rFonts w:ascii="Times New Roman" w:cs="Times New Roman"/>
          <w:b/>
          <w:kern w:val="2"/>
          <w:sz w:val="21"/>
          <w:szCs w:val="20"/>
        </w:rPr>
        <w:t>应急预案主要内容一览表</w:t>
      </w:r>
    </w:p>
    <w:tbl>
      <w:tblPr>
        <w:tblW w:w="0" w:type="auto"/>
        <w:tblBorders>
          <w:top w:val="single" w:sz="12" w:space="0" w:color="auto"/>
          <w:bottom w:val="single" w:sz="12" w:space="0" w:color="auto"/>
          <w:insideH w:val="single" w:sz="4" w:space="0" w:color="auto"/>
          <w:insideV w:val="single" w:sz="4" w:space="0" w:color="auto"/>
        </w:tblBorders>
        <w:tblLayout w:type="fixed"/>
        <w:tblLook w:val="04A0"/>
      </w:tblPr>
      <w:tblGrid>
        <w:gridCol w:w="785"/>
        <w:gridCol w:w="1285"/>
        <w:gridCol w:w="6876"/>
      </w:tblGrid>
      <w:tr w:rsidR="00BD5820">
        <w:trPr>
          <w:tblHeader/>
        </w:trPr>
        <w:tc>
          <w:tcPr>
            <w:tcW w:w="785" w:type="dxa"/>
            <w:vAlign w:val="center"/>
          </w:tcPr>
          <w:p w:rsidR="00BD5820" w:rsidRDefault="00F64314">
            <w:pPr>
              <w:widowControl/>
              <w:topLinePunct w:val="0"/>
              <w:snapToGrid w:val="0"/>
              <w:spacing w:line="240" w:lineRule="auto"/>
              <w:ind w:firstLineChars="0" w:firstLine="0"/>
              <w:jc w:val="center"/>
              <w:rPr>
                <w:rFonts w:ascii="Times New Roman" w:cs="Times New Roman"/>
                <w:b/>
                <w:kern w:val="2"/>
                <w:sz w:val="21"/>
                <w:szCs w:val="21"/>
              </w:rPr>
            </w:pPr>
            <w:r>
              <w:rPr>
                <w:rFonts w:ascii="Times New Roman" w:cs="Times New Roman"/>
                <w:b/>
                <w:kern w:val="2"/>
                <w:sz w:val="21"/>
                <w:szCs w:val="21"/>
              </w:rPr>
              <w:t>序号</w:t>
            </w:r>
          </w:p>
        </w:tc>
        <w:tc>
          <w:tcPr>
            <w:tcW w:w="1285" w:type="dxa"/>
            <w:vAlign w:val="center"/>
          </w:tcPr>
          <w:p w:rsidR="00BD5820" w:rsidRDefault="00F64314">
            <w:pPr>
              <w:widowControl/>
              <w:topLinePunct w:val="0"/>
              <w:snapToGrid w:val="0"/>
              <w:spacing w:line="240" w:lineRule="auto"/>
              <w:ind w:firstLineChars="0" w:firstLine="0"/>
              <w:jc w:val="center"/>
              <w:rPr>
                <w:rFonts w:ascii="Times New Roman" w:cs="Times New Roman"/>
                <w:b/>
                <w:kern w:val="2"/>
                <w:sz w:val="21"/>
                <w:szCs w:val="21"/>
              </w:rPr>
            </w:pPr>
            <w:r>
              <w:rPr>
                <w:rFonts w:ascii="Times New Roman" w:cs="Times New Roman"/>
                <w:b/>
                <w:kern w:val="2"/>
                <w:sz w:val="21"/>
                <w:szCs w:val="21"/>
              </w:rPr>
              <w:t>项目</w:t>
            </w:r>
          </w:p>
        </w:tc>
        <w:tc>
          <w:tcPr>
            <w:tcW w:w="6876" w:type="dxa"/>
            <w:vAlign w:val="center"/>
          </w:tcPr>
          <w:p w:rsidR="00BD5820" w:rsidRDefault="00F64314">
            <w:pPr>
              <w:widowControl/>
              <w:topLinePunct w:val="0"/>
              <w:snapToGrid w:val="0"/>
              <w:spacing w:line="240" w:lineRule="auto"/>
              <w:ind w:firstLineChars="0" w:firstLine="0"/>
              <w:jc w:val="center"/>
              <w:rPr>
                <w:rFonts w:ascii="Times New Roman" w:cs="Times New Roman"/>
                <w:b/>
                <w:kern w:val="2"/>
                <w:sz w:val="21"/>
                <w:szCs w:val="21"/>
              </w:rPr>
            </w:pPr>
            <w:r>
              <w:rPr>
                <w:rFonts w:ascii="Times New Roman" w:cs="Times New Roman"/>
                <w:b/>
                <w:kern w:val="2"/>
                <w:sz w:val="21"/>
                <w:szCs w:val="21"/>
              </w:rPr>
              <w:t>内容及要求</w:t>
            </w:r>
          </w:p>
        </w:tc>
      </w:tr>
      <w:tr w:rsidR="00BD5820">
        <w:tc>
          <w:tcPr>
            <w:tcW w:w="785"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w:t>
            </w:r>
          </w:p>
        </w:tc>
        <w:tc>
          <w:tcPr>
            <w:tcW w:w="1285"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应急计划区</w:t>
            </w:r>
          </w:p>
        </w:tc>
        <w:tc>
          <w:tcPr>
            <w:tcW w:w="6876" w:type="dxa"/>
            <w:vAlign w:val="center"/>
          </w:tcPr>
          <w:p w:rsidR="00BD5820" w:rsidRDefault="00F64314">
            <w:pPr>
              <w:widowControl/>
              <w:topLinePunct w:val="0"/>
              <w:snapToGrid w:val="0"/>
              <w:spacing w:line="240" w:lineRule="auto"/>
              <w:ind w:firstLineChars="0" w:firstLine="0"/>
              <w:jc w:val="left"/>
              <w:rPr>
                <w:rFonts w:ascii="Times New Roman" w:cs="Times New Roman"/>
                <w:kern w:val="2"/>
                <w:sz w:val="21"/>
                <w:szCs w:val="21"/>
              </w:rPr>
            </w:pPr>
            <w:r>
              <w:rPr>
                <w:rFonts w:ascii="Times New Roman" w:cs="Times New Roman"/>
                <w:kern w:val="2"/>
                <w:sz w:val="21"/>
                <w:szCs w:val="21"/>
              </w:rPr>
              <w:t>危险目标：天然气</w:t>
            </w:r>
            <w:r>
              <w:rPr>
                <w:rFonts w:ascii="Times New Roman" w:cs="Times New Roman" w:hint="eastAsia"/>
                <w:kern w:val="2"/>
                <w:sz w:val="21"/>
                <w:szCs w:val="21"/>
              </w:rPr>
              <w:t>管道</w:t>
            </w:r>
          </w:p>
          <w:p w:rsidR="00BD5820" w:rsidRDefault="00F64314" w:rsidP="00F76A35">
            <w:pPr>
              <w:widowControl/>
              <w:topLinePunct w:val="0"/>
              <w:snapToGrid w:val="0"/>
              <w:spacing w:line="240" w:lineRule="auto"/>
              <w:ind w:firstLineChars="0" w:firstLine="0"/>
              <w:jc w:val="left"/>
              <w:rPr>
                <w:rFonts w:ascii="Times New Roman" w:cs="Times New Roman"/>
                <w:kern w:val="2"/>
                <w:sz w:val="21"/>
                <w:szCs w:val="21"/>
              </w:rPr>
            </w:pPr>
            <w:r>
              <w:rPr>
                <w:rFonts w:ascii="Times New Roman" w:cs="Times New Roman"/>
                <w:kern w:val="2"/>
                <w:sz w:val="21"/>
                <w:szCs w:val="21"/>
              </w:rPr>
              <w:t>环境保护目标：天然气</w:t>
            </w:r>
            <w:r>
              <w:rPr>
                <w:rFonts w:ascii="Times New Roman" w:cs="Times New Roman" w:hint="eastAsia"/>
                <w:kern w:val="2"/>
                <w:sz w:val="21"/>
                <w:szCs w:val="21"/>
              </w:rPr>
              <w:t>管道泄漏</w:t>
            </w:r>
            <w:r>
              <w:rPr>
                <w:rFonts w:ascii="Times New Roman" w:cs="Times New Roman"/>
                <w:kern w:val="2"/>
                <w:sz w:val="21"/>
                <w:szCs w:val="21"/>
              </w:rPr>
              <w:t>时，</w:t>
            </w:r>
            <w:r>
              <w:rPr>
                <w:rFonts w:ascii="Times New Roman" w:cs="Times New Roman" w:hint="eastAsia"/>
                <w:kern w:val="2"/>
                <w:sz w:val="21"/>
                <w:szCs w:val="21"/>
              </w:rPr>
              <w:t>管道</w:t>
            </w:r>
            <w:r>
              <w:rPr>
                <w:rFonts w:ascii="Times New Roman" w:cs="Times New Roman"/>
                <w:kern w:val="2"/>
                <w:sz w:val="21"/>
                <w:szCs w:val="21"/>
              </w:rPr>
              <w:t>周边</w:t>
            </w:r>
            <w:r>
              <w:rPr>
                <w:rFonts w:ascii="Times New Roman" w:cs="Times New Roman"/>
                <w:kern w:val="2"/>
                <w:sz w:val="21"/>
                <w:szCs w:val="21"/>
              </w:rPr>
              <w:t>0m</w:t>
            </w:r>
            <w:r>
              <w:rPr>
                <w:rFonts w:ascii="Times New Roman" w:cs="Times New Roman"/>
                <w:kern w:val="2"/>
                <w:sz w:val="21"/>
                <w:szCs w:val="21"/>
              </w:rPr>
              <w:t>～</w:t>
            </w:r>
            <w:r w:rsidR="00F76A35">
              <w:rPr>
                <w:rFonts w:ascii="Times New Roman" w:cs="Times New Roman" w:hint="eastAsia"/>
                <w:kern w:val="2"/>
                <w:sz w:val="21"/>
                <w:szCs w:val="21"/>
              </w:rPr>
              <w:t>15</w:t>
            </w:r>
            <w:r>
              <w:rPr>
                <w:rFonts w:ascii="Times New Roman" w:cs="Times New Roman" w:hint="eastAsia"/>
                <w:kern w:val="2"/>
                <w:sz w:val="21"/>
                <w:szCs w:val="21"/>
              </w:rPr>
              <w:t>00</w:t>
            </w:r>
            <w:r>
              <w:rPr>
                <w:rFonts w:ascii="Times New Roman" w:cs="Times New Roman"/>
                <w:kern w:val="2"/>
                <w:sz w:val="21"/>
                <w:szCs w:val="21"/>
              </w:rPr>
              <w:t>m</w:t>
            </w:r>
            <w:r>
              <w:rPr>
                <w:rFonts w:ascii="Times New Roman" w:cs="Times New Roman"/>
                <w:kern w:val="2"/>
                <w:sz w:val="21"/>
                <w:szCs w:val="21"/>
              </w:rPr>
              <w:t>为紧急撤离范围。</w:t>
            </w:r>
          </w:p>
        </w:tc>
      </w:tr>
      <w:tr w:rsidR="00BD5820">
        <w:tc>
          <w:tcPr>
            <w:tcW w:w="785"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2</w:t>
            </w:r>
          </w:p>
        </w:tc>
        <w:tc>
          <w:tcPr>
            <w:tcW w:w="1285"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应急组织机构、人员</w:t>
            </w:r>
          </w:p>
        </w:tc>
        <w:tc>
          <w:tcPr>
            <w:tcW w:w="6876" w:type="dxa"/>
            <w:vAlign w:val="center"/>
          </w:tcPr>
          <w:p w:rsidR="00BD5820" w:rsidRDefault="00F64314">
            <w:pPr>
              <w:widowControl/>
              <w:topLinePunct w:val="0"/>
              <w:snapToGrid w:val="0"/>
              <w:spacing w:line="240" w:lineRule="auto"/>
              <w:ind w:firstLineChars="0" w:firstLine="0"/>
              <w:jc w:val="left"/>
              <w:rPr>
                <w:rFonts w:ascii="Times New Roman" w:cs="Times New Roman"/>
                <w:kern w:val="2"/>
                <w:sz w:val="21"/>
                <w:szCs w:val="21"/>
              </w:rPr>
            </w:pPr>
            <w:r>
              <w:rPr>
                <w:rFonts w:ascii="Times New Roman" w:cs="Times New Roman"/>
                <w:kern w:val="2"/>
                <w:sz w:val="21"/>
                <w:szCs w:val="21"/>
              </w:rPr>
              <w:t>组织机构为中原油田普光分公司、当地政府。</w:t>
            </w:r>
          </w:p>
          <w:p w:rsidR="00BD5820" w:rsidRDefault="00F64314">
            <w:pPr>
              <w:widowControl/>
              <w:topLinePunct w:val="0"/>
              <w:snapToGrid w:val="0"/>
              <w:spacing w:line="240" w:lineRule="auto"/>
              <w:ind w:firstLineChars="0" w:firstLine="0"/>
              <w:jc w:val="left"/>
              <w:rPr>
                <w:rFonts w:ascii="Times New Roman" w:cs="Times New Roman"/>
                <w:kern w:val="2"/>
                <w:sz w:val="21"/>
                <w:szCs w:val="21"/>
              </w:rPr>
            </w:pPr>
            <w:r>
              <w:rPr>
                <w:rFonts w:ascii="Times New Roman" w:cs="Times New Roman"/>
                <w:kern w:val="2"/>
                <w:sz w:val="21"/>
                <w:szCs w:val="21"/>
              </w:rPr>
              <w:t>关键依靠当地政府。</w:t>
            </w:r>
          </w:p>
          <w:p w:rsidR="00BD5820" w:rsidRDefault="00F64314">
            <w:pPr>
              <w:widowControl/>
              <w:topLinePunct w:val="0"/>
              <w:snapToGrid w:val="0"/>
              <w:spacing w:line="240" w:lineRule="auto"/>
              <w:ind w:firstLineChars="0" w:firstLine="0"/>
              <w:jc w:val="left"/>
              <w:rPr>
                <w:rFonts w:ascii="Times New Roman" w:cs="Times New Roman"/>
                <w:kern w:val="2"/>
                <w:sz w:val="21"/>
                <w:szCs w:val="21"/>
              </w:rPr>
            </w:pPr>
            <w:r>
              <w:rPr>
                <w:rFonts w:ascii="Times New Roman" w:cs="Times New Roman"/>
                <w:kern w:val="2"/>
                <w:sz w:val="21"/>
                <w:szCs w:val="21"/>
              </w:rPr>
              <w:t>充分、重点发挥地方镇乡、村级政府的组织能力，纳入应急组织机构中。</w:t>
            </w:r>
          </w:p>
        </w:tc>
      </w:tr>
      <w:tr w:rsidR="00BD5820">
        <w:tc>
          <w:tcPr>
            <w:tcW w:w="785"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3</w:t>
            </w:r>
          </w:p>
        </w:tc>
        <w:tc>
          <w:tcPr>
            <w:tcW w:w="1285"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预案分级</w:t>
            </w:r>
          </w:p>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响应条件</w:t>
            </w:r>
          </w:p>
        </w:tc>
        <w:tc>
          <w:tcPr>
            <w:tcW w:w="6876" w:type="dxa"/>
            <w:vAlign w:val="center"/>
          </w:tcPr>
          <w:p w:rsidR="00BD5820" w:rsidRDefault="00F64314">
            <w:pPr>
              <w:widowControl/>
              <w:topLinePunct w:val="0"/>
              <w:snapToGrid w:val="0"/>
              <w:spacing w:line="240" w:lineRule="auto"/>
              <w:ind w:firstLineChars="0" w:firstLine="0"/>
              <w:jc w:val="left"/>
              <w:rPr>
                <w:rFonts w:ascii="Times New Roman" w:cs="Times New Roman"/>
                <w:kern w:val="2"/>
                <w:sz w:val="21"/>
                <w:szCs w:val="21"/>
              </w:rPr>
            </w:pPr>
            <w:r>
              <w:rPr>
                <w:rFonts w:ascii="Times New Roman" w:cs="Times New Roman"/>
                <w:kern w:val="2"/>
                <w:sz w:val="21"/>
                <w:szCs w:val="21"/>
              </w:rPr>
              <w:t>规定预案的级别及分级响应程序：</w:t>
            </w:r>
          </w:p>
          <w:p w:rsidR="00BD5820" w:rsidRDefault="00F64314">
            <w:pPr>
              <w:widowControl/>
              <w:topLinePunct w:val="0"/>
              <w:snapToGrid w:val="0"/>
              <w:spacing w:line="240" w:lineRule="auto"/>
              <w:ind w:firstLineChars="0" w:firstLine="0"/>
              <w:jc w:val="left"/>
              <w:rPr>
                <w:rFonts w:ascii="Times New Roman" w:cs="Times New Roman"/>
                <w:kern w:val="2"/>
                <w:sz w:val="21"/>
                <w:szCs w:val="21"/>
              </w:rPr>
            </w:pPr>
            <w:r>
              <w:rPr>
                <w:rFonts w:ascii="Times New Roman" w:cs="Times New Roman"/>
                <w:kern w:val="2"/>
                <w:sz w:val="21"/>
                <w:szCs w:val="21"/>
              </w:rPr>
              <w:t>把重大环境污染事故定为三级，定性为一般，涉及组织单位为中原油田普光分公司和当地环保部门。</w:t>
            </w:r>
          </w:p>
          <w:p w:rsidR="00BD5820" w:rsidRDefault="00F64314">
            <w:pPr>
              <w:widowControl/>
              <w:topLinePunct w:val="0"/>
              <w:snapToGrid w:val="0"/>
              <w:spacing w:line="240" w:lineRule="auto"/>
              <w:ind w:firstLineChars="0" w:firstLine="0"/>
              <w:jc w:val="left"/>
              <w:rPr>
                <w:rFonts w:ascii="Times New Roman" w:cs="Times New Roman"/>
                <w:kern w:val="2"/>
                <w:sz w:val="21"/>
                <w:szCs w:val="21"/>
              </w:rPr>
            </w:pPr>
            <w:r>
              <w:rPr>
                <w:rFonts w:ascii="Times New Roman" w:cs="Times New Roman"/>
                <w:kern w:val="2"/>
                <w:sz w:val="21"/>
                <w:szCs w:val="21"/>
              </w:rPr>
              <w:t>天然气管道</w:t>
            </w:r>
            <w:r>
              <w:rPr>
                <w:rFonts w:ascii="Times New Roman" w:cs="Times New Roman" w:hint="eastAsia"/>
                <w:kern w:val="2"/>
                <w:sz w:val="21"/>
                <w:szCs w:val="21"/>
              </w:rPr>
              <w:t>泄漏事故</w:t>
            </w:r>
            <w:r>
              <w:rPr>
                <w:rFonts w:ascii="Times New Roman" w:cs="Times New Roman"/>
                <w:kern w:val="2"/>
                <w:sz w:val="21"/>
                <w:szCs w:val="21"/>
              </w:rPr>
              <w:t>定为</w:t>
            </w:r>
            <w:r>
              <w:rPr>
                <w:rFonts w:ascii="Times New Roman" w:cs="Times New Roman" w:hint="eastAsia"/>
                <w:kern w:val="2"/>
                <w:sz w:val="21"/>
                <w:szCs w:val="21"/>
              </w:rPr>
              <w:t>二</w:t>
            </w:r>
            <w:r>
              <w:rPr>
                <w:rFonts w:ascii="Times New Roman" w:cs="Times New Roman"/>
                <w:kern w:val="2"/>
                <w:sz w:val="21"/>
                <w:szCs w:val="21"/>
              </w:rPr>
              <w:t>级。涉及组织单位为中原油田普光分公司、当地政府。响应程度依次增强。</w:t>
            </w:r>
          </w:p>
        </w:tc>
      </w:tr>
      <w:tr w:rsidR="00BD5820">
        <w:tc>
          <w:tcPr>
            <w:tcW w:w="785"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4</w:t>
            </w:r>
          </w:p>
        </w:tc>
        <w:tc>
          <w:tcPr>
            <w:tcW w:w="1285"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应急救援</w:t>
            </w:r>
          </w:p>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保障</w:t>
            </w:r>
          </w:p>
        </w:tc>
        <w:tc>
          <w:tcPr>
            <w:tcW w:w="6876" w:type="dxa"/>
            <w:vAlign w:val="center"/>
          </w:tcPr>
          <w:p w:rsidR="00BD5820" w:rsidRDefault="00F64314">
            <w:pPr>
              <w:widowControl/>
              <w:topLinePunct w:val="0"/>
              <w:snapToGrid w:val="0"/>
              <w:spacing w:line="240" w:lineRule="auto"/>
              <w:ind w:firstLineChars="0" w:firstLine="0"/>
              <w:jc w:val="left"/>
              <w:rPr>
                <w:rFonts w:ascii="Times New Roman" w:cs="Times New Roman"/>
                <w:kern w:val="2"/>
                <w:sz w:val="21"/>
                <w:szCs w:val="21"/>
              </w:rPr>
            </w:pPr>
            <w:r>
              <w:rPr>
                <w:rFonts w:ascii="Times New Roman" w:cs="Times New Roman"/>
                <w:kern w:val="2"/>
                <w:sz w:val="21"/>
                <w:szCs w:val="21"/>
              </w:rPr>
              <w:t>应急设施，设备与器材等：</w:t>
            </w:r>
          </w:p>
          <w:p w:rsidR="00BD5820" w:rsidRDefault="00F64314">
            <w:pPr>
              <w:widowControl/>
              <w:topLinePunct w:val="0"/>
              <w:snapToGrid w:val="0"/>
              <w:spacing w:line="240" w:lineRule="auto"/>
              <w:ind w:firstLineChars="0" w:firstLine="0"/>
              <w:jc w:val="left"/>
              <w:rPr>
                <w:rFonts w:ascii="Times New Roman" w:cs="Times New Roman"/>
                <w:kern w:val="2"/>
                <w:sz w:val="21"/>
                <w:szCs w:val="21"/>
              </w:rPr>
            </w:pPr>
            <w:r>
              <w:rPr>
                <w:rFonts w:ascii="Times New Roman" w:cs="Times New Roman"/>
                <w:kern w:val="2"/>
                <w:sz w:val="21"/>
                <w:szCs w:val="21"/>
              </w:rPr>
              <w:t>配备</w:t>
            </w:r>
            <w:r>
              <w:rPr>
                <w:rFonts w:ascii="Times New Roman" w:cs="Times New Roman"/>
                <w:kern w:val="2"/>
                <w:sz w:val="21"/>
                <w:szCs w:val="21"/>
              </w:rPr>
              <w:t>H</w:t>
            </w:r>
            <w:r>
              <w:rPr>
                <w:rFonts w:ascii="Times New Roman" w:cs="Times New Roman"/>
                <w:kern w:val="2"/>
                <w:sz w:val="21"/>
                <w:szCs w:val="21"/>
                <w:vertAlign w:val="subscript"/>
              </w:rPr>
              <w:t>2</w:t>
            </w:r>
            <w:r>
              <w:rPr>
                <w:rFonts w:ascii="Times New Roman" w:cs="Times New Roman"/>
                <w:kern w:val="2"/>
                <w:sz w:val="21"/>
                <w:szCs w:val="21"/>
              </w:rPr>
              <w:t>S</w:t>
            </w:r>
            <w:r>
              <w:rPr>
                <w:rFonts w:ascii="Times New Roman" w:cs="Times New Roman"/>
                <w:kern w:val="2"/>
                <w:sz w:val="21"/>
                <w:szCs w:val="21"/>
              </w:rPr>
              <w:t>测试、防毒、医疗、消防、疏散等应急设施。</w:t>
            </w:r>
          </w:p>
          <w:p w:rsidR="00BD5820" w:rsidRDefault="00F64314">
            <w:pPr>
              <w:widowControl/>
              <w:topLinePunct w:val="0"/>
              <w:snapToGrid w:val="0"/>
              <w:spacing w:line="240" w:lineRule="auto"/>
              <w:ind w:firstLineChars="0" w:firstLine="0"/>
              <w:jc w:val="left"/>
              <w:rPr>
                <w:rFonts w:ascii="Times New Roman" w:cs="Times New Roman"/>
                <w:kern w:val="2"/>
                <w:sz w:val="21"/>
                <w:szCs w:val="21"/>
              </w:rPr>
            </w:pPr>
            <w:r>
              <w:rPr>
                <w:rFonts w:ascii="Times New Roman" w:cs="Times New Roman"/>
                <w:kern w:val="2"/>
                <w:sz w:val="21"/>
                <w:szCs w:val="21"/>
              </w:rPr>
              <w:t>若天然气管道</w:t>
            </w:r>
            <w:r>
              <w:rPr>
                <w:rFonts w:ascii="Times New Roman" w:cs="Times New Roman" w:hint="eastAsia"/>
                <w:kern w:val="2"/>
                <w:sz w:val="21"/>
                <w:szCs w:val="21"/>
              </w:rPr>
              <w:t>泄漏事故，</w:t>
            </w:r>
            <w:r>
              <w:rPr>
                <w:rFonts w:ascii="Times New Roman" w:cs="Times New Roman"/>
                <w:kern w:val="2"/>
                <w:sz w:val="21"/>
                <w:szCs w:val="21"/>
              </w:rPr>
              <w:t>通知当地医院、消防队等方面救援保障力量以及普光分公司的应急救援单位。</w:t>
            </w:r>
          </w:p>
        </w:tc>
      </w:tr>
      <w:tr w:rsidR="00BD5820">
        <w:tc>
          <w:tcPr>
            <w:tcW w:w="785"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5</w:t>
            </w:r>
          </w:p>
        </w:tc>
        <w:tc>
          <w:tcPr>
            <w:tcW w:w="1285"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报警、通讯联络方式</w:t>
            </w:r>
          </w:p>
        </w:tc>
        <w:tc>
          <w:tcPr>
            <w:tcW w:w="6876" w:type="dxa"/>
            <w:vAlign w:val="center"/>
          </w:tcPr>
          <w:p w:rsidR="00BD5820" w:rsidRDefault="00F64314">
            <w:pPr>
              <w:widowControl/>
              <w:topLinePunct w:val="0"/>
              <w:snapToGrid w:val="0"/>
              <w:spacing w:line="240" w:lineRule="auto"/>
              <w:ind w:firstLineChars="0" w:firstLine="0"/>
              <w:jc w:val="left"/>
              <w:rPr>
                <w:rFonts w:ascii="Times New Roman" w:cs="Times New Roman"/>
                <w:kern w:val="2"/>
                <w:sz w:val="21"/>
                <w:szCs w:val="21"/>
              </w:rPr>
            </w:pPr>
            <w:r>
              <w:rPr>
                <w:rFonts w:ascii="Times New Roman" w:cs="Times New Roman"/>
                <w:kern w:val="2"/>
                <w:sz w:val="21"/>
                <w:szCs w:val="21"/>
              </w:rPr>
              <w:t>规定应急状态下的报警通讯方式、通知方式和交通保障、管制：</w:t>
            </w:r>
          </w:p>
          <w:p w:rsidR="00BD5820" w:rsidRDefault="00F64314">
            <w:pPr>
              <w:widowControl/>
              <w:topLinePunct w:val="0"/>
              <w:snapToGrid w:val="0"/>
              <w:spacing w:line="240" w:lineRule="auto"/>
              <w:ind w:firstLineChars="0" w:firstLine="0"/>
              <w:jc w:val="left"/>
              <w:rPr>
                <w:rFonts w:ascii="Times New Roman" w:cs="Times New Roman"/>
                <w:kern w:val="2"/>
                <w:sz w:val="21"/>
                <w:szCs w:val="21"/>
              </w:rPr>
            </w:pPr>
            <w:r>
              <w:rPr>
                <w:rFonts w:ascii="Times New Roman" w:cs="Times New Roman"/>
                <w:kern w:val="2"/>
                <w:sz w:val="21"/>
                <w:szCs w:val="21"/>
              </w:rPr>
              <w:t>协调井队通过广播系统和电话通知。至少在</w:t>
            </w:r>
            <w:r>
              <w:rPr>
                <w:rFonts w:ascii="Times New Roman" w:cs="Times New Roman"/>
                <w:kern w:val="2"/>
                <w:sz w:val="21"/>
                <w:szCs w:val="21"/>
              </w:rPr>
              <w:t>1</w:t>
            </w:r>
            <w:r>
              <w:rPr>
                <w:rFonts w:ascii="Times New Roman" w:cs="Times New Roman"/>
                <w:kern w:val="2"/>
                <w:sz w:val="21"/>
                <w:szCs w:val="21"/>
              </w:rPr>
              <w:t>个小组设</w:t>
            </w:r>
            <w:r>
              <w:rPr>
                <w:rFonts w:ascii="Times New Roman" w:cs="Times New Roman"/>
                <w:kern w:val="2"/>
                <w:sz w:val="21"/>
                <w:szCs w:val="21"/>
              </w:rPr>
              <w:t>2</w:t>
            </w:r>
            <w:r>
              <w:rPr>
                <w:rFonts w:ascii="Times New Roman" w:cs="Times New Roman"/>
                <w:kern w:val="2"/>
                <w:sz w:val="21"/>
                <w:szCs w:val="21"/>
              </w:rPr>
              <w:t>个电话联络点。小组通知人员应指定</w:t>
            </w:r>
            <w:r>
              <w:rPr>
                <w:rFonts w:ascii="Times New Roman" w:cs="Times New Roman"/>
                <w:kern w:val="2"/>
                <w:sz w:val="21"/>
                <w:szCs w:val="21"/>
              </w:rPr>
              <w:t>4</w:t>
            </w:r>
            <w:r>
              <w:rPr>
                <w:rFonts w:ascii="Times New Roman" w:cs="Times New Roman"/>
                <w:kern w:val="2"/>
                <w:sz w:val="21"/>
                <w:szCs w:val="21"/>
              </w:rPr>
              <w:t>人负责通知本小组内的居民。并电话通知当地交警队负责交通保障、管制，不允许非救援车辆进入周边区域。</w:t>
            </w:r>
          </w:p>
        </w:tc>
      </w:tr>
      <w:tr w:rsidR="00BD5820">
        <w:tc>
          <w:tcPr>
            <w:tcW w:w="785"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6</w:t>
            </w:r>
          </w:p>
        </w:tc>
        <w:tc>
          <w:tcPr>
            <w:tcW w:w="1285"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应急环境监</w:t>
            </w:r>
            <w:r>
              <w:rPr>
                <w:rFonts w:ascii="Times New Roman" w:cs="Times New Roman"/>
                <w:kern w:val="2"/>
                <w:sz w:val="21"/>
                <w:szCs w:val="21"/>
              </w:rPr>
              <w:lastRenderedPageBreak/>
              <w:t>测、抢险、救援及控制</w:t>
            </w:r>
          </w:p>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措施</w:t>
            </w:r>
          </w:p>
        </w:tc>
        <w:tc>
          <w:tcPr>
            <w:tcW w:w="6876" w:type="dxa"/>
            <w:vAlign w:val="center"/>
          </w:tcPr>
          <w:p w:rsidR="00BD5820" w:rsidRDefault="00F64314">
            <w:pPr>
              <w:widowControl/>
              <w:topLinePunct w:val="0"/>
              <w:snapToGrid w:val="0"/>
              <w:spacing w:line="240" w:lineRule="auto"/>
              <w:ind w:firstLineChars="0" w:firstLine="0"/>
              <w:jc w:val="left"/>
              <w:rPr>
                <w:rFonts w:ascii="Times New Roman" w:cs="Times New Roman"/>
                <w:kern w:val="2"/>
                <w:sz w:val="21"/>
                <w:szCs w:val="21"/>
              </w:rPr>
            </w:pPr>
            <w:r>
              <w:rPr>
                <w:rFonts w:ascii="Times New Roman" w:cs="Times New Roman"/>
                <w:kern w:val="2"/>
                <w:sz w:val="21"/>
                <w:szCs w:val="21"/>
              </w:rPr>
              <w:lastRenderedPageBreak/>
              <w:t>环境应急监测可组织协调当地环境监测中心站。</w:t>
            </w:r>
          </w:p>
          <w:p w:rsidR="00BD5820" w:rsidRDefault="00F64314">
            <w:pPr>
              <w:widowControl/>
              <w:topLinePunct w:val="0"/>
              <w:snapToGrid w:val="0"/>
              <w:spacing w:line="240" w:lineRule="auto"/>
              <w:ind w:firstLineChars="0" w:firstLine="0"/>
              <w:jc w:val="left"/>
              <w:rPr>
                <w:rFonts w:ascii="Times New Roman" w:cs="Times New Roman"/>
                <w:kern w:val="2"/>
                <w:sz w:val="21"/>
                <w:szCs w:val="21"/>
              </w:rPr>
            </w:pPr>
            <w:r>
              <w:rPr>
                <w:rFonts w:ascii="Times New Roman" w:cs="Times New Roman"/>
                <w:kern w:val="2"/>
                <w:sz w:val="21"/>
                <w:szCs w:val="21"/>
              </w:rPr>
              <w:lastRenderedPageBreak/>
              <w:t>抢险、救援组织协调当地消防队、医院普光分公司的应急队伍。</w:t>
            </w:r>
          </w:p>
          <w:p w:rsidR="00BD5820" w:rsidRDefault="00F64314">
            <w:pPr>
              <w:widowControl/>
              <w:topLinePunct w:val="0"/>
              <w:snapToGrid w:val="0"/>
              <w:spacing w:line="240" w:lineRule="auto"/>
              <w:ind w:firstLineChars="0" w:firstLine="0"/>
              <w:jc w:val="left"/>
              <w:rPr>
                <w:rFonts w:ascii="Times New Roman" w:cs="Times New Roman"/>
                <w:kern w:val="2"/>
                <w:sz w:val="21"/>
                <w:szCs w:val="21"/>
              </w:rPr>
            </w:pPr>
            <w:r>
              <w:rPr>
                <w:rFonts w:ascii="Times New Roman" w:cs="Times New Roman"/>
                <w:kern w:val="2"/>
                <w:sz w:val="21"/>
                <w:szCs w:val="21"/>
              </w:rPr>
              <w:t>控制措施主要由普光分公司等部门共同协商控制。</w:t>
            </w:r>
          </w:p>
          <w:p w:rsidR="00BD5820" w:rsidRDefault="00F76A35" w:rsidP="00AC7E70">
            <w:pPr>
              <w:widowControl/>
              <w:topLinePunct w:val="0"/>
              <w:snapToGrid w:val="0"/>
              <w:spacing w:line="240" w:lineRule="auto"/>
              <w:ind w:firstLineChars="0" w:firstLine="0"/>
              <w:jc w:val="left"/>
              <w:rPr>
                <w:rFonts w:ascii="Times New Roman" w:cs="Times New Roman"/>
                <w:kern w:val="2"/>
                <w:sz w:val="21"/>
                <w:szCs w:val="21"/>
              </w:rPr>
            </w:pPr>
            <w:r>
              <w:rPr>
                <w:rFonts w:ascii="Times New Roman" w:cs="Times New Roman"/>
                <w:kern w:val="2"/>
                <w:sz w:val="21"/>
                <w:szCs w:val="21"/>
              </w:rPr>
              <w:t>管道泄漏</w:t>
            </w:r>
            <w:r w:rsidR="00F64314">
              <w:rPr>
                <w:rFonts w:ascii="Times New Roman" w:cs="Times New Roman"/>
                <w:kern w:val="2"/>
                <w:sz w:val="21"/>
                <w:szCs w:val="21"/>
              </w:rPr>
              <w:t>的关键控制措施：应立即组织撤管道周边</w:t>
            </w:r>
            <w:r>
              <w:rPr>
                <w:rFonts w:ascii="Times New Roman" w:cs="Times New Roman" w:hint="eastAsia"/>
                <w:kern w:val="2"/>
                <w:sz w:val="21"/>
                <w:szCs w:val="21"/>
              </w:rPr>
              <w:t>15</w:t>
            </w:r>
            <w:r w:rsidR="00F64314">
              <w:rPr>
                <w:rFonts w:ascii="Times New Roman" w:cs="Times New Roman" w:hint="eastAsia"/>
                <w:kern w:val="2"/>
                <w:sz w:val="21"/>
                <w:szCs w:val="21"/>
              </w:rPr>
              <w:t>00</w:t>
            </w:r>
            <w:r w:rsidR="00F64314">
              <w:rPr>
                <w:rFonts w:ascii="Times New Roman" w:cs="Times New Roman"/>
                <w:kern w:val="2"/>
                <w:sz w:val="21"/>
                <w:szCs w:val="21"/>
              </w:rPr>
              <w:t>m</w:t>
            </w:r>
            <w:r w:rsidR="00F64314">
              <w:rPr>
                <w:rFonts w:ascii="Times New Roman" w:cs="Times New Roman"/>
                <w:kern w:val="2"/>
                <w:sz w:val="21"/>
                <w:szCs w:val="21"/>
              </w:rPr>
              <w:t>的居民</w:t>
            </w:r>
            <w:r w:rsidR="008A6122" w:rsidRPr="00AC7E70">
              <w:rPr>
                <w:rFonts w:ascii="Times New Roman" w:cs="Times New Roman" w:hint="eastAsia"/>
                <w:color w:val="FF0000"/>
                <w:kern w:val="2"/>
                <w:sz w:val="21"/>
                <w:szCs w:val="21"/>
              </w:rPr>
              <w:t>（约</w:t>
            </w:r>
            <w:r w:rsidR="008A6122" w:rsidRPr="00AC7E70">
              <w:rPr>
                <w:rFonts w:ascii="Times New Roman" w:cs="Times New Roman" w:hint="eastAsia"/>
                <w:color w:val="FF0000"/>
                <w:kern w:val="2"/>
                <w:sz w:val="21"/>
                <w:szCs w:val="21"/>
              </w:rPr>
              <w:t>1</w:t>
            </w:r>
            <w:r w:rsidR="00AC7E70" w:rsidRPr="00AC7E70">
              <w:rPr>
                <w:rFonts w:ascii="Times New Roman" w:cs="Times New Roman" w:hint="eastAsia"/>
                <w:color w:val="FF0000"/>
                <w:kern w:val="2"/>
                <w:sz w:val="21"/>
                <w:szCs w:val="21"/>
              </w:rPr>
              <w:t>77</w:t>
            </w:r>
            <w:r w:rsidR="008A6122" w:rsidRPr="00AC7E70">
              <w:rPr>
                <w:rFonts w:ascii="Times New Roman" w:cs="Times New Roman" w:hint="eastAsia"/>
                <w:color w:val="FF0000"/>
                <w:kern w:val="2"/>
                <w:sz w:val="21"/>
                <w:szCs w:val="21"/>
              </w:rPr>
              <w:t>9</w:t>
            </w:r>
            <w:r w:rsidR="008A6122" w:rsidRPr="00AC7E70">
              <w:rPr>
                <w:rFonts w:ascii="Times New Roman" w:cs="Times New Roman" w:hint="eastAsia"/>
                <w:color w:val="FF0000"/>
                <w:kern w:val="2"/>
                <w:sz w:val="21"/>
                <w:szCs w:val="21"/>
              </w:rPr>
              <w:t>人）</w:t>
            </w:r>
            <w:r w:rsidR="00F64314">
              <w:rPr>
                <w:rFonts w:ascii="Times New Roman" w:cs="Times New Roman"/>
                <w:kern w:val="2"/>
                <w:sz w:val="21"/>
                <w:szCs w:val="21"/>
              </w:rPr>
              <w:t>。</w:t>
            </w:r>
          </w:p>
        </w:tc>
      </w:tr>
      <w:tr w:rsidR="00BD5820">
        <w:tc>
          <w:tcPr>
            <w:tcW w:w="785"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lastRenderedPageBreak/>
              <w:t>7</w:t>
            </w:r>
          </w:p>
        </w:tc>
        <w:tc>
          <w:tcPr>
            <w:tcW w:w="1285"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应急检测、防护措施、清除泄漏措施和器材</w:t>
            </w:r>
          </w:p>
        </w:tc>
        <w:tc>
          <w:tcPr>
            <w:tcW w:w="6876" w:type="dxa"/>
            <w:vAlign w:val="center"/>
          </w:tcPr>
          <w:p w:rsidR="00BD5820" w:rsidRDefault="00F64314">
            <w:pPr>
              <w:widowControl/>
              <w:topLinePunct w:val="0"/>
              <w:snapToGrid w:val="0"/>
              <w:spacing w:line="240" w:lineRule="auto"/>
              <w:ind w:firstLineChars="0" w:firstLine="0"/>
              <w:jc w:val="left"/>
              <w:rPr>
                <w:rFonts w:ascii="Times New Roman" w:cs="Times New Roman"/>
                <w:kern w:val="2"/>
                <w:sz w:val="21"/>
                <w:szCs w:val="21"/>
              </w:rPr>
            </w:pPr>
            <w:r>
              <w:rPr>
                <w:rFonts w:ascii="Times New Roman" w:cs="Times New Roman"/>
                <w:kern w:val="2"/>
                <w:sz w:val="21"/>
                <w:szCs w:val="21"/>
              </w:rPr>
              <w:t>应急检测、防护采用配备的设备和消防队伍的设备，必要可增加普光分公司的检测防护设备。清除泄漏必要时可通过消防车喷雾状水溶解将大气污染物转化为地表水污染物。</w:t>
            </w:r>
          </w:p>
        </w:tc>
      </w:tr>
      <w:tr w:rsidR="00BD5820">
        <w:tc>
          <w:tcPr>
            <w:tcW w:w="785"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8</w:t>
            </w:r>
          </w:p>
        </w:tc>
        <w:tc>
          <w:tcPr>
            <w:tcW w:w="1285"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人员紧急撤离、疏散，应急剂量控制、撤离组织计划</w:t>
            </w:r>
          </w:p>
        </w:tc>
        <w:tc>
          <w:tcPr>
            <w:tcW w:w="6876" w:type="dxa"/>
            <w:vAlign w:val="center"/>
          </w:tcPr>
          <w:p w:rsidR="00BD5820" w:rsidRDefault="00F64314">
            <w:pPr>
              <w:widowControl/>
              <w:topLinePunct w:val="0"/>
              <w:snapToGrid w:val="0"/>
              <w:spacing w:line="240" w:lineRule="auto"/>
              <w:ind w:firstLineChars="0" w:firstLine="0"/>
              <w:jc w:val="left"/>
              <w:rPr>
                <w:rFonts w:ascii="Times New Roman" w:cs="Times New Roman"/>
                <w:kern w:val="2"/>
                <w:sz w:val="21"/>
                <w:szCs w:val="21"/>
              </w:rPr>
            </w:pPr>
            <w:r>
              <w:rPr>
                <w:rFonts w:ascii="Times New Roman" w:cs="Times New Roman"/>
                <w:kern w:val="2"/>
                <w:sz w:val="21"/>
                <w:szCs w:val="21"/>
              </w:rPr>
              <w:t>紧急撤离区：</w:t>
            </w:r>
            <w:r>
              <w:rPr>
                <w:rFonts w:ascii="Times New Roman" w:cs="Times New Roman" w:hint="eastAsia"/>
                <w:kern w:val="2"/>
                <w:sz w:val="21"/>
                <w:szCs w:val="21"/>
              </w:rPr>
              <w:t>管道</w:t>
            </w:r>
            <w:r>
              <w:rPr>
                <w:rFonts w:ascii="Times New Roman" w:cs="Times New Roman"/>
                <w:kern w:val="2"/>
                <w:sz w:val="21"/>
                <w:szCs w:val="21"/>
              </w:rPr>
              <w:t>周边</w:t>
            </w:r>
            <w:r w:rsidR="00F76A35">
              <w:rPr>
                <w:rFonts w:ascii="Times New Roman" w:cs="Times New Roman" w:hint="eastAsia"/>
                <w:kern w:val="2"/>
                <w:sz w:val="21"/>
                <w:szCs w:val="21"/>
              </w:rPr>
              <w:t>15</w:t>
            </w:r>
            <w:r>
              <w:rPr>
                <w:rFonts w:ascii="Times New Roman" w:cs="Times New Roman" w:hint="eastAsia"/>
                <w:kern w:val="2"/>
                <w:sz w:val="21"/>
                <w:szCs w:val="21"/>
              </w:rPr>
              <w:t>00</w:t>
            </w:r>
            <w:r>
              <w:rPr>
                <w:rFonts w:ascii="Times New Roman" w:cs="Times New Roman"/>
                <w:kern w:val="2"/>
                <w:sz w:val="21"/>
                <w:szCs w:val="21"/>
              </w:rPr>
              <w:t>m</w:t>
            </w:r>
            <w:r>
              <w:rPr>
                <w:rFonts w:ascii="Times New Roman" w:cs="Times New Roman"/>
                <w:kern w:val="2"/>
                <w:sz w:val="21"/>
                <w:szCs w:val="21"/>
              </w:rPr>
              <w:t>范围为紧急撤离区。撤离路线应根据风向标，沿发生事故时的上风向方向或侧风向远离事故源方向撤离。通过高音喇叭、广播、电话及时通知周边各户居民，保证全部及时通知撤离。</w:t>
            </w:r>
          </w:p>
          <w:p w:rsidR="00BD5820" w:rsidRDefault="00F64314">
            <w:pPr>
              <w:widowControl/>
              <w:topLinePunct w:val="0"/>
              <w:snapToGrid w:val="0"/>
              <w:spacing w:line="240" w:lineRule="auto"/>
              <w:ind w:firstLineChars="0" w:firstLine="0"/>
              <w:jc w:val="left"/>
              <w:rPr>
                <w:rFonts w:ascii="Times New Roman" w:cs="Times New Roman"/>
                <w:kern w:val="2"/>
                <w:sz w:val="21"/>
                <w:szCs w:val="21"/>
              </w:rPr>
            </w:pPr>
            <w:r>
              <w:rPr>
                <w:rFonts w:ascii="Times New Roman" w:cs="Times New Roman"/>
                <w:kern w:val="2"/>
                <w:sz w:val="21"/>
                <w:szCs w:val="21"/>
              </w:rPr>
              <w:t>一般撤离区：当发生</w:t>
            </w:r>
            <w:r>
              <w:rPr>
                <w:rFonts w:ascii="Times New Roman" w:cs="Times New Roman" w:hint="eastAsia"/>
                <w:kern w:val="2"/>
                <w:sz w:val="21"/>
                <w:szCs w:val="21"/>
              </w:rPr>
              <w:t>管道</w:t>
            </w:r>
            <w:r>
              <w:rPr>
                <w:rFonts w:ascii="Times New Roman" w:cs="Times New Roman"/>
                <w:kern w:val="2"/>
                <w:sz w:val="21"/>
                <w:szCs w:val="21"/>
              </w:rPr>
              <w:t>天然气泄漏事故时，一般撤离范围可根据监测情况决定。在发生事故时应自发和在应急组织机构的带领下及时撤离。撤离路线应根据风向标，沿发生事故时的上风向或侧风向方向远离事故源方向撤离。由于涉及人员多，应通过应急组织机构负责组织撤离，通过广播系统和电话系统通知。由于远处居民不能看到风向标，在通知撤离时要由专业人员根据风向标说明撤离方向。可通过广播系统和电话系统通知，应通过协调村委会通过电话通知到小组，各组至少设立</w:t>
            </w:r>
            <w:r>
              <w:rPr>
                <w:rFonts w:ascii="Times New Roman" w:cs="Times New Roman"/>
                <w:kern w:val="2"/>
                <w:sz w:val="21"/>
                <w:szCs w:val="21"/>
              </w:rPr>
              <w:t>2</w:t>
            </w:r>
            <w:r>
              <w:rPr>
                <w:rFonts w:ascii="Times New Roman" w:cs="Times New Roman"/>
                <w:kern w:val="2"/>
                <w:sz w:val="21"/>
                <w:szCs w:val="21"/>
              </w:rPr>
              <w:t>个联络点。小组负责人指定</w:t>
            </w:r>
            <w:r>
              <w:rPr>
                <w:rFonts w:ascii="Times New Roman" w:cs="Times New Roman"/>
                <w:kern w:val="2"/>
                <w:sz w:val="21"/>
                <w:szCs w:val="21"/>
              </w:rPr>
              <w:t>4</w:t>
            </w:r>
            <w:r>
              <w:rPr>
                <w:rFonts w:ascii="Times New Roman" w:cs="Times New Roman"/>
                <w:kern w:val="2"/>
                <w:sz w:val="21"/>
                <w:szCs w:val="21"/>
              </w:rPr>
              <w:t>人负责通知小组内的居民。</w:t>
            </w:r>
          </w:p>
        </w:tc>
      </w:tr>
      <w:tr w:rsidR="00BD5820">
        <w:tc>
          <w:tcPr>
            <w:tcW w:w="785"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9</w:t>
            </w:r>
          </w:p>
        </w:tc>
        <w:tc>
          <w:tcPr>
            <w:tcW w:w="1285"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事故应急救援关闭程序与恢复措施</w:t>
            </w:r>
          </w:p>
        </w:tc>
        <w:tc>
          <w:tcPr>
            <w:tcW w:w="6876" w:type="dxa"/>
            <w:vAlign w:val="center"/>
          </w:tcPr>
          <w:p w:rsidR="00BD5820" w:rsidRDefault="00F64314">
            <w:pPr>
              <w:widowControl/>
              <w:topLinePunct w:val="0"/>
              <w:snapToGrid w:val="0"/>
              <w:spacing w:line="240" w:lineRule="auto"/>
              <w:ind w:firstLineChars="0" w:firstLine="0"/>
              <w:jc w:val="left"/>
              <w:rPr>
                <w:rFonts w:ascii="Times New Roman" w:cs="Times New Roman"/>
                <w:kern w:val="2"/>
                <w:sz w:val="21"/>
                <w:szCs w:val="21"/>
              </w:rPr>
            </w:pPr>
            <w:r>
              <w:rPr>
                <w:rFonts w:ascii="Times New Roman" w:cs="Times New Roman"/>
                <w:kern w:val="2"/>
                <w:sz w:val="21"/>
                <w:szCs w:val="21"/>
              </w:rPr>
              <w:t>规定应急状态终止程序事故现场善后处理，恢复措施邻近区域解除事故警戒及善后恢复措施</w:t>
            </w:r>
          </w:p>
          <w:p w:rsidR="00BD5820" w:rsidRDefault="00F64314">
            <w:pPr>
              <w:widowControl/>
              <w:topLinePunct w:val="0"/>
              <w:snapToGrid w:val="0"/>
              <w:spacing w:line="240" w:lineRule="auto"/>
              <w:ind w:firstLineChars="0" w:firstLine="0"/>
              <w:jc w:val="left"/>
              <w:rPr>
                <w:rFonts w:ascii="Times New Roman" w:cs="Times New Roman"/>
                <w:kern w:val="2"/>
                <w:sz w:val="21"/>
                <w:szCs w:val="21"/>
              </w:rPr>
            </w:pPr>
            <w:r>
              <w:rPr>
                <w:rFonts w:ascii="Times New Roman" w:cs="Times New Roman"/>
                <w:kern w:val="2"/>
                <w:sz w:val="21"/>
                <w:szCs w:val="21"/>
              </w:rPr>
              <w:t>（</w:t>
            </w:r>
            <w:r>
              <w:rPr>
                <w:rFonts w:ascii="Times New Roman" w:cs="Times New Roman"/>
                <w:kern w:val="2"/>
                <w:sz w:val="21"/>
                <w:szCs w:val="21"/>
              </w:rPr>
              <w:t>1</w:t>
            </w:r>
            <w:r>
              <w:rPr>
                <w:rFonts w:ascii="Times New Roman" w:cs="Times New Roman"/>
                <w:kern w:val="2"/>
                <w:sz w:val="21"/>
                <w:szCs w:val="21"/>
              </w:rPr>
              <w:t>）</w:t>
            </w:r>
            <w:r>
              <w:rPr>
                <w:rFonts w:ascii="Times New Roman" w:cs="Times New Roman" w:hint="eastAsia"/>
                <w:kern w:val="2"/>
                <w:sz w:val="21"/>
                <w:szCs w:val="21"/>
              </w:rPr>
              <w:t>管道</w:t>
            </w:r>
            <w:r>
              <w:rPr>
                <w:rFonts w:ascii="Times New Roman" w:cs="Times New Roman"/>
                <w:kern w:val="2"/>
                <w:sz w:val="21"/>
                <w:szCs w:val="21"/>
              </w:rPr>
              <w:t>泄漏事故得到控制，伤亡人员得到全部救援和安置，危险区域的居民全部撤离。</w:t>
            </w:r>
          </w:p>
          <w:p w:rsidR="00BD5820" w:rsidRDefault="00F64314">
            <w:pPr>
              <w:widowControl/>
              <w:topLinePunct w:val="0"/>
              <w:snapToGrid w:val="0"/>
              <w:spacing w:line="240" w:lineRule="auto"/>
              <w:ind w:firstLineChars="0" w:firstLine="0"/>
              <w:jc w:val="left"/>
              <w:rPr>
                <w:rFonts w:ascii="Times New Roman" w:cs="Times New Roman"/>
                <w:kern w:val="2"/>
                <w:sz w:val="21"/>
                <w:szCs w:val="21"/>
              </w:rPr>
            </w:pPr>
            <w:r>
              <w:rPr>
                <w:rFonts w:ascii="Times New Roman" w:cs="Times New Roman"/>
                <w:kern w:val="2"/>
                <w:sz w:val="21"/>
                <w:szCs w:val="21"/>
              </w:rPr>
              <w:t>（</w:t>
            </w:r>
            <w:r>
              <w:rPr>
                <w:rFonts w:ascii="Times New Roman" w:cs="Times New Roman"/>
                <w:kern w:val="2"/>
                <w:sz w:val="21"/>
                <w:szCs w:val="21"/>
              </w:rPr>
              <w:t>2</w:t>
            </w:r>
            <w:r>
              <w:rPr>
                <w:rFonts w:ascii="Times New Roman" w:cs="Times New Roman"/>
                <w:kern w:val="2"/>
                <w:sz w:val="21"/>
                <w:szCs w:val="21"/>
              </w:rPr>
              <w:t>）恢复措施：对事故伤亡情况进行统计，应做好详细的记录并存档。行政领导组应尽快协调各部做好医疗救护工作，包括医疗经费的提供、受伤人员的住院安排与护理以及善后赔偿等；配合相关部门人员对受损设备尽快安排修复并投入生产使用。普光分公司、当地政府成立事故调查小组，调查原因并按</w:t>
            </w:r>
            <w:r>
              <w:rPr>
                <w:rFonts w:ascii="Times New Roman" w:cs="Times New Roman"/>
                <w:kern w:val="2"/>
                <w:sz w:val="21"/>
                <w:szCs w:val="21"/>
              </w:rPr>
              <w:t>“</w:t>
            </w:r>
            <w:r>
              <w:rPr>
                <w:rFonts w:ascii="Times New Roman" w:cs="Times New Roman"/>
                <w:kern w:val="2"/>
                <w:sz w:val="21"/>
                <w:szCs w:val="21"/>
              </w:rPr>
              <w:t>四不放过</w:t>
            </w:r>
            <w:r>
              <w:rPr>
                <w:rFonts w:ascii="Times New Roman" w:cs="Times New Roman"/>
                <w:kern w:val="2"/>
                <w:sz w:val="21"/>
                <w:szCs w:val="21"/>
              </w:rPr>
              <w:t>”</w:t>
            </w:r>
            <w:r>
              <w:rPr>
                <w:rFonts w:ascii="Times New Roman" w:cs="Times New Roman"/>
                <w:kern w:val="2"/>
                <w:sz w:val="21"/>
                <w:szCs w:val="21"/>
              </w:rPr>
              <w:t>的原则进行事故处理；做出事故调查报告，同时总结事件教训，实行安全事故的教育培训，杜绝类似事件的再次发生。</w:t>
            </w:r>
          </w:p>
        </w:tc>
      </w:tr>
      <w:tr w:rsidR="00BD5820">
        <w:tc>
          <w:tcPr>
            <w:tcW w:w="785"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10</w:t>
            </w:r>
          </w:p>
        </w:tc>
        <w:tc>
          <w:tcPr>
            <w:tcW w:w="1285"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应急培训</w:t>
            </w:r>
          </w:p>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计划</w:t>
            </w:r>
          </w:p>
        </w:tc>
        <w:tc>
          <w:tcPr>
            <w:tcW w:w="6876" w:type="dxa"/>
            <w:vAlign w:val="center"/>
          </w:tcPr>
          <w:p w:rsidR="00BD5820" w:rsidRDefault="00F64314">
            <w:pPr>
              <w:widowControl/>
              <w:topLinePunct w:val="0"/>
              <w:snapToGrid w:val="0"/>
              <w:spacing w:line="240" w:lineRule="auto"/>
              <w:ind w:firstLineChars="0" w:firstLine="0"/>
              <w:jc w:val="left"/>
              <w:rPr>
                <w:rFonts w:ascii="Times New Roman" w:cs="Times New Roman"/>
                <w:kern w:val="2"/>
                <w:sz w:val="21"/>
                <w:szCs w:val="21"/>
              </w:rPr>
            </w:pPr>
            <w:r>
              <w:rPr>
                <w:rFonts w:ascii="Times New Roman" w:cs="Times New Roman"/>
                <w:kern w:val="2"/>
                <w:sz w:val="21"/>
                <w:szCs w:val="21"/>
              </w:rPr>
              <w:t>应急计划制定后，平时安排人员培训与演练：</w:t>
            </w:r>
          </w:p>
          <w:p w:rsidR="00BD5820" w:rsidRDefault="00F64314" w:rsidP="00AC7E70">
            <w:pPr>
              <w:widowControl/>
              <w:topLinePunct w:val="0"/>
              <w:snapToGrid w:val="0"/>
              <w:spacing w:line="240" w:lineRule="auto"/>
              <w:ind w:firstLineChars="0" w:firstLine="0"/>
              <w:jc w:val="left"/>
              <w:rPr>
                <w:rFonts w:ascii="Times New Roman" w:cs="Times New Roman"/>
                <w:kern w:val="2"/>
                <w:sz w:val="21"/>
                <w:szCs w:val="21"/>
              </w:rPr>
            </w:pPr>
            <w:r>
              <w:rPr>
                <w:rFonts w:ascii="Times New Roman" w:cs="Times New Roman"/>
                <w:kern w:val="2"/>
                <w:sz w:val="21"/>
                <w:szCs w:val="21"/>
              </w:rPr>
              <w:t>着重在</w:t>
            </w:r>
            <w:r>
              <w:rPr>
                <w:rFonts w:ascii="Times New Roman" w:cs="Times New Roman" w:hint="eastAsia"/>
                <w:kern w:val="2"/>
                <w:sz w:val="21"/>
                <w:szCs w:val="21"/>
              </w:rPr>
              <w:t>天然气</w:t>
            </w:r>
            <w:r>
              <w:rPr>
                <w:rFonts w:ascii="Times New Roman" w:cs="Times New Roman"/>
                <w:kern w:val="2"/>
                <w:sz w:val="21"/>
                <w:szCs w:val="21"/>
              </w:rPr>
              <w:t>管道泄漏事故演练，把</w:t>
            </w:r>
            <w:r>
              <w:rPr>
                <w:rFonts w:ascii="Times New Roman" w:cs="Times New Roman" w:hint="eastAsia"/>
                <w:kern w:val="2"/>
                <w:sz w:val="21"/>
                <w:szCs w:val="21"/>
              </w:rPr>
              <w:t>天然气</w:t>
            </w:r>
            <w:r>
              <w:rPr>
                <w:rFonts w:ascii="Times New Roman" w:cs="Times New Roman"/>
                <w:kern w:val="2"/>
                <w:sz w:val="21"/>
                <w:szCs w:val="21"/>
              </w:rPr>
              <w:t>管道周边</w:t>
            </w:r>
            <w:r w:rsidR="00F76A35">
              <w:rPr>
                <w:rFonts w:ascii="Times New Roman" w:cs="Times New Roman" w:hint="eastAsia"/>
                <w:kern w:val="2"/>
                <w:sz w:val="21"/>
                <w:szCs w:val="21"/>
              </w:rPr>
              <w:t>15</w:t>
            </w:r>
            <w:r>
              <w:rPr>
                <w:rFonts w:ascii="Times New Roman" w:cs="Times New Roman" w:hint="eastAsia"/>
                <w:kern w:val="2"/>
                <w:sz w:val="21"/>
                <w:szCs w:val="21"/>
              </w:rPr>
              <w:t>00</w:t>
            </w:r>
            <w:r>
              <w:rPr>
                <w:rFonts w:ascii="Times New Roman" w:cs="Times New Roman"/>
                <w:kern w:val="2"/>
                <w:sz w:val="21"/>
                <w:szCs w:val="21"/>
              </w:rPr>
              <w:t>m</w:t>
            </w:r>
            <w:r>
              <w:rPr>
                <w:rFonts w:ascii="Times New Roman" w:cs="Times New Roman"/>
                <w:kern w:val="2"/>
                <w:sz w:val="21"/>
                <w:szCs w:val="21"/>
              </w:rPr>
              <w:t>范围内居民</w:t>
            </w:r>
            <w:r w:rsidR="008A6122" w:rsidRPr="00AC7E70">
              <w:rPr>
                <w:rFonts w:ascii="Times New Roman" w:cs="Times New Roman" w:hint="eastAsia"/>
                <w:color w:val="FF0000"/>
                <w:kern w:val="2"/>
                <w:sz w:val="21"/>
                <w:szCs w:val="21"/>
              </w:rPr>
              <w:t>（约</w:t>
            </w:r>
            <w:r w:rsidR="008A6122" w:rsidRPr="00AC7E70">
              <w:rPr>
                <w:rFonts w:ascii="Times New Roman" w:cs="Times New Roman" w:hint="eastAsia"/>
                <w:color w:val="FF0000"/>
                <w:kern w:val="2"/>
                <w:sz w:val="21"/>
                <w:szCs w:val="21"/>
              </w:rPr>
              <w:t>1</w:t>
            </w:r>
            <w:r w:rsidR="00AC7E70" w:rsidRPr="00AC7E70">
              <w:rPr>
                <w:rFonts w:ascii="Times New Roman" w:cs="Times New Roman" w:hint="eastAsia"/>
                <w:color w:val="FF0000"/>
                <w:kern w:val="2"/>
                <w:sz w:val="21"/>
                <w:szCs w:val="21"/>
              </w:rPr>
              <w:t>77</w:t>
            </w:r>
            <w:r w:rsidR="008A6122" w:rsidRPr="00AC7E70">
              <w:rPr>
                <w:rFonts w:ascii="Times New Roman" w:cs="Times New Roman" w:hint="eastAsia"/>
                <w:color w:val="FF0000"/>
                <w:kern w:val="2"/>
                <w:sz w:val="21"/>
                <w:szCs w:val="21"/>
              </w:rPr>
              <w:t>9</w:t>
            </w:r>
            <w:r w:rsidR="008A6122" w:rsidRPr="00AC7E70">
              <w:rPr>
                <w:rFonts w:ascii="Times New Roman" w:cs="Times New Roman" w:hint="eastAsia"/>
                <w:color w:val="FF0000"/>
                <w:kern w:val="2"/>
                <w:sz w:val="21"/>
                <w:szCs w:val="21"/>
              </w:rPr>
              <w:t>人）</w:t>
            </w:r>
            <w:r>
              <w:rPr>
                <w:rFonts w:ascii="Times New Roman" w:cs="Times New Roman"/>
                <w:kern w:val="2"/>
                <w:sz w:val="21"/>
                <w:szCs w:val="21"/>
              </w:rPr>
              <w:t>纳入培训、演练队伍。对全体员工进行应急救援培训，提高员工的应急救援能力。加强对组织人员向</w:t>
            </w:r>
            <w:r>
              <w:rPr>
                <w:rFonts w:ascii="Times New Roman" w:cs="Times New Roman" w:hint="eastAsia"/>
                <w:kern w:val="2"/>
                <w:sz w:val="21"/>
                <w:szCs w:val="21"/>
              </w:rPr>
              <w:t>场站</w:t>
            </w:r>
            <w:r>
              <w:rPr>
                <w:rFonts w:ascii="Times New Roman" w:cs="Times New Roman"/>
                <w:kern w:val="2"/>
                <w:sz w:val="21"/>
                <w:szCs w:val="21"/>
              </w:rPr>
              <w:t>附近居民宣传</w:t>
            </w:r>
            <w:r>
              <w:rPr>
                <w:rFonts w:ascii="Times New Roman" w:cs="Times New Roman"/>
                <w:kern w:val="2"/>
                <w:sz w:val="21"/>
                <w:szCs w:val="21"/>
              </w:rPr>
              <w:t>H</w:t>
            </w:r>
            <w:r>
              <w:rPr>
                <w:rFonts w:ascii="Times New Roman" w:cs="Times New Roman"/>
                <w:kern w:val="2"/>
                <w:sz w:val="21"/>
                <w:szCs w:val="21"/>
                <w:vertAlign w:val="subscript"/>
              </w:rPr>
              <w:t>2</w:t>
            </w:r>
            <w:r>
              <w:rPr>
                <w:rFonts w:ascii="Times New Roman" w:cs="Times New Roman"/>
                <w:kern w:val="2"/>
                <w:sz w:val="21"/>
                <w:szCs w:val="21"/>
              </w:rPr>
              <w:t>S</w:t>
            </w:r>
            <w:r>
              <w:rPr>
                <w:rFonts w:ascii="Times New Roman" w:cs="Times New Roman"/>
                <w:kern w:val="2"/>
                <w:sz w:val="21"/>
                <w:szCs w:val="21"/>
              </w:rPr>
              <w:t>的危害及相关知识。安全员负责指定应急培训计划，定期对应急组织机构成员和应急保障系统、应急信息的有关人员进行综合性应急培训并做好培训记录。应急演练应每个月开展一次，进入气层后半个月开展一次，通过演练掌握应急人员在应急抢险中对预案的熟悉程度和能力，二是加强抢险应急设备的维护保养，检查是否备足所需应急材料。</w:t>
            </w:r>
          </w:p>
        </w:tc>
      </w:tr>
      <w:tr w:rsidR="00BD5820">
        <w:tc>
          <w:tcPr>
            <w:tcW w:w="785"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11</w:t>
            </w:r>
          </w:p>
        </w:tc>
        <w:tc>
          <w:tcPr>
            <w:tcW w:w="1285"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公众教育和信息</w:t>
            </w:r>
          </w:p>
        </w:tc>
        <w:tc>
          <w:tcPr>
            <w:tcW w:w="6876" w:type="dxa"/>
            <w:vAlign w:val="center"/>
          </w:tcPr>
          <w:p w:rsidR="00BD5820" w:rsidRDefault="00F64314">
            <w:pPr>
              <w:widowControl/>
              <w:topLinePunct w:val="0"/>
              <w:snapToGrid w:val="0"/>
              <w:spacing w:line="240" w:lineRule="auto"/>
              <w:ind w:firstLineChars="0" w:firstLine="0"/>
              <w:jc w:val="left"/>
              <w:rPr>
                <w:rFonts w:ascii="Times New Roman" w:cs="Times New Roman"/>
                <w:kern w:val="2"/>
                <w:sz w:val="21"/>
                <w:szCs w:val="21"/>
              </w:rPr>
            </w:pPr>
            <w:r>
              <w:rPr>
                <w:rFonts w:ascii="Times New Roman" w:cs="Times New Roman"/>
                <w:kern w:val="2"/>
                <w:sz w:val="21"/>
                <w:szCs w:val="21"/>
              </w:rPr>
              <w:t>对场站邻近地区开展公众教育、培训和发布有关信息：</w:t>
            </w:r>
          </w:p>
          <w:p w:rsidR="00BD5820" w:rsidRDefault="00F64314">
            <w:pPr>
              <w:widowControl/>
              <w:topLinePunct w:val="0"/>
              <w:snapToGrid w:val="0"/>
              <w:spacing w:line="240" w:lineRule="auto"/>
              <w:ind w:firstLineChars="0" w:firstLine="0"/>
              <w:jc w:val="left"/>
              <w:rPr>
                <w:rFonts w:ascii="Times New Roman" w:cs="Times New Roman"/>
                <w:kern w:val="2"/>
                <w:sz w:val="21"/>
                <w:szCs w:val="21"/>
              </w:rPr>
            </w:pPr>
            <w:r>
              <w:rPr>
                <w:rFonts w:ascii="Times New Roman" w:cs="Times New Roman"/>
                <w:kern w:val="2"/>
                <w:sz w:val="21"/>
                <w:szCs w:val="21"/>
              </w:rPr>
              <w:t>安全距离内居民进行公众教育，发宣传册。向可能危及居民安全范围内进行</w:t>
            </w:r>
            <w:r>
              <w:rPr>
                <w:rFonts w:ascii="Times New Roman" w:cs="Times New Roman"/>
                <w:kern w:val="2"/>
                <w:sz w:val="21"/>
                <w:szCs w:val="21"/>
              </w:rPr>
              <w:t>H</w:t>
            </w:r>
            <w:r>
              <w:rPr>
                <w:rFonts w:ascii="Times New Roman" w:cs="Times New Roman"/>
                <w:kern w:val="2"/>
                <w:sz w:val="21"/>
                <w:szCs w:val="21"/>
                <w:vertAlign w:val="subscript"/>
              </w:rPr>
              <w:t>2</w:t>
            </w:r>
            <w:r>
              <w:rPr>
                <w:rFonts w:ascii="Times New Roman" w:cs="Times New Roman"/>
                <w:kern w:val="2"/>
                <w:sz w:val="21"/>
                <w:szCs w:val="21"/>
              </w:rPr>
              <w:t>S</w:t>
            </w:r>
            <w:r>
              <w:rPr>
                <w:rFonts w:ascii="Times New Roman" w:cs="Times New Roman"/>
                <w:kern w:val="2"/>
                <w:sz w:val="21"/>
                <w:szCs w:val="21"/>
              </w:rPr>
              <w:t>安全知识和遇紧急情况时的应急预案教育，提出紧急情况下的安全撤离要求。</w:t>
            </w:r>
          </w:p>
          <w:p w:rsidR="00BD5820" w:rsidRDefault="00F64314" w:rsidP="00AC7E70">
            <w:pPr>
              <w:widowControl/>
              <w:topLinePunct w:val="0"/>
              <w:snapToGrid w:val="0"/>
              <w:spacing w:line="240" w:lineRule="auto"/>
              <w:ind w:firstLineChars="0" w:firstLine="0"/>
              <w:jc w:val="left"/>
              <w:rPr>
                <w:rFonts w:ascii="Times New Roman" w:cs="Times New Roman"/>
                <w:kern w:val="2"/>
                <w:sz w:val="21"/>
                <w:szCs w:val="21"/>
              </w:rPr>
            </w:pPr>
            <w:r>
              <w:rPr>
                <w:rFonts w:ascii="Times New Roman" w:cs="Times New Roman"/>
                <w:kern w:val="2"/>
                <w:sz w:val="21"/>
                <w:szCs w:val="21"/>
              </w:rPr>
              <w:t>主动联系当地政府，对紧急撤离区范围内的居民通过发放宣传册普及安全知识，内容应有危害程度、防范应急救护措施。对天然气管道</w:t>
            </w:r>
            <w:r w:rsidR="00F76A35">
              <w:rPr>
                <w:rFonts w:ascii="Times New Roman" w:cs="Times New Roman" w:hint="eastAsia"/>
                <w:kern w:val="2"/>
                <w:sz w:val="21"/>
                <w:szCs w:val="21"/>
              </w:rPr>
              <w:t>15</w:t>
            </w:r>
            <w:r>
              <w:rPr>
                <w:rFonts w:ascii="Times New Roman" w:cs="Times New Roman" w:hint="eastAsia"/>
                <w:kern w:val="2"/>
                <w:sz w:val="21"/>
                <w:szCs w:val="21"/>
              </w:rPr>
              <w:t>00</w:t>
            </w:r>
            <w:r>
              <w:rPr>
                <w:rFonts w:ascii="Times New Roman" w:cs="Times New Roman"/>
                <w:kern w:val="2"/>
                <w:sz w:val="21"/>
                <w:szCs w:val="21"/>
              </w:rPr>
              <w:t>m</w:t>
            </w:r>
            <w:r>
              <w:rPr>
                <w:rFonts w:ascii="Times New Roman" w:cs="Times New Roman"/>
                <w:kern w:val="2"/>
                <w:sz w:val="21"/>
                <w:szCs w:val="21"/>
              </w:rPr>
              <w:t>范围内的居民</w:t>
            </w:r>
            <w:r w:rsidR="008A6122" w:rsidRPr="00AC7E70">
              <w:rPr>
                <w:rFonts w:ascii="Times New Roman" w:cs="Times New Roman" w:hint="eastAsia"/>
                <w:color w:val="FF0000"/>
                <w:kern w:val="2"/>
                <w:sz w:val="21"/>
                <w:szCs w:val="21"/>
              </w:rPr>
              <w:t>（约</w:t>
            </w:r>
            <w:r w:rsidR="008A6122" w:rsidRPr="00AC7E70">
              <w:rPr>
                <w:rFonts w:ascii="Times New Roman" w:cs="Times New Roman" w:hint="eastAsia"/>
                <w:color w:val="FF0000"/>
                <w:kern w:val="2"/>
                <w:sz w:val="21"/>
                <w:szCs w:val="21"/>
              </w:rPr>
              <w:t>1</w:t>
            </w:r>
            <w:r w:rsidR="00AC7E70" w:rsidRPr="00AC7E70">
              <w:rPr>
                <w:rFonts w:ascii="Times New Roman" w:cs="Times New Roman" w:hint="eastAsia"/>
                <w:color w:val="FF0000"/>
                <w:kern w:val="2"/>
                <w:sz w:val="21"/>
                <w:szCs w:val="21"/>
              </w:rPr>
              <w:t>77</w:t>
            </w:r>
            <w:r w:rsidR="008A6122" w:rsidRPr="00AC7E70">
              <w:rPr>
                <w:rFonts w:ascii="Times New Roman" w:cs="Times New Roman" w:hint="eastAsia"/>
                <w:color w:val="FF0000"/>
                <w:kern w:val="2"/>
                <w:sz w:val="21"/>
                <w:szCs w:val="21"/>
              </w:rPr>
              <w:t>9</w:t>
            </w:r>
            <w:r w:rsidR="008A6122" w:rsidRPr="00AC7E70">
              <w:rPr>
                <w:rFonts w:ascii="Times New Roman" w:cs="Times New Roman" w:hint="eastAsia"/>
                <w:color w:val="FF0000"/>
                <w:kern w:val="2"/>
                <w:sz w:val="21"/>
                <w:szCs w:val="21"/>
              </w:rPr>
              <w:t>人）</w:t>
            </w:r>
            <w:r>
              <w:rPr>
                <w:rFonts w:ascii="Times New Roman" w:cs="Times New Roman"/>
                <w:kern w:val="2"/>
                <w:sz w:val="21"/>
                <w:szCs w:val="21"/>
              </w:rPr>
              <w:t>进行应急演练一次。对一般撤离区范围居民发放宣传册普及安全知识，内容应有危害程度、防范应急救护措施。</w:t>
            </w:r>
          </w:p>
        </w:tc>
      </w:tr>
      <w:tr w:rsidR="00BD5820">
        <w:tc>
          <w:tcPr>
            <w:tcW w:w="785"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12</w:t>
            </w:r>
          </w:p>
        </w:tc>
        <w:tc>
          <w:tcPr>
            <w:tcW w:w="1285"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夜间特别管理机制</w:t>
            </w:r>
          </w:p>
        </w:tc>
        <w:tc>
          <w:tcPr>
            <w:tcW w:w="6876" w:type="dxa"/>
            <w:vAlign w:val="center"/>
          </w:tcPr>
          <w:p w:rsidR="00BD5820" w:rsidRDefault="00F64314">
            <w:pPr>
              <w:widowControl/>
              <w:topLinePunct w:val="0"/>
              <w:snapToGrid w:val="0"/>
              <w:spacing w:line="240" w:lineRule="auto"/>
              <w:ind w:firstLineChars="0" w:firstLine="0"/>
              <w:jc w:val="left"/>
              <w:rPr>
                <w:rFonts w:ascii="Times New Roman" w:cs="Times New Roman"/>
                <w:kern w:val="2"/>
                <w:sz w:val="21"/>
                <w:szCs w:val="21"/>
              </w:rPr>
            </w:pPr>
            <w:r>
              <w:rPr>
                <w:rFonts w:ascii="Times New Roman" w:cs="Times New Roman" w:hint="eastAsia"/>
                <w:kern w:val="2"/>
                <w:sz w:val="21"/>
                <w:szCs w:val="21"/>
              </w:rPr>
              <w:t>场站</w:t>
            </w:r>
            <w:r>
              <w:rPr>
                <w:rFonts w:ascii="Times New Roman" w:cs="Times New Roman"/>
                <w:kern w:val="2"/>
                <w:sz w:val="21"/>
                <w:szCs w:val="21"/>
              </w:rPr>
              <w:t>配备高音喇叭、防爆灯具，以便夜间事故及时通知周边较近距离的居民，防爆灯具应布置在</w:t>
            </w:r>
            <w:r>
              <w:rPr>
                <w:rFonts w:ascii="Times New Roman" w:cs="Times New Roman" w:hint="eastAsia"/>
                <w:kern w:val="2"/>
                <w:sz w:val="21"/>
                <w:szCs w:val="21"/>
              </w:rPr>
              <w:t>站场</w:t>
            </w:r>
            <w:r>
              <w:rPr>
                <w:rFonts w:ascii="Times New Roman" w:cs="Times New Roman"/>
                <w:kern w:val="2"/>
                <w:sz w:val="21"/>
                <w:szCs w:val="21"/>
              </w:rPr>
              <w:t>内风向标处，以便</w:t>
            </w:r>
            <w:r>
              <w:rPr>
                <w:rFonts w:ascii="Times New Roman" w:cs="Times New Roman" w:hint="eastAsia"/>
                <w:kern w:val="2"/>
                <w:sz w:val="21"/>
                <w:szCs w:val="21"/>
              </w:rPr>
              <w:t>站场</w:t>
            </w:r>
            <w:r>
              <w:rPr>
                <w:rFonts w:ascii="Times New Roman" w:cs="Times New Roman"/>
                <w:kern w:val="2"/>
                <w:sz w:val="21"/>
                <w:szCs w:val="21"/>
              </w:rPr>
              <w:t>人员和周边较近居民可判断风向，带领其他人员撤离。</w:t>
            </w:r>
          </w:p>
          <w:p w:rsidR="00BD5820" w:rsidRDefault="00F64314">
            <w:pPr>
              <w:widowControl/>
              <w:topLinePunct w:val="0"/>
              <w:snapToGrid w:val="0"/>
              <w:spacing w:line="240" w:lineRule="auto"/>
              <w:ind w:firstLineChars="0" w:firstLine="0"/>
              <w:jc w:val="left"/>
              <w:rPr>
                <w:rFonts w:ascii="Times New Roman" w:cs="Times New Roman"/>
                <w:kern w:val="2"/>
                <w:sz w:val="21"/>
                <w:szCs w:val="21"/>
              </w:rPr>
            </w:pPr>
            <w:r>
              <w:rPr>
                <w:rFonts w:ascii="Times New Roman" w:cs="Times New Roman" w:hint="eastAsia"/>
                <w:kern w:val="2"/>
                <w:sz w:val="21"/>
                <w:szCs w:val="21"/>
              </w:rPr>
              <w:lastRenderedPageBreak/>
              <w:t>场站</w:t>
            </w:r>
            <w:r>
              <w:rPr>
                <w:rFonts w:ascii="Times New Roman" w:cs="Times New Roman"/>
                <w:kern w:val="2"/>
                <w:sz w:val="21"/>
                <w:szCs w:val="21"/>
              </w:rPr>
              <w:t>实行轮班制度，保证夜间各岗位有相应值班人员。对居民进行公众教育、培训中应强调夜间自救内容，要求居民夜间保持通讯设备的畅通，夜间不关手机等教育。强调在钻气层期间夜间保持一定的警惕，提出在夜间事故报警后应立即穿少量衣服，及时保证人员撤离。</w:t>
            </w:r>
          </w:p>
        </w:tc>
      </w:tr>
      <w:tr w:rsidR="00BD5820">
        <w:tc>
          <w:tcPr>
            <w:tcW w:w="785"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lastRenderedPageBreak/>
              <w:t>13</w:t>
            </w:r>
          </w:p>
        </w:tc>
        <w:tc>
          <w:tcPr>
            <w:tcW w:w="1285" w:type="dxa"/>
            <w:vAlign w:val="center"/>
          </w:tcPr>
          <w:p w:rsidR="00BD5820" w:rsidRDefault="00F64314">
            <w:pPr>
              <w:widowControl/>
              <w:topLinePunct w:val="0"/>
              <w:snapToGrid w:val="0"/>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备案</w:t>
            </w:r>
          </w:p>
        </w:tc>
        <w:tc>
          <w:tcPr>
            <w:tcW w:w="6876" w:type="dxa"/>
            <w:vAlign w:val="center"/>
          </w:tcPr>
          <w:p w:rsidR="00BD5820" w:rsidRDefault="00F64314">
            <w:pPr>
              <w:widowControl/>
              <w:topLinePunct w:val="0"/>
              <w:snapToGrid w:val="0"/>
              <w:spacing w:line="240" w:lineRule="auto"/>
              <w:ind w:firstLineChars="0" w:firstLine="0"/>
              <w:jc w:val="left"/>
              <w:rPr>
                <w:rFonts w:ascii="Times New Roman" w:cs="Times New Roman"/>
                <w:kern w:val="2"/>
                <w:sz w:val="21"/>
                <w:szCs w:val="21"/>
              </w:rPr>
            </w:pPr>
            <w:r>
              <w:rPr>
                <w:rFonts w:ascii="Times New Roman" w:cs="Times New Roman"/>
                <w:kern w:val="2"/>
                <w:sz w:val="21"/>
                <w:szCs w:val="21"/>
              </w:rPr>
              <w:t>将本项目应急预案报送地方环保部门备案。</w:t>
            </w:r>
          </w:p>
        </w:tc>
      </w:tr>
    </w:tbl>
    <w:p w:rsidR="00BD5820" w:rsidRDefault="00F64314">
      <w:pPr>
        <w:pStyle w:val="a1"/>
        <w:ind w:firstLine="482"/>
        <w:rPr>
          <w:rFonts w:ascii="Times New Roman" w:cs="Times New Roman"/>
          <w:b/>
        </w:rPr>
      </w:pPr>
      <w:bookmarkStart w:id="480" w:name="_Toc12288765"/>
      <w:r>
        <w:rPr>
          <w:rFonts w:ascii="Times New Roman" w:cs="Times New Roman"/>
          <w:b/>
        </w:rPr>
        <w:t>1</w:t>
      </w:r>
      <w:r>
        <w:rPr>
          <w:rFonts w:ascii="Times New Roman" w:cs="Times New Roman"/>
          <w:b/>
        </w:rPr>
        <w:t>、通讯联络方式</w:t>
      </w:r>
      <w:bookmarkEnd w:id="480"/>
    </w:p>
    <w:p w:rsidR="00BD5820" w:rsidRDefault="00F64314">
      <w:pPr>
        <w:pStyle w:val="a1"/>
        <w:ind w:firstLine="480"/>
        <w:rPr>
          <w:rFonts w:ascii="Times New Roman" w:cs="Times New Roman"/>
        </w:rPr>
      </w:pPr>
      <w:r>
        <w:rPr>
          <w:rFonts w:hAnsi="宋体" w:hint="eastAsia"/>
        </w:rPr>
        <w:t>①</w:t>
      </w:r>
      <w:r>
        <w:rPr>
          <w:rFonts w:ascii="Times New Roman" w:cs="Times New Roman"/>
        </w:rPr>
        <w:t>报告方式</w:t>
      </w:r>
    </w:p>
    <w:p w:rsidR="00BD5820" w:rsidRDefault="00F64314">
      <w:pPr>
        <w:pStyle w:val="a1"/>
        <w:ind w:firstLine="480"/>
        <w:rPr>
          <w:rFonts w:ascii="Times New Roman" w:cs="Times New Roman"/>
        </w:rPr>
      </w:pPr>
      <w:r>
        <w:rPr>
          <w:rFonts w:ascii="Times New Roman" w:cs="Times New Roman"/>
        </w:rPr>
        <w:t>通常方式有：捎口信、固定电话、移动电话、传真和网络。</w:t>
      </w:r>
    </w:p>
    <w:p w:rsidR="00BD5820" w:rsidRDefault="00F64314">
      <w:pPr>
        <w:pStyle w:val="a1"/>
        <w:ind w:firstLine="480"/>
        <w:rPr>
          <w:rFonts w:ascii="Times New Roman" w:cs="Times New Roman"/>
        </w:rPr>
      </w:pPr>
      <w:r>
        <w:rPr>
          <w:rFonts w:ascii="Times New Roman" w:cs="Times New Roman"/>
        </w:rPr>
        <w:t>作业区向分公司报告，除非特别紧急的情况采用电话报告外，其它一律书面报告（电传）。</w:t>
      </w:r>
    </w:p>
    <w:p w:rsidR="00BD5820" w:rsidRDefault="00F64314">
      <w:pPr>
        <w:pStyle w:val="a1"/>
        <w:ind w:firstLine="480"/>
        <w:rPr>
          <w:rFonts w:ascii="Times New Roman" w:cs="Times New Roman"/>
        </w:rPr>
      </w:pPr>
      <w:r>
        <w:rPr>
          <w:rFonts w:ascii="Times New Roman" w:cs="Times New Roman"/>
        </w:rPr>
        <w:t>作业区向当地镇、县、市级政府及其职能部门报告事故时，采用先电话告之，后附书面报告。</w:t>
      </w:r>
    </w:p>
    <w:p w:rsidR="00BD5820" w:rsidRDefault="00F64314">
      <w:pPr>
        <w:pStyle w:val="a1"/>
        <w:ind w:firstLine="480"/>
        <w:rPr>
          <w:rFonts w:ascii="Times New Roman" w:cs="Times New Roman"/>
        </w:rPr>
      </w:pPr>
      <w:r>
        <w:rPr>
          <w:rFonts w:ascii="Times New Roman" w:cs="Times New Roman"/>
        </w:rPr>
        <w:t>作业区向村社报告事故时，采用电话或口头报告形式。</w:t>
      </w:r>
    </w:p>
    <w:p w:rsidR="00BD5820" w:rsidRDefault="00F64314">
      <w:pPr>
        <w:pStyle w:val="a1"/>
        <w:ind w:firstLine="480"/>
        <w:rPr>
          <w:rFonts w:ascii="Times New Roman" w:cs="Times New Roman"/>
        </w:rPr>
      </w:pPr>
      <w:r>
        <w:rPr>
          <w:rFonts w:hAnsi="宋体" w:hint="eastAsia"/>
        </w:rPr>
        <w:t>②</w:t>
      </w:r>
      <w:r>
        <w:rPr>
          <w:rFonts w:ascii="Times New Roman" w:cs="Times New Roman"/>
        </w:rPr>
        <w:t>报警方式，作业区确认事故后，对社会公众报警的方式为：电告当地市、区、镇人民政府和所属村社。</w:t>
      </w:r>
    </w:p>
    <w:p w:rsidR="00BD5820" w:rsidRDefault="00F64314">
      <w:pPr>
        <w:pStyle w:val="a1"/>
        <w:ind w:firstLine="480"/>
        <w:rPr>
          <w:rFonts w:ascii="Times New Roman" w:cs="Times New Roman"/>
        </w:rPr>
      </w:pPr>
      <w:r>
        <w:rPr>
          <w:rFonts w:ascii="Times New Roman" w:cs="Times New Roman"/>
        </w:rPr>
        <w:t>电告</w:t>
      </w:r>
      <w:r>
        <w:rPr>
          <w:rFonts w:ascii="Times New Roman" w:cs="Times New Roman"/>
        </w:rPr>
        <w:t>110</w:t>
      </w:r>
      <w:r>
        <w:rPr>
          <w:rFonts w:ascii="Times New Roman" w:cs="Times New Roman"/>
        </w:rPr>
        <w:t>、</w:t>
      </w:r>
      <w:r>
        <w:rPr>
          <w:rFonts w:ascii="Times New Roman" w:cs="Times New Roman"/>
        </w:rPr>
        <w:t>119</w:t>
      </w:r>
      <w:r>
        <w:rPr>
          <w:rFonts w:ascii="Times New Roman" w:cs="Times New Roman"/>
        </w:rPr>
        <w:t>。</w:t>
      </w:r>
    </w:p>
    <w:p w:rsidR="00BD5820" w:rsidRDefault="00F64314">
      <w:pPr>
        <w:pStyle w:val="a1"/>
        <w:ind w:firstLine="480"/>
        <w:rPr>
          <w:rFonts w:ascii="Times New Roman" w:cs="Times New Roman"/>
        </w:rPr>
      </w:pPr>
      <w:r>
        <w:rPr>
          <w:rFonts w:ascii="Times New Roman" w:cs="Times New Roman"/>
        </w:rPr>
        <w:t>电告社会团体或企事业单位。</w:t>
      </w:r>
    </w:p>
    <w:p w:rsidR="00BD5820" w:rsidRDefault="00F64314">
      <w:pPr>
        <w:pStyle w:val="a1"/>
        <w:ind w:firstLine="480"/>
        <w:rPr>
          <w:rFonts w:ascii="Times New Roman" w:cs="Times New Roman"/>
        </w:rPr>
      </w:pPr>
      <w:r>
        <w:rPr>
          <w:rFonts w:ascii="Times New Roman" w:cs="Times New Roman"/>
        </w:rPr>
        <w:t>用高音喇叭通知社会居民或采用口信，一传十，十传百的方式。借助天然气救险车的扩音设备，巡回告之。</w:t>
      </w:r>
    </w:p>
    <w:p w:rsidR="00BD5820" w:rsidRDefault="00F64314">
      <w:pPr>
        <w:pStyle w:val="affa"/>
        <w:ind w:firstLine="482"/>
        <w:rPr>
          <w:b/>
          <w:bCs/>
        </w:rPr>
      </w:pPr>
      <w:bookmarkStart w:id="481" w:name="_Toc12288766"/>
      <w:r>
        <w:rPr>
          <w:b/>
          <w:bCs/>
        </w:rPr>
        <w:t>2</w:t>
      </w:r>
      <w:r>
        <w:rPr>
          <w:b/>
          <w:bCs/>
        </w:rPr>
        <w:t>、应急响应</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1</w:t>
      </w:r>
      <w:r>
        <w:rPr>
          <w:rFonts w:ascii="Times New Roman" w:cs="Times New Roman"/>
        </w:rPr>
        <w:t>）险情发生后，应急指挥启动应急预案；</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2</w:t>
      </w:r>
      <w:r>
        <w:rPr>
          <w:rFonts w:ascii="Times New Roman" w:cs="Times New Roman"/>
        </w:rPr>
        <w:t>）应急小组立即形成，由应急指挥组组长统一发布应急指挥命令；</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3</w:t>
      </w:r>
      <w:r>
        <w:rPr>
          <w:rFonts w:ascii="Times New Roman" w:cs="Times New Roman"/>
        </w:rPr>
        <w:t>）生产抢修组负责现场流程的切换，协调、配合抢险单位实施应急抢险工作，以及在应急情况下现场人员的疏散（考虑该工程管道据居民房屋近的特点，还应组织附近居民的疏散）；</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4</w:t>
      </w:r>
      <w:r>
        <w:rPr>
          <w:rFonts w:ascii="Times New Roman" w:cs="Times New Roman"/>
        </w:rPr>
        <w:t>）安全监护组负责现场可燃气体的检测，安全警戒线的设置，并配合相关单位实施应急救援；</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5</w:t>
      </w:r>
      <w:r>
        <w:rPr>
          <w:rFonts w:ascii="Times New Roman" w:cs="Times New Roman"/>
        </w:rPr>
        <w:t>）通讯联络组负责建立抢险单位、救援单位及地方政府有关部门的联络；</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6</w:t>
      </w:r>
      <w:r>
        <w:rPr>
          <w:rFonts w:ascii="Times New Roman" w:cs="Times New Roman"/>
        </w:rPr>
        <w:t>）后勤保障组负责抢险物资组织，后勤、车辆的保障。</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7</w:t>
      </w:r>
      <w:r>
        <w:rPr>
          <w:rFonts w:ascii="Times New Roman" w:cs="Times New Roman"/>
        </w:rPr>
        <w:t>）站场发生异常情况（大面积泄漏、火灾、爆炸）</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8</w:t>
      </w:r>
      <w:r>
        <w:rPr>
          <w:rFonts w:ascii="Times New Roman" w:cs="Times New Roman"/>
        </w:rPr>
        <w:t>）站场值班人员在站控室按下装置</w:t>
      </w:r>
      <w:r>
        <w:rPr>
          <w:rFonts w:ascii="Times New Roman" w:cs="Times New Roman"/>
        </w:rPr>
        <w:t>ESD</w:t>
      </w:r>
      <w:r>
        <w:rPr>
          <w:rFonts w:ascii="Times New Roman" w:cs="Times New Roman"/>
        </w:rPr>
        <w:t>按钮，实行全站</w:t>
      </w:r>
      <w:r>
        <w:rPr>
          <w:rFonts w:ascii="Times New Roman" w:cs="Times New Roman"/>
        </w:rPr>
        <w:t>ESD</w:t>
      </w:r>
      <w:r>
        <w:rPr>
          <w:rFonts w:ascii="Times New Roman" w:cs="Times New Roman"/>
        </w:rPr>
        <w:t>紧急关断，</w:t>
      </w:r>
      <w:r>
        <w:rPr>
          <w:rFonts w:ascii="Times New Roman" w:cs="Times New Roman"/>
        </w:rPr>
        <w:lastRenderedPageBreak/>
        <w:t>生产系统闭式放空，同时即向应急指挥汇报起火部位、情况；</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9</w:t>
      </w:r>
      <w:r>
        <w:rPr>
          <w:rFonts w:ascii="Times New Roman" w:cs="Times New Roman"/>
        </w:rPr>
        <w:t>）应急指挥下令启动事故应急预案，在控制室向现场下达应急指令；</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10</w:t>
      </w:r>
      <w:r>
        <w:rPr>
          <w:rFonts w:ascii="Times New Roman" w:cs="Times New Roman"/>
        </w:rPr>
        <w:t>）通讯联络组迅速打电话报警，向中原油田普光分公司、中国石油化工股份有限公司汇报现场情况，并联系抢险单位实施紧急抢险工作，同时向有关地方政府机构通报情况，请求救援；</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11</w:t>
      </w:r>
      <w:r>
        <w:rPr>
          <w:rFonts w:ascii="Times New Roman" w:cs="Times New Roman"/>
        </w:rPr>
        <w:t>）生产抢修组人员立即切断生产现场电源，并对现场流程切断情况进行确认；</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12</w:t>
      </w:r>
      <w:r>
        <w:rPr>
          <w:rFonts w:ascii="Times New Roman" w:cs="Times New Roman"/>
        </w:rPr>
        <w:t>）如现场存在火情，现场抢修组使用固定式消防系统和移动式灭火器进行灭火；</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13</w:t>
      </w:r>
      <w:r>
        <w:rPr>
          <w:rFonts w:ascii="Times New Roman" w:cs="Times New Roman"/>
        </w:rPr>
        <w:t>）安全监护组负责在现场进行检测，在影响距离外设置警戒线，进行安全监护；</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14</w:t>
      </w:r>
      <w:r>
        <w:rPr>
          <w:rFonts w:ascii="Times New Roman" w:cs="Times New Roman"/>
        </w:rPr>
        <w:t>）抢修现场严禁使用非防爆用具，车辆一律熄火站外停放，确因工作需要进入现场的车辆必须佩带防火帽，经安全监护组确认安全后，按指定路线行进；</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15</w:t>
      </w:r>
      <w:r>
        <w:rPr>
          <w:rFonts w:ascii="Times New Roman" w:cs="Times New Roman"/>
        </w:rPr>
        <w:t>）后勤保障组负责组织相关的应急抢险物资；</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16</w:t>
      </w:r>
      <w:r>
        <w:rPr>
          <w:rFonts w:ascii="Times New Roman" w:cs="Times New Roman"/>
        </w:rPr>
        <w:t>）若现场情况无法控制，现场抢修组组织现场人员进行撤离。</w:t>
      </w:r>
    </w:p>
    <w:p w:rsidR="00BD5820" w:rsidRDefault="00F64314">
      <w:pPr>
        <w:pStyle w:val="a1"/>
        <w:ind w:firstLine="482"/>
        <w:rPr>
          <w:rFonts w:ascii="Times New Roman" w:cs="Times New Roman"/>
          <w:b/>
          <w:bCs/>
        </w:rPr>
      </w:pPr>
      <w:r>
        <w:rPr>
          <w:rFonts w:ascii="Times New Roman" w:cs="Times New Roman"/>
          <w:b/>
          <w:bCs/>
        </w:rPr>
        <w:t>3</w:t>
      </w:r>
      <w:r>
        <w:rPr>
          <w:rFonts w:ascii="Times New Roman" w:cs="Times New Roman"/>
          <w:b/>
          <w:bCs/>
        </w:rPr>
        <w:t>、事故应急处理措施</w:t>
      </w:r>
      <w:bookmarkEnd w:id="481"/>
    </w:p>
    <w:p w:rsidR="00BD5820" w:rsidRDefault="00F64314">
      <w:pPr>
        <w:pStyle w:val="affa"/>
        <w:ind w:firstLine="482"/>
        <w:rPr>
          <w:b/>
        </w:rPr>
      </w:pPr>
      <w:r>
        <w:rPr>
          <w:rFonts w:hint="eastAsia"/>
          <w:b/>
        </w:rPr>
        <w:t>3.1</w:t>
      </w:r>
      <w:r>
        <w:rPr>
          <w:rFonts w:hint="eastAsia"/>
          <w:b/>
        </w:rPr>
        <w:t>增压站泄漏</w:t>
      </w:r>
      <w:r>
        <w:rPr>
          <w:b/>
        </w:rPr>
        <w:t>应急措施</w:t>
      </w:r>
    </w:p>
    <w:p w:rsidR="00BD5820" w:rsidRDefault="00F64314">
      <w:pPr>
        <w:pStyle w:val="affa"/>
        <w:ind w:firstLine="480"/>
        <w:rPr>
          <w:rFonts w:hAnsi="宋体"/>
        </w:rPr>
      </w:pPr>
      <w:r>
        <w:rPr>
          <w:rFonts w:hAnsi="宋体" w:hint="eastAsia"/>
        </w:rPr>
        <w:t>1</w:t>
      </w:r>
      <w:r>
        <w:rPr>
          <w:rFonts w:hAnsi="宋体" w:hint="eastAsia"/>
        </w:rPr>
        <w:t>）严防着火和爆炸。</w:t>
      </w:r>
    </w:p>
    <w:p w:rsidR="00BD5820" w:rsidRDefault="00F64314">
      <w:pPr>
        <w:pStyle w:val="affa"/>
        <w:ind w:firstLine="480"/>
        <w:rPr>
          <w:rFonts w:hAnsi="宋体"/>
        </w:rPr>
      </w:pPr>
      <w:r>
        <w:rPr>
          <w:rFonts w:hAnsi="宋体" w:hint="eastAsia"/>
        </w:rPr>
        <w:t>2</w:t>
      </w:r>
      <w:r>
        <w:rPr>
          <w:rFonts w:hAnsi="宋体" w:hint="eastAsia"/>
        </w:rPr>
        <w:t>）立即向当地政府报告，协助当地政府作好周围居民的疏散工作，</w:t>
      </w:r>
      <w:r>
        <w:rPr>
          <w:rFonts w:hAnsi="宋体"/>
        </w:rPr>
        <w:t>同时通报普光分</w:t>
      </w:r>
      <w:r>
        <w:rPr>
          <w:rFonts w:hAnsi="宋体" w:hint="eastAsia"/>
        </w:rPr>
        <w:t>公司</w:t>
      </w:r>
      <w:r>
        <w:rPr>
          <w:rFonts w:hAnsi="宋体"/>
        </w:rPr>
        <w:t>应急指挥中心办公室</w:t>
      </w:r>
      <w:r>
        <w:rPr>
          <w:rFonts w:hAnsi="宋体" w:hint="eastAsia"/>
        </w:rPr>
        <w:t>。</w:t>
      </w:r>
    </w:p>
    <w:p w:rsidR="00BD5820" w:rsidRDefault="00F64314">
      <w:pPr>
        <w:pStyle w:val="affa"/>
        <w:ind w:firstLine="480"/>
        <w:rPr>
          <w:rFonts w:hAnsi="宋体"/>
        </w:rPr>
      </w:pPr>
      <w:r>
        <w:rPr>
          <w:rFonts w:hAnsi="宋体" w:hint="eastAsia"/>
        </w:rPr>
        <w:t>3</w:t>
      </w:r>
      <w:r>
        <w:rPr>
          <w:rFonts w:hAnsi="宋体" w:hint="eastAsia"/>
        </w:rPr>
        <w:t>）设置观察点，定时取样，监测（大气</w:t>
      </w:r>
      <w:r>
        <w:rPr>
          <w:rFonts w:hAnsi="宋体" w:hint="eastAsia"/>
        </w:rPr>
        <w:t>/</w:t>
      </w:r>
      <w:r>
        <w:rPr>
          <w:rFonts w:hAnsi="宋体" w:hint="eastAsia"/>
        </w:rPr>
        <w:t>空气）中的（天然气、</w:t>
      </w:r>
      <w:r>
        <w:rPr>
          <w:rFonts w:hAnsi="宋体" w:hint="eastAsia"/>
        </w:rPr>
        <w:t>H</w:t>
      </w:r>
      <w:r>
        <w:rPr>
          <w:rFonts w:hAnsi="宋体" w:hint="eastAsia"/>
          <w:vertAlign w:val="subscript"/>
        </w:rPr>
        <w:t>2</w:t>
      </w:r>
      <w:r>
        <w:rPr>
          <w:rFonts w:hAnsi="宋体" w:hint="eastAsia"/>
        </w:rPr>
        <w:t>S</w:t>
      </w:r>
      <w:r>
        <w:rPr>
          <w:rFonts w:hAnsi="宋体" w:hint="eastAsia"/>
        </w:rPr>
        <w:t>和二氧化碳含量</w:t>
      </w:r>
      <w:r>
        <w:rPr>
          <w:rFonts w:hAnsi="宋体" w:hint="eastAsia"/>
        </w:rPr>
        <w:t>/</w:t>
      </w:r>
      <w:r>
        <w:rPr>
          <w:rFonts w:hAnsi="宋体" w:hint="eastAsia"/>
        </w:rPr>
        <w:t>有毒有害气体（如</w:t>
      </w:r>
      <w:r>
        <w:rPr>
          <w:rFonts w:hAnsi="宋体" w:hint="eastAsia"/>
        </w:rPr>
        <w:t>H</w:t>
      </w:r>
      <w:r>
        <w:rPr>
          <w:rFonts w:hAnsi="宋体" w:hint="eastAsia"/>
          <w:vertAlign w:val="subscript"/>
        </w:rPr>
        <w:t>2</w:t>
      </w:r>
      <w:r>
        <w:rPr>
          <w:rFonts w:hAnsi="宋体" w:hint="eastAsia"/>
        </w:rPr>
        <w:t>S</w:t>
      </w:r>
      <w:r>
        <w:rPr>
          <w:rFonts w:hAnsi="宋体" w:hint="eastAsia"/>
        </w:rPr>
        <w:t>）的浓度），划分安全范围。</w:t>
      </w:r>
    </w:p>
    <w:p w:rsidR="00BD5820" w:rsidRDefault="00F64314">
      <w:pPr>
        <w:pStyle w:val="affa"/>
        <w:ind w:firstLine="480"/>
        <w:rPr>
          <w:rFonts w:hAnsi="宋体"/>
        </w:rPr>
      </w:pPr>
      <w:r>
        <w:rPr>
          <w:rFonts w:hAnsi="宋体" w:hint="eastAsia"/>
        </w:rPr>
        <w:t>4</w:t>
      </w:r>
      <w:r>
        <w:rPr>
          <w:rFonts w:hAnsi="宋体" w:hint="eastAsia"/>
        </w:rPr>
        <w:t>）迅速成立现场抢险领导小组，根据失控状况制定抢险方案，统一指挥、组织和协调抢险工作。抢险方案制订及实施，要把环境保护同时考虑，同时实施，防止出现次生环境事故。</w:t>
      </w:r>
    </w:p>
    <w:p w:rsidR="00BD5820" w:rsidRDefault="00F64314">
      <w:pPr>
        <w:pStyle w:val="affa"/>
        <w:ind w:firstLine="480"/>
        <w:rPr>
          <w:rFonts w:hAnsi="宋体"/>
        </w:rPr>
      </w:pPr>
      <w:r>
        <w:rPr>
          <w:rFonts w:hAnsi="宋体" w:hint="eastAsia"/>
        </w:rPr>
        <w:t>5</w:t>
      </w:r>
      <w:r>
        <w:rPr>
          <w:rFonts w:hAnsi="宋体" w:hint="eastAsia"/>
        </w:rPr>
        <w:t>）继续监测污染区有毒有害气体的浓度，根据监测情况决定是否扩大撤离范围。</w:t>
      </w:r>
    </w:p>
    <w:p w:rsidR="00BD5820" w:rsidRDefault="00F64314">
      <w:pPr>
        <w:pStyle w:val="affa"/>
        <w:ind w:firstLine="482"/>
        <w:rPr>
          <w:b/>
        </w:rPr>
      </w:pPr>
      <w:r>
        <w:rPr>
          <w:rFonts w:hint="eastAsia"/>
          <w:b/>
        </w:rPr>
        <w:t>3.2</w:t>
      </w:r>
      <w:r>
        <w:rPr>
          <w:rFonts w:hint="eastAsia"/>
          <w:b/>
        </w:rPr>
        <w:t>增压站泄漏应急</w:t>
      </w:r>
      <w:r>
        <w:rPr>
          <w:b/>
        </w:rPr>
        <w:t>疏散预案</w:t>
      </w:r>
    </w:p>
    <w:p w:rsidR="00BD5820" w:rsidRDefault="00F64314">
      <w:pPr>
        <w:pStyle w:val="affa"/>
        <w:ind w:firstLine="480"/>
      </w:pPr>
      <w:r>
        <w:rPr>
          <w:rFonts w:hint="eastAsia"/>
        </w:rPr>
        <w:t>当增压站发生泄漏时，应立即通知并协助当地政府疏散场站周围居民和其他</w:t>
      </w:r>
      <w:r>
        <w:rPr>
          <w:rFonts w:hint="eastAsia"/>
        </w:rPr>
        <w:lastRenderedPageBreak/>
        <w:t>人员，根据监测情况，考虑风向、地形、人口密度、受污染程度等情况及时作出风险和危害程度评估，决定是否扩大撤离范围。</w:t>
      </w:r>
    </w:p>
    <w:p w:rsidR="00BD5820" w:rsidRDefault="00F64314">
      <w:pPr>
        <w:pStyle w:val="affa"/>
        <w:ind w:firstLine="480"/>
      </w:pPr>
      <w:r>
        <w:rPr>
          <w:rFonts w:hint="eastAsia"/>
        </w:rPr>
        <w:t>1</w:t>
      </w:r>
      <w:r>
        <w:rPr>
          <w:rFonts w:hint="eastAsia"/>
        </w:rPr>
        <w:t>）疏散方向原则</w:t>
      </w:r>
    </w:p>
    <w:p w:rsidR="00BD5820" w:rsidRDefault="00F64314">
      <w:pPr>
        <w:pStyle w:val="affa"/>
        <w:ind w:firstLine="480"/>
      </w:pPr>
      <w:r>
        <w:rPr>
          <w:rFonts w:hint="eastAsia"/>
        </w:rPr>
        <w:t>总体原则为远离泄漏源。（</w:t>
      </w:r>
      <w:r>
        <w:rPr>
          <w:rFonts w:hint="eastAsia"/>
        </w:rPr>
        <w:t>1</w:t>
      </w:r>
      <w:r>
        <w:rPr>
          <w:rFonts w:hint="eastAsia"/>
        </w:rPr>
        <w:t>）首先向远离泄漏源的方向撤离；（</w:t>
      </w:r>
      <w:r>
        <w:rPr>
          <w:rFonts w:hint="eastAsia"/>
        </w:rPr>
        <w:t>2</w:t>
      </w:r>
      <w:r>
        <w:rPr>
          <w:rFonts w:hint="eastAsia"/>
        </w:rPr>
        <w:t>）其次向上风向或侧风向撤离；（</w:t>
      </w:r>
      <w:r>
        <w:rPr>
          <w:rFonts w:hint="eastAsia"/>
        </w:rPr>
        <w:t>3</w:t>
      </w:r>
      <w:r>
        <w:rPr>
          <w:rFonts w:hint="eastAsia"/>
        </w:rPr>
        <w:t>）向高处撤离；（</w:t>
      </w:r>
      <w:r>
        <w:rPr>
          <w:rFonts w:hint="eastAsia"/>
        </w:rPr>
        <w:t>4</w:t>
      </w:r>
      <w:r>
        <w:rPr>
          <w:rFonts w:hint="eastAsia"/>
        </w:rPr>
        <w:t>）向交通方便处撤离。</w:t>
      </w:r>
    </w:p>
    <w:p w:rsidR="00BD5820" w:rsidRDefault="00F64314">
      <w:pPr>
        <w:pStyle w:val="affa"/>
        <w:ind w:firstLine="480"/>
      </w:pPr>
      <w:r>
        <w:rPr>
          <w:rFonts w:hint="eastAsia"/>
        </w:rPr>
        <w:t>2</w:t>
      </w:r>
      <w:r>
        <w:rPr>
          <w:rFonts w:hint="eastAsia"/>
        </w:rPr>
        <w:t>）考虑高程情况下应急撤离路径选择原则</w:t>
      </w:r>
    </w:p>
    <w:p w:rsidR="00BD5820" w:rsidRDefault="00F64314">
      <w:pPr>
        <w:pStyle w:val="affa"/>
        <w:ind w:firstLine="480"/>
      </w:pPr>
      <w:r>
        <w:rPr>
          <w:rFonts w:hint="eastAsia"/>
        </w:rPr>
        <w:t>（</w:t>
      </w:r>
      <w:r>
        <w:rPr>
          <w:rFonts w:hint="eastAsia"/>
        </w:rPr>
        <w:t>1</w:t>
      </w:r>
      <w:r>
        <w:rPr>
          <w:rFonts w:hint="eastAsia"/>
        </w:rPr>
        <w:t>）首先确保应急撤离路径为远离泄漏源的路径；（</w:t>
      </w:r>
      <w:r>
        <w:rPr>
          <w:rFonts w:hint="eastAsia"/>
        </w:rPr>
        <w:t>2</w:t>
      </w:r>
      <w:r>
        <w:rPr>
          <w:rFonts w:hint="eastAsia"/>
        </w:rPr>
        <w:t>）选择与泄漏源同一高程或高程增加的应急撤离路径；（</w:t>
      </w:r>
      <w:r>
        <w:rPr>
          <w:rFonts w:hint="eastAsia"/>
        </w:rPr>
        <w:t>3</w:t>
      </w:r>
      <w:r>
        <w:rPr>
          <w:rFonts w:hint="eastAsia"/>
        </w:rPr>
        <w:t>）选择交通方便的主要应急撤离路径。</w:t>
      </w:r>
    </w:p>
    <w:p w:rsidR="00BD5820" w:rsidRDefault="00F64314">
      <w:pPr>
        <w:pStyle w:val="affa"/>
        <w:ind w:firstLine="480"/>
      </w:pPr>
      <w:r>
        <w:rPr>
          <w:rFonts w:hint="eastAsia"/>
        </w:rPr>
        <w:t>3</w:t>
      </w:r>
      <w:r>
        <w:rPr>
          <w:rFonts w:hint="eastAsia"/>
        </w:rPr>
        <w:t>）场站人员撤离方式方法</w:t>
      </w:r>
    </w:p>
    <w:p w:rsidR="00BD5820" w:rsidRDefault="00F64314">
      <w:pPr>
        <w:pStyle w:val="affa"/>
        <w:ind w:firstLine="480"/>
      </w:pPr>
      <w:r>
        <w:rPr>
          <w:rFonts w:hint="eastAsia"/>
        </w:rPr>
        <w:t>指挥小组根据对事故发展的预测，撤离警报发出后，调度组将场站两处出口通道开至最大，指挥站场内人员及车辆离开，并禁止再次进入，同时指挥外部救援车辆有序进入场区进行事故抢险。</w:t>
      </w:r>
    </w:p>
    <w:p w:rsidR="00BD5820" w:rsidRDefault="00F64314">
      <w:pPr>
        <w:pStyle w:val="affa"/>
        <w:ind w:firstLine="480"/>
      </w:pPr>
      <w:r>
        <w:rPr>
          <w:rFonts w:hint="eastAsia"/>
        </w:rPr>
        <w:t>岗位操作人员，根据当班调度的指令，采取控制事故扩大的措施进行紧急工艺处理（含紧急停车）。非事故岗位人员按照要求关闭电器设备后，并根据当时风向撤离站场前后两集合点。并根据毒物扩散情况，适时撤离到安全地点。撤离时全体人员带上应急自救器材，发现有人受伤时，应先判断环境的安全性再进行救助。人员清点，由后勤保障组长或安全环保组组长指定人员统计应到人数，并及时报告领导小组，以便及时了解是否存在员工滞留在事故区。全体人员在指定的安全点停留，直到警报解除。</w:t>
      </w:r>
    </w:p>
    <w:p w:rsidR="00BD5820" w:rsidRDefault="00F64314">
      <w:pPr>
        <w:pStyle w:val="affa"/>
        <w:ind w:firstLine="480"/>
      </w:pPr>
      <w:r>
        <w:rPr>
          <w:rFonts w:hint="eastAsia"/>
        </w:rPr>
        <w:t>4</w:t>
      </w:r>
      <w:r>
        <w:rPr>
          <w:rFonts w:hint="eastAsia"/>
        </w:rPr>
        <w:t>）周边区域的单位、村居人员的疏散方式方法</w:t>
      </w:r>
    </w:p>
    <w:p w:rsidR="00BD5820" w:rsidRDefault="00F64314">
      <w:pPr>
        <w:pStyle w:val="affa"/>
        <w:ind w:firstLine="480"/>
      </w:pPr>
      <w:r>
        <w:rPr>
          <w:rFonts w:hint="eastAsia"/>
        </w:rPr>
        <w:t>指挥小组根据事故发展趋势的预测，通过警报器向周边单位、村居民发出疏散警报，警报一声表示站场发生严重事故；连续警报不停，告知周边单位、村居人员要进行疏散。对外联系组立即通过电话报告普光镇、宣汉县政府等行政主管部门，申请联动应急救援，同时通知周边单位，村居负责人。周边单位、村居负责人立即组织本单位、村居人员，根据自己所处的位置，徒步有序地疏散到普光镇设定的安全集合点。疏散人员要带上湿毛巾衣物，当闻到臭鸡蛋气味时将口鼻捂住。疏散时</w:t>
      </w:r>
      <w:r>
        <w:rPr>
          <w:rFonts w:hint="eastAsia"/>
        </w:rPr>
        <w:t>HSE</w:t>
      </w:r>
      <w:r>
        <w:rPr>
          <w:rFonts w:hint="eastAsia"/>
        </w:rPr>
        <w:t>管理组、后勤保障组、对外关系组应全力配合普光镇政府的疏散工作。</w:t>
      </w:r>
    </w:p>
    <w:p w:rsidR="00BD5820" w:rsidRDefault="00F64314">
      <w:pPr>
        <w:pStyle w:val="affa"/>
        <w:ind w:firstLine="480"/>
      </w:pPr>
      <w:r>
        <w:t>周边居民安全须知和硫化氢泄漏逃生方向示意图见</w:t>
      </w:r>
      <w:fldSimple w:instr=" REF _Ref473017866 \h  \* MERGEFORMAT ">
        <w:r w:rsidR="00EC0676">
          <w:rPr>
            <w:rFonts w:hint="eastAsia"/>
          </w:rPr>
          <w:t>图</w:t>
        </w:r>
        <w:r w:rsidR="00EC0676">
          <w:t>0</w:t>
        </w:r>
        <w:r w:rsidR="00EC0676">
          <w:rPr>
            <w:rFonts w:hint="eastAsia"/>
          </w:rPr>
          <w:t>.10</w:t>
        </w:r>
        <w:r w:rsidR="00EC0676">
          <w:noBreakHyphen/>
        </w:r>
      </w:fldSimple>
      <w:r>
        <w:rPr>
          <w:rFonts w:hint="eastAsia"/>
        </w:rPr>
        <w:t>，静风条件下</w:t>
      </w:r>
      <w:r>
        <w:t>硫</w:t>
      </w:r>
      <w:r>
        <w:lastRenderedPageBreak/>
        <w:t>化氢泄漏逃生方向示意图</w:t>
      </w:r>
      <w:r>
        <w:rPr>
          <w:rFonts w:hint="eastAsia"/>
        </w:rPr>
        <w:t>见</w:t>
      </w:r>
      <w:fldSimple w:instr=" REF _Ref473017890 \h  \* MERGEFORMAT ">
        <w:r w:rsidR="00EC0676">
          <w:rPr>
            <w:rFonts w:hint="eastAsia"/>
          </w:rPr>
          <w:t>图</w:t>
        </w:r>
        <w:r w:rsidR="00EC0676">
          <w:t>0</w:t>
        </w:r>
        <w:r w:rsidR="00EC0676">
          <w:rPr>
            <w:rFonts w:hint="eastAsia"/>
          </w:rPr>
          <w:t>.10</w:t>
        </w:r>
        <w:r w:rsidR="00EC0676">
          <w:noBreakHyphen/>
        </w:r>
      </w:fldSimple>
      <w:r>
        <w:rPr>
          <w:rFonts w:hint="eastAsia"/>
        </w:rPr>
        <w:t>。</w:t>
      </w:r>
    </w:p>
    <w:p w:rsidR="00BD5820" w:rsidRDefault="00BD5820">
      <w:pPr>
        <w:pStyle w:val="affa"/>
        <w:ind w:firstLine="480"/>
        <w:sectPr w:rsidR="00BD5820">
          <w:headerReference w:type="even" r:id="rId119"/>
          <w:headerReference w:type="default" r:id="rId120"/>
          <w:footerReference w:type="even" r:id="rId121"/>
          <w:footerReference w:type="default" r:id="rId122"/>
          <w:headerReference w:type="first" r:id="rId123"/>
          <w:footerReference w:type="first" r:id="rId124"/>
          <w:pgSz w:w="11906" w:h="16838"/>
          <w:pgMar w:top="1440" w:right="1800" w:bottom="1440" w:left="1800" w:header="851" w:footer="992" w:gutter="0"/>
          <w:cols w:space="425"/>
          <w:docGrid w:type="lines" w:linePitch="312"/>
        </w:sectPr>
      </w:pPr>
    </w:p>
    <w:p w:rsidR="00BD5820" w:rsidRDefault="00F64314">
      <w:pPr>
        <w:pStyle w:val="affa"/>
        <w:ind w:firstLineChars="0" w:firstLine="0"/>
        <w:jc w:val="center"/>
      </w:pPr>
      <w:r>
        <w:rPr>
          <w:noProof/>
        </w:rPr>
        <w:lastRenderedPageBreak/>
        <w:drawing>
          <wp:inline distT="0" distB="0" distL="0" distR="0">
            <wp:extent cx="8170545" cy="4275455"/>
            <wp:effectExtent l="19050" t="0" r="1905" b="0"/>
            <wp:docPr id="30" name="图片 30" descr="C:\Users\HUANG\Documents\WeChat Files\wxid_f0asumrra2c221\FileStorage\Temp\1660729620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HUANG\Documents\WeChat Files\wxid_f0asumrra2c221\FileStorage\Temp\1660729620852.jpg"/>
                    <pic:cNvPicPr>
                      <a:picLocks noChangeAspect="1" noChangeArrowheads="1"/>
                    </pic:cNvPicPr>
                  </pic:nvPicPr>
                  <pic:blipFill>
                    <a:blip r:embed="rId125" cstate="print"/>
                    <a:srcRect/>
                    <a:stretch>
                      <a:fillRect/>
                    </a:stretch>
                  </pic:blipFill>
                  <pic:spPr>
                    <a:xfrm>
                      <a:off x="0" y="0"/>
                      <a:ext cx="8170545" cy="4275455"/>
                    </a:xfrm>
                    <a:prstGeom prst="rect">
                      <a:avLst/>
                    </a:prstGeom>
                    <a:noFill/>
                    <a:ln w="9525">
                      <a:noFill/>
                      <a:miter lim="800000"/>
                      <a:headEnd/>
                      <a:tailEnd/>
                    </a:ln>
                  </pic:spPr>
                </pic:pic>
              </a:graphicData>
            </a:graphic>
          </wp:inline>
        </w:drawing>
      </w:r>
    </w:p>
    <w:p w:rsidR="00BD5820" w:rsidRDefault="00F64314">
      <w:pPr>
        <w:pStyle w:val="affa"/>
        <w:ind w:firstLine="480"/>
        <w:jc w:val="center"/>
      </w:pPr>
      <w:bookmarkStart w:id="482" w:name="_Ref473017866"/>
      <w:r>
        <w:rPr>
          <w:rFonts w:hint="eastAsia"/>
        </w:rPr>
        <w:t>图</w:t>
      </w:r>
      <w:r w:rsidR="00EA3750">
        <w:fldChar w:fldCharType="begin"/>
      </w:r>
      <w:r>
        <w:instrText xml:space="preserve"> </w:instrText>
      </w:r>
      <w:r>
        <w:rPr>
          <w:rFonts w:hint="eastAsia"/>
        </w:rPr>
        <w:instrText>STYLEREF 1 \s</w:instrText>
      </w:r>
      <w:r>
        <w:instrText xml:space="preserve"> </w:instrText>
      </w:r>
      <w:r w:rsidR="00EA3750">
        <w:fldChar w:fldCharType="separate"/>
      </w:r>
      <w:r w:rsidR="00EC0676">
        <w:rPr>
          <w:noProof/>
        </w:rPr>
        <w:t>0</w:t>
      </w:r>
      <w:r w:rsidR="00EA3750">
        <w:fldChar w:fldCharType="end"/>
      </w:r>
      <w:r>
        <w:rPr>
          <w:rFonts w:hint="eastAsia"/>
        </w:rPr>
        <w:t>.10</w:t>
      </w:r>
      <w:r>
        <w:noBreakHyphen/>
      </w:r>
      <w:bookmarkEnd w:id="482"/>
      <w:r>
        <w:rPr>
          <w:rFonts w:hint="eastAsia"/>
        </w:rPr>
        <w:t xml:space="preserve">6 </w:t>
      </w:r>
      <w:r>
        <w:t xml:space="preserve"> </w:t>
      </w:r>
      <w:r>
        <w:rPr>
          <w:rFonts w:hint="eastAsia"/>
        </w:rPr>
        <w:t>周边</w:t>
      </w:r>
      <w:r>
        <w:t>居民安全须知和</w:t>
      </w:r>
      <w:r>
        <w:rPr>
          <w:rFonts w:hint="eastAsia"/>
        </w:rPr>
        <w:t>硫化氢泄漏逃生</w:t>
      </w:r>
      <w:r>
        <w:t>方向示意图</w:t>
      </w:r>
    </w:p>
    <w:p w:rsidR="00BD5820" w:rsidRDefault="00BD5820">
      <w:pPr>
        <w:pStyle w:val="affa"/>
        <w:ind w:firstLine="480"/>
      </w:pPr>
    </w:p>
    <w:p w:rsidR="00BD5820" w:rsidRDefault="00BD5820">
      <w:pPr>
        <w:pStyle w:val="affa"/>
        <w:ind w:firstLine="480"/>
      </w:pPr>
    </w:p>
    <w:p w:rsidR="00BD5820" w:rsidRDefault="00F64314">
      <w:pPr>
        <w:pStyle w:val="affa"/>
        <w:ind w:firstLineChars="0" w:firstLine="0"/>
        <w:jc w:val="center"/>
      </w:pPr>
      <w:r>
        <w:rPr>
          <w:noProof/>
        </w:rPr>
        <w:lastRenderedPageBreak/>
        <w:drawing>
          <wp:inline distT="0" distB="0" distL="0" distR="0">
            <wp:extent cx="6918960" cy="4800600"/>
            <wp:effectExtent l="19050" t="0" r="0" b="0"/>
            <wp:docPr id="25" name="图片 31" descr="C:\Users\HUANG\Documents\WeChat Files\wxid_f0asumrra2c221\FileStorage\Temp\1660729652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1" descr="C:\Users\HUANG\Documents\WeChat Files\wxid_f0asumrra2c221\FileStorage\Temp\1660729652504.jpg"/>
                    <pic:cNvPicPr>
                      <a:picLocks noChangeAspect="1" noChangeArrowheads="1"/>
                    </pic:cNvPicPr>
                  </pic:nvPicPr>
                  <pic:blipFill>
                    <a:blip r:embed="rId126" cstate="print"/>
                    <a:srcRect/>
                    <a:stretch>
                      <a:fillRect/>
                    </a:stretch>
                  </pic:blipFill>
                  <pic:spPr>
                    <a:xfrm>
                      <a:off x="0" y="0"/>
                      <a:ext cx="6927562" cy="4806917"/>
                    </a:xfrm>
                    <a:prstGeom prst="rect">
                      <a:avLst/>
                    </a:prstGeom>
                    <a:noFill/>
                    <a:ln w="9525">
                      <a:noFill/>
                      <a:miter lim="800000"/>
                      <a:headEnd/>
                      <a:tailEnd/>
                    </a:ln>
                  </pic:spPr>
                </pic:pic>
              </a:graphicData>
            </a:graphic>
          </wp:inline>
        </w:drawing>
      </w:r>
    </w:p>
    <w:p w:rsidR="00BD5820" w:rsidRDefault="00F64314">
      <w:pPr>
        <w:pStyle w:val="affa"/>
        <w:ind w:firstLineChars="0" w:firstLine="0"/>
        <w:jc w:val="center"/>
      </w:pPr>
      <w:bookmarkStart w:id="483" w:name="_Ref473017890"/>
      <w:r>
        <w:rPr>
          <w:rFonts w:hint="eastAsia"/>
        </w:rPr>
        <w:t>图</w:t>
      </w:r>
      <w:r w:rsidR="00EA3750">
        <w:fldChar w:fldCharType="begin"/>
      </w:r>
      <w:r>
        <w:instrText xml:space="preserve"> </w:instrText>
      </w:r>
      <w:r>
        <w:rPr>
          <w:rFonts w:hint="eastAsia"/>
        </w:rPr>
        <w:instrText>STYLEREF 1 \s</w:instrText>
      </w:r>
      <w:r>
        <w:instrText xml:space="preserve"> </w:instrText>
      </w:r>
      <w:r w:rsidR="00EA3750">
        <w:fldChar w:fldCharType="separate"/>
      </w:r>
      <w:r w:rsidR="00EC0676">
        <w:rPr>
          <w:noProof/>
        </w:rPr>
        <w:t>0</w:t>
      </w:r>
      <w:r w:rsidR="00EA3750">
        <w:fldChar w:fldCharType="end"/>
      </w:r>
      <w:r>
        <w:rPr>
          <w:rFonts w:hint="eastAsia"/>
        </w:rPr>
        <w:t>.10</w:t>
      </w:r>
      <w:r>
        <w:noBreakHyphen/>
      </w:r>
      <w:bookmarkEnd w:id="483"/>
      <w:r>
        <w:rPr>
          <w:rFonts w:hint="eastAsia"/>
        </w:rPr>
        <w:t xml:space="preserve">7  </w:t>
      </w:r>
      <w:r>
        <w:t xml:space="preserve"> </w:t>
      </w:r>
      <w:r>
        <w:rPr>
          <w:rFonts w:hint="eastAsia"/>
        </w:rPr>
        <w:t>静风</w:t>
      </w:r>
      <w:r>
        <w:t>条件下硫化氢泄漏</w:t>
      </w:r>
      <w:r>
        <w:rPr>
          <w:rFonts w:hint="eastAsia"/>
        </w:rPr>
        <w:t>逃生</w:t>
      </w:r>
      <w:r>
        <w:t>方向示意图</w:t>
      </w:r>
    </w:p>
    <w:p w:rsidR="00BD5820" w:rsidRDefault="00BD5820">
      <w:pPr>
        <w:pStyle w:val="affa"/>
        <w:ind w:firstLine="480"/>
        <w:sectPr w:rsidR="00BD5820">
          <w:pgSz w:w="16838" w:h="11906" w:orient="landscape"/>
          <w:pgMar w:top="1797" w:right="1440" w:bottom="1797" w:left="1440" w:header="851" w:footer="992" w:gutter="0"/>
          <w:cols w:space="425"/>
          <w:docGrid w:type="linesAndChars" w:linePitch="312"/>
        </w:sectPr>
      </w:pPr>
    </w:p>
    <w:p w:rsidR="00BD5820" w:rsidRDefault="00F64314">
      <w:pPr>
        <w:pStyle w:val="affa"/>
        <w:ind w:firstLine="482"/>
        <w:rPr>
          <w:b/>
        </w:rPr>
      </w:pPr>
      <w:r>
        <w:rPr>
          <w:rFonts w:hint="eastAsia"/>
          <w:b/>
        </w:rPr>
        <w:lastRenderedPageBreak/>
        <w:t>3.3</w:t>
      </w:r>
      <w:r>
        <w:rPr>
          <w:b/>
        </w:rPr>
        <w:t>天然气管道风险事故应急措施</w:t>
      </w:r>
    </w:p>
    <w:p w:rsidR="00BD5820" w:rsidRDefault="00F64314">
      <w:pPr>
        <w:pStyle w:val="affa"/>
        <w:ind w:firstLine="480"/>
      </w:pPr>
      <w:r>
        <w:t>当项目天然气管道发生泄漏时，项目总负责人或其指定人员应向当地政府报告，协助当地政府立即疏散管线周围的居民，并立即组织对项目周边社会关注点的撤离。</w:t>
      </w:r>
    </w:p>
    <w:p w:rsidR="00BD5820" w:rsidRDefault="00F64314">
      <w:pPr>
        <w:pStyle w:val="affa"/>
        <w:ind w:firstLine="480"/>
      </w:pPr>
      <w:r>
        <w:t>（</w:t>
      </w:r>
      <w:r>
        <w:t>1</w:t>
      </w:r>
      <w:r>
        <w:t>）天然气管道风险事故应急措施</w:t>
      </w:r>
    </w:p>
    <w:p w:rsidR="00BD5820" w:rsidRDefault="00F64314">
      <w:pPr>
        <w:pStyle w:val="affa"/>
        <w:ind w:firstLine="480"/>
      </w:pPr>
      <w:r>
        <w:rPr>
          <w:rFonts w:ascii="宋体" w:hAnsi="宋体" w:cs="宋体" w:hint="eastAsia"/>
        </w:rPr>
        <w:t>①</w:t>
      </w:r>
      <w:r>
        <w:t>天然气管道发生泄漏时：应关闭其进出口阀，截断站场气源，尽量控制、减少天然气的泄漏量。</w:t>
      </w:r>
    </w:p>
    <w:p w:rsidR="00BD5820" w:rsidRDefault="00F64314">
      <w:pPr>
        <w:pStyle w:val="affa"/>
        <w:ind w:firstLine="480"/>
      </w:pPr>
      <w:r>
        <w:rPr>
          <w:rFonts w:ascii="宋体" w:hAnsi="宋体" w:cs="宋体" w:hint="eastAsia"/>
        </w:rPr>
        <w:t>②</w:t>
      </w:r>
      <w:r>
        <w:t>天然气管线、设备的焊缝、甩头、仪表短接因腐蚀而引起的泄漏：应将手动打开装置前天然气压力调节阀、联锁阀，将天然气排放至放空系统；同时向调度室汇报，通知停止供气。</w:t>
      </w:r>
    </w:p>
    <w:p w:rsidR="00BD5820" w:rsidRDefault="00F64314">
      <w:pPr>
        <w:pStyle w:val="affa"/>
        <w:ind w:firstLine="480"/>
      </w:pPr>
      <w:r>
        <w:rPr>
          <w:rFonts w:ascii="宋体" w:hAnsi="宋体" w:cs="宋体" w:hint="eastAsia"/>
        </w:rPr>
        <w:t>③</w:t>
      </w:r>
      <w:r>
        <w:t>发生中毒事故：立即报告并调度就近救护车立即进入生产区，同时抢救人员戴好防毒面具，把中毒者救出现场，移至通风良好处，对呼吸及心跳停止者，立刻做人工呼吸，直至恢复正常或救护车到来。</w:t>
      </w:r>
    </w:p>
    <w:p w:rsidR="00BD5820" w:rsidRDefault="00F64314">
      <w:pPr>
        <w:pStyle w:val="affa"/>
        <w:ind w:firstLine="480"/>
      </w:pPr>
      <w:r>
        <w:rPr>
          <w:rFonts w:ascii="宋体" w:hAnsi="宋体" w:cs="宋体" w:hint="eastAsia"/>
        </w:rPr>
        <w:t>④</w:t>
      </w:r>
      <w:r>
        <w:t>根据事故可能危害的范围设置警戒，人员疏散路线朝泄漏处上风向，逃生时要注意风向，要沿上风（逆风）方向</w:t>
      </w:r>
      <w:r>
        <w:rPr>
          <w:rFonts w:hint="eastAsia"/>
        </w:rPr>
        <w:t>（东北侧）</w:t>
      </w:r>
      <w:r>
        <w:t>逃生，若所处位置沿上风方向逃生时的近道要经过甲烷严重污染区，则横向绕道避开管线吹来的下风，到达非污染区后，再沿上风方向</w:t>
      </w:r>
      <w:r>
        <w:rPr>
          <w:rFonts w:hint="eastAsia"/>
        </w:rPr>
        <w:t>（东北侧）</w:t>
      </w:r>
      <w:r>
        <w:t>逃生（离管线越远越好）；若所处位置在管线下风方向的较远处，且风速较小，不能沿上风方向</w:t>
      </w:r>
      <w:r>
        <w:rPr>
          <w:rFonts w:hint="eastAsia"/>
        </w:rPr>
        <w:t>（东北侧）</w:t>
      </w:r>
      <w:r>
        <w:t>逃生而又无横向逃生小道时，可以最快捷的方式顺风逃生到有横向绕道的地方，再横向逃生避开污染区后向上风方向</w:t>
      </w:r>
      <w:r>
        <w:rPr>
          <w:rFonts w:hint="eastAsia"/>
        </w:rPr>
        <w:t>（东北侧）</w:t>
      </w:r>
      <w:r>
        <w:t>及沿着地面上的高点方向逃生。</w:t>
      </w:r>
    </w:p>
    <w:p w:rsidR="00BD5820" w:rsidRDefault="00F64314">
      <w:pPr>
        <w:pStyle w:val="affa"/>
        <w:ind w:firstLine="480"/>
      </w:pPr>
      <w:r>
        <w:rPr>
          <w:rFonts w:ascii="宋体" w:hAnsi="宋体" w:cs="宋体" w:hint="eastAsia"/>
        </w:rPr>
        <w:t>⑤</w:t>
      </w:r>
      <w:r>
        <w:t>通知消防队，监护泄漏区域，防止引起火灾、爆炸。</w:t>
      </w:r>
    </w:p>
    <w:p w:rsidR="00BD5820" w:rsidRDefault="00F64314">
      <w:pPr>
        <w:pStyle w:val="affa"/>
        <w:ind w:firstLine="480"/>
      </w:pPr>
      <w:r>
        <w:rPr>
          <w:rFonts w:ascii="宋体" w:hAnsi="宋体" w:cs="宋体" w:hint="eastAsia"/>
        </w:rPr>
        <w:t>⑥</w:t>
      </w:r>
      <w:r>
        <w:t>时间就是生命，紧急逃生时，不要因收贵重物品等事宜延误时间，并且要轻装撤离逃生。</w:t>
      </w:r>
    </w:p>
    <w:p w:rsidR="00BD5820" w:rsidRDefault="00F64314">
      <w:pPr>
        <w:pStyle w:val="affa"/>
        <w:ind w:firstLine="480"/>
      </w:pPr>
      <w:r>
        <w:rPr>
          <w:rFonts w:ascii="宋体" w:hAnsi="宋体" w:cs="宋体" w:hint="eastAsia"/>
        </w:rPr>
        <w:t>⑦</w:t>
      </w:r>
      <w:r>
        <w:t>当所处位置离管线很远时，则只要偏离风向往离管线越来越远的方向逃生即可。</w:t>
      </w:r>
    </w:p>
    <w:p w:rsidR="00BD5820" w:rsidRDefault="00F64314">
      <w:pPr>
        <w:pStyle w:val="affa"/>
        <w:ind w:firstLine="480"/>
      </w:pPr>
      <w:r>
        <w:t>（</w:t>
      </w:r>
      <w:r>
        <w:t>2</w:t>
      </w:r>
      <w:r>
        <w:t>）硫化氢泄漏应急疏散预案</w:t>
      </w:r>
    </w:p>
    <w:p w:rsidR="00BD5820" w:rsidRDefault="00F64314">
      <w:pPr>
        <w:pStyle w:val="affa"/>
        <w:ind w:firstLine="480"/>
      </w:pPr>
      <w:r>
        <w:t>当硫化氢气体泄漏时，应立即通知并协助当地政府疏</w:t>
      </w:r>
      <w:r>
        <w:rPr>
          <w:rFonts w:hint="eastAsia"/>
        </w:rPr>
        <w:t>场站</w:t>
      </w:r>
      <w:r>
        <w:t>周围</w:t>
      </w:r>
      <w:r>
        <w:rPr>
          <w:rFonts w:hint="eastAsia"/>
        </w:rPr>
        <w:t>居民，应急疏散线路图见附图</w:t>
      </w:r>
      <w:r>
        <w:rPr>
          <w:rFonts w:hint="eastAsia"/>
        </w:rPr>
        <w:t>7</w:t>
      </w:r>
      <w:r>
        <w:t>，根据监测情况，考虑风向、地形、人口密度、受污染程度等情况及时作出风险和危害程度评估，决定是否扩大撤离范围。</w:t>
      </w:r>
    </w:p>
    <w:p w:rsidR="00BD5820" w:rsidRDefault="00F64314">
      <w:pPr>
        <w:pStyle w:val="affa"/>
        <w:ind w:firstLine="480"/>
        <w:rPr>
          <w:kern w:val="24"/>
        </w:rPr>
      </w:pPr>
      <w:r>
        <w:rPr>
          <w:kern w:val="24"/>
        </w:rPr>
        <w:lastRenderedPageBreak/>
        <w:t>为了在紧急突发事件情况下防止</w:t>
      </w:r>
      <w:r>
        <w:rPr>
          <w:kern w:val="24"/>
        </w:rPr>
        <w:t>H</w:t>
      </w:r>
      <w:r>
        <w:rPr>
          <w:kern w:val="24"/>
          <w:vertAlign w:val="subscript"/>
        </w:rPr>
        <w:t>2</w:t>
      </w:r>
      <w:r>
        <w:rPr>
          <w:kern w:val="24"/>
        </w:rPr>
        <w:t>S</w:t>
      </w:r>
      <w:r>
        <w:rPr>
          <w:kern w:val="24"/>
        </w:rPr>
        <w:t>中毒，保障每位员工和站场周围群众的生命安全，应按上风方向</w:t>
      </w:r>
      <w:r>
        <w:rPr>
          <w:rFonts w:hint="eastAsia"/>
          <w:kern w:val="24"/>
        </w:rPr>
        <w:t>和高处</w:t>
      </w:r>
      <w:r>
        <w:rPr>
          <w:kern w:val="24"/>
        </w:rPr>
        <w:t>撤离，每位接到撤离通知的员工和群众应按下列程序撤离：</w:t>
      </w:r>
    </w:p>
    <w:p w:rsidR="00BD5820" w:rsidRDefault="00F64314">
      <w:pPr>
        <w:pStyle w:val="affa"/>
        <w:ind w:firstLine="480"/>
        <w:rPr>
          <w:kern w:val="24"/>
        </w:rPr>
      </w:pPr>
      <w:r>
        <w:rPr>
          <w:rFonts w:ascii="宋体" w:hAnsi="宋体" w:cs="宋体" w:hint="eastAsia"/>
          <w:kern w:val="24"/>
        </w:rPr>
        <w:t>①</w:t>
      </w:r>
      <w:r>
        <w:rPr>
          <w:kern w:val="24"/>
        </w:rPr>
        <w:t>群众由当地政府组织撤离，</w:t>
      </w:r>
      <w:r>
        <w:rPr>
          <w:kern w:val="24"/>
          <w:lang w:val="en-GB"/>
        </w:rPr>
        <w:t>集气站员工由集气站</w:t>
      </w:r>
      <w:r>
        <w:rPr>
          <w:kern w:val="24"/>
        </w:rPr>
        <w:t>组织撤离；</w:t>
      </w:r>
    </w:p>
    <w:p w:rsidR="00BD5820" w:rsidRDefault="00F64314">
      <w:pPr>
        <w:pStyle w:val="affa"/>
        <w:ind w:firstLine="480"/>
      </w:pPr>
      <w:r>
        <w:rPr>
          <w:rFonts w:ascii="宋体" w:hAnsi="宋体" w:cs="宋体" w:hint="eastAsia"/>
          <w:kern w:val="24"/>
        </w:rPr>
        <w:t>②</w:t>
      </w:r>
      <w:r>
        <w:rPr>
          <w:kern w:val="24"/>
          <w:lang w:val="en-GB"/>
        </w:rPr>
        <w:t>集气站</w:t>
      </w:r>
      <w:r>
        <w:rPr>
          <w:kern w:val="24"/>
        </w:rPr>
        <w:t>操作人员戴上正压式空气呼吸器撤离逃生；</w:t>
      </w:r>
    </w:p>
    <w:p w:rsidR="00BD5820" w:rsidRDefault="00F64314">
      <w:pPr>
        <w:pStyle w:val="affa"/>
        <w:ind w:firstLine="480"/>
        <w:rPr>
          <w:kern w:val="24"/>
        </w:rPr>
      </w:pPr>
      <w:r>
        <w:rPr>
          <w:rFonts w:ascii="宋体" w:hAnsi="宋体" w:cs="宋体" w:hint="eastAsia"/>
          <w:kern w:val="24"/>
        </w:rPr>
        <w:t>③</w:t>
      </w:r>
      <w:r>
        <w:rPr>
          <w:kern w:val="24"/>
        </w:rPr>
        <w:t>无正压式空气呼吸器者用干净湿毛巾捂住口鼻逃生；</w:t>
      </w:r>
    </w:p>
    <w:p w:rsidR="00BD5820" w:rsidRDefault="00F64314">
      <w:pPr>
        <w:pStyle w:val="affa"/>
        <w:ind w:firstLine="480"/>
        <w:rPr>
          <w:kern w:val="24"/>
        </w:rPr>
      </w:pPr>
      <w:r>
        <w:rPr>
          <w:rFonts w:ascii="宋体" w:hAnsi="宋体" w:cs="宋体" w:hint="eastAsia"/>
          <w:kern w:val="24"/>
        </w:rPr>
        <w:t>④</w:t>
      </w:r>
      <w:r>
        <w:rPr>
          <w:kern w:val="24"/>
        </w:rPr>
        <w:t>逃生时要注意风向，一要沿上风（逆风）方向</w:t>
      </w:r>
      <w:r>
        <w:rPr>
          <w:rFonts w:hint="eastAsia"/>
          <w:kern w:val="24"/>
        </w:rPr>
        <w:t>（东北侧）</w:t>
      </w:r>
      <w:r>
        <w:rPr>
          <w:kern w:val="24"/>
        </w:rPr>
        <w:t>逃生，二要沿着地面上的高处跑，不要接触低凹处的水源。若所处位置沿上风方向</w:t>
      </w:r>
      <w:r>
        <w:rPr>
          <w:rFonts w:hint="eastAsia"/>
          <w:kern w:val="24"/>
        </w:rPr>
        <w:t>（东北侧）</w:t>
      </w:r>
      <w:r>
        <w:rPr>
          <w:kern w:val="24"/>
        </w:rPr>
        <w:t>逃生时的近道要经过</w:t>
      </w:r>
      <w:r>
        <w:rPr>
          <w:kern w:val="24"/>
        </w:rPr>
        <w:t>H</w:t>
      </w:r>
      <w:r>
        <w:rPr>
          <w:kern w:val="24"/>
          <w:vertAlign w:val="subscript"/>
        </w:rPr>
        <w:t>2</w:t>
      </w:r>
      <w:r>
        <w:rPr>
          <w:kern w:val="24"/>
        </w:rPr>
        <w:t>S</w:t>
      </w:r>
      <w:r>
        <w:rPr>
          <w:kern w:val="24"/>
        </w:rPr>
        <w:t>严重污染区，则横向绕道避开站场吹来的下风，到达非污染区后，再沿上风方向</w:t>
      </w:r>
      <w:r>
        <w:rPr>
          <w:rFonts w:hint="eastAsia"/>
          <w:kern w:val="24"/>
        </w:rPr>
        <w:t>（东北侧）</w:t>
      </w:r>
      <w:r>
        <w:rPr>
          <w:kern w:val="24"/>
        </w:rPr>
        <w:t>逃生（离站场越远越好）；若所处位置在站场下风方向的较远处，且风速较小，不能沿上风方向</w:t>
      </w:r>
      <w:r>
        <w:rPr>
          <w:rFonts w:hint="eastAsia"/>
          <w:kern w:val="24"/>
        </w:rPr>
        <w:t>（东北侧）</w:t>
      </w:r>
      <w:r>
        <w:rPr>
          <w:kern w:val="24"/>
        </w:rPr>
        <w:t>逃生而又无横向逃生小道时，可以最快捷的方式顺风逃生到有横向绕道的地方，再横向逃生避开污染区后向上风方向</w:t>
      </w:r>
      <w:r>
        <w:rPr>
          <w:rFonts w:hint="eastAsia"/>
          <w:kern w:val="24"/>
        </w:rPr>
        <w:t>（东北侧）</w:t>
      </w:r>
      <w:r>
        <w:rPr>
          <w:kern w:val="24"/>
        </w:rPr>
        <w:t>及沿着地面上的高点方向逃生。</w:t>
      </w:r>
    </w:p>
    <w:p w:rsidR="00BD5820" w:rsidRDefault="00F64314">
      <w:pPr>
        <w:pStyle w:val="affa"/>
        <w:ind w:firstLine="480"/>
        <w:rPr>
          <w:kern w:val="24"/>
        </w:rPr>
      </w:pPr>
      <w:r>
        <w:rPr>
          <w:rFonts w:ascii="宋体" w:hAnsi="宋体" w:cs="宋体" w:hint="eastAsia"/>
          <w:kern w:val="24"/>
        </w:rPr>
        <w:t>⑤</w:t>
      </w:r>
      <w:r>
        <w:rPr>
          <w:kern w:val="24"/>
        </w:rPr>
        <w:t>时间就是生命，紧急逃生时，不要因收贵重物品等事宜延误时间，并且要轻装撤离逃生。</w:t>
      </w:r>
    </w:p>
    <w:p w:rsidR="00BD5820" w:rsidRDefault="00F64314">
      <w:pPr>
        <w:pStyle w:val="affa"/>
        <w:ind w:firstLine="480"/>
        <w:rPr>
          <w:kern w:val="24"/>
        </w:rPr>
      </w:pPr>
      <w:r>
        <w:rPr>
          <w:rFonts w:ascii="宋体" w:hAnsi="宋体" w:cs="宋体" w:hint="eastAsia"/>
          <w:kern w:val="24"/>
        </w:rPr>
        <w:t>⑥</w:t>
      </w:r>
      <w:r>
        <w:rPr>
          <w:kern w:val="24"/>
        </w:rPr>
        <w:t>当所处位置离站场很远时，则只要偏离风向往离站场越来越远的方向逃生即可。</w:t>
      </w:r>
    </w:p>
    <w:p w:rsidR="00BD5820" w:rsidRDefault="00F64314">
      <w:pPr>
        <w:pStyle w:val="affa"/>
        <w:ind w:firstLine="480"/>
      </w:pPr>
      <w:r>
        <w:t>（</w:t>
      </w:r>
      <w:r>
        <w:t>3</w:t>
      </w:r>
      <w:r>
        <w:t>）硫化氢中毒应急救援预案</w:t>
      </w:r>
    </w:p>
    <w:p w:rsidR="00BD5820" w:rsidRDefault="00F64314">
      <w:pPr>
        <w:pStyle w:val="affa"/>
        <w:ind w:firstLine="480"/>
        <w:rPr>
          <w:bCs/>
        </w:rPr>
      </w:pPr>
      <w:r>
        <w:rPr>
          <w:rFonts w:ascii="宋体" w:hAnsi="宋体" w:cs="宋体" w:hint="eastAsia"/>
          <w:bCs/>
        </w:rPr>
        <w:t>①</w:t>
      </w:r>
      <w:r>
        <w:t>集气站内需设置硫化氢气体泄漏检测报警系统，对站场天然气泄漏进行检测及报警。硫化氢气体检测报警系统由现场探测器、控制器及配套报警喇叭等设备组成。工艺设备区及井口安装固定式硫化氢探测器，现场探测器的检测信号采用铠装控制电缆敷设至控制器，控制器接收到超标信号，传送至配套喇叭进行报警。</w:t>
      </w:r>
      <w:r>
        <w:t>RTU</w:t>
      </w:r>
      <w:r>
        <w:t>的数据上传至集气站控制室、脱硫净化厂中控室。硫化氢气体检测报警</w:t>
      </w:r>
      <w:r>
        <w:t>1</w:t>
      </w:r>
      <w:r>
        <w:t>级报警值</w:t>
      </w:r>
      <w:r>
        <w:t>10mg</w:t>
      </w:r>
      <w:r>
        <w:t>，</w:t>
      </w:r>
      <w:r>
        <w:t>2</w:t>
      </w:r>
      <w:r>
        <w:t>级报警值</w:t>
      </w:r>
      <w:r>
        <w:t>20mg</w:t>
      </w:r>
      <w:r>
        <w:t>，工作人员应根据报警值采取相应处理措施。同时在站内设置便携式硫化氢气体检测报警仪</w:t>
      </w:r>
      <w:r>
        <w:t>1</w:t>
      </w:r>
      <w:r>
        <w:t>套，对天然气泄漏进行定期巡检。</w:t>
      </w:r>
      <w:r>
        <w:rPr>
          <w:bCs/>
        </w:rPr>
        <w:t>在可能产生硫化氢的场所工作的员工每人配备防毒面具和空（氧）气呼吸器，并保证有效使用；</w:t>
      </w:r>
    </w:p>
    <w:p w:rsidR="00BD5820" w:rsidRDefault="00F64314">
      <w:pPr>
        <w:pStyle w:val="affa"/>
        <w:ind w:firstLine="480"/>
        <w:rPr>
          <w:bCs/>
        </w:rPr>
      </w:pPr>
      <w:r>
        <w:rPr>
          <w:rFonts w:ascii="宋体" w:hAnsi="宋体" w:cs="宋体" w:hint="eastAsia"/>
          <w:bCs/>
        </w:rPr>
        <w:t>②</w:t>
      </w:r>
      <w:r>
        <w:rPr>
          <w:bCs/>
        </w:rPr>
        <w:t>向周围居民进行防硫化氢中毒的防护知识的宣传，并调查了解附近居民的分布情况，掌握其最有效的联系方式；</w:t>
      </w:r>
    </w:p>
    <w:p w:rsidR="00BD5820" w:rsidRDefault="00F64314">
      <w:pPr>
        <w:pStyle w:val="affa"/>
        <w:ind w:firstLine="480"/>
        <w:rPr>
          <w:bCs/>
        </w:rPr>
      </w:pPr>
      <w:r>
        <w:rPr>
          <w:rFonts w:ascii="宋体" w:hAnsi="宋体" w:cs="宋体" w:hint="eastAsia"/>
          <w:bCs/>
        </w:rPr>
        <w:lastRenderedPageBreak/>
        <w:t>③</w:t>
      </w:r>
      <w:r>
        <w:rPr>
          <w:bCs/>
        </w:rPr>
        <w:t>听到硫化氢报警信号后立即戴上防毒面具或氧气呼吸器；</w:t>
      </w:r>
    </w:p>
    <w:p w:rsidR="00BD5820" w:rsidRDefault="00F64314">
      <w:pPr>
        <w:pStyle w:val="affa"/>
        <w:ind w:firstLine="480"/>
        <w:rPr>
          <w:bCs/>
        </w:rPr>
      </w:pPr>
      <w:r>
        <w:rPr>
          <w:rFonts w:ascii="宋体" w:hAnsi="宋体" w:cs="宋体" w:hint="eastAsia"/>
          <w:bCs/>
        </w:rPr>
        <w:t>④</w:t>
      </w:r>
      <w:r>
        <w:rPr>
          <w:bCs/>
        </w:rPr>
        <w:t>发出警报信号（鸣喇叭），全队处于应急状态；工作人员需立即赶往现场，按</w:t>
      </w:r>
      <w:r>
        <w:rPr>
          <w:bCs/>
        </w:rPr>
        <w:t>“</w:t>
      </w:r>
      <w:r>
        <w:rPr>
          <w:bCs/>
        </w:rPr>
        <w:t>四七</w:t>
      </w:r>
      <w:r>
        <w:rPr>
          <w:bCs/>
        </w:rPr>
        <w:t>”</w:t>
      </w:r>
      <w:r>
        <w:rPr>
          <w:bCs/>
        </w:rPr>
        <w:t>动作控制井口至脱硫塔前区域；做好站场救护准备；卫生员准备担架、氧气袋和急救箱到站场；</w:t>
      </w:r>
      <w:r>
        <w:rPr>
          <w:bCs/>
        </w:rPr>
        <w:t>HSE</w:t>
      </w:r>
      <w:r>
        <w:rPr>
          <w:bCs/>
        </w:rPr>
        <w:t>监督（安全员）检查空气呼吸器并搬出备用；</w:t>
      </w:r>
    </w:p>
    <w:p w:rsidR="00BD5820" w:rsidRDefault="00F64314">
      <w:pPr>
        <w:pStyle w:val="affa"/>
        <w:ind w:firstLine="480"/>
        <w:rPr>
          <w:bCs/>
        </w:rPr>
      </w:pPr>
      <w:r>
        <w:rPr>
          <w:rFonts w:ascii="宋体" w:hAnsi="宋体" w:cs="宋体" w:hint="eastAsia"/>
          <w:bCs/>
        </w:rPr>
        <w:t>⑤</w:t>
      </w:r>
      <w:r>
        <w:rPr>
          <w:bCs/>
        </w:rPr>
        <w:t>救护人员戴好空气呼吸器到岗位检查井口区域是否控制住，有无人员中毒；若发现有人员中毒立即抬至空气流通处施行现场急救，同时与挂钩医院联系；</w:t>
      </w:r>
    </w:p>
    <w:p w:rsidR="00BD5820" w:rsidRDefault="00F64314">
      <w:pPr>
        <w:pStyle w:val="affa"/>
        <w:ind w:firstLine="480"/>
        <w:rPr>
          <w:bCs/>
        </w:rPr>
      </w:pPr>
      <w:r>
        <w:rPr>
          <w:rFonts w:ascii="宋体" w:hAnsi="宋体" w:cs="宋体" w:hint="eastAsia"/>
          <w:bCs/>
        </w:rPr>
        <w:t>⑥</w:t>
      </w:r>
      <w:r>
        <w:rPr>
          <w:bCs/>
        </w:rPr>
        <w:t>由技术员组织处理消除</w:t>
      </w:r>
      <w:r>
        <w:rPr>
          <w:rFonts w:hint="eastAsia"/>
          <w:bCs/>
        </w:rPr>
        <w:t>场站</w:t>
      </w:r>
      <w:r>
        <w:rPr>
          <w:bCs/>
        </w:rPr>
        <w:t>的</w:t>
      </w:r>
      <w:r>
        <w:rPr>
          <w:bCs/>
        </w:rPr>
        <w:t>H</w:t>
      </w:r>
      <w:r>
        <w:rPr>
          <w:bCs/>
          <w:vertAlign w:val="subscript"/>
        </w:rPr>
        <w:t>2</w:t>
      </w:r>
      <w:r>
        <w:rPr>
          <w:bCs/>
        </w:rPr>
        <w:t>S</w:t>
      </w:r>
      <w:r>
        <w:rPr>
          <w:bCs/>
        </w:rPr>
        <w:t>外逸工作。</w:t>
      </w:r>
    </w:p>
    <w:p w:rsidR="00BD5820" w:rsidRDefault="00F64314">
      <w:pPr>
        <w:pStyle w:val="affa"/>
        <w:ind w:firstLine="482"/>
        <w:rPr>
          <w:b/>
          <w:bCs/>
        </w:rPr>
      </w:pPr>
      <w:bookmarkStart w:id="484" w:name="_Toc12288767"/>
      <w:r>
        <w:rPr>
          <w:b/>
          <w:bCs/>
        </w:rPr>
        <w:t>4</w:t>
      </w:r>
      <w:r>
        <w:rPr>
          <w:b/>
          <w:bCs/>
        </w:rPr>
        <w:t>、应急监测</w:t>
      </w:r>
      <w:bookmarkEnd w:id="484"/>
    </w:p>
    <w:p w:rsidR="00BD5820" w:rsidRDefault="00F64314">
      <w:pPr>
        <w:pStyle w:val="affa"/>
        <w:ind w:firstLine="480"/>
      </w:pPr>
      <w:r>
        <w:t>应急监测的项目：非甲烷总烃、硫化氢、</w:t>
      </w:r>
      <w:r>
        <w:t>SO</w:t>
      </w:r>
      <w:r>
        <w:rPr>
          <w:vertAlign w:val="subscript"/>
        </w:rPr>
        <w:t>2</w:t>
      </w:r>
      <w:r>
        <w:t>。监测地点：出现事故地点</w:t>
      </w:r>
    </w:p>
    <w:p w:rsidR="00BD5820" w:rsidRDefault="00F64314">
      <w:pPr>
        <w:pStyle w:val="affa"/>
        <w:ind w:firstLine="480"/>
      </w:pPr>
      <w:r>
        <w:t>监测要求：主导风向结合敏感点进行布设。</w:t>
      </w:r>
    </w:p>
    <w:p w:rsidR="00BD5820" w:rsidRDefault="00F64314">
      <w:pPr>
        <w:pStyle w:val="affa"/>
        <w:ind w:firstLine="482"/>
        <w:rPr>
          <w:b/>
          <w:bCs/>
        </w:rPr>
      </w:pPr>
      <w:bookmarkStart w:id="485" w:name="_Toc12288768"/>
      <w:r>
        <w:rPr>
          <w:b/>
          <w:bCs/>
        </w:rPr>
        <w:t>5</w:t>
      </w:r>
      <w:r>
        <w:rPr>
          <w:b/>
          <w:bCs/>
        </w:rPr>
        <w:t>、事故后的恢复程序</w:t>
      </w:r>
      <w:bookmarkEnd w:id="485"/>
    </w:p>
    <w:p w:rsidR="00BD5820" w:rsidRDefault="00F64314">
      <w:pPr>
        <w:pStyle w:val="affa"/>
        <w:ind w:firstLine="480"/>
      </w:pPr>
      <w:r>
        <w:t>当恢复生产后，善后工作由现场人员负责具体落实，主要包括以下内容：</w:t>
      </w:r>
    </w:p>
    <w:p w:rsidR="00BD5820" w:rsidRDefault="00F64314">
      <w:pPr>
        <w:pStyle w:val="affa"/>
        <w:ind w:firstLine="480"/>
      </w:pPr>
      <w:r>
        <w:t>（</w:t>
      </w:r>
      <w:r>
        <w:t>1</w:t>
      </w:r>
      <w:r>
        <w:t>）对现场进行清理，撤除所有的机具设备。</w:t>
      </w:r>
    </w:p>
    <w:p w:rsidR="00BD5820" w:rsidRDefault="00F64314">
      <w:pPr>
        <w:pStyle w:val="affa"/>
        <w:ind w:firstLine="480"/>
      </w:pPr>
      <w:r>
        <w:t>（</w:t>
      </w:r>
      <w:r>
        <w:t>2</w:t>
      </w:r>
      <w:r>
        <w:t>）恢复地貌、植被；疏通河道、交通。</w:t>
      </w:r>
    </w:p>
    <w:p w:rsidR="00BD5820" w:rsidRDefault="00F64314">
      <w:pPr>
        <w:pStyle w:val="affa"/>
        <w:ind w:firstLine="480"/>
      </w:pPr>
      <w:r>
        <w:t>（</w:t>
      </w:r>
      <w:r>
        <w:t>3</w:t>
      </w:r>
      <w:r>
        <w:t>）根据事故破坏情况，进行评估，按照相关法律，进行赔偿。</w:t>
      </w:r>
    </w:p>
    <w:p w:rsidR="00BD5820" w:rsidRDefault="00F64314">
      <w:pPr>
        <w:pStyle w:val="affa"/>
        <w:ind w:firstLine="480"/>
      </w:pPr>
      <w:r>
        <w:t>（</w:t>
      </w:r>
      <w:r>
        <w:t>4</w:t>
      </w:r>
      <w:r>
        <w:t>）做好各项记录，进行归档整理。</w:t>
      </w:r>
    </w:p>
    <w:p w:rsidR="00BD5820" w:rsidRDefault="00F64314">
      <w:pPr>
        <w:pStyle w:val="affa"/>
        <w:ind w:firstLine="482"/>
        <w:rPr>
          <w:b/>
          <w:bCs/>
        </w:rPr>
      </w:pPr>
      <w:bookmarkStart w:id="486" w:name="_Toc12288769"/>
      <w:r>
        <w:rPr>
          <w:b/>
          <w:bCs/>
        </w:rPr>
        <w:t>6</w:t>
      </w:r>
      <w:r>
        <w:rPr>
          <w:b/>
          <w:bCs/>
        </w:rPr>
        <w:t>、应急培训与演练</w:t>
      </w:r>
      <w:bookmarkEnd w:id="486"/>
    </w:p>
    <w:p w:rsidR="00BD5820" w:rsidRDefault="00F64314">
      <w:pPr>
        <w:pStyle w:val="affa"/>
        <w:ind w:firstLine="480"/>
      </w:pPr>
      <w:r>
        <w:t>应急培训和演练是培养和提高各岗位操作人员以及其他人员的日常应急处理能力的重要手段。应急预案应明确规定以下内容：</w:t>
      </w:r>
    </w:p>
    <w:p w:rsidR="00BD5820" w:rsidRDefault="00F64314">
      <w:pPr>
        <w:pStyle w:val="affa"/>
        <w:ind w:firstLine="480"/>
      </w:pPr>
      <w:r>
        <w:t>（</w:t>
      </w:r>
      <w:r>
        <w:t>1</w:t>
      </w:r>
      <w:r>
        <w:t>）演练及考核计划</w:t>
      </w:r>
    </w:p>
    <w:p w:rsidR="00BD5820" w:rsidRDefault="00F64314">
      <w:pPr>
        <w:pStyle w:val="affa"/>
        <w:ind w:firstLine="480"/>
      </w:pPr>
      <w:r>
        <w:t>演练计划包括应急预案类型、演练时间、演练内容、参加人员、考核方式等要求。</w:t>
      </w:r>
    </w:p>
    <w:p w:rsidR="00BD5820" w:rsidRDefault="00F64314">
      <w:pPr>
        <w:pStyle w:val="affa"/>
        <w:ind w:firstLine="480"/>
      </w:pPr>
      <w:r>
        <w:t>（</w:t>
      </w:r>
      <w:r>
        <w:t>2</w:t>
      </w:r>
      <w:r>
        <w:t>）演练记录</w:t>
      </w:r>
    </w:p>
    <w:p w:rsidR="00BD5820" w:rsidRDefault="00F64314">
      <w:pPr>
        <w:pStyle w:val="affa"/>
        <w:ind w:firstLine="480"/>
      </w:pPr>
      <w:r>
        <w:t>演练记录包括应急预案类型、演练时间、演练人员名单、演练过程、考核结果、存在问题等项内容。演练记录存档备查。</w:t>
      </w:r>
    </w:p>
    <w:p w:rsidR="00BD5820" w:rsidRDefault="00F64314">
      <w:pPr>
        <w:pStyle w:val="affa"/>
        <w:ind w:firstLine="480"/>
      </w:pPr>
      <w:r>
        <w:t>（</w:t>
      </w:r>
      <w:r>
        <w:t>3</w:t>
      </w:r>
      <w:r>
        <w:t>）演练内容和形式</w:t>
      </w:r>
    </w:p>
    <w:p w:rsidR="00BD5820" w:rsidRDefault="00F64314">
      <w:pPr>
        <w:pStyle w:val="affa"/>
        <w:ind w:firstLine="480"/>
      </w:pPr>
      <w:r>
        <w:t>强化应急器材、医疗急救等方面的演练；</w:t>
      </w:r>
    </w:p>
    <w:p w:rsidR="00BD5820" w:rsidRDefault="00F64314">
      <w:pPr>
        <w:pStyle w:val="affa"/>
        <w:ind w:firstLine="480"/>
      </w:pPr>
      <w:r>
        <w:t>采用答卷方式对操作人员进行应急预案教育；</w:t>
      </w:r>
    </w:p>
    <w:p w:rsidR="00BD5820" w:rsidRDefault="00F64314">
      <w:pPr>
        <w:pStyle w:val="affa"/>
        <w:ind w:firstLine="480"/>
      </w:pPr>
      <w:r>
        <w:t>按照事故应急预案，以岗位为单位进行实战模拟演练；和地方消防、医疗等</w:t>
      </w:r>
      <w:r>
        <w:lastRenderedPageBreak/>
        <w:t>单位举行较大规模的实战模拟演练；</w:t>
      </w:r>
    </w:p>
    <w:p w:rsidR="00BD5820" w:rsidRDefault="00F64314">
      <w:pPr>
        <w:pStyle w:val="affa"/>
        <w:ind w:firstLine="480"/>
      </w:pPr>
      <w:r>
        <w:t>采取各种形式（如电视、电影、宣传手册等）对管道</w:t>
      </w:r>
      <w:r w:rsidR="00F76A35">
        <w:rPr>
          <w:rFonts w:hint="eastAsia"/>
        </w:rPr>
        <w:t>15</w:t>
      </w:r>
      <w:r>
        <w:t>00m</w:t>
      </w:r>
      <w:r w:rsidR="00F76A35">
        <w:t>范围</w:t>
      </w:r>
      <w:r>
        <w:t>内有居民的村庄</w:t>
      </w:r>
      <w:r w:rsidR="008A6122" w:rsidRPr="00AC7E70">
        <w:rPr>
          <w:rFonts w:hint="eastAsia"/>
          <w:color w:val="FF0000"/>
        </w:rPr>
        <w:t>（约</w:t>
      </w:r>
      <w:r w:rsidR="008A6122" w:rsidRPr="00AC7E70">
        <w:rPr>
          <w:rFonts w:hint="eastAsia"/>
          <w:color w:val="FF0000"/>
        </w:rPr>
        <w:t>1</w:t>
      </w:r>
      <w:r w:rsidR="00AC7E70" w:rsidRPr="00AC7E70">
        <w:rPr>
          <w:rFonts w:hint="eastAsia"/>
          <w:color w:val="FF0000"/>
        </w:rPr>
        <w:t>77</w:t>
      </w:r>
      <w:r w:rsidR="008A6122" w:rsidRPr="00AC7E70">
        <w:rPr>
          <w:rFonts w:hint="eastAsia"/>
          <w:color w:val="FF0000"/>
        </w:rPr>
        <w:t>9</w:t>
      </w:r>
      <w:r w:rsidR="008A6122" w:rsidRPr="00AC7E70">
        <w:rPr>
          <w:rFonts w:hint="eastAsia"/>
          <w:color w:val="FF0000"/>
        </w:rPr>
        <w:t>人）</w:t>
      </w:r>
      <w:r>
        <w:t>进行居民疏散演练。</w:t>
      </w:r>
    </w:p>
    <w:p w:rsidR="00BD5820" w:rsidRDefault="00F64314">
      <w:pPr>
        <w:pStyle w:val="affa"/>
        <w:ind w:firstLine="480"/>
      </w:pPr>
      <w:r>
        <w:t>（</w:t>
      </w:r>
      <w:r>
        <w:t>4</w:t>
      </w:r>
      <w:r>
        <w:t>）总结</w:t>
      </w:r>
    </w:p>
    <w:p w:rsidR="00BD5820" w:rsidRDefault="00F64314">
      <w:pPr>
        <w:pStyle w:val="affa"/>
        <w:ind w:firstLine="480"/>
      </w:pPr>
      <w:r>
        <w:t>演练结束后应就演练过程与应急预案的要求进行对比，可采取自我评估或第三方评估的方式对预案实施过程中存在的问题进行评估，根据评估结果对应急预案进行修改、完善。</w:t>
      </w:r>
    </w:p>
    <w:p w:rsidR="00BD5820" w:rsidRDefault="00F64314">
      <w:pPr>
        <w:pStyle w:val="2"/>
        <w:spacing w:before="120"/>
        <w:rPr>
          <w:rFonts w:cs="Times New Roman"/>
        </w:rPr>
      </w:pPr>
      <w:bookmarkStart w:id="487" w:name="bookmark65"/>
      <w:bookmarkStart w:id="488" w:name="_Toc19816117"/>
      <w:bookmarkStart w:id="489" w:name="_Toc12288770"/>
      <w:bookmarkStart w:id="490" w:name="_Toc2002"/>
      <w:bookmarkEnd w:id="487"/>
      <w:r>
        <w:rPr>
          <w:rFonts w:cs="Times New Roman"/>
        </w:rPr>
        <w:t>7.1</w:t>
      </w:r>
      <w:bookmarkEnd w:id="488"/>
      <w:bookmarkEnd w:id="489"/>
      <w:r>
        <w:rPr>
          <w:rFonts w:cs="Times New Roman"/>
        </w:rPr>
        <w:t xml:space="preserve">1 </w:t>
      </w:r>
      <w:r>
        <w:rPr>
          <w:rFonts w:cs="Times New Roman"/>
        </w:rPr>
        <w:t>环境风险评价结论与建议</w:t>
      </w:r>
      <w:bookmarkEnd w:id="490"/>
    </w:p>
    <w:p w:rsidR="00BD5820" w:rsidRDefault="00F64314">
      <w:pPr>
        <w:pStyle w:val="affa"/>
        <w:ind w:firstLine="480"/>
      </w:pPr>
      <w:bookmarkStart w:id="491" w:name="bookmark66"/>
      <w:bookmarkEnd w:id="491"/>
      <w:r>
        <w:t>本项目最大可行事故为</w:t>
      </w:r>
      <w:r>
        <w:rPr>
          <w:rFonts w:hint="eastAsia"/>
        </w:rPr>
        <w:t>天然气管道泄漏造成含硫化氢天然气释放，</w:t>
      </w:r>
      <w:r>
        <w:t>项目在天然气泄漏事故发生时（如管道穿孔、管道断裂），井站内部截断阀自动关闭，管道内天然气通过点火火炬放空。项目风险可控，对环境空气影响较小。</w:t>
      </w:r>
    </w:p>
    <w:p w:rsidR="00BD5820" w:rsidRDefault="00F64314">
      <w:pPr>
        <w:pStyle w:val="affa"/>
        <w:ind w:firstLine="480"/>
      </w:pPr>
      <w:r>
        <w:rPr>
          <w:rFonts w:hint="eastAsia"/>
        </w:rPr>
        <w:t>本项目的其他风险防范措施：</w:t>
      </w:r>
      <w:r>
        <w:t>本项目为天然气</w:t>
      </w:r>
      <w:r>
        <w:rPr>
          <w:rFonts w:hint="eastAsia"/>
        </w:rPr>
        <w:t>湿气增压</w:t>
      </w:r>
      <w:r>
        <w:t>和内部集输工程，工程在选线上已尽量避开人口密集区和不良地质区。管线两端的站场均设置了安全截断装置，一旦发生事故可以立即采取措施，将其对环境的影响控制在可接受范围内，不会对沿线居民和当地环境造成重大不良影响。此外，润滑油储罐和污水罐</w:t>
      </w:r>
      <w:r>
        <w:rPr>
          <w:rFonts w:hint="eastAsia"/>
        </w:rPr>
        <w:t>四周设置围堰，并</w:t>
      </w:r>
      <w:r>
        <w:t>进行防渗处理</w:t>
      </w:r>
      <w:r>
        <w:rPr>
          <w:rFonts w:hint="eastAsia"/>
        </w:rPr>
        <w:t>，</w:t>
      </w:r>
      <w:r>
        <w:t>加强管道</w:t>
      </w:r>
      <w:r>
        <w:rPr>
          <w:rFonts w:hint="eastAsia"/>
        </w:rPr>
        <w:t>、储罐</w:t>
      </w:r>
      <w:r>
        <w:t>的巡检</w:t>
      </w:r>
      <w:r>
        <w:rPr>
          <w:rFonts w:hint="eastAsia"/>
        </w:rPr>
        <w:t>，</w:t>
      </w:r>
      <w:r>
        <w:t>通过与管道沿线的居民和当地村委会建立联络沟通机制，完善应急监控能力。</w:t>
      </w:r>
    </w:p>
    <w:p w:rsidR="00BD5820" w:rsidRDefault="00F64314">
      <w:pPr>
        <w:pStyle w:val="affa"/>
        <w:ind w:firstLine="480"/>
      </w:pPr>
      <w:r>
        <w:rPr>
          <w:rFonts w:hint="eastAsia"/>
        </w:rPr>
        <w:t>本项目</w:t>
      </w:r>
      <w:r>
        <w:t>通过采取相应的环境风险防范措施，加强环境风险管理，落实应急预案，项目环境风险机率和风险影响为可接受水平。因此，从环境风险的角度而言，项目建设可行。</w:t>
      </w:r>
    </w:p>
    <w:bookmarkEnd w:id="467"/>
    <w:p w:rsidR="00BD5820" w:rsidRDefault="00BD5820">
      <w:pPr>
        <w:pStyle w:val="a1"/>
        <w:ind w:firstLine="480"/>
        <w:rPr>
          <w:rFonts w:ascii="Times New Roman" w:cs="Times New Roman"/>
        </w:rPr>
        <w:sectPr w:rsidR="00BD5820">
          <w:pgSz w:w="11906" w:h="16838"/>
          <w:pgMar w:top="1440" w:right="1800" w:bottom="1440" w:left="1800" w:header="851" w:footer="992" w:gutter="0"/>
          <w:cols w:space="425"/>
          <w:docGrid w:type="lines" w:linePitch="312"/>
        </w:sectPr>
      </w:pPr>
    </w:p>
    <w:p w:rsidR="00BD5820" w:rsidRDefault="00F64314">
      <w:pPr>
        <w:pStyle w:val="1"/>
        <w:spacing w:before="0" w:beforeAutospacing="0" w:after="0" w:afterAutospacing="0"/>
        <w:rPr>
          <w:rFonts w:eastAsia="宋体"/>
        </w:rPr>
      </w:pPr>
      <w:bookmarkStart w:id="492" w:name="_Toc19816123"/>
      <w:bookmarkStart w:id="493" w:name="_Toc4142"/>
      <w:r>
        <w:rPr>
          <w:rFonts w:eastAsia="宋体"/>
        </w:rPr>
        <w:lastRenderedPageBreak/>
        <w:t xml:space="preserve">8 </w:t>
      </w:r>
      <w:r>
        <w:rPr>
          <w:rFonts w:eastAsia="宋体"/>
        </w:rPr>
        <w:t>环保措施及其经济技术论证</w:t>
      </w:r>
      <w:bookmarkEnd w:id="492"/>
      <w:bookmarkEnd w:id="493"/>
    </w:p>
    <w:p w:rsidR="00BD5820" w:rsidRDefault="00F64314">
      <w:pPr>
        <w:pStyle w:val="2"/>
        <w:spacing w:before="120"/>
        <w:rPr>
          <w:rFonts w:cs="Times New Roman"/>
        </w:rPr>
      </w:pPr>
      <w:bookmarkStart w:id="494" w:name="bookmark72"/>
      <w:bookmarkStart w:id="495" w:name="_Toc12288778"/>
      <w:bookmarkStart w:id="496" w:name="_Toc19816124"/>
      <w:bookmarkStart w:id="497" w:name="_Toc30579"/>
      <w:bookmarkEnd w:id="494"/>
      <w:r>
        <w:rPr>
          <w:rFonts w:cs="Times New Roman"/>
        </w:rPr>
        <w:t xml:space="preserve">8.1 </w:t>
      </w:r>
      <w:r>
        <w:rPr>
          <w:rFonts w:cs="Times New Roman"/>
        </w:rPr>
        <w:t>施工期的环境保护措施</w:t>
      </w:r>
      <w:bookmarkEnd w:id="495"/>
      <w:bookmarkEnd w:id="496"/>
      <w:bookmarkEnd w:id="497"/>
    </w:p>
    <w:p w:rsidR="00BD5820" w:rsidRDefault="00F64314">
      <w:pPr>
        <w:pStyle w:val="3"/>
        <w:rPr>
          <w:rFonts w:eastAsia="宋体"/>
        </w:rPr>
      </w:pPr>
      <w:bookmarkStart w:id="498" w:name="_Toc12288779"/>
      <w:bookmarkStart w:id="499" w:name="_Toc19816125"/>
      <w:r>
        <w:rPr>
          <w:rFonts w:eastAsia="宋体"/>
        </w:rPr>
        <w:t xml:space="preserve">8.1.1 </w:t>
      </w:r>
      <w:r>
        <w:rPr>
          <w:rFonts w:eastAsia="宋体"/>
        </w:rPr>
        <w:t>施工期环境保护管理措施</w:t>
      </w:r>
      <w:bookmarkEnd w:id="498"/>
      <w:bookmarkEnd w:id="499"/>
    </w:p>
    <w:p w:rsidR="00BD5820" w:rsidRDefault="00F64314">
      <w:pPr>
        <w:ind w:firstLine="482"/>
        <w:rPr>
          <w:rFonts w:ascii="Times New Roman" w:cs="Times New Roman"/>
          <w:b/>
        </w:rPr>
      </w:pPr>
      <w:r>
        <w:rPr>
          <w:rFonts w:ascii="Times New Roman" w:cs="Times New Roman"/>
          <w:b/>
        </w:rPr>
        <w:t>1</w:t>
      </w:r>
      <w:r>
        <w:rPr>
          <w:rFonts w:ascii="Times New Roman" w:cs="Times New Roman"/>
          <w:b/>
        </w:rPr>
        <w:t>、建立高效、务实的环境保护管理体系</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1</w:t>
      </w:r>
      <w:r>
        <w:rPr>
          <w:rFonts w:ascii="Times New Roman" w:cs="Times New Roman"/>
        </w:rPr>
        <w:t>）建设单位成立项目安全环保管理机构，制定相应的环境管理办法。</w:t>
      </w:r>
    </w:p>
    <w:p w:rsidR="00BD5820" w:rsidRDefault="00F64314">
      <w:pPr>
        <w:pStyle w:val="a1"/>
        <w:ind w:firstLine="480"/>
        <w:rPr>
          <w:rFonts w:ascii="Times New Roman" w:cs="Times New Roman"/>
        </w:rPr>
      </w:pPr>
      <w:r>
        <w:rPr>
          <w:rFonts w:hAnsi="宋体" w:hint="eastAsia"/>
        </w:rPr>
        <w:t>①</w:t>
      </w:r>
      <w:r>
        <w:rPr>
          <w:rFonts w:ascii="Times New Roman" w:cs="Times New Roman"/>
        </w:rPr>
        <w:t>根据环境影响评价成果，制定系统的、分阶段环境管理目标、方针，确定与项目建设有关单位的环境保护义务、职责和管理办法。</w:t>
      </w:r>
    </w:p>
    <w:p w:rsidR="00BD5820" w:rsidRDefault="00F64314">
      <w:pPr>
        <w:pStyle w:val="a1"/>
        <w:ind w:firstLine="480"/>
        <w:rPr>
          <w:rFonts w:ascii="Times New Roman" w:cs="Times New Roman"/>
        </w:rPr>
      </w:pPr>
      <w:r>
        <w:rPr>
          <w:rFonts w:hAnsi="宋体" w:hint="eastAsia"/>
        </w:rPr>
        <w:t>②</w:t>
      </w:r>
      <w:r>
        <w:rPr>
          <w:rFonts w:ascii="Times New Roman" w:cs="Times New Roman"/>
        </w:rPr>
        <w:t>确定环境管理措施实施效果的监督体系，制定激励和奖惩措施。</w:t>
      </w:r>
    </w:p>
    <w:p w:rsidR="00BD5820" w:rsidRDefault="00F64314">
      <w:pPr>
        <w:pStyle w:val="a1"/>
        <w:ind w:firstLine="480"/>
        <w:rPr>
          <w:rFonts w:ascii="Times New Roman" w:cs="Times New Roman"/>
        </w:rPr>
      </w:pPr>
      <w:r>
        <w:rPr>
          <w:rFonts w:hAnsi="宋体" w:hint="eastAsia"/>
        </w:rPr>
        <w:t>③</w:t>
      </w:r>
      <w:r>
        <w:rPr>
          <w:rFonts w:ascii="Times New Roman" w:cs="Times New Roman"/>
        </w:rPr>
        <w:t>开展施工期的环境保护知识普及和宣教活动。</w:t>
      </w:r>
    </w:p>
    <w:p w:rsidR="00BD5820" w:rsidRDefault="00F64314">
      <w:pPr>
        <w:pStyle w:val="a1"/>
        <w:ind w:firstLine="480"/>
        <w:rPr>
          <w:rFonts w:ascii="Times New Roman" w:cs="Times New Roman"/>
        </w:rPr>
      </w:pPr>
      <w:r>
        <w:rPr>
          <w:rFonts w:hAnsi="宋体" w:hint="eastAsia"/>
        </w:rPr>
        <w:t>④</w:t>
      </w:r>
      <w:r>
        <w:rPr>
          <w:rFonts w:ascii="Times New Roman" w:cs="Times New Roman"/>
        </w:rPr>
        <w:t>监控、评价和改进施工期环境保护管理办法。</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2</w:t>
      </w:r>
      <w:r>
        <w:rPr>
          <w:rFonts w:ascii="Times New Roman" w:cs="Times New Roman"/>
        </w:rPr>
        <w:t>）委托有资质的环境监测单位进行施工期污染监测，落实施工期污染控制措施，建立完善的监测报告编制、上报制度。</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4</w:t>
      </w:r>
      <w:r>
        <w:rPr>
          <w:rFonts w:ascii="Times New Roman" w:cs="Times New Roman"/>
        </w:rPr>
        <w:t>）促使施工期建设管理与环境管理的有机结合，为实现工程的环境管理目标提供充足的资源保证，包括合格的环境管理人员、管理和治理资金的到位等。</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5</w:t>
      </w:r>
      <w:r>
        <w:rPr>
          <w:rFonts w:ascii="Times New Roman" w:cs="Times New Roman"/>
        </w:rPr>
        <w:t>）充分利用工程支付的调节手段，将工程的环境保护工作落到实处。</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6</w:t>
      </w:r>
      <w:r>
        <w:rPr>
          <w:rFonts w:ascii="Times New Roman" w:cs="Times New Roman"/>
        </w:rPr>
        <w:t>）做好工程施工期环境保护工作文档管理工作。</w:t>
      </w:r>
    </w:p>
    <w:p w:rsidR="00BD5820" w:rsidRDefault="00F64314">
      <w:pPr>
        <w:pStyle w:val="a1"/>
        <w:ind w:firstLine="482"/>
        <w:rPr>
          <w:rFonts w:ascii="Times New Roman" w:cs="Times New Roman"/>
          <w:b/>
        </w:rPr>
      </w:pPr>
      <w:bookmarkStart w:id="500" w:name="_Toc12288780"/>
      <w:r>
        <w:rPr>
          <w:rFonts w:ascii="Times New Roman" w:cs="Times New Roman"/>
          <w:b/>
        </w:rPr>
        <w:t>2</w:t>
      </w:r>
      <w:r>
        <w:rPr>
          <w:rFonts w:ascii="Times New Roman" w:cs="Times New Roman"/>
          <w:b/>
        </w:rPr>
        <w:t>、加强招、投标工作的管理</w:t>
      </w:r>
      <w:bookmarkEnd w:id="500"/>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1</w:t>
      </w:r>
      <w:r>
        <w:rPr>
          <w:rFonts w:ascii="Times New Roman" w:cs="Times New Roman"/>
        </w:rPr>
        <w:t>）招标阶段</w:t>
      </w:r>
    </w:p>
    <w:p w:rsidR="00BD5820" w:rsidRDefault="00F64314">
      <w:pPr>
        <w:pStyle w:val="a1"/>
        <w:ind w:firstLine="480"/>
        <w:rPr>
          <w:rFonts w:ascii="Times New Roman" w:cs="Times New Roman"/>
        </w:rPr>
      </w:pPr>
      <w:r>
        <w:rPr>
          <w:rFonts w:hAnsi="宋体" w:hint="eastAsia"/>
        </w:rPr>
        <w:t>①</w:t>
      </w:r>
      <w:r>
        <w:rPr>
          <w:rFonts w:ascii="Times New Roman" w:cs="Times New Roman"/>
        </w:rPr>
        <w:t>招标文件编制应体现工程的环境影响评价成果，明确制定在每一标段中的环境保护目标，明确工程承包商对国土、生物多样性、水等环境资源保护以及生态环境保护、水土保持、人群健康和环境整治的责任和义务。</w:t>
      </w:r>
    </w:p>
    <w:p w:rsidR="00BD5820" w:rsidRDefault="00F64314">
      <w:pPr>
        <w:pStyle w:val="a1"/>
        <w:ind w:firstLine="480"/>
        <w:rPr>
          <w:rFonts w:ascii="Times New Roman" w:cs="Times New Roman"/>
        </w:rPr>
      </w:pPr>
      <w:r>
        <w:rPr>
          <w:rFonts w:hAnsi="宋体" w:hint="eastAsia"/>
        </w:rPr>
        <w:t>②</w:t>
      </w:r>
      <w:r>
        <w:rPr>
          <w:rFonts w:ascii="Times New Roman" w:cs="Times New Roman"/>
        </w:rPr>
        <w:t>对各标段的施工组织计划提出具体的环境保护要求，要求编制环境保护实施计划，并配备相应的环境管理人员和环保设施。</w:t>
      </w:r>
    </w:p>
    <w:p w:rsidR="00BD5820" w:rsidRDefault="00F64314">
      <w:pPr>
        <w:pStyle w:val="a1"/>
        <w:ind w:firstLine="480"/>
        <w:rPr>
          <w:rFonts w:ascii="Times New Roman" w:cs="Times New Roman"/>
        </w:rPr>
      </w:pPr>
      <w:r>
        <w:rPr>
          <w:rFonts w:hAnsi="宋体" w:hint="eastAsia"/>
        </w:rPr>
        <w:t>③</w:t>
      </w:r>
      <w:r>
        <w:rPr>
          <w:rFonts w:ascii="Times New Roman" w:cs="Times New Roman"/>
        </w:rPr>
        <w:t>规范标底的编制和审定工作，保证工程承包商的合理利润，使其能够实施其环境保护计划。</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2</w:t>
      </w:r>
      <w:r>
        <w:rPr>
          <w:rFonts w:ascii="Times New Roman" w:cs="Times New Roman"/>
        </w:rPr>
        <w:t>）投标阶段</w:t>
      </w:r>
    </w:p>
    <w:p w:rsidR="00BD5820" w:rsidRDefault="00F64314">
      <w:pPr>
        <w:pStyle w:val="a1"/>
        <w:ind w:firstLine="480"/>
        <w:rPr>
          <w:rFonts w:ascii="Times New Roman" w:cs="Times New Roman"/>
        </w:rPr>
      </w:pPr>
      <w:r>
        <w:rPr>
          <w:rFonts w:hAnsi="宋体" w:hint="eastAsia"/>
        </w:rPr>
        <w:t>①</w:t>
      </w:r>
      <w:r>
        <w:rPr>
          <w:rFonts w:ascii="Times New Roman" w:cs="Times New Roman"/>
        </w:rPr>
        <w:t>投标文件必须响应招标文件有关环境保护问题的要求，制定符合环境保护要求的施工组织计划和实施措施，配备相应的环保管理人员和相应的设施。</w:t>
      </w:r>
    </w:p>
    <w:p w:rsidR="00BD5820" w:rsidRDefault="00F64314">
      <w:pPr>
        <w:pStyle w:val="a1"/>
        <w:ind w:firstLine="480"/>
        <w:rPr>
          <w:rFonts w:ascii="Times New Roman" w:cs="Times New Roman"/>
        </w:rPr>
      </w:pPr>
      <w:r>
        <w:rPr>
          <w:rFonts w:hAnsi="宋体" w:hint="eastAsia"/>
        </w:rPr>
        <w:t>②</w:t>
      </w:r>
      <w:r>
        <w:rPr>
          <w:rFonts w:ascii="Times New Roman" w:cs="Times New Roman"/>
        </w:rPr>
        <w:t>投标文件报价应根据标段的具体环境保护要求，合理地制定其实施环境保</w:t>
      </w:r>
      <w:r>
        <w:rPr>
          <w:rFonts w:ascii="Times New Roman" w:cs="Times New Roman"/>
        </w:rPr>
        <w:lastRenderedPageBreak/>
        <w:t>护管理和对策所需的投资费用预算。</w:t>
      </w:r>
    </w:p>
    <w:p w:rsidR="00BD5820" w:rsidRDefault="00F64314">
      <w:pPr>
        <w:pStyle w:val="a1"/>
        <w:ind w:firstLine="480"/>
        <w:rPr>
          <w:rFonts w:ascii="Times New Roman" w:cs="Times New Roman"/>
        </w:rPr>
      </w:pPr>
      <w:r>
        <w:rPr>
          <w:rFonts w:hAnsi="宋体" w:hint="eastAsia"/>
        </w:rPr>
        <w:t>③</w:t>
      </w:r>
      <w:r>
        <w:rPr>
          <w:rFonts w:ascii="Times New Roman" w:cs="Times New Roman"/>
        </w:rPr>
        <w:t>工程承包商要承诺其环境保护责任和义务，不得发生层层转包、层层提取管理费的现象，自愿接受建设单位和地方环保单位的监督。</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3</w:t>
      </w:r>
      <w:r>
        <w:rPr>
          <w:rFonts w:ascii="Times New Roman" w:cs="Times New Roman"/>
        </w:rPr>
        <w:t>）评标阶段</w:t>
      </w:r>
    </w:p>
    <w:p w:rsidR="00BD5820" w:rsidRDefault="00F64314">
      <w:pPr>
        <w:pStyle w:val="a1"/>
        <w:ind w:firstLine="480"/>
        <w:rPr>
          <w:rFonts w:ascii="Times New Roman" w:cs="Times New Roman"/>
        </w:rPr>
      </w:pPr>
      <w:r>
        <w:rPr>
          <w:rFonts w:hAnsi="宋体" w:hint="eastAsia"/>
        </w:rPr>
        <w:t>①</w:t>
      </w:r>
      <w:r>
        <w:rPr>
          <w:rFonts w:ascii="Times New Roman" w:cs="Times New Roman"/>
        </w:rPr>
        <w:t>建立高素质的评标专家队伍，注意引进高素质的环保专家参与评标。</w:t>
      </w:r>
    </w:p>
    <w:p w:rsidR="00BD5820" w:rsidRDefault="00F64314">
      <w:pPr>
        <w:pStyle w:val="a1"/>
        <w:ind w:firstLine="480"/>
        <w:rPr>
          <w:rFonts w:ascii="Times New Roman" w:cs="Times New Roman"/>
        </w:rPr>
      </w:pPr>
      <w:r>
        <w:rPr>
          <w:rFonts w:hAnsi="宋体" w:hint="eastAsia"/>
        </w:rPr>
        <w:t>③</w:t>
      </w:r>
      <w:r>
        <w:rPr>
          <w:rFonts w:ascii="Times New Roman" w:cs="Times New Roman"/>
        </w:rPr>
        <w:t>加强投标单位的资质、施工能力、管理水平和业绩的审查工作。</w:t>
      </w:r>
    </w:p>
    <w:p w:rsidR="00BD5820" w:rsidRDefault="00F64314">
      <w:pPr>
        <w:pStyle w:val="a1"/>
        <w:ind w:firstLine="480"/>
        <w:rPr>
          <w:rFonts w:ascii="Times New Roman" w:cs="Times New Roman"/>
        </w:rPr>
      </w:pPr>
      <w:r>
        <w:rPr>
          <w:rFonts w:hAnsi="宋体" w:hint="eastAsia"/>
        </w:rPr>
        <w:t>③</w:t>
      </w:r>
      <w:r>
        <w:rPr>
          <w:rFonts w:ascii="Times New Roman" w:cs="Times New Roman"/>
        </w:rPr>
        <w:t>认真审查其施工组织计划有关环境保护和施工文明的内容，尤其应对其环境保护保障条件加强审查，禁止那些旨在中标而随意压低环保投入的工程承包商入围。</w:t>
      </w:r>
    </w:p>
    <w:p w:rsidR="00BD5820" w:rsidRDefault="00F64314">
      <w:pPr>
        <w:pStyle w:val="a1"/>
        <w:ind w:firstLine="480"/>
        <w:rPr>
          <w:rFonts w:ascii="Times New Roman" w:cs="Times New Roman"/>
        </w:rPr>
      </w:pPr>
      <w:r>
        <w:rPr>
          <w:rFonts w:hAnsi="宋体" w:hint="eastAsia"/>
        </w:rPr>
        <w:t>④</w:t>
      </w:r>
      <w:r>
        <w:rPr>
          <w:rFonts w:ascii="Times New Roman" w:cs="Times New Roman"/>
        </w:rPr>
        <w:t>加强中标价格的评价和审定工作，保证工程承包商的合理利润，从根源上避免其因追求正当利润而牺牲环境的现象发生。</w:t>
      </w:r>
    </w:p>
    <w:p w:rsidR="00BD5820" w:rsidRDefault="00F64314">
      <w:pPr>
        <w:pStyle w:val="a1"/>
        <w:ind w:firstLine="482"/>
        <w:rPr>
          <w:rFonts w:ascii="Times New Roman" w:cs="Times New Roman"/>
          <w:b/>
        </w:rPr>
      </w:pPr>
      <w:bookmarkStart w:id="501" w:name="_Toc12288781"/>
      <w:r>
        <w:rPr>
          <w:rFonts w:ascii="Times New Roman" w:cs="Times New Roman"/>
          <w:b/>
        </w:rPr>
        <w:t>3</w:t>
      </w:r>
      <w:r>
        <w:rPr>
          <w:rFonts w:ascii="Times New Roman" w:cs="Times New Roman"/>
          <w:b/>
        </w:rPr>
        <w:t>、加强工程的环境保护监理工作</w:t>
      </w:r>
      <w:bookmarkEnd w:id="501"/>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1</w:t>
      </w:r>
      <w:r>
        <w:rPr>
          <w:rFonts w:ascii="Times New Roman" w:cs="Times New Roman"/>
        </w:rPr>
        <w:t>）建设单位</w:t>
      </w:r>
    </w:p>
    <w:p w:rsidR="00BD5820" w:rsidRDefault="00F64314">
      <w:pPr>
        <w:pStyle w:val="a1"/>
        <w:ind w:firstLine="480"/>
        <w:rPr>
          <w:rFonts w:ascii="Times New Roman" w:cs="Times New Roman"/>
        </w:rPr>
      </w:pPr>
      <w:r>
        <w:rPr>
          <w:rFonts w:hAnsi="宋体" w:hint="eastAsia"/>
        </w:rPr>
        <w:t>①</w:t>
      </w:r>
      <w:r>
        <w:rPr>
          <w:rFonts w:ascii="Times New Roman" w:cs="Times New Roman"/>
        </w:rPr>
        <w:t>加强工程监理的招投标工作，保证合理的监理费用，使工程监理单位能够独立开展工程质量、环境保护的监理工作。</w:t>
      </w:r>
    </w:p>
    <w:p w:rsidR="00BD5820" w:rsidRDefault="00F64314">
      <w:pPr>
        <w:pStyle w:val="a1"/>
        <w:ind w:firstLine="480"/>
        <w:rPr>
          <w:rFonts w:ascii="Times New Roman" w:cs="Times New Roman"/>
        </w:rPr>
      </w:pPr>
      <w:r>
        <w:rPr>
          <w:rFonts w:hAnsi="宋体" w:hint="eastAsia"/>
        </w:rPr>
        <w:t>②</w:t>
      </w:r>
      <w:r>
        <w:rPr>
          <w:rFonts w:ascii="Times New Roman" w:cs="Times New Roman"/>
        </w:rPr>
        <w:t>通过招标选择优秀的监理队伍，严把监理上岗资质关、能力关，明确提出配备具有一定环保素质的工程技术人员以及相应的检测设备的要求。</w:t>
      </w:r>
    </w:p>
    <w:p w:rsidR="00BD5820" w:rsidRDefault="00F64314">
      <w:pPr>
        <w:pStyle w:val="a1"/>
        <w:ind w:firstLine="480"/>
        <w:rPr>
          <w:rFonts w:ascii="Times New Roman" w:cs="Times New Roman"/>
        </w:rPr>
      </w:pPr>
      <w:r>
        <w:rPr>
          <w:rFonts w:hAnsi="宋体" w:hint="eastAsia"/>
        </w:rPr>
        <w:t>③</w:t>
      </w:r>
      <w:r>
        <w:rPr>
          <w:rFonts w:ascii="Times New Roman" w:cs="Times New Roman"/>
        </w:rPr>
        <w:t>保证工程监理工作的正常条件和独立行使监理功能的权利，并将其包括环境监理在内的监理权力的内容明确通告施工单位。</w:t>
      </w:r>
    </w:p>
    <w:p w:rsidR="00BD5820" w:rsidRDefault="00F64314">
      <w:pPr>
        <w:pStyle w:val="a1"/>
        <w:ind w:firstLine="480"/>
        <w:rPr>
          <w:rFonts w:ascii="Times New Roman" w:cs="Times New Roman"/>
        </w:rPr>
      </w:pPr>
      <w:r>
        <w:rPr>
          <w:rFonts w:hAnsi="宋体" w:hint="eastAsia"/>
        </w:rPr>
        <w:t>④</w:t>
      </w:r>
      <w:r>
        <w:rPr>
          <w:rFonts w:ascii="Times New Roman" w:cs="Times New Roman"/>
        </w:rPr>
        <w:t>建立工程监理监督的有效体制，杜绝监理人员的不端行为。</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2</w:t>
      </w:r>
      <w:r>
        <w:rPr>
          <w:rFonts w:ascii="Times New Roman" w:cs="Times New Roman"/>
        </w:rPr>
        <w:t>）工程监理单位</w:t>
      </w:r>
    </w:p>
    <w:p w:rsidR="00BD5820" w:rsidRDefault="00F64314">
      <w:pPr>
        <w:pStyle w:val="a1"/>
        <w:ind w:firstLine="480"/>
        <w:rPr>
          <w:rFonts w:ascii="Times New Roman" w:cs="Times New Roman"/>
        </w:rPr>
      </w:pPr>
      <w:r>
        <w:rPr>
          <w:rFonts w:hAnsi="宋体" w:hint="eastAsia"/>
        </w:rPr>
        <w:t>①</w:t>
      </w:r>
      <w:r>
        <w:rPr>
          <w:rFonts w:ascii="Times New Roman" w:cs="Times New Roman"/>
        </w:rPr>
        <w:t>按监理合同配备具有一定的环保素质的监理人员，并就监理服务的内容强化所有现场监理人员的环境保护知识培训，提高监理人员的环保专业技能。</w:t>
      </w:r>
    </w:p>
    <w:p w:rsidR="00BD5820" w:rsidRDefault="00F64314">
      <w:pPr>
        <w:pStyle w:val="a1"/>
        <w:ind w:firstLine="480"/>
        <w:rPr>
          <w:rFonts w:ascii="Times New Roman" w:cs="Times New Roman"/>
        </w:rPr>
      </w:pPr>
      <w:r>
        <w:rPr>
          <w:rFonts w:hAnsi="宋体" w:hint="eastAsia"/>
        </w:rPr>
        <w:t>②</w:t>
      </w:r>
      <w:r>
        <w:rPr>
          <w:rFonts w:ascii="Times New Roman" w:cs="Times New Roman"/>
        </w:rPr>
        <w:t>监督符合环保要求的施工组织计划的实施，工程变更必须经过环保论证，经监理单位审批后方可实施。</w:t>
      </w:r>
    </w:p>
    <w:p w:rsidR="00BD5820" w:rsidRDefault="00F64314">
      <w:pPr>
        <w:pStyle w:val="a1"/>
        <w:ind w:firstLine="480"/>
        <w:rPr>
          <w:rFonts w:ascii="Times New Roman" w:cs="Times New Roman"/>
        </w:rPr>
      </w:pPr>
      <w:r>
        <w:rPr>
          <w:rFonts w:hAnsi="宋体" w:hint="eastAsia"/>
        </w:rPr>
        <w:t>③</w:t>
      </w:r>
      <w:r>
        <w:rPr>
          <w:rFonts w:ascii="Times New Roman" w:cs="Times New Roman"/>
        </w:rPr>
        <w:t>监理单位应加大对生态环境影响较大的土方工程监理力度，包括有肥力土层的剥离和临时储存等，避免土壤资源浪费和土壤侵蚀现象的发生。</w:t>
      </w:r>
    </w:p>
    <w:p w:rsidR="00BD5820" w:rsidRDefault="00F64314">
      <w:pPr>
        <w:pStyle w:val="a1"/>
        <w:ind w:firstLine="480"/>
        <w:rPr>
          <w:rFonts w:ascii="Times New Roman" w:cs="Times New Roman"/>
        </w:rPr>
      </w:pPr>
      <w:r>
        <w:rPr>
          <w:rFonts w:hAnsi="宋体" w:hint="eastAsia"/>
        </w:rPr>
        <w:t>④</w:t>
      </w:r>
      <w:r>
        <w:rPr>
          <w:rFonts w:ascii="Times New Roman" w:cs="Times New Roman"/>
        </w:rPr>
        <w:t>在施工单位自检基础上，进行其环境保护工作的终检、评定和验收，确保工程正常、有序地进行。</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3</w:t>
      </w:r>
      <w:r>
        <w:rPr>
          <w:rFonts w:ascii="Times New Roman" w:cs="Times New Roman"/>
        </w:rPr>
        <w:t>）施工单位</w:t>
      </w:r>
    </w:p>
    <w:p w:rsidR="00BD5820" w:rsidRDefault="00F64314">
      <w:pPr>
        <w:pStyle w:val="a1"/>
        <w:ind w:firstLine="480"/>
        <w:rPr>
          <w:rFonts w:ascii="Times New Roman" w:cs="Times New Roman"/>
        </w:rPr>
      </w:pPr>
      <w:r>
        <w:rPr>
          <w:rFonts w:hAnsi="宋体" w:hint="eastAsia"/>
        </w:rPr>
        <w:lastRenderedPageBreak/>
        <w:t>①</w:t>
      </w:r>
      <w:r>
        <w:rPr>
          <w:rFonts w:ascii="Times New Roman" w:cs="Times New Roman"/>
        </w:rPr>
        <w:t>作为具体的施工机构，施工单位行为直接关系到能否将环境的影响和破坏降低到最小程度。施工单位必须自觉遵守和维护有关环境保护的政策法规，教育好队伍人员爱护施工路段周围的一草一木。在施工前对施工平面图设计进行科学合理的规划，充分利用原有的地形、地物，以尽量少占农田、防护林为原则，施工中严禁乱挖乱弃，做到文明施工，规范施工，按设计施工。</w:t>
      </w:r>
    </w:p>
    <w:p w:rsidR="00BD5820" w:rsidRDefault="00F64314">
      <w:pPr>
        <w:pStyle w:val="a1"/>
        <w:ind w:firstLine="480"/>
        <w:rPr>
          <w:rFonts w:ascii="Times New Roman" w:cs="Times New Roman"/>
        </w:rPr>
      </w:pPr>
      <w:r>
        <w:rPr>
          <w:rFonts w:hAnsi="宋体" w:hint="eastAsia"/>
        </w:rPr>
        <w:t>②</w:t>
      </w:r>
      <w:r>
        <w:rPr>
          <w:rFonts w:ascii="Times New Roman" w:cs="Times New Roman"/>
        </w:rPr>
        <w:t>施工单位应合理进行施工布置，精心组织施工管理，严格将施工作业活动控制在施工作业带范围内，在管沟开挖作业中，尽量减小和有效控制对施工作业区生态环境的影响范围和程度。</w:t>
      </w:r>
    </w:p>
    <w:p w:rsidR="00BD5820" w:rsidRDefault="00F64314">
      <w:pPr>
        <w:pStyle w:val="a1"/>
        <w:ind w:firstLine="480"/>
        <w:rPr>
          <w:rFonts w:ascii="Times New Roman" w:cs="Times New Roman"/>
        </w:rPr>
      </w:pPr>
      <w:r>
        <w:rPr>
          <w:rFonts w:hAnsi="宋体" w:hint="eastAsia"/>
        </w:rPr>
        <w:t>③</w:t>
      </w:r>
      <w:r>
        <w:rPr>
          <w:rFonts w:ascii="Times New Roman" w:cs="Times New Roman"/>
        </w:rPr>
        <w:t>合理安排施工季节和作业时间，优化施工方案，减少废弃土方的临时堆放，并尽量避免在雨天进行开挖作业活动，避免加重沿线水土流失的危害。</w:t>
      </w:r>
    </w:p>
    <w:p w:rsidR="00BD5820" w:rsidRDefault="00F64314">
      <w:pPr>
        <w:pStyle w:val="a1"/>
        <w:ind w:firstLine="480"/>
        <w:rPr>
          <w:rFonts w:ascii="Times New Roman" w:cs="Times New Roman"/>
        </w:rPr>
      </w:pPr>
      <w:r>
        <w:rPr>
          <w:rFonts w:hAnsi="宋体" w:hint="eastAsia"/>
        </w:rPr>
        <w:t>④</w:t>
      </w:r>
      <w:r>
        <w:rPr>
          <w:rFonts w:ascii="Times New Roman" w:cs="Times New Roman"/>
        </w:rPr>
        <w:t>强化施工迹地整治工作。</w:t>
      </w:r>
    </w:p>
    <w:p w:rsidR="00BD5820" w:rsidRDefault="00F64314">
      <w:pPr>
        <w:pStyle w:val="3"/>
        <w:rPr>
          <w:rFonts w:eastAsia="宋体"/>
        </w:rPr>
      </w:pPr>
      <w:bookmarkStart w:id="502" w:name="_Toc12288782"/>
      <w:bookmarkStart w:id="503" w:name="_Toc19816126"/>
      <w:r>
        <w:rPr>
          <w:rFonts w:eastAsia="宋体"/>
        </w:rPr>
        <w:t xml:space="preserve">8.1.2 </w:t>
      </w:r>
      <w:r>
        <w:rPr>
          <w:rFonts w:eastAsia="宋体"/>
        </w:rPr>
        <w:t>生态保护措施</w:t>
      </w:r>
      <w:bookmarkEnd w:id="502"/>
      <w:bookmarkEnd w:id="503"/>
    </w:p>
    <w:p w:rsidR="00BD5820" w:rsidRDefault="00F64314">
      <w:pPr>
        <w:pStyle w:val="a1"/>
        <w:ind w:firstLine="480"/>
        <w:rPr>
          <w:rFonts w:ascii="Times New Roman" w:cs="Times New Roman"/>
        </w:rPr>
      </w:pPr>
      <w:r>
        <w:rPr>
          <w:rFonts w:ascii="Times New Roman" w:cs="Times New Roman"/>
        </w:rPr>
        <w:t>根据天然气</w:t>
      </w:r>
      <w:r>
        <w:rPr>
          <w:rFonts w:ascii="Times New Roman" w:cs="Times New Roman" w:hint="eastAsia"/>
        </w:rPr>
        <w:t>开采</w:t>
      </w:r>
      <w:r>
        <w:rPr>
          <w:rFonts w:ascii="Times New Roman" w:cs="Times New Roman"/>
        </w:rPr>
        <w:t>和内部集输工程建设的特点，提出以下生态环境保护的措施。</w:t>
      </w:r>
    </w:p>
    <w:p w:rsidR="00BD5820" w:rsidRDefault="00F64314">
      <w:pPr>
        <w:pStyle w:val="a1"/>
        <w:ind w:firstLine="482"/>
        <w:rPr>
          <w:rFonts w:ascii="Times New Roman" w:cs="Times New Roman"/>
          <w:b/>
        </w:rPr>
      </w:pPr>
      <w:bookmarkStart w:id="504" w:name="_Toc12288783"/>
      <w:r>
        <w:rPr>
          <w:rFonts w:ascii="Times New Roman" w:cs="Times New Roman"/>
          <w:b/>
        </w:rPr>
        <w:t>1</w:t>
      </w:r>
      <w:r>
        <w:rPr>
          <w:rFonts w:ascii="Times New Roman" w:cs="Times New Roman"/>
          <w:b/>
        </w:rPr>
        <w:t>、土地利用现有格局的保护和恢复措施</w:t>
      </w:r>
      <w:bookmarkEnd w:id="504"/>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1</w:t>
      </w:r>
      <w:r>
        <w:rPr>
          <w:rFonts w:ascii="Times New Roman" w:cs="Times New Roman"/>
        </w:rPr>
        <w:t>）严格控制施工占用土地</w:t>
      </w:r>
    </w:p>
    <w:p w:rsidR="00BD5820" w:rsidRDefault="00F64314">
      <w:pPr>
        <w:pStyle w:val="a1"/>
        <w:ind w:firstLine="480"/>
        <w:rPr>
          <w:rFonts w:ascii="Times New Roman" w:cs="Times New Roman"/>
        </w:rPr>
      </w:pPr>
      <w:r>
        <w:rPr>
          <w:rFonts w:hAnsi="宋体" w:hint="eastAsia"/>
        </w:rPr>
        <w:t>①</w:t>
      </w:r>
      <w:r>
        <w:rPr>
          <w:rFonts w:ascii="Times New Roman" w:cs="Times New Roman"/>
        </w:rPr>
        <w:t>对</w:t>
      </w:r>
      <w:r>
        <w:rPr>
          <w:rFonts w:ascii="Times New Roman" w:cs="Times New Roman" w:hint="eastAsia"/>
        </w:rPr>
        <w:t>临时</w:t>
      </w:r>
      <w:r>
        <w:rPr>
          <w:rFonts w:ascii="Times New Roman" w:cs="Times New Roman"/>
        </w:rPr>
        <w:t>占地合理规划，严格控制占地面积，严禁占用永久基本农田。</w:t>
      </w:r>
    </w:p>
    <w:p w:rsidR="00BD5820" w:rsidRDefault="00F64314">
      <w:pPr>
        <w:pStyle w:val="a1"/>
        <w:ind w:firstLine="480"/>
        <w:rPr>
          <w:rFonts w:ascii="Times New Roman" w:cs="Times New Roman"/>
        </w:rPr>
      </w:pPr>
      <w:r>
        <w:rPr>
          <w:rFonts w:hAnsi="宋体" w:hint="eastAsia"/>
        </w:rPr>
        <w:t>②</w:t>
      </w:r>
      <w:r>
        <w:rPr>
          <w:rFonts w:ascii="Times New Roman" w:cs="Times New Roman"/>
        </w:rPr>
        <w:t>按设计标准规定，严格控制施工作业带面积，不得超过作业标准规定，对管线敷设施工宽度控制在设计标准范围内，以减少土壤扰动和地表植被破坏，减少裸地和土方暴露面积。</w:t>
      </w:r>
    </w:p>
    <w:p w:rsidR="00BD5820" w:rsidRDefault="00F64314">
      <w:pPr>
        <w:pStyle w:val="a1"/>
        <w:ind w:firstLine="480"/>
        <w:rPr>
          <w:rFonts w:ascii="Times New Roman" w:cs="Times New Roman"/>
        </w:rPr>
      </w:pPr>
      <w:r>
        <w:rPr>
          <w:rFonts w:hAnsi="宋体" w:hint="eastAsia"/>
        </w:rPr>
        <w:t>③</w:t>
      </w:r>
      <w:r>
        <w:rPr>
          <w:rFonts w:ascii="Times New Roman" w:cs="Times New Roman"/>
        </w:rPr>
        <w:t>一切施工作业尽量利用原有公路，沿已有车辙行驶，若无原有公路，则要执行先修道路，后设点作业的原则进行。杜绝车辆乱碾乱轧的情况发生，不随意开设便道。管线尽量沿公路侧平行布置，便于施工及运营期检修维护，避免修筑专门施工便道。</w:t>
      </w:r>
    </w:p>
    <w:p w:rsidR="00BD5820" w:rsidRDefault="00F64314">
      <w:pPr>
        <w:pStyle w:val="a1"/>
        <w:ind w:firstLine="480"/>
        <w:rPr>
          <w:rFonts w:ascii="Times New Roman" w:cs="Times New Roman"/>
        </w:rPr>
      </w:pPr>
      <w:r>
        <w:rPr>
          <w:rFonts w:hAnsi="宋体" w:hint="eastAsia"/>
        </w:rPr>
        <w:t>④</w:t>
      </w:r>
      <w:r>
        <w:rPr>
          <w:rFonts w:ascii="Times New Roman" w:cs="Times New Roman"/>
        </w:rPr>
        <w:t>现场施工作业机械应严格管理，划定活动范围，不得在道路以外的地方行驶和作业，保持路外植被不被破坏。</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2</w:t>
      </w:r>
      <w:r>
        <w:rPr>
          <w:rFonts w:ascii="Times New Roman" w:cs="Times New Roman"/>
        </w:rPr>
        <w:t>）恢复土地利用原有格局</w:t>
      </w:r>
    </w:p>
    <w:p w:rsidR="00BD5820" w:rsidRDefault="00F64314">
      <w:pPr>
        <w:pStyle w:val="a1"/>
        <w:ind w:firstLine="480"/>
        <w:rPr>
          <w:rFonts w:ascii="Times New Roman" w:cs="Times New Roman"/>
        </w:rPr>
      </w:pPr>
      <w:r>
        <w:rPr>
          <w:rFonts w:hAnsi="宋体" w:hint="eastAsia"/>
        </w:rPr>
        <w:t>①</w:t>
      </w:r>
      <w:r>
        <w:rPr>
          <w:rFonts w:ascii="Times New Roman" w:cs="Times New Roman"/>
        </w:rPr>
        <w:t>施工结束后，应恢复地貌原状。施工时对管沟开挖的土壤做分层堆放，分层回填压实，以保护植被生长层，降低对土壤养分的影响，尽快使土壤恢复生产力，同时减少水土流失。</w:t>
      </w:r>
    </w:p>
    <w:p w:rsidR="00BD5820" w:rsidRDefault="00F64314">
      <w:pPr>
        <w:pStyle w:val="a1"/>
        <w:ind w:firstLine="480"/>
        <w:rPr>
          <w:rFonts w:ascii="Times New Roman" w:cs="Times New Roman"/>
        </w:rPr>
      </w:pPr>
      <w:r>
        <w:rPr>
          <w:rFonts w:hAnsi="宋体" w:hint="eastAsia"/>
        </w:rPr>
        <w:t>②</w:t>
      </w:r>
      <w:r>
        <w:rPr>
          <w:rFonts w:ascii="Times New Roman" w:cs="Times New Roman"/>
        </w:rPr>
        <w:t>对管沟回填后多余的土严禁大量集中弃置，应均匀分散在管线中心两侧，</w:t>
      </w:r>
      <w:r>
        <w:rPr>
          <w:rFonts w:ascii="Times New Roman" w:cs="Times New Roman"/>
        </w:rPr>
        <w:lastRenderedPageBreak/>
        <w:t>并使管沟与周围自然地表形成平滑过度，不得形成汇水环境，防止水土流失。管线所经地段的原始地表存在局部凹地时，若有集水的可能，需采用管沟多余土或借土填高以防地表水汇集。对敷设在较平坦地段的管道，应在地貌恢复后使管沟与附近地表自然过渡，回填土与周围地表坡向保持一致，严禁在管沟两侧有集水环境存在。</w:t>
      </w:r>
    </w:p>
    <w:p w:rsidR="00BD5820" w:rsidRDefault="00F64314">
      <w:pPr>
        <w:pStyle w:val="a1"/>
        <w:ind w:firstLine="480"/>
        <w:rPr>
          <w:rFonts w:ascii="Times New Roman" w:cs="Times New Roman"/>
        </w:rPr>
      </w:pPr>
      <w:r>
        <w:rPr>
          <w:rFonts w:ascii="Times New Roman" w:cs="Times New Roman" w:hint="eastAsia"/>
        </w:rPr>
        <w:t>（</w:t>
      </w:r>
      <w:r>
        <w:rPr>
          <w:rFonts w:ascii="Times New Roman" w:cs="Times New Roman" w:hint="eastAsia"/>
        </w:rPr>
        <w:t>3</w:t>
      </w:r>
      <w:r>
        <w:rPr>
          <w:rFonts w:ascii="Times New Roman" w:cs="Times New Roman" w:hint="eastAsia"/>
        </w:rPr>
        <w:t>）表土堆存与复耕盖土</w:t>
      </w:r>
    </w:p>
    <w:p w:rsidR="00BD5820" w:rsidRDefault="00F64314">
      <w:pPr>
        <w:pStyle w:val="a1"/>
        <w:ind w:firstLine="480"/>
        <w:rPr>
          <w:rFonts w:ascii="Times New Roman" w:cs="Times New Roman"/>
        </w:rPr>
      </w:pPr>
      <w:r>
        <w:rPr>
          <w:rFonts w:hint="eastAsia"/>
        </w:rPr>
        <w:t>设置专门的表土堆场对表土进行暂存，表土堆场</w:t>
      </w:r>
      <w:r>
        <w:t>位于</w:t>
      </w:r>
      <w:r>
        <w:rPr>
          <w:rFonts w:hint="eastAsia"/>
        </w:rPr>
        <w:t>炉旺</w:t>
      </w:r>
      <w:r>
        <w:t>村</w:t>
      </w:r>
      <w:r>
        <w:rPr>
          <w:rFonts w:hint="eastAsia"/>
        </w:rPr>
        <w:t>，施工结束后表土全部回用于绿化、复耕盖土等。</w:t>
      </w:r>
    </w:p>
    <w:p w:rsidR="00BD5820" w:rsidRDefault="00F64314">
      <w:pPr>
        <w:pStyle w:val="a1"/>
        <w:ind w:firstLine="482"/>
        <w:rPr>
          <w:rFonts w:ascii="Times New Roman" w:cs="Times New Roman"/>
          <w:b/>
        </w:rPr>
      </w:pPr>
      <w:bookmarkStart w:id="505" w:name="_Toc12288784"/>
      <w:r>
        <w:rPr>
          <w:rFonts w:ascii="Times New Roman" w:cs="Times New Roman"/>
          <w:b/>
        </w:rPr>
        <w:t>2</w:t>
      </w:r>
      <w:r>
        <w:rPr>
          <w:rFonts w:ascii="Times New Roman" w:cs="Times New Roman"/>
          <w:b/>
        </w:rPr>
        <w:t>、生物多样性的保护措施</w:t>
      </w:r>
      <w:bookmarkEnd w:id="505"/>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1</w:t>
      </w:r>
      <w:r>
        <w:rPr>
          <w:rFonts w:ascii="Times New Roman" w:cs="Times New Roman"/>
        </w:rPr>
        <w:t>）在施工过程中，应加强施工人员的管理，禁止施工人员对野外植被滥砍滥伐，破坏沿线地区的生态环境。</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2</w:t>
      </w:r>
      <w:r>
        <w:rPr>
          <w:rFonts w:ascii="Times New Roman" w:cs="Times New Roman"/>
        </w:rPr>
        <w:t>）禁止施工人员对野生动物尤其是珍稀动物的滥捕滥杀，作好野生动物的保护工作。</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3</w:t>
      </w:r>
      <w:r>
        <w:rPr>
          <w:rFonts w:ascii="Times New Roman" w:cs="Times New Roman"/>
        </w:rPr>
        <w:t>）施工期要加大对保护野生动物的宣传力度，大力宣传两栖、爬行动物、鸟类对农林卫生业的作用。蛙类、蜥蜴类和蛇类要吃掉大量的农林卫生业上害虫害鼠，对人类有益，应克服任意拘杀两栖、爬行动物和鸟类的恶习。</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4</w:t>
      </w:r>
      <w:r>
        <w:rPr>
          <w:rFonts w:ascii="Times New Roman" w:cs="Times New Roman"/>
        </w:rPr>
        <w:t>）对施工期处于繁殖的动物，在车辆行驶中，遇见动物通过时，应避让。施工结束后，应采取相应的恢复替代措施，如对破坏植被的恢复等。</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5</w:t>
      </w:r>
      <w:r>
        <w:rPr>
          <w:rFonts w:ascii="Times New Roman" w:cs="Times New Roman"/>
        </w:rPr>
        <w:t>）对水生生物的一般保护措施为：切实加强对水环境的保护，避免沿线局部水域发生富营养化，把对水生生物生息环境的影响减少到最低程度。具体如下：</w:t>
      </w:r>
    </w:p>
    <w:p w:rsidR="00BD5820" w:rsidRDefault="00F64314">
      <w:pPr>
        <w:pStyle w:val="a1"/>
        <w:ind w:firstLine="480"/>
        <w:rPr>
          <w:rFonts w:ascii="Times New Roman" w:cs="Times New Roman"/>
        </w:rPr>
      </w:pPr>
      <w:r>
        <w:rPr>
          <w:rFonts w:ascii="Times New Roman" w:cs="Times New Roman"/>
        </w:rPr>
        <w:t>施工用料的堆放应远离水源和其他水体，选择暴雨径流难以冲刷的地方。防止被暴雨径流带入水体，影响水质，各类材料应备有防雨遮雨设施。</w:t>
      </w:r>
    </w:p>
    <w:p w:rsidR="00BD5820" w:rsidRDefault="00F64314">
      <w:pPr>
        <w:pStyle w:val="a1"/>
        <w:ind w:firstLine="482"/>
        <w:rPr>
          <w:rFonts w:ascii="Times New Roman" w:cs="Times New Roman"/>
          <w:b/>
        </w:rPr>
      </w:pPr>
      <w:bookmarkStart w:id="506" w:name="_Toc12288785"/>
      <w:r>
        <w:rPr>
          <w:rFonts w:ascii="Times New Roman" w:cs="Times New Roman"/>
          <w:b/>
        </w:rPr>
        <w:t>3</w:t>
      </w:r>
      <w:r>
        <w:rPr>
          <w:rFonts w:ascii="Times New Roman" w:cs="Times New Roman"/>
          <w:b/>
        </w:rPr>
        <w:t>、植被保护及恢复措施</w:t>
      </w:r>
      <w:bookmarkEnd w:id="506"/>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1</w:t>
      </w:r>
      <w:r>
        <w:rPr>
          <w:rFonts w:ascii="Times New Roman" w:cs="Times New Roman"/>
        </w:rPr>
        <w:t>）植被保护措施</w:t>
      </w:r>
    </w:p>
    <w:p w:rsidR="00BD5820" w:rsidRDefault="00F64314">
      <w:pPr>
        <w:pStyle w:val="a1"/>
        <w:ind w:firstLine="480"/>
        <w:rPr>
          <w:rFonts w:ascii="Times New Roman" w:cs="Times New Roman"/>
        </w:rPr>
      </w:pPr>
      <w:r>
        <w:rPr>
          <w:rFonts w:ascii="Times New Roman" w:cs="Times New Roman"/>
        </w:rPr>
        <w:t>植物保护的一般原则为：首先应尽量保存施工区的熟化土，对于建设中永久占用地、临时用地占用耕地部分的表层土予以收集保存，施工结束后及时清理、松土、覆盖收集的耕作土，复耕或选择当地适宜植物及时恢复绿化。</w:t>
      </w:r>
    </w:p>
    <w:p w:rsidR="00BD5820" w:rsidRDefault="00F64314">
      <w:pPr>
        <w:pStyle w:val="a1"/>
        <w:ind w:firstLine="480"/>
        <w:rPr>
          <w:rFonts w:ascii="Times New Roman" w:cs="Times New Roman"/>
        </w:rPr>
      </w:pPr>
      <w:r>
        <w:rPr>
          <w:rFonts w:ascii="Times New Roman" w:cs="Times New Roman"/>
        </w:rPr>
        <w:t>在项目植被恢复建设过程中除考虑选择适合当地速成树种外，在布局上还应考虑多种树种的交错分布，既提高植物种类的多样性又不至于太大改变原来的生态组分，增强其稳定性。另外修复树种种苗的选择应经过严格检疫，防止引入病</w:t>
      </w:r>
      <w:r>
        <w:rPr>
          <w:rFonts w:ascii="Times New Roman" w:cs="Times New Roman"/>
        </w:rPr>
        <w:lastRenderedPageBreak/>
        <w:t>害。对于森林防火要采取有效措施，对国家重点保护的物种要列入工程建设中要注意的事项。针对工程沿线植物资源分布的特点，对不同的保护对象提出如下的保护措施：</w:t>
      </w:r>
    </w:p>
    <w:p w:rsidR="00BD5820" w:rsidRDefault="00F64314">
      <w:pPr>
        <w:pStyle w:val="a1"/>
        <w:ind w:firstLine="480"/>
        <w:rPr>
          <w:rFonts w:ascii="Times New Roman" w:cs="Times New Roman"/>
        </w:rPr>
      </w:pPr>
      <w:r>
        <w:rPr>
          <w:rFonts w:hAnsi="宋体" w:hint="eastAsia"/>
        </w:rPr>
        <w:t>①</w:t>
      </w:r>
      <w:r>
        <w:rPr>
          <w:rFonts w:ascii="Times New Roman" w:cs="Times New Roman"/>
        </w:rPr>
        <w:t>对工程施工中无法避让的需保护树种，要进行异地移栽</w:t>
      </w:r>
    </w:p>
    <w:p w:rsidR="00BD5820" w:rsidRDefault="00F64314">
      <w:pPr>
        <w:pStyle w:val="a1"/>
        <w:ind w:firstLine="480"/>
        <w:rPr>
          <w:rFonts w:ascii="Times New Roman" w:cs="Times New Roman"/>
        </w:rPr>
      </w:pPr>
      <w:r>
        <w:rPr>
          <w:rFonts w:ascii="Times New Roman" w:cs="Times New Roman"/>
        </w:rPr>
        <w:t>施工便道的选线应避免和尽量减少对地表植被的破坏和影响。工程结束后，立即对施工便道进行恢复。管线施工过程中，尽可能不破坏地形、地貌；施工完毕后，尽可能将施工地带地形、地貌恢复至施工前时的地形地貌。根据现场踏勘，没有发现需要特别保护的树种，在具体施工中，如发现特别需保护的树种并且无法避让时，应进行移栽。</w:t>
      </w:r>
    </w:p>
    <w:p w:rsidR="00BD5820" w:rsidRDefault="00F64314">
      <w:pPr>
        <w:pStyle w:val="a1"/>
        <w:ind w:firstLine="480"/>
        <w:rPr>
          <w:rFonts w:ascii="Times New Roman" w:cs="Times New Roman"/>
        </w:rPr>
      </w:pPr>
      <w:r>
        <w:rPr>
          <w:rFonts w:ascii="Times New Roman" w:cs="Times New Roman"/>
        </w:rPr>
        <w:t>项目临时占地中所占林地为二级公益林，占地面积约</w:t>
      </w:r>
      <w:r>
        <w:rPr>
          <w:rFonts w:ascii="Times New Roman" w:cs="Times New Roman" w:hint="eastAsia"/>
        </w:rPr>
        <w:t>1250</w:t>
      </w:r>
      <w:r>
        <w:rPr>
          <w:rFonts w:ascii="Times New Roman" w:cs="Times New Roman"/>
        </w:rPr>
        <w:t>0m</w:t>
      </w:r>
      <w:r>
        <w:rPr>
          <w:rFonts w:ascii="Times New Roman" w:cs="Times New Roman"/>
          <w:vertAlign w:val="superscript"/>
        </w:rPr>
        <w:t>2</w:t>
      </w:r>
      <w:r>
        <w:rPr>
          <w:rFonts w:ascii="Times New Roman" w:cs="Times New Roman"/>
        </w:rPr>
        <w:t>，因此，在施工前需取得林业部门相关手续，并在具体施工中，将二级公益林进行移栽和保护，待施工完成后进行回栽</w:t>
      </w:r>
      <w:r>
        <w:rPr>
          <w:rFonts w:ascii="Times New Roman" w:cs="Times New Roman" w:hint="eastAsia"/>
        </w:rPr>
        <w:t>。</w:t>
      </w:r>
    </w:p>
    <w:p w:rsidR="00BD5820" w:rsidRDefault="00F64314">
      <w:pPr>
        <w:pStyle w:val="a1"/>
        <w:ind w:firstLine="480"/>
        <w:rPr>
          <w:rFonts w:ascii="Times New Roman" w:cs="Times New Roman"/>
        </w:rPr>
      </w:pPr>
      <w:r>
        <w:rPr>
          <w:rFonts w:hAnsi="宋体" w:hint="eastAsia"/>
        </w:rPr>
        <w:t>②</w:t>
      </w:r>
      <w:r>
        <w:rPr>
          <w:rFonts w:ascii="Times New Roman" w:cs="Times New Roman"/>
        </w:rPr>
        <w:t>加强施工人员的环保意识</w:t>
      </w:r>
    </w:p>
    <w:p w:rsidR="00BD5820" w:rsidRDefault="00F64314">
      <w:pPr>
        <w:pStyle w:val="a1"/>
        <w:ind w:firstLine="480"/>
        <w:rPr>
          <w:rFonts w:ascii="Times New Roman" w:cs="Times New Roman"/>
        </w:rPr>
      </w:pPr>
      <w:r>
        <w:rPr>
          <w:rFonts w:ascii="Times New Roman" w:cs="Times New Roman"/>
        </w:rPr>
        <w:t>不随意砍伐植物，在开挖的工程中，如发现有国家重点保护植物，要报告当地环保部门，立即组织挽救，移栽他处。</w:t>
      </w:r>
    </w:p>
    <w:p w:rsidR="00BD5820" w:rsidRDefault="00F64314">
      <w:pPr>
        <w:pStyle w:val="a1"/>
        <w:ind w:firstLine="480"/>
        <w:rPr>
          <w:rFonts w:ascii="Times New Roman" w:cs="Times New Roman"/>
        </w:rPr>
      </w:pPr>
      <w:r>
        <w:rPr>
          <w:rFonts w:hAnsi="宋体" w:hint="eastAsia"/>
        </w:rPr>
        <w:t>③</w:t>
      </w:r>
      <w:r>
        <w:rPr>
          <w:rFonts w:ascii="Times New Roman" w:cs="Times New Roman"/>
        </w:rPr>
        <w:t>加强环境管理</w:t>
      </w:r>
    </w:p>
    <w:p w:rsidR="00BD5820" w:rsidRDefault="00F64314">
      <w:pPr>
        <w:pStyle w:val="a1"/>
        <w:ind w:firstLine="480"/>
        <w:rPr>
          <w:rFonts w:ascii="Times New Roman" w:cs="Times New Roman"/>
        </w:rPr>
      </w:pPr>
      <w:r>
        <w:rPr>
          <w:rFonts w:ascii="Times New Roman" w:cs="Times New Roman"/>
        </w:rPr>
        <w:t>对已经发现的保护物种，环境管理体系的工作就显得十分重要，尤其是在施工期，工程单位与生态环境部门要合作，建立完善的管理体系，使之有法可依，执法有效，确保国家重点保护植物资源的安全。同时也要加大宣传的力度，并采取各种方式，如宣传栏、挂牌等，让施工人员了解保护的重要性。通过宣传植物的显著的特征，使施工人员会识别分布在此地的国家重点保护植物。</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2</w:t>
      </w:r>
      <w:r>
        <w:rPr>
          <w:rFonts w:ascii="Times New Roman" w:cs="Times New Roman"/>
        </w:rPr>
        <w:t>）植被恢复措施及建议</w:t>
      </w:r>
    </w:p>
    <w:p w:rsidR="00BD5820" w:rsidRDefault="00F64314">
      <w:pPr>
        <w:pStyle w:val="a1"/>
        <w:ind w:firstLine="480"/>
        <w:rPr>
          <w:rFonts w:ascii="Times New Roman" w:cs="Times New Roman"/>
        </w:rPr>
      </w:pPr>
      <w:r>
        <w:rPr>
          <w:rFonts w:ascii="Times New Roman" w:cs="Times New Roman"/>
        </w:rPr>
        <w:t>对于原农业用地，在覆土后施肥，恢复农业用地。对不能复垦为耕地和不能继续利用的施工便道且不能退耕的，根据气候条件采取种树种草绿化措施。</w:t>
      </w:r>
    </w:p>
    <w:p w:rsidR="00BD5820" w:rsidRDefault="00F64314">
      <w:pPr>
        <w:pStyle w:val="a1"/>
        <w:ind w:firstLine="480"/>
        <w:rPr>
          <w:rFonts w:ascii="Times New Roman" w:cs="Times New Roman"/>
        </w:rPr>
      </w:pPr>
      <w:r>
        <w:rPr>
          <w:rFonts w:ascii="Times New Roman" w:cs="Times New Roman"/>
        </w:rPr>
        <w:t>临时用地范围内植被恢复：对作为农用地以外的部分应植树种草恢复植被，农用地周边结合当地的农田林网营造绿化林带。施工中应加强施工管理，对边界以外的植被应不破坏或尽量减少破坏，两侧植被恢复除考虑管道防护、水土保持外，使水保、绿化、美化、环保有机结合为一体。</w:t>
      </w:r>
    </w:p>
    <w:p w:rsidR="00BD5820" w:rsidRDefault="00F64314">
      <w:pPr>
        <w:pStyle w:val="a1"/>
        <w:ind w:firstLine="480"/>
        <w:rPr>
          <w:rFonts w:ascii="Times New Roman" w:cs="Times New Roman"/>
        </w:rPr>
      </w:pPr>
      <w:r>
        <w:rPr>
          <w:rFonts w:ascii="Times New Roman" w:cs="Times New Roman"/>
        </w:rPr>
        <w:t>草种、树种的选择：在</w:t>
      </w:r>
      <w:r>
        <w:rPr>
          <w:rFonts w:ascii="Times New Roman" w:cs="Times New Roman"/>
        </w:rPr>
        <w:t>“</w:t>
      </w:r>
      <w:r>
        <w:rPr>
          <w:rFonts w:ascii="Times New Roman" w:cs="Times New Roman"/>
        </w:rPr>
        <w:t>适地适树、适地适草</w:t>
      </w:r>
      <w:r>
        <w:rPr>
          <w:rFonts w:ascii="Times New Roman" w:cs="Times New Roman"/>
        </w:rPr>
        <w:t>”</w:t>
      </w:r>
      <w:r>
        <w:rPr>
          <w:rFonts w:ascii="Times New Roman" w:cs="Times New Roman"/>
        </w:rPr>
        <w:t>的原则下，树种、草种的选择应对各地区的地形、土壤和气候条件经过详细的调查以当地优良乡土树种为主，</w:t>
      </w:r>
      <w:r>
        <w:rPr>
          <w:rFonts w:ascii="Times New Roman" w:cs="Times New Roman"/>
        </w:rPr>
        <w:lastRenderedPageBreak/>
        <w:t>适当引进新的优良树种草种，保证绿化栽植的成活率。</w:t>
      </w:r>
    </w:p>
    <w:p w:rsidR="00BD5820" w:rsidRDefault="00F64314">
      <w:pPr>
        <w:pStyle w:val="a1"/>
        <w:ind w:firstLine="482"/>
        <w:rPr>
          <w:rFonts w:ascii="Times New Roman" w:cs="Times New Roman"/>
          <w:b/>
        </w:rPr>
      </w:pPr>
      <w:bookmarkStart w:id="507" w:name="_Toc12288786"/>
      <w:r>
        <w:rPr>
          <w:rFonts w:ascii="Times New Roman" w:cs="Times New Roman"/>
          <w:b/>
        </w:rPr>
        <w:t>4</w:t>
      </w:r>
      <w:r>
        <w:rPr>
          <w:rFonts w:ascii="Times New Roman" w:cs="Times New Roman"/>
          <w:b/>
        </w:rPr>
        <w:t>、对农业生态系统的保护措施</w:t>
      </w:r>
      <w:bookmarkEnd w:id="507"/>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1</w:t>
      </w:r>
      <w:r>
        <w:rPr>
          <w:rFonts w:ascii="Times New Roman" w:cs="Times New Roman"/>
        </w:rPr>
        <w:t>）在工程的总体规划中必须考虑施工对农业生产的影响，将农业损失纳入到工程预算中，管道通过农业区时，尤其是占用园地、菜地、果林等经济农业区时应尽量缩小影响范围，减少损失，降低工程对农业生态环境的干扰和破坏，避免占用国家规定的耕地。</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2</w:t>
      </w:r>
      <w:r>
        <w:rPr>
          <w:rFonts w:ascii="Times New Roman" w:cs="Times New Roman"/>
        </w:rPr>
        <w:t>）由于本项目所涉及的临时占地应按有关土地管理办法的要求，逐级上报有审批权的政府部门批准。</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3</w:t>
      </w:r>
      <w:r>
        <w:rPr>
          <w:rFonts w:ascii="Times New Roman" w:cs="Times New Roman"/>
        </w:rPr>
        <w:t>）临时占用的耕地，使用后立即实施复垦措施，恢复田坎时做好防渗措施；可与农民协商，由农民自行复垦。</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4</w:t>
      </w:r>
      <w:r>
        <w:rPr>
          <w:rFonts w:ascii="Times New Roman" w:cs="Times New Roman"/>
        </w:rPr>
        <w:t>）提高施工效率，缩短施工时间，以保持耕作层肥力，缩短农业生产季节的损失。因地制宜地选择施工季节，尽量避开农作物的生长和收获期，减少农业当季损失。</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5</w:t>
      </w:r>
      <w:r>
        <w:rPr>
          <w:rFonts w:ascii="Times New Roman" w:cs="Times New Roman"/>
        </w:rPr>
        <w:t>）管道施工中要采取保护土壤措施，对农业熟化土壤要分层开挖，分别堆放，分层复原的方法，减少因施工生土上翻耕层养分损失农作物减产的后果，同时要避免间断覆土造成的土层不坚实形成的水土流失等问题。</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6</w:t>
      </w:r>
      <w:r>
        <w:rPr>
          <w:rFonts w:ascii="Times New Roman" w:cs="Times New Roman"/>
        </w:rPr>
        <w:t>）施工完成后做好现场清理及恢复工作，包括田埂、水渠妥善处治等，尽可能降低施工对农田生态系统带来的不利影响。</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7</w:t>
      </w:r>
      <w:r>
        <w:rPr>
          <w:rFonts w:ascii="Times New Roman" w:cs="Times New Roman"/>
        </w:rPr>
        <w:t>）由于施工设备基本属于重型、庞大类别，在施工时，应避免农田基础设施受碾压而失去正常使用功能。例如：机井、灌渠、灌溉暗管（一般埋藏较浅）等水利设施的损坏，会导致灌溉区受益范围内农作物生长受影响。</w:t>
      </w:r>
    </w:p>
    <w:p w:rsidR="00BD5820" w:rsidRDefault="00F64314">
      <w:pPr>
        <w:pStyle w:val="a1"/>
        <w:ind w:firstLine="480"/>
        <w:rPr>
          <w:rFonts w:ascii="Times New Roman" w:cs="Times New Roman"/>
        </w:rPr>
      </w:pPr>
      <w:r>
        <w:rPr>
          <w:rFonts w:ascii="Times New Roman" w:cs="Times New Roman"/>
        </w:rPr>
        <w:t>管道施工时，除了以上耕地恢复的措施外，在开挖地表土壤时，在地形地貌允许的地方，应尽可能的把表土层单独堆放，放到编织带内临时堆放。回填时，把表土覆盖在最上面的地表层，这样可以大大缩短土壤生产力恢复的时间，减少工程影响时间。</w:t>
      </w:r>
    </w:p>
    <w:p w:rsidR="00BD5820" w:rsidRDefault="00F64314">
      <w:pPr>
        <w:pStyle w:val="a1"/>
        <w:ind w:firstLine="482"/>
        <w:rPr>
          <w:rFonts w:ascii="Times New Roman" w:cs="Times New Roman"/>
          <w:b/>
        </w:rPr>
      </w:pPr>
      <w:bookmarkStart w:id="508" w:name="_Toc12288787"/>
      <w:r>
        <w:rPr>
          <w:rFonts w:ascii="Times New Roman" w:cs="Times New Roman"/>
          <w:b/>
        </w:rPr>
        <w:t>5</w:t>
      </w:r>
      <w:r>
        <w:rPr>
          <w:rFonts w:ascii="Times New Roman" w:cs="Times New Roman"/>
          <w:b/>
        </w:rPr>
        <w:t>、林地恢复措施</w:t>
      </w:r>
      <w:bookmarkEnd w:id="508"/>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1</w:t>
      </w:r>
      <w:r>
        <w:rPr>
          <w:rFonts w:ascii="Times New Roman" w:cs="Times New Roman"/>
        </w:rPr>
        <w:t>）加强对施工人员及施工活动的管理</w:t>
      </w:r>
    </w:p>
    <w:p w:rsidR="00BD5820" w:rsidRDefault="00F64314">
      <w:pPr>
        <w:pStyle w:val="a1"/>
        <w:ind w:firstLine="480"/>
        <w:rPr>
          <w:rFonts w:ascii="Times New Roman" w:cs="Times New Roman"/>
        </w:rPr>
      </w:pPr>
      <w:r>
        <w:rPr>
          <w:rFonts w:hAnsi="宋体" w:hint="eastAsia"/>
        </w:rPr>
        <w:t>①</w:t>
      </w:r>
      <w:r>
        <w:rPr>
          <w:rFonts w:ascii="Times New Roman" w:cs="Times New Roman"/>
        </w:rPr>
        <w:t>施工过程中，加强施工人员的管理，禁止施工人员对野生植被滥砍滥伐，严格限制人员的活动范围，破坏沿线的生态环境。</w:t>
      </w:r>
    </w:p>
    <w:p w:rsidR="00BD5820" w:rsidRDefault="00F64314">
      <w:pPr>
        <w:pStyle w:val="a1"/>
        <w:ind w:firstLine="480"/>
        <w:rPr>
          <w:rFonts w:ascii="Times New Roman" w:cs="Times New Roman"/>
        </w:rPr>
      </w:pPr>
      <w:r>
        <w:rPr>
          <w:rFonts w:hAnsi="宋体" w:hint="eastAsia"/>
        </w:rPr>
        <w:t>②</w:t>
      </w:r>
      <w:r>
        <w:rPr>
          <w:rFonts w:ascii="Times New Roman" w:cs="Times New Roman"/>
        </w:rPr>
        <w:t>工程施工占有林地和砍伐树木，管线通过生态林时，应向林业主管部门申</w:t>
      </w:r>
      <w:r>
        <w:rPr>
          <w:rFonts w:ascii="Times New Roman" w:cs="Times New Roman"/>
        </w:rPr>
        <w:lastRenderedPageBreak/>
        <w:t>报。</w:t>
      </w:r>
    </w:p>
    <w:p w:rsidR="00BD5820" w:rsidRDefault="00EA3750">
      <w:pPr>
        <w:pStyle w:val="a1"/>
        <w:ind w:firstLine="480"/>
        <w:rPr>
          <w:rFonts w:ascii="Times New Roman" w:cs="Times New Roman"/>
        </w:rPr>
      </w:pPr>
      <w:r>
        <w:rPr>
          <w:rFonts w:ascii="Times New Roman" w:cs="Times New Roman"/>
        </w:rPr>
        <w:fldChar w:fldCharType="begin"/>
      </w:r>
      <w:r w:rsidR="00F64314">
        <w:rPr>
          <w:rFonts w:ascii="Times New Roman" w:cs="Times New Roman"/>
        </w:rPr>
        <w:instrText xml:space="preserve"> = 3 \* GB3 \* MERGEFORMAT </w:instrText>
      </w:r>
      <w:r>
        <w:rPr>
          <w:rFonts w:ascii="Times New Roman" w:cs="Times New Roman"/>
        </w:rPr>
        <w:fldChar w:fldCharType="separate"/>
      </w:r>
      <w:r w:rsidR="00F64314">
        <w:t>③</w:t>
      </w:r>
      <w:r>
        <w:rPr>
          <w:rFonts w:ascii="Times New Roman" w:cs="Times New Roman"/>
        </w:rPr>
        <w:fldChar w:fldCharType="end"/>
      </w:r>
      <w:r w:rsidR="00F64314">
        <w:rPr>
          <w:rFonts w:ascii="Times New Roman" w:cs="Times New Roman"/>
        </w:rPr>
        <w:t>根据现场踏勘，</w:t>
      </w:r>
      <w:r w:rsidR="00F64314">
        <w:rPr>
          <w:rFonts w:ascii="Times New Roman" w:cs="Times New Roman" w:hint="eastAsia"/>
        </w:rPr>
        <w:t>项目临时占地中所占林地为二级公益林，占地面积约</w:t>
      </w:r>
      <w:r w:rsidR="00F64314">
        <w:rPr>
          <w:rFonts w:ascii="Times New Roman" w:cs="Times New Roman" w:hint="eastAsia"/>
        </w:rPr>
        <w:t>1250</w:t>
      </w:r>
      <w:r w:rsidR="00F64314">
        <w:rPr>
          <w:rFonts w:ascii="Times New Roman" w:cs="Times New Roman"/>
        </w:rPr>
        <w:t>0m</w:t>
      </w:r>
      <w:r w:rsidR="00F64314">
        <w:rPr>
          <w:rFonts w:ascii="Times New Roman" w:cs="Times New Roman"/>
          <w:vertAlign w:val="superscript"/>
        </w:rPr>
        <w:t>2</w:t>
      </w:r>
      <w:r w:rsidR="00F64314">
        <w:rPr>
          <w:rFonts w:ascii="Times New Roman" w:cs="Times New Roman"/>
        </w:rPr>
        <w:t>，因此，在施工前需取得林业部门相关手续，并在具体施工中，将二级公益林进行移栽</w:t>
      </w:r>
      <w:r w:rsidR="00F64314">
        <w:rPr>
          <w:rFonts w:ascii="Times New Roman" w:cs="Times New Roman" w:hint="eastAsia"/>
        </w:rPr>
        <w:t>和保护，待施工完成后进行回栽</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2</w:t>
      </w:r>
      <w:r>
        <w:rPr>
          <w:rFonts w:ascii="Times New Roman" w:cs="Times New Roman"/>
        </w:rPr>
        <w:t>）施工后的植被恢复</w:t>
      </w:r>
    </w:p>
    <w:p w:rsidR="00BD5820" w:rsidRDefault="00F64314">
      <w:pPr>
        <w:pStyle w:val="a1"/>
        <w:ind w:firstLine="480"/>
        <w:rPr>
          <w:rFonts w:ascii="Times New Roman" w:cs="Times New Roman"/>
        </w:rPr>
      </w:pPr>
      <w:r>
        <w:rPr>
          <w:rFonts w:hAnsi="宋体" w:hint="eastAsia"/>
        </w:rPr>
        <w:t>①</w:t>
      </w:r>
      <w:r>
        <w:rPr>
          <w:rFonts w:ascii="Times New Roman" w:cs="Times New Roman"/>
        </w:rPr>
        <w:t>总体原则</w:t>
      </w:r>
    </w:p>
    <w:p w:rsidR="00BD5820" w:rsidRDefault="00F64314">
      <w:pPr>
        <w:pStyle w:val="a1"/>
        <w:ind w:firstLine="480"/>
        <w:rPr>
          <w:rFonts w:ascii="Times New Roman" w:cs="Times New Roman"/>
        </w:rPr>
      </w:pPr>
      <w:r>
        <w:rPr>
          <w:rFonts w:ascii="Times New Roman" w:cs="Times New Roman"/>
        </w:rPr>
        <w:t>管道开挖填埋土方工程完成后，沿线区间尽早植树种草，原为草地的要植草，原为林地的要植树。由于在管线两侧</w:t>
      </w:r>
      <w:r>
        <w:rPr>
          <w:rFonts w:ascii="Times New Roman" w:cs="Times New Roman"/>
        </w:rPr>
        <w:t>5m</w:t>
      </w:r>
      <w:r>
        <w:rPr>
          <w:rFonts w:ascii="Times New Roman" w:cs="Times New Roman"/>
        </w:rPr>
        <w:t>范围内不能种植深根作物，不能植树的地方（管道两侧</w:t>
      </w:r>
      <w:r>
        <w:rPr>
          <w:rFonts w:ascii="Times New Roman" w:cs="Times New Roman"/>
        </w:rPr>
        <w:t>5m</w:t>
      </w:r>
      <w:r>
        <w:rPr>
          <w:rFonts w:ascii="Times New Roman" w:cs="Times New Roman"/>
        </w:rPr>
        <w:t>）可种草。</w:t>
      </w:r>
    </w:p>
    <w:p w:rsidR="00BD5820" w:rsidRDefault="00F64314">
      <w:pPr>
        <w:pStyle w:val="a1"/>
        <w:ind w:firstLine="480"/>
        <w:rPr>
          <w:rFonts w:ascii="Times New Roman" w:cs="Times New Roman"/>
        </w:rPr>
      </w:pPr>
      <w:r>
        <w:rPr>
          <w:rFonts w:hAnsi="宋体" w:hint="eastAsia"/>
        </w:rPr>
        <w:t>②</w:t>
      </w:r>
      <w:r>
        <w:rPr>
          <w:rFonts w:ascii="Times New Roman" w:cs="Times New Roman"/>
        </w:rPr>
        <w:t>植被恢复措施</w:t>
      </w:r>
    </w:p>
    <w:p w:rsidR="00BD5820" w:rsidRDefault="00F64314">
      <w:pPr>
        <w:pStyle w:val="a1"/>
        <w:ind w:firstLine="480"/>
        <w:rPr>
          <w:rFonts w:ascii="Times New Roman" w:cs="Times New Roman"/>
        </w:rPr>
      </w:pPr>
      <w:r>
        <w:rPr>
          <w:rFonts w:ascii="Times New Roman" w:cs="Times New Roman"/>
        </w:rPr>
        <w:t>本管道工程植被措施主要布设在场站周边、管道作业带、附属配套工程裸露空地、施工便道两侧等工程单元。林草措施分为铺种草皮、人工种草、种植乔木、种植灌木、种植攀援植物、植物护坡等</w:t>
      </w:r>
      <w:r>
        <w:rPr>
          <w:rFonts w:ascii="Times New Roman" w:cs="Times New Roman"/>
        </w:rPr>
        <w:t>6</w:t>
      </w:r>
      <w:r>
        <w:rPr>
          <w:rFonts w:ascii="Times New Roman" w:cs="Times New Roman"/>
        </w:rPr>
        <w:t>种类型。</w:t>
      </w:r>
    </w:p>
    <w:p w:rsidR="00BD5820" w:rsidRDefault="00F64314">
      <w:pPr>
        <w:pStyle w:val="a1"/>
        <w:ind w:firstLine="480"/>
        <w:rPr>
          <w:rFonts w:ascii="Times New Roman" w:cs="Times New Roman"/>
        </w:rPr>
      </w:pPr>
      <w:r>
        <w:rPr>
          <w:rFonts w:hAnsi="宋体" w:hint="eastAsia"/>
        </w:rPr>
        <w:t>③</w:t>
      </w:r>
      <w:r>
        <w:rPr>
          <w:rFonts w:ascii="Times New Roman" w:cs="Times New Roman"/>
        </w:rPr>
        <w:t>植物种类选择</w:t>
      </w:r>
    </w:p>
    <w:p w:rsidR="00BD5820" w:rsidRDefault="00F64314">
      <w:pPr>
        <w:pStyle w:val="a1"/>
        <w:ind w:firstLine="480"/>
        <w:rPr>
          <w:rFonts w:ascii="Times New Roman" w:cs="Times New Roman"/>
        </w:rPr>
      </w:pPr>
      <w:r>
        <w:rPr>
          <w:rFonts w:ascii="Times New Roman" w:cs="Times New Roman"/>
        </w:rPr>
        <w:t>a.</w:t>
      </w:r>
      <w:r>
        <w:rPr>
          <w:rFonts w:ascii="Times New Roman" w:cs="Times New Roman"/>
        </w:rPr>
        <w:t>工程区属亚热带季风气候区，水热条件充沛，在地质、地形、土壤、气候和生物等因素的综合作用下，为植物生长提供了有利条件，形成亚热带常绿阔叶、落叶阔叶与针叶林为主的低山、丘陵天然林、人工次生林。集输管道沿线主要为人工植被，有枇杷、葡萄、柑橘、梨等果林，以及杉木、柏木等用材林；农作物一般为水稻、蔬菜、玉米等季节性农作物；局部丘陵地貌顶部和山区为人工经济林。当地水土保持植物主要有紫穗槐、巴茅、狗牙根、三叶草等。</w:t>
      </w:r>
    </w:p>
    <w:p w:rsidR="00BD5820" w:rsidRDefault="00F64314">
      <w:pPr>
        <w:pStyle w:val="a1"/>
        <w:ind w:firstLine="480"/>
        <w:rPr>
          <w:rFonts w:ascii="Times New Roman" w:cs="Times New Roman"/>
        </w:rPr>
      </w:pPr>
      <w:r>
        <w:rPr>
          <w:rFonts w:ascii="Times New Roman" w:cs="Times New Roman"/>
        </w:rPr>
        <w:t>b.</w:t>
      </w:r>
      <w:r>
        <w:rPr>
          <w:rFonts w:ascii="Times New Roman" w:cs="Times New Roman"/>
        </w:rPr>
        <w:t>乔木树种选择抗逆性强、形体优美的树种，主要有马尾松、杨树、柏树、香樟、刺槐等；灌木树种选择耐瘠薄、生长迅速的树种，主要有紫穗槐、马桑、灌木柳、夹竹桃等，以及景观灌木种金叶女贞、小叶黄杨等；草种选择适应性强、耐瘠薄、易繁殖草种，主要有草坪草：狗牙根、黑麦草、地毯草、马尼拉，以及当地野生草种狗尾草、野羊茅、白三叶等；攀援植物种有爬山虎、地锦、岩爬藤等。</w:t>
      </w:r>
    </w:p>
    <w:p w:rsidR="00BD5820" w:rsidRDefault="00F64314">
      <w:pPr>
        <w:pStyle w:val="a1"/>
        <w:ind w:firstLine="480"/>
        <w:rPr>
          <w:rFonts w:ascii="Times New Roman" w:cs="Times New Roman"/>
        </w:rPr>
      </w:pPr>
      <w:r>
        <w:rPr>
          <w:rFonts w:ascii="Times New Roman" w:cs="Times New Roman"/>
        </w:rPr>
        <w:t>c.</w:t>
      </w:r>
      <w:r>
        <w:rPr>
          <w:rFonts w:ascii="Times New Roman" w:cs="Times New Roman"/>
        </w:rPr>
        <w:t>对于管道沿线较大面积的林地中，林分单一，多为阔叶林，因此工程施工中严禁带入有害的外来物种，从而避免病虫害以及森林树种的竞争等。</w:t>
      </w:r>
    </w:p>
    <w:p w:rsidR="00BD5820" w:rsidRDefault="00F64314">
      <w:pPr>
        <w:pStyle w:val="a1"/>
        <w:ind w:firstLine="480"/>
        <w:rPr>
          <w:rFonts w:ascii="Times New Roman" w:cs="Times New Roman"/>
        </w:rPr>
      </w:pPr>
      <w:r>
        <w:rPr>
          <w:rFonts w:hAnsi="宋体" w:hint="eastAsia"/>
        </w:rPr>
        <w:t>④</w:t>
      </w:r>
      <w:r>
        <w:rPr>
          <w:rFonts w:ascii="Times New Roman" w:cs="Times New Roman"/>
        </w:rPr>
        <w:t>种草</w:t>
      </w:r>
    </w:p>
    <w:p w:rsidR="00BD5820" w:rsidRDefault="00F64314">
      <w:pPr>
        <w:pStyle w:val="a1"/>
        <w:ind w:firstLine="480"/>
        <w:rPr>
          <w:rFonts w:ascii="Times New Roman" w:cs="Times New Roman"/>
        </w:rPr>
      </w:pPr>
      <w:r>
        <w:rPr>
          <w:rFonts w:ascii="Times New Roman" w:cs="Times New Roman"/>
        </w:rPr>
        <w:t>本管道项目种草有作业带种草、护坡种草及站场草坪建植。</w:t>
      </w:r>
    </w:p>
    <w:p w:rsidR="00BD5820" w:rsidRDefault="00F64314">
      <w:pPr>
        <w:pStyle w:val="a1"/>
        <w:ind w:firstLine="480"/>
        <w:rPr>
          <w:rFonts w:ascii="Times New Roman" w:cs="Times New Roman"/>
        </w:rPr>
      </w:pPr>
      <w:r>
        <w:rPr>
          <w:rFonts w:ascii="Times New Roman" w:cs="Times New Roman"/>
        </w:rPr>
        <w:lastRenderedPageBreak/>
        <w:t>a.</w:t>
      </w:r>
      <w:r>
        <w:rPr>
          <w:rFonts w:ascii="Times New Roman" w:cs="Times New Roman"/>
        </w:rPr>
        <w:t>种植方式</w:t>
      </w:r>
    </w:p>
    <w:p w:rsidR="00BD5820" w:rsidRDefault="00F64314">
      <w:pPr>
        <w:pStyle w:val="a1"/>
        <w:ind w:firstLine="480"/>
        <w:rPr>
          <w:rFonts w:ascii="Times New Roman" w:cs="Times New Roman"/>
        </w:rPr>
      </w:pPr>
      <w:r>
        <w:rPr>
          <w:rFonts w:ascii="Times New Roman" w:cs="Times New Roman"/>
        </w:rPr>
        <w:t>栽植、埋植或直播。直播有条播、撒播、穴播和混播几种方式。部分植物护坡可采用网格状种草。草坪种草主要在站场区实施，按园林绿化要求进行，多为规则式草坪，有的要结合花灌、花台等进行建设。草种推荐选择狗牙根、黑麦草、地毯草、马尼拉等。</w:t>
      </w:r>
    </w:p>
    <w:p w:rsidR="00BD5820" w:rsidRDefault="00F64314">
      <w:pPr>
        <w:pStyle w:val="a1"/>
        <w:ind w:firstLine="480"/>
        <w:rPr>
          <w:rFonts w:ascii="Times New Roman" w:cs="Times New Roman"/>
        </w:rPr>
      </w:pPr>
      <w:r>
        <w:rPr>
          <w:rFonts w:ascii="Times New Roman" w:cs="Times New Roman"/>
        </w:rPr>
        <w:t>b.</w:t>
      </w:r>
      <w:r>
        <w:rPr>
          <w:rFonts w:ascii="Times New Roman" w:cs="Times New Roman"/>
        </w:rPr>
        <w:t>抚育管理：栽植、播种后，根据实际情况及时浇水、除草。</w:t>
      </w:r>
    </w:p>
    <w:p w:rsidR="00BD5820" w:rsidRDefault="00F64314">
      <w:pPr>
        <w:pStyle w:val="a1"/>
        <w:ind w:firstLine="480"/>
        <w:rPr>
          <w:rFonts w:ascii="Times New Roman" w:cs="Times New Roman"/>
        </w:rPr>
      </w:pPr>
      <w:r>
        <w:rPr>
          <w:rFonts w:hAnsi="宋体" w:hint="eastAsia"/>
        </w:rPr>
        <w:t>⑤</w:t>
      </w:r>
      <w:r>
        <w:rPr>
          <w:rFonts w:ascii="Times New Roman" w:cs="Times New Roman"/>
        </w:rPr>
        <w:t>种树</w:t>
      </w:r>
    </w:p>
    <w:p w:rsidR="00BD5820" w:rsidRDefault="00F64314">
      <w:pPr>
        <w:pStyle w:val="a1"/>
        <w:ind w:firstLine="480"/>
        <w:rPr>
          <w:rFonts w:ascii="Times New Roman" w:cs="Times New Roman"/>
        </w:rPr>
      </w:pPr>
      <w:r>
        <w:rPr>
          <w:rFonts w:ascii="Times New Roman" w:cs="Times New Roman"/>
        </w:rPr>
        <w:t>本项目种树主要包括灌草结合方式种植和行道树栽植两种。</w:t>
      </w:r>
    </w:p>
    <w:p w:rsidR="00BD5820" w:rsidRDefault="00F64314">
      <w:pPr>
        <w:pStyle w:val="a1"/>
        <w:ind w:firstLine="480"/>
        <w:rPr>
          <w:rFonts w:ascii="Times New Roman" w:cs="Times New Roman"/>
        </w:rPr>
      </w:pPr>
      <w:r>
        <w:rPr>
          <w:rFonts w:ascii="Times New Roman" w:cs="Times New Roman"/>
        </w:rPr>
        <w:t>a.</w:t>
      </w:r>
      <w:r>
        <w:rPr>
          <w:rFonts w:ascii="Times New Roman" w:cs="Times New Roman"/>
        </w:rPr>
        <w:t>行道树种植</w:t>
      </w:r>
    </w:p>
    <w:p w:rsidR="00BD5820" w:rsidRDefault="00F64314">
      <w:pPr>
        <w:pStyle w:val="a1"/>
        <w:ind w:firstLine="480"/>
        <w:rPr>
          <w:rFonts w:ascii="Times New Roman" w:cs="Times New Roman"/>
        </w:rPr>
      </w:pPr>
      <w:r>
        <w:rPr>
          <w:rFonts w:ascii="Times New Roman" w:cs="Times New Roman"/>
        </w:rPr>
        <w:t>选择树形整齐、树干通直、枝叶茂盛、冠大荫浓的树种作为行道数，如杨树、香樟、柏树、小叶榕，坑穴种植，株行距</w:t>
      </w:r>
      <w:r>
        <w:rPr>
          <w:rFonts w:ascii="Times New Roman" w:cs="Times New Roman"/>
        </w:rPr>
        <w:t>3m×3m</w:t>
      </w:r>
      <w:r>
        <w:rPr>
          <w:rFonts w:ascii="Times New Roman" w:cs="Times New Roman"/>
        </w:rPr>
        <w:t>，坑穴尺寸</w:t>
      </w:r>
      <w:r>
        <w:rPr>
          <w:rFonts w:ascii="Times New Roman" w:cs="Times New Roman"/>
        </w:rPr>
        <w:t>0.6m×0.6m×0.6m</w:t>
      </w:r>
      <w:r>
        <w:rPr>
          <w:rFonts w:ascii="Times New Roman" w:cs="Times New Roman"/>
        </w:rPr>
        <w:t>。</w:t>
      </w:r>
    </w:p>
    <w:p w:rsidR="00BD5820" w:rsidRDefault="00F64314">
      <w:pPr>
        <w:pStyle w:val="a1"/>
        <w:ind w:firstLine="480"/>
        <w:rPr>
          <w:rFonts w:ascii="Times New Roman" w:cs="Times New Roman"/>
        </w:rPr>
      </w:pPr>
      <w:r>
        <w:rPr>
          <w:rFonts w:ascii="Times New Roman" w:cs="Times New Roman"/>
        </w:rPr>
        <w:t>b.</w:t>
      </w:r>
      <w:r>
        <w:rPr>
          <w:rFonts w:ascii="Times New Roman" w:cs="Times New Roman"/>
        </w:rPr>
        <w:t>施工场地</w:t>
      </w:r>
    </w:p>
    <w:p w:rsidR="00BD5820" w:rsidRDefault="00F64314">
      <w:pPr>
        <w:pStyle w:val="a1"/>
        <w:ind w:firstLine="480"/>
        <w:rPr>
          <w:rFonts w:ascii="Times New Roman" w:cs="Times New Roman"/>
        </w:rPr>
      </w:pPr>
      <w:r>
        <w:rPr>
          <w:rFonts w:ascii="Times New Roman" w:cs="Times New Roman"/>
        </w:rPr>
        <w:t>施工场地采用灌草结合的方式进行绿化，灌木株行距为</w:t>
      </w:r>
      <w:r>
        <w:rPr>
          <w:rFonts w:ascii="Times New Roman" w:cs="Times New Roman"/>
        </w:rPr>
        <w:t>1.5m×2m</w:t>
      </w:r>
      <w:r>
        <w:rPr>
          <w:rFonts w:ascii="Times New Roman" w:cs="Times New Roman"/>
        </w:rPr>
        <w:t>，坑穴种植，坑穴尺寸</w:t>
      </w:r>
      <w:r>
        <w:rPr>
          <w:rFonts w:ascii="Times New Roman" w:cs="Times New Roman"/>
        </w:rPr>
        <w:t>0.4m×0.4m×0.4m</w:t>
      </w:r>
      <w:r>
        <w:rPr>
          <w:rFonts w:ascii="Times New Roman" w:cs="Times New Roman"/>
        </w:rPr>
        <w:t>，灌木林下撒播种草，撒播密度为</w:t>
      </w:r>
      <w:r>
        <w:rPr>
          <w:rFonts w:ascii="Times New Roman" w:cs="Times New Roman"/>
        </w:rPr>
        <w:t>60kg/hm</w:t>
      </w:r>
      <w:r>
        <w:rPr>
          <w:rFonts w:ascii="Times New Roman" w:cs="Times New Roman"/>
          <w:vertAlign w:val="superscript"/>
        </w:rPr>
        <w:t>2</w:t>
      </w:r>
      <w:r>
        <w:rPr>
          <w:rFonts w:ascii="Times New Roman" w:cs="Times New Roman"/>
        </w:rPr>
        <w:t>。</w:t>
      </w:r>
    </w:p>
    <w:p w:rsidR="00BD5820" w:rsidRDefault="00F64314">
      <w:pPr>
        <w:pStyle w:val="a1"/>
        <w:ind w:firstLine="480"/>
        <w:rPr>
          <w:rFonts w:ascii="Times New Roman" w:cs="Times New Roman"/>
        </w:rPr>
      </w:pPr>
      <w:r>
        <w:rPr>
          <w:rFonts w:ascii="Times New Roman" w:cs="Times New Roman"/>
        </w:rPr>
        <w:t>c.</w:t>
      </w:r>
      <w:r>
        <w:rPr>
          <w:rFonts w:ascii="Times New Roman" w:cs="Times New Roman"/>
        </w:rPr>
        <w:t>抚育管理</w:t>
      </w:r>
    </w:p>
    <w:p w:rsidR="00BD5820" w:rsidRDefault="00F64314">
      <w:pPr>
        <w:pStyle w:val="a1"/>
        <w:ind w:firstLine="480"/>
        <w:rPr>
          <w:rFonts w:ascii="Times New Roman" w:cs="Times New Roman"/>
        </w:rPr>
      </w:pPr>
      <w:r>
        <w:rPr>
          <w:rFonts w:ascii="Times New Roman" w:cs="Times New Roman"/>
        </w:rPr>
        <w:t>栽植、播种后，根据实际情况及时浇水、除草。</w:t>
      </w:r>
    </w:p>
    <w:p w:rsidR="00BD5820" w:rsidRDefault="00F64314">
      <w:pPr>
        <w:pStyle w:val="a1"/>
        <w:ind w:firstLine="480"/>
        <w:rPr>
          <w:rFonts w:ascii="Times New Roman" w:cs="Times New Roman"/>
        </w:rPr>
      </w:pPr>
      <w:r>
        <w:rPr>
          <w:rFonts w:hAnsi="宋体" w:hint="eastAsia"/>
        </w:rPr>
        <w:t>⑥</w:t>
      </w:r>
      <w:r>
        <w:rPr>
          <w:rFonts w:ascii="Times New Roman" w:cs="Times New Roman"/>
        </w:rPr>
        <w:t>植物措施管理技术要点</w:t>
      </w:r>
    </w:p>
    <w:p w:rsidR="00BD5820" w:rsidRDefault="00F64314">
      <w:pPr>
        <w:pStyle w:val="a1"/>
        <w:ind w:firstLine="480"/>
        <w:rPr>
          <w:rFonts w:ascii="Times New Roman" w:cs="Times New Roman"/>
        </w:rPr>
      </w:pPr>
      <w:r>
        <w:rPr>
          <w:rFonts w:ascii="Times New Roman" w:cs="Times New Roman"/>
        </w:rPr>
        <w:t>a.</w:t>
      </w:r>
      <w:r>
        <w:rPr>
          <w:rFonts w:ascii="Times New Roman" w:cs="Times New Roman"/>
        </w:rPr>
        <w:t>幼林抚育管理包括补植、松土、除草、灌水、修枝和平茬，对于成活率低于</w:t>
      </w:r>
      <w:r>
        <w:rPr>
          <w:rFonts w:ascii="Times New Roman" w:cs="Times New Roman"/>
        </w:rPr>
        <w:t>85%</w:t>
      </w:r>
      <w:r>
        <w:rPr>
          <w:rFonts w:ascii="Times New Roman" w:cs="Times New Roman"/>
        </w:rPr>
        <w:t>的林地要进行苗木补植，同时要禁止放牧和人为破坏，做好病虫害防治工作。</w:t>
      </w:r>
    </w:p>
    <w:p w:rsidR="00BD5820" w:rsidRDefault="00F64314">
      <w:pPr>
        <w:pStyle w:val="a1"/>
        <w:ind w:firstLine="480"/>
        <w:rPr>
          <w:rFonts w:ascii="Times New Roman" w:cs="Times New Roman"/>
        </w:rPr>
      </w:pPr>
      <w:r>
        <w:rPr>
          <w:rFonts w:ascii="Times New Roman" w:cs="Times New Roman"/>
        </w:rPr>
        <w:t>b.</w:t>
      </w:r>
      <w:r>
        <w:rPr>
          <w:rFonts w:ascii="Times New Roman" w:cs="Times New Roman"/>
        </w:rPr>
        <w:t>植苗造林所用的苗木必须是未受冻害、为损伤、根系较完整、失水少且经过较短时间和距离运输的苗木，尤其以附近苗圃繁育的优质壮苗为佳；草坪草播后洒水，保持土壤湿润至全部出苗。</w:t>
      </w:r>
    </w:p>
    <w:p w:rsidR="00BD5820" w:rsidRDefault="00F64314">
      <w:pPr>
        <w:pStyle w:val="a1"/>
        <w:ind w:firstLine="480"/>
        <w:rPr>
          <w:rFonts w:ascii="Times New Roman" w:cs="Times New Roman"/>
        </w:rPr>
      </w:pPr>
      <w:r>
        <w:rPr>
          <w:rFonts w:ascii="Times New Roman" w:cs="Times New Roman"/>
        </w:rPr>
        <w:t>c.</w:t>
      </w:r>
      <w:r>
        <w:rPr>
          <w:rFonts w:ascii="Times New Roman" w:cs="Times New Roman"/>
        </w:rPr>
        <w:t>乔木树种选用</w:t>
      </w:r>
      <w:r>
        <w:rPr>
          <w:rFonts w:ascii="Times New Roman" w:cs="Times New Roman"/>
        </w:rPr>
        <w:t>2</w:t>
      </w:r>
      <w:r>
        <w:rPr>
          <w:rFonts w:ascii="Times New Roman" w:cs="Times New Roman"/>
        </w:rPr>
        <w:t>年以上的实生壮苗，苗高</w:t>
      </w:r>
      <w:r>
        <w:rPr>
          <w:rFonts w:ascii="Times New Roman" w:cs="Times New Roman"/>
        </w:rPr>
        <w:t>1.5m</w:t>
      </w:r>
      <w:r>
        <w:rPr>
          <w:rFonts w:ascii="Times New Roman" w:cs="Times New Roman"/>
        </w:rPr>
        <w:t>左右，紫穗槐等灌木选用</w:t>
      </w:r>
      <w:r>
        <w:rPr>
          <w:rFonts w:ascii="Times New Roman" w:cs="Times New Roman"/>
        </w:rPr>
        <w:t>1</w:t>
      </w:r>
      <w:r>
        <w:rPr>
          <w:rFonts w:ascii="Times New Roman" w:cs="Times New Roman"/>
        </w:rPr>
        <w:t>年生壮苗，苗高</w:t>
      </w:r>
      <w:r>
        <w:rPr>
          <w:rFonts w:ascii="Times New Roman" w:cs="Times New Roman"/>
        </w:rPr>
        <w:t>0.5m</w:t>
      </w:r>
      <w:r>
        <w:rPr>
          <w:rFonts w:ascii="Times New Roman" w:cs="Times New Roman"/>
        </w:rPr>
        <w:t>，为提高成活率，每穴栽植两株。狗尾草、野羊茅等草种用当年收获且籽粒饱满、发芽率在</w:t>
      </w:r>
      <w:r>
        <w:rPr>
          <w:rFonts w:ascii="Times New Roman" w:cs="Times New Roman"/>
        </w:rPr>
        <w:t>80%</w:t>
      </w:r>
      <w:r>
        <w:rPr>
          <w:rFonts w:ascii="Times New Roman" w:cs="Times New Roman"/>
        </w:rPr>
        <w:t>以上的种子。</w:t>
      </w:r>
    </w:p>
    <w:p w:rsidR="00BD5820" w:rsidRDefault="00F64314">
      <w:pPr>
        <w:pStyle w:val="a1"/>
        <w:ind w:firstLine="482"/>
        <w:rPr>
          <w:rFonts w:ascii="Times New Roman" w:cs="Times New Roman"/>
          <w:b/>
        </w:rPr>
      </w:pPr>
      <w:bookmarkStart w:id="509" w:name="_Toc12288788"/>
      <w:r>
        <w:rPr>
          <w:rFonts w:ascii="Times New Roman" w:cs="Times New Roman"/>
          <w:b/>
        </w:rPr>
        <w:t>6</w:t>
      </w:r>
      <w:r>
        <w:rPr>
          <w:rFonts w:ascii="Times New Roman" w:cs="Times New Roman"/>
          <w:b/>
        </w:rPr>
        <w:t>、生态景观环境影响减缓措施</w:t>
      </w:r>
      <w:bookmarkEnd w:id="509"/>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1</w:t>
      </w:r>
      <w:r>
        <w:rPr>
          <w:rFonts w:ascii="Times New Roman" w:cs="Times New Roman"/>
        </w:rPr>
        <w:t>）施工过程中，文明施工，有序作业，减少临时占地面积，尽量减少农作物的损失。</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2</w:t>
      </w:r>
      <w:r>
        <w:rPr>
          <w:rFonts w:ascii="Times New Roman" w:cs="Times New Roman"/>
        </w:rPr>
        <w:t>）在遇到确定为环境敏感点的区域时，施工人员、施工车辆以及各种设备</w:t>
      </w:r>
      <w:r>
        <w:rPr>
          <w:rFonts w:ascii="Times New Roman" w:cs="Times New Roman"/>
        </w:rPr>
        <w:lastRenderedPageBreak/>
        <w:t>应按规定的路线行驶、操作，不得随意破坏道路等设施。</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3</w:t>
      </w:r>
      <w:r>
        <w:rPr>
          <w:rFonts w:ascii="Times New Roman" w:cs="Times New Roman"/>
        </w:rPr>
        <w:t>）对必须要毁坏的树木，予以经济补偿或者是易地种植，种植地通常可选择在铁路、公路两旁、河渠两侧等。</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4</w:t>
      </w:r>
      <w:r>
        <w:rPr>
          <w:rFonts w:ascii="Times New Roman" w:cs="Times New Roman"/>
        </w:rPr>
        <w:t>）尽量缩短施工期，使土壤暴露时间缩短，并快速回填。</w:t>
      </w:r>
    </w:p>
    <w:p w:rsidR="00BD5820" w:rsidRDefault="00F64314">
      <w:pPr>
        <w:pStyle w:val="a1"/>
        <w:ind w:firstLine="482"/>
        <w:rPr>
          <w:rFonts w:ascii="Times New Roman" w:cs="Times New Roman"/>
          <w:b/>
        </w:rPr>
      </w:pPr>
      <w:bookmarkStart w:id="510" w:name="_Toc12288789"/>
      <w:r>
        <w:rPr>
          <w:rFonts w:ascii="Times New Roman" w:cs="Times New Roman"/>
          <w:b/>
        </w:rPr>
        <w:t>7</w:t>
      </w:r>
      <w:r>
        <w:rPr>
          <w:rFonts w:ascii="Times New Roman" w:cs="Times New Roman"/>
          <w:b/>
        </w:rPr>
        <w:t>、水土流失防治措施</w:t>
      </w:r>
      <w:bookmarkEnd w:id="510"/>
    </w:p>
    <w:p w:rsidR="00BD5820" w:rsidRDefault="00F64314">
      <w:pPr>
        <w:pStyle w:val="a1"/>
        <w:ind w:firstLine="480"/>
      </w:pPr>
      <w:r>
        <w:t>项目位于宣汉县</w:t>
      </w:r>
      <w:r>
        <w:rPr>
          <w:rFonts w:hint="eastAsia"/>
        </w:rPr>
        <w:t>普光</w:t>
      </w:r>
      <w:r>
        <w:t>镇境内</w:t>
      </w:r>
      <w:r>
        <w:rPr>
          <w:rFonts w:hint="eastAsia"/>
        </w:rPr>
        <w:t>，涉及</w:t>
      </w:r>
      <w:r>
        <w:t>嘉陵江及沱江中下游国家级水土流失重点治理区，</w:t>
      </w:r>
      <w:r>
        <w:rPr>
          <w:rFonts w:hint="eastAsia"/>
        </w:rPr>
        <w:t>因此，本项目需采取水土流水污染防止</w:t>
      </w:r>
      <w:r>
        <w:t>高标准，</w:t>
      </w:r>
      <w:r>
        <w:rPr>
          <w:rFonts w:hint="eastAsia"/>
        </w:rPr>
        <w:t>采取严格的</w:t>
      </w:r>
      <w:r>
        <w:t>水土保持防护措施及施工管理</w:t>
      </w:r>
      <w:r>
        <w:rPr>
          <w:rFonts w:hint="eastAsia"/>
        </w:rPr>
        <w:t>措施</w:t>
      </w:r>
      <w:r>
        <w:t>，从水土保持角度来看，通过提高防治标准，采取积极的水土保持措施，加强工程施工期间的临时防护以及管控，可以将不利影响降到最低。</w:t>
      </w:r>
    </w:p>
    <w:p w:rsidR="00BD5820" w:rsidRDefault="00F64314">
      <w:pPr>
        <w:pStyle w:val="a1"/>
        <w:ind w:firstLine="482"/>
        <w:rPr>
          <w:rFonts w:ascii="Times New Roman" w:cs="Times New Roman"/>
          <w:b/>
        </w:rPr>
      </w:pPr>
      <w:r>
        <w:rPr>
          <w:rFonts w:ascii="Times New Roman" w:cs="Times New Roman" w:hint="eastAsia"/>
          <w:b/>
        </w:rPr>
        <w:t>7.1</w:t>
      </w:r>
      <w:r>
        <w:rPr>
          <w:rFonts w:ascii="Times New Roman" w:cs="Times New Roman"/>
          <w:b/>
        </w:rPr>
        <w:t>水土流失防治措施总体布设原则</w:t>
      </w:r>
    </w:p>
    <w:p w:rsidR="00BD5820" w:rsidRDefault="00F64314">
      <w:pPr>
        <w:pStyle w:val="a1"/>
        <w:ind w:firstLine="480"/>
        <w:rPr>
          <w:rFonts w:ascii="Times New Roman" w:cs="Times New Roman"/>
        </w:rPr>
      </w:pPr>
      <w:r>
        <w:rPr>
          <w:rFonts w:ascii="Times New Roman" w:cs="Times New Roman" w:hint="eastAsia"/>
        </w:rPr>
        <w:t>（</w:t>
      </w:r>
      <w:r>
        <w:rPr>
          <w:rFonts w:ascii="Times New Roman" w:cs="Times New Roman" w:hint="eastAsia"/>
        </w:rPr>
        <w:t>1</w:t>
      </w:r>
      <w:r>
        <w:rPr>
          <w:rFonts w:ascii="Times New Roman" w:cs="Times New Roman" w:hint="eastAsia"/>
        </w:rPr>
        <w:t>）</w:t>
      </w:r>
      <w:r>
        <w:rPr>
          <w:rFonts w:ascii="Times New Roman" w:cs="Times New Roman"/>
        </w:rPr>
        <w:t>结合工程实际和项目区水土流失现状，因地制宜、因害设防、防治结合、全面布局、科学配置。</w:t>
      </w:r>
    </w:p>
    <w:p w:rsidR="00BD5820" w:rsidRDefault="00F64314">
      <w:pPr>
        <w:pStyle w:val="a1"/>
        <w:ind w:firstLine="480"/>
        <w:rPr>
          <w:rFonts w:ascii="Times New Roman" w:cs="Times New Roman"/>
        </w:rPr>
      </w:pPr>
      <w:r>
        <w:rPr>
          <w:rFonts w:ascii="Times New Roman" w:cs="Times New Roman" w:hint="eastAsia"/>
        </w:rPr>
        <w:t>（</w:t>
      </w:r>
      <w:r>
        <w:rPr>
          <w:rFonts w:ascii="Times New Roman" w:cs="Times New Roman" w:hint="eastAsia"/>
        </w:rPr>
        <w:t>2</w:t>
      </w:r>
      <w:r>
        <w:rPr>
          <w:rFonts w:ascii="Times New Roman" w:cs="Times New Roman" w:hint="eastAsia"/>
        </w:rPr>
        <w:t>）</w:t>
      </w:r>
      <w:r>
        <w:rPr>
          <w:rFonts w:ascii="Times New Roman" w:cs="Times New Roman"/>
        </w:rPr>
        <w:t>应控制和减少对原地貌、地表植被、水系的扰动和损毁，保护原地表植被、表土层，减少占用水、土资源，提高利用效率。</w:t>
      </w:r>
    </w:p>
    <w:p w:rsidR="00BD5820" w:rsidRDefault="00F64314">
      <w:pPr>
        <w:pStyle w:val="a1"/>
        <w:ind w:firstLine="480"/>
        <w:rPr>
          <w:rFonts w:ascii="Times New Roman" w:cs="Times New Roman"/>
        </w:rPr>
      </w:pPr>
      <w:r>
        <w:rPr>
          <w:rFonts w:ascii="Times New Roman" w:cs="Times New Roman" w:hint="eastAsia"/>
        </w:rPr>
        <w:t>（</w:t>
      </w:r>
      <w:r>
        <w:rPr>
          <w:rFonts w:ascii="Times New Roman" w:cs="Times New Roman" w:hint="eastAsia"/>
        </w:rPr>
        <w:t>3</w:t>
      </w:r>
      <w:r>
        <w:rPr>
          <w:rFonts w:ascii="Times New Roman" w:cs="Times New Roman" w:hint="eastAsia"/>
        </w:rPr>
        <w:t>）</w:t>
      </w:r>
      <w:r>
        <w:rPr>
          <w:rFonts w:ascii="Times New Roman" w:cs="Times New Roman"/>
        </w:rPr>
        <w:t>开挖、排弃、堆垫的场地必须采取拦挡、护坡、排水及土地整治等措施。</w:t>
      </w:r>
    </w:p>
    <w:p w:rsidR="00BD5820" w:rsidRDefault="00F64314">
      <w:pPr>
        <w:pStyle w:val="a1"/>
        <w:ind w:firstLine="480"/>
        <w:rPr>
          <w:rFonts w:ascii="Times New Roman" w:cs="Times New Roman"/>
        </w:rPr>
      </w:pPr>
      <w:r>
        <w:rPr>
          <w:rFonts w:ascii="Times New Roman" w:cs="Times New Roman" w:hint="eastAsia"/>
        </w:rPr>
        <w:t>（</w:t>
      </w:r>
      <w:r>
        <w:rPr>
          <w:rFonts w:ascii="Times New Roman" w:cs="Times New Roman" w:hint="eastAsia"/>
        </w:rPr>
        <w:t>4</w:t>
      </w:r>
      <w:r>
        <w:rPr>
          <w:rFonts w:ascii="Times New Roman" w:cs="Times New Roman" w:hint="eastAsia"/>
        </w:rPr>
        <w:t>）</w:t>
      </w:r>
      <w:r>
        <w:rPr>
          <w:rFonts w:ascii="Times New Roman" w:cs="Times New Roman"/>
        </w:rPr>
        <w:t>弃土（石、渣）应综合利用，不能利用的应集中堆放在专门的存放地，并按</w:t>
      </w:r>
      <w:r>
        <w:rPr>
          <w:rFonts w:ascii="Times New Roman" w:cs="Times New Roman"/>
        </w:rPr>
        <w:t>“</w:t>
      </w:r>
      <w:r>
        <w:rPr>
          <w:rFonts w:ascii="Times New Roman" w:cs="Times New Roman"/>
        </w:rPr>
        <w:t>先拦后弃</w:t>
      </w:r>
      <w:r>
        <w:rPr>
          <w:rFonts w:ascii="Times New Roman" w:cs="Times New Roman"/>
        </w:rPr>
        <w:t>”</w:t>
      </w:r>
      <w:r>
        <w:rPr>
          <w:rFonts w:ascii="Times New Roman" w:cs="Times New Roman"/>
        </w:rPr>
        <w:t>的原则采取拦挡措施，不得在饮用水源保护区、建成水库、河道及灌渠管理范围内布设弃土（石、渣）场。</w:t>
      </w:r>
    </w:p>
    <w:p w:rsidR="00BD5820" w:rsidRDefault="00F64314">
      <w:pPr>
        <w:pStyle w:val="a1"/>
        <w:ind w:firstLine="480"/>
        <w:rPr>
          <w:rFonts w:ascii="Times New Roman" w:cs="Times New Roman"/>
        </w:rPr>
      </w:pPr>
      <w:r>
        <w:rPr>
          <w:rFonts w:ascii="Times New Roman" w:cs="Times New Roman" w:hint="eastAsia"/>
        </w:rPr>
        <w:t>（</w:t>
      </w:r>
      <w:r>
        <w:rPr>
          <w:rFonts w:ascii="Times New Roman" w:cs="Times New Roman" w:hint="eastAsia"/>
        </w:rPr>
        <w:t>5</w:t>
      </w:r>
      <w:r>
        <w:rPr>
          <w:rFonts w:ascii="Times New Roman" w:cs="Times New Roman" w:hint="eastAsia"/>
        </w:rPr>
        <w:t>）</w:t>
      </w:r>
      <w:r>
        <w:rPr>
          <w:rFonts w:ascii="Times New Roman" w:cs="Times New Roman"/>
        </w:rPr>
        <w:t>施工迹地应及时进行土地平整压实，采取水土保持措施，恢复其利用功能。</w:t>
      </w:r>
    </w:p>
    <w:p w:rsidR="00BD5820" w:rsidRDefault="00F64314">
      <w:pPr>
        <w:pStyle w:val="a1"/>
        <w:ind w:firstLine="480"/>
        <w:rPr>
          <w:rFonts w:ascii="Times New Roman" w:cs="Times New Roman"/>
        </w:rPr>
      </w:pPr>
      <w:r>
        <w:rPr>
          <w:rFonts w:ascii="Times New Roman" w:cs="Times New Roman" w:hint="eastAsia"/>
        </w:rPr>
        <w:t>（</w:t>
      </w:r>
      <w:r>
        <w:rPr>
          <w:rFonts w:ascii="Times New Roman" w:cs="Times New Roman" w:hint="eastAsia"/>
        </w:rPr>
        <w:t>6</w:t>
      </w:r>
      <w:r>
        <w:rPr>
          <w:rFonts w:ascii="Times New Roman" w:cs="Times New Roman" w:hint="eastAsia"/>
        </w:rPr>
        <w:t>）</w:t>
      </w:r>
      <w:r>
        <w:rPr>
          <w:rFonts w:ascii="Times New Roman" w:cs="Times New Roman"/>
        </w:rPr>
        <w:t>项目建设过程中应注重生态环境保护，设置临时性防护措施，减少施工过程中造成的人为干扰及产生的弃土、石、渣。</w:t>
      </w:r>
    </w:p>
    <w:p w:rsidR="00BD5820" w:rsidRDefault="00F64314">
      <w:pPr>
        <w:pStyle w:val="a1"/>
        <w:ind w:firstLine="480"/>
        <w:rPr>
          <w:rFonts w:ascii="Times New Roman" w:cs="Times New Roman"/>
        </w:rPr>
      </w:pPr>
      <w:r>
        <w:rPr>
          <w:rFonts w:ascii="Times New Roman" w:cs="Times New Roman" w:hint="eastAsia"/>
        </w:rPr>
        <w:t>（</w:t>
      </w:r>
      <w:r>
        <w:rPr>
          <w:rFonts w:ascii="Times New Roman" w:cs="Times New Roman" w:hint="eastAsia"/>
        </w:rPr>
        <w:t>7</w:t>
      </w:r>
      <w:r>
        <w:rPr>
          <w:rFonts w:ascii="Times New Roman" w:cs="Times New Roman" w:hint="eastAsia"/>
        </w:rPr>
        <w:t>）</w:t>
      </w:r>
      <w:r>
        <w:rPr>
          <w:rFonts w:ascii="Times New Roman" w:cs="Times New Roman"/>
        </w:rPr>
        <w:t>注重吸收当地水土保持的成功经验，借鉴国内外先进技术。</w:t>
      </w:r>
    </w:p>
    <w:p w:rsidR="00BD5820" w:rsidRDefault="00F64314">
      <w:pPr>
        <w:pStyle w:val="a1"/>
        <w:ind w:firstLine="480"/>
        <w:rPr>
          <w:rFonts w:ascii="Times New Roman" w:cs="Times New Roman"/>
        </w:rPr>
      </w:pPr>
      <w:r>
        <w:rPr>
          <w:rFonts w:ascii="Times New Roman" w:cs="Times New Roman" w:hint="eastAsia"/>
        </w:rPr>
        <w:t>（</w:t>
      </w:r>
      <w:r>
        <w:rPr>
          <w:rFonts w:ascii="Times New Roman" w:cs="Times New Roman" w:hint="eastAsia"/>
        </w:rPr>
        <w:t>8</w:t>
      </w:r>
      <w:r>
        <w:rPr>
          <w:rFonts w:ascii="Times New Roman" w:cs="Times New Roman" w:hint="eastAsia"/>
        </w:rPr>
        <w:t>）</w:t>
      </w:r>
      <w:r>
        <w:rPr>
          <w:rFonts w:ascii="Times New Roman" w:cs="Times New Roman"/>
        </w:rPr>
        <w:t>工程措施、临时措施合理配置，统筹兼顾，形成综合防护体系。</w:t>
      </w:r>
    </w:p>
    <w:p w:rsidR="00BD5820" w:rsidRDefault="00F64314">
      <w:pPr>
        <w:pStyle w:val="a1"/>
        <w:ind w:firstLine="480"/>
        <w:rPr>
          <w:rFonts w:ascii="Times New Roman" w:cs="Times New Roman"/>
        </w:rPr>
      </w:pPr>
      <w:r>
        <w:rPr>
          <w:rFonts w:ascii="Times New Roman" w:cs="Times New Roman" w:hint="eastAsia"/>
        </w:rPr>
        <w:t>（</w:t>
      </w:r>
      <w:r>
        <w:rPr>
          <w:rFonts w:ascii="Times New Roman" w:cs="Times New Roman" w:hint="eastAsia"/>
        </w:rPr>
        <w:t>9</w:t>
      </w:r>
      <w:r>
        <w:rPr>
          <w:rFonts w:ascii="Times New Roman" w:cs="Times New Roman" w:hint="eastAsia"/>
        </w:rPr>
        <w:t>）</w:t>
      </w:r>
      <w:r>
        <w:rPr>
          <w:rFonts w:ascii="Times New Roman" w:cs="Times New Roman"/>
        </w:rPr>
        <w:t>工程措施要尽量选用当地材料，做到技术上可靠、经济上合理。</w:t>
      </w:r>
    </w:p>
    <w:p w:rsidR="00BD5820" w:rsidRDefault="00F64314">
      <w:pPr>
        <w:pStyle w:val="a1"/>
        <w:ind w:firstLine="480"/>
        <w:rPr>
          <w:rFonts w:ascii="Times New Roman" w:cs="Times New Roman"/>
        </w:rPr>
      </w:pPr>
      <w:r>
        <w:rPr>
          <w:rFonts w:ascii="Times New Roman" w:cs="Times New Roman" w:hint="eastAsia"/>
        </w:rPr>
        <w:t>（</w:t>
      </w:r>
      <w:r>
        <w:rPr>
          <w:rFonts w:ascii="Times New Roman" w:cs="Times New Roman" w:hint="eastAsia"/>
        </w:rPr>
        <w:t>10</w:t>
      </w:r>
      <w:r>
        <w:rPr>
          <w:rFonts w:ascii="Times New Roman" w:cs="Times New Roman" w:hint="eastAsia"/>
        </w:rPr>
        <w:t>）</w:t>
      </w:r>
      <w:r>
        <w:rPr>
          <w:rFonts w:ascii="Times New Roman" w:cs="Times New Roman"/>
        </w:rPr>
        <w:t>防治措施布设要与主体工程密切配合，相互协调，形成整体。</w:t>
      </w:r>
    </w:p>
    <w:p w:rsidR="00BD5820" w:rsidRDefault="00F64314">
      <w:pPr>
        <w:pStyle w:val="a1"/>
        <w:ind w:firstLine="482"/>
        <w:rPr>
          <w:rFonts w:ascii="Times New Roman" w:cs="Times New Roman"/>
          <w:b/>
        </w:rPr>
      </w:pPr>
      <w:r>
        <w:rPr>
          <w:rFonts w:ascii="Times New Roman" w:cs="Times New Roman" w:hint="eastAsia"/>
          <w:b/>
        </w:rPr>
        <w:t>7.</w:t>
      </w:r>
      <w:r>
        <w:rPr>
          <w:rFonts w:ascii="Times New Roman" w:cs="Times New Roman"/>
          <w:b/>
        </w:rPr>
        <w:t>2</w:t>
      </w:r>
      <w:r>
        <w:rPr>
          <w:rFonts w:ascii="Times New Roman" w:cs="Times New Roman"/>
          <w:b/>
        </w:rPr>
        <w:t>水土流失防治措施总体布局</w:t>
      </w:r>
    </w:p>
    <w:p w:rsidR="00BD5820" w:rsidRDefault="00F64314">
      <w:pPr>
        <w:pStyle w:val="a1"/>
        <w:ind w:firstLine="480"/>
        <w:rPr>
          <w:rFonts w:ascii="Times New Roman" w:cs="Times New Roman"/>
        </w:rPr>
      </w:pPr>
      <w:r>
        <w:rPr>
          <w:rFonts w:ascii="Times New Roman" w:cs="Times New Roman" w:hint="eastAsia"/>
        </w:rPr>
        <w:t>本项目</w:t>
      </w:r>
      <w:r>
        <w:rPr>
          <w:rFonts w:ascii="Times New Roman" w:cs="Times New Roman"/>
        </w:rPr>
        <w:t>水土保持防治措施由工程措施、植物措施和临时措施构成。水土保持防治措施布局按照综合防治的原则进行规划，从而确定</w:t>
      </w:r>
      <w:r>
        <w:rPr>
          <w:rFonts w:ascii="Times New Roman" w:cs="Times New Roman" w:hint="eastAsia"/>
        </w:rPr>
        <w:t>本项目</w:t>
      </w:r>
      <w:r>
        <w:rPr>
          <w:rFonts w:ascii="Times New Roman" w:cs="Times New Roman"/>
        </w:rPr>
        <w:t>水土流失防治体系</w:t>
      </w:r>
      <w:r>
        <w:rPr>
          <w:rFonts w:ascii="Times New Roman" w:cs="Times New Roman"/>
        </w:rPr>
        <w:lastRenderedPageBreak/>
        <w:t>和总体布局。</w:t>
      </w:r>
    </w:p>
    <w:p w:rsidR="00BD5820" w:rsidRDefault="00F64314">
      <w:pPr>
        <w:pStyle w:val="a1"/>
        <w:ind w:firstLine="480"/>
        <w:rPr>
          <w:rFonts w:ascii="Times New Roman" w:cs="Times New Roman"/>
        </w:rPr>
      </w:pPr>
      <w:r>
        <w:rPr>
          <w:rFonts w:ascii="Times New Roman" w:cs="Times New Roman"/>
        </w:rPr>
        <w:t>本项目分为三个区即</w:t>
      </w:r>
      <w:r>
        <w:rPr>
          <w:rFonts w:ascii="Times New Roman" w:cs="Times New Roman" w:hint="eastAsia"/>
        </w:rPr>
        <w:t>站场</w:t>
      </w:r>
      <w:r>
        <w:rPr>
          <w:rFonts w:ascii="Times New Roman" w:cs="Times New Roman"/>
        </w:rPr>
        <w:t>及附属工程防治区、</w:t>
      </w:r>
      <w:r>
        <w:rPr>
          <w:rFonts w:ascii="Times New Roman" w:cs="Times New Roman" w:hint="eastAsia"/>
        </w:rPr>
        <w:t>站场</w:t>
      </w:r>
      <w:r>
        <w:rPr>
          <w:rFonts w:ascii="Times New Roman" w:cs="Times New Roman"/>
        </w:rPr>
        <w:t>进场道路防治区、临时堆土防治区进行水土保持措施总体布局：</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1</w:t>
      </w:r>
      <w:r>
        <w:rPr>
          <w:rFonts w:ascii="Times New Roman" w:cs="Times New Roman"/>
        </w:rPr>
        <w:t>）</w:t>
      </w:r>
      <w:r>
        <w:rPr>
          <w:rFonts w:ascii="Times New Roman" w:cs="Times New Roman" w:hint="eastAsia"/>
        </w:rPr>
        <w:t>站场</w:t>
      </w:r>
      <w:r>
        <w:rPr>
          <w:rFonts w:ascii="Times New Roman" w:cs="Times New Roman"/>
        </w:rPr>
        <w:t>及附属工程防治区</w:t>
      </w:r>
    </w:p>
    <w:p w:rsidR="00BD5820" w:rsidRDefault="00F64314">
      <w:pPr>
        <w:pStyle w:val="a1"/>
        <w:ind w:firstLine="480"/>
        <w:rPr>
          <w:rFonts w:ascii="Times New Roman" w:cs="Times New Roman"/>
        </w:rPr>
      </w:pPr>
      <w:r>
        <w:rPr>
          <w:rFonts w:ascii="Times New Roman" w:cs="Times New Roman"/>
        </w:rPr>
        <w:t>1</w:t>
      </w:r>
      <w:r>
        <w:rPr>
          <w:rFonts w:ascii="Times New Roman" w:cs="Times New Roman"/>
        </w:rPr>
        <w:t>）场地平整前先进行表土剥离，剥离后的表土集中堆放于临时堆土区；</w:t>
      </w:r>
    </w:p>
    <w:p w:rsidR="00BD5820" w:rsidRDefault="00F64314">
      <w:pPr>
        <w:pStyle w:val="a1"/>
        <w:ind w:firstLine="480"/>
        <w:rPr>
          <w:rFonts w:ascii="Times New Roman" w:cs="Times New Roman"/>
        </w:rPr>
      </w:pPr>
      <w:r>
        <w:rPr>
          <w:rFonts w:ascii="Times New Roman" w:cs="Times New Roman"/>
        </w:rPr>
        <w:t>2</w:t>
      </w:r>
      <w:r>
        <w:rPr>
          <w:rFonts w:ascii="Times New Roman" w:cs="Times New Roman"/>
        </w:rPr>
        <w:t>）建设中，主体在</w:t>
      </w:r>
      <w:r>
        <w:rPr>
          <w:rFonts w:ascii="Times New Roman" w:cs="Times New Roman" w:hint="eastAsia"/>
        </w:rPr>
        <w:t>站场</w:t>
      </w:r>
      <w:r>
        <w:rPr>
          <w:rFonts w:ascii="Times New Roman" w:cs="Times New Roman"/>
        </w:rPr>
        <w:t>四周布设</w:t>
      </w:r>
      <w:r>
        <w:rPr>
          <w:rFonts w:ascii="Times New Roman" w:cs="Times New Roman" w:hint="eastAsia"/>
        </w:rPr>
        <w:t>站场</w:t>
      </w:r>
      <w:r>
        <w:rPr>
          <w:rFonts w:ascii="Times New Roman" w:cs="Times New Roman"/>
        </w:rPr>
        <w:t>边沟，新建</w:t>
      </w:r>
      <w:r>
        <w:rPr>
          <w:rFonts w:ascii="Times New Roman" w:cs="Times New Roman" w:hint="eastAsia"/>
        </w:rPr>
        <w:t>站场</w:t>
      </w:r>
      <w:r>
        <w:rPr>
          <w:rFonts w:ascii="Times New Roman" w:cs="Times New Roman"/>
        </w:rPr>
        <w:t>内设置排污沟，</w:t>
      </w:r>
      <w:r>
        <w:rPr>
          <w:rFonts w:ascii="Times New Roman" w:cs="Times New Roman" w:hint="eastAsia"/>
        </w:rPr>
        <w:t>站场</w:t>
      </w:r>
      <w:r>
        <w:rPr>
          <w:rFonts w:ascii="Times New Roman" w:cs="Times New Roman"/>
        </w:rPr>
        <w:t>边沟出水接入周边自然水系；在</w:t>
      </w:r>
      <w:r>
        <w:rPr>
          <w:rFonts w:ascii="Times New Roman" w:cs="Times New Roman" w:hint="eastAsia"/>
        </w:rPr>
        <w:t>站场</w:t>
      </w:r>
      <w:r>
        <w:rPr>
          <w:rFonts w:ascii="Times New Roman" w:cs="Times New Roman"/>
        </w:rPr>
        <w:t>北侧、东侧边坡坡顶设置截水沟，出口接入自然水系；在开挖裸露面设置植草绿化护坡；方案对</w:t>
      </w:r>
      <w:r>
        <w:rPr>
          <w:rFonts w:ascii="Times New Roman" w:cs="Times New Roman" w:hint="eastAsia"/>
        </w:rPr>
        <w:t>站场</w:t>
      </w:r>
      <w:r>
        <w:rPr>
          <w:rFonts w:ascii="Times New Roman" w:cs="Times New Roman"/>
        </w:rPr>
        <w:t>裸露面进行临时彩条布苫盖。</w:t>
      </w:r>
    </w:p>
    <w:p w:rsidR="00BD5820" w:rsidRDefault="00F64314">
      <w:pPr>
        <w:pStyle w:val="a1"/>
        <w:ind w:firstLine="480"/>
        <w:rPr>
          <w:rFonts w:ascii="Times New Roman" w:cs="Times New Roman"/>
        </w:rPr>
      </w:pPr>
      <w:r>
        <w:rPr>
          <w:rFonts w:ascii="Times New Roman" w:cs="Times New Roman"/>
        </w:rPr>
        <w:t>3</w:t>
      </w:r>
      <w:r>
        <w:rPr>
          <w:rFonts w:ascii="Times New Roman" w:cs="Times New Roman"/>
        </w:rPr>
        <w:t>）</w:t>
      </w:r>
      <w:r>
        <w:rPr>
          <w:rFonts w:ascii="Times New Roman" w:cs="Times New Roman" w:hint="eastAsia"/>
        </w:rPr>
        <w:t>施工结束</w:t>
      </w:r>
      <w:r>
        <w:rPr>
          <w:rFonts w:ascii="Times New Roman" w:cs="Times New Roman"/>
        </w:rPr>
        <w:t>拆除临时设施后，对</w:t>
      </w:r>
      <w:r>
        <w:rPr>
          <w:rFonts w:ascii="Times New Roman" w:cs="Times New Roman" w:hint="eastAsia"/>
        </w:rPr>
        <w:t>站场</w:t>
      </w:r>
      <w:r>
        <w:rPr>
          <w:rFonts w:ascii="Times New Roman" w:cs="Times New Roman"/>
        </w:rPr>
        <w:t>进行土地整治和表土回填，恢复地表作物和植被。</w:t>
      </w:r>
    </w:p>
    <w:p w:rsidR="00BD5820" w:rsidRDefault="00F64314">
      <w:pPr>
        <w:pStyle w:val="a1"/>
        <w:ind w:firstLine="480"/>
        <w:rPr>
          <w:rFonts w:ascii="Times New Roman" w:cs="Times New Roman"/>
        </w:rPr>
      </w:pPr>
      <w:r>
        <w:rPr>
          <w:rFonts w:ascii="Times New Roman" w:cs="Times New Roman" w:hint="eastAsia"/>
        </w:rPr>
        <w:t>（</w:t>
      </w:r>
      <w:r>
        <w:rPr>
          <w:rFonts w:ascii="Times New Roman" w:cs="Times New Roman" w:hint="eastAsia"/>
        </w:rPr>
        <w:t>2</w:t>
      </w:r>
      <w:r>
        <w:rPr>
          <w:rFonts w:ascii="Times New Roman" w:cs="Times New Roman" w:hint="eastAsia"/>
        </w:rPr>
        <w:t>）站场</w:t>
      </w:r>
      <w:r>
        <w:rPr>
          <w:rFonts w:ascii="Times New Roman" w:cs="Times New Roman"/>
        </w:rPr>
        <w:t>进场道路防治区</w:t>
      </w:r>
    </w:p>
    <w:p w:rsidR="00BD5820" w:rsidRDefault="00F64314">
      <w:pPr>
        <w:pStyle w:val="a1"/>
        <w:ind w:firstLine="480"/>
        <w:rPr>
          <w:rFonts w:ascii="Times New Roman" w:cs="Times New Roman"/>
        </w:rPr>
      </w:pPr>
      <w:r>
        <w:rPr>
          <w:rFonts w:ascii="Times New Roman" w:cs="Times New Roman"/>
        </w:rPr>
        <w:t>1</w:t>
      </w:r>
      <w:r>
        <w:rPr>
          <w:rFonts w:ascii="Times New Roman" w:cs="Times New Roman"/>
        </w:rPr>
        <w:t>）道路路基开挖前先进行表土剥离，主体对剥离的表土集中堆放至临时堆土区；在道路东侧设置排水沟，出口接入附近东侧的水沟；方案对场地道路裸露边坡进行临时彩条布苫盖；</w:t>
      </w:r>
    </w:p>
    <w:p w:rsidR="00BD5820" w:rsidRDefault="00F64314">
      <w:pPr>
        <w:pStyle w:val="a1"/>
        <w:ind w:firstLine="480"/>
        <w:rPr>
          <w:rFonts w:ascii="Times New Roman" w:cs="Times New Roman"/>
        </w:rPr>
      </w:pPr>
      <w:r>
        <w:rPr>
          <w:rFonts w:ascii="Times New Roman" w:cs="Times New Roman"/>
        </w:rPr>
        <w:t>2</w:t>
      </w:r>
      <w:r>
        <w:rPr>
          <w:rFonts w:ascii="Times New Roman" w:cs="Times New Roman"/>
        </w:rPr>
        <w:t>）</w:t>
      </w:r>
      <w:r>
        <w:rPr>
          <w:rFonts w:ascii="Times New Roman" w:cs="Times New Roman" w:hint="eastAsia"/>
        </w:rPr>
        <w:t>施工结束</w:t>
      </w:r>
      <w:r>
        <w:rPr>
          <w:rFonts w:ascii="Times New Roman" w:cs="Times New Roman"/>
        </w:rPr>
        <w:t>拆除临时设施后，对本区进行土地整治和表土回填，恢复地表作物和植被。</w:t>
      </w:r>
    </w:p>
    <w:p w:rsidR="00BD5820" w:rsidRDefault="00F64314">
      <w:pPr>
        <w:pStyle w:val="a1"/>
        <w:ind w:firstLine="480"/>
        <w:rPr>
          <w:rFonts w:ascii="Times New Roman" w:cs="Times New Roman"/>
        </w:rPr>
      </w:pPr>
      <w:r>
        <w:rPr>
          <w:rFonts w:ascii="Times New Roman" w:cs="Times New Roman" w:hint="eastAsia"/>
        </w:rPr>
        <w:t>（</w:t>
      </w:r>
      <w:r>
        <w:rPr>
          <w:rFonts w:ascii="Times New Roman" w:cs="Times New Roman" w:hint="eastAsia"/>
        </w:rPr>
        <w:t>3</w:t>
      </w:r>
      <w:r>
        <w:rPr>
          <w:rFonts w:ascii="Times New Roman" w:cs="Times New Roman" w:hint="eastAsia"/>
        </w:rPr>
        <w:t>）</w:t>
      </w:r>
      <w:r>
        <w:rPr>
          <w:rFonts w:ascii="Times New Roman" w:cs="Times New Roman"/>
        </w:rPr>
        <w:t>临时堆土防治区</w:t>
      </w:r>
    </w:p>
    <w:p w:rsidR="00BD5820" w:rsidRDefault="00F64314">
      <w:pPr>
        <w:pStyle w:val="a1"/>
        <w:ind w:firstLine="480"/>
        <w:rPr>
          <w:rFonts w:ascii="Times New Roman" w:cs="Times New Roman"/>
        </w:rPr>
      </w:pPr>
      <w:r>
        <w:rPr>
          <w:rFonts w:ascii="Times New Roman" w:cs="Times New Roman"/>
        </w:rPr>
        <w:t>1</w:t>
      </w:r>
      <w:r>
        <w:rPr>
          <w:rFonts w:ascii="Times New Roman" w:cs="Times New Roman"/>
        </w:rPr>
        <w:t>）表土堆放中，方案在临时堆土区外边缘设置临时土袋挡墙，在临时堆土区外边设置临时排水沟；</w:t>
      </w:r>
      <w:r>
        <w:rPr>
          <w:rFonts w:ascii="Times New Roman" w:cs="Times New Roman"/>
          <w:bCs/>
        </w:rPr>
        <w:t>对</w:t>
      </w:r>
      <w:r>
        <w:rPr>
          <w:rFonts w:ascii="Times New Roman" w:cs="Times New Roman"/>
        </w:rPr>
        <w:t>堆土区域撒播草籽进行临时植被恢复；对堆土裸露面进行临时彩条布苫盖；</w:t>
      </w:r>
    </w:p>
    <w:p w:rsidR="00BD5820" w:rsidRDefault="00F64314">
      <w:pPr>
        <w:pStyle w:val="a1"/>
        <w:ind w:firstLine="480"/>
        <w:rPr>
          <w:rFonts w:ascii="Times New Roman" w:cs="Times New Roman"/>
        </w:rPr>
      </w:pPr>
      <w:r>
        <w:rPr>
          <w:rFonts w:ascii="Times New Roman" w:cs="Times New Roman"/>
        </w:rPr>
        <w:t>2</w:t>
      </w:r>
      <w:r>
        <w:rPr>
          <w:rFonts w:ascii="Times New Roman" w:cs="Times New Roman"/>
        </w:rPr>
        <w:t>）表土全部用于各区回填后，进行土地整治并恢复地表作物。</w:t>
      </w:r>
    </w:p>
    <w:p w:rsidR="00BD5820" w:rsidRDefault="00F64314">
      <w:pPr>
        <w:topLinePunct w:val="0"/>
        <w:adjustRightInd/>
        <w:spacing w:line="240" w:lineRule="auto"/>
        <w:ind w:firstLineChars="0" w:firstLine="0"/>
        <w:jc w:val="center"/>
        <w:rPr>
          <w:rFonts w:hAnsi="宋体" w:cs="Times New Roman"/>
          <w:b/>
          <w:kern w:val="2"/>
          <w:sz w:val="21"/>
          <w:szCs w:val="22"/>
        </w:rPr>
      </w:pPr>
      <w:r>
        <w:rPr>
          <w:rFonts w:ascii="Times New Roman" w:hAnsi="宋体" w:cs="Times New Roman"/>
          <w:b/>
          <w:kern w:val="2"/>
          <w:sz w:val="21"/>
          <w:szCs w:val="22"/>
        </w:rPr>
        <w:t>表</w:t>
      </w:r>
      <w:r>
        <w:rPr>
          <w:rFonts w:ascii="Times New Roman" w:eastAsiaTheme="minorEastAsia" w:cs="Times New Roman"/>
          <w:b/>
          <w:kern w:val="2"/>
          <w:sz w:val="21"/>
          <w:szCs w:val="22"/>
        </w:rPr>
        <w:t>8.1</w:t>
      </w:r>
      <w:r>
        <w:rPr>
          <w:rFonts w:ascii="Times New Roman" w:cs="Times New Roman"/>
          <w:b/>
          <w:kern w:val="2"/>
          <w:sz w:val="21"/>
          <w:szCs w:val="22"/>
        </w:rPr>
        <w:t>-</w:t>
      </w:r>
      <w:r>
        <w:rPr>
          <w:rFonts w:ascii="Times New Roman" w:eastAsiaTheme="minorEastAsia" w:cs="Times New Roman"/>
          <w:b/>
          <w:kern w:val="2"/>
          <w:sz w:val="21"/>
          <w:szCs w:val="22"/>
        </w:rPr>
        <w:t>1</w:t>
      </w:r>
      <w:r>
        <w:rPr>
          <w:rFonts w:hAnsi="宋体" w:cs="Times New Roman"/>
          <w:b/>
          <w:kern w:val="2"/>
          <w:sz w:val="21"/>
          <w:szCs w:val="22"/>
        </w:rPr>
        <w:t xml:space="preserve">  水土流失防治措施总体布局</w:t>
      </w:r>
    </w:p>
    <w:tbl>
      <w:tblPr>
        <w:tblW w:w="8222" w:type="dxa"/>
        <w:tblBorders>
          <w:top w:val="single" w:sz="12" w:space="0" w:color="auto"/>
          <w:bottom w:val="single" w:sz="12" w:space="0" w:color="auto"/>
          <w:insideH w:val="single" w:sz="6" w:space="0" w:color="auto"/>
          <w:insideV w:val="single" w:sz="6" w:space="0" w:color="auto"/>
        </w:tblBorders>
        <w:tblLook w:val="04A0"/>
      </w:tblPr>
      <w:tblGrid>
        <w:gridCol w:w="1526"/>
        <w:gridCol w:w="1134"/>
        <w:gridCol w:w="5562"/>
      </w:tblGrid>
      <w:tr w:rsidR="00BD5820">
        <w:trPr>
          <w:trHeight w:val="300"/>
        </w:trPr>
        <w:tc>
          <w:tcPr>
            <w:tcW w:w="1526" w:type="dxa"/>
            <w:vAlign w:val="center"/>
          </w:tcPr>
          <w:p w:rsidR="00BD5820" w:rsidRDefault="00F64314">
            <w:pPr>
              <w:widowControl/>
              <w:tabs>
                <w:tab w:val="left" w:pos="3720"/>
              </w:tabs>
              <w:topLinePunct w:val="0"/>
              <w:autoSpaceDE w:val="0"/>
              <w:autoSpaceDN w:val="0"/>
              <w:snapToGrid w:val="0"/>
              <w:spacing w:before="40" w:line="240" w:lineRule="auto"/>
              <w:ind w:firstLineChars="0" w:firstLine="0"/>
              <w:jc w:val="center"/>
              <w:textAlignment w:val="bottom"/>
              <w:rPr>
                <w:rFonts w:hAnsi="宋体" w:cs="Times New Roman"/>
                <w:b/>
                <w:sz w:val="21"/>
                <w:szCs w:val="21"/>
              </w:rPr>
            </w:pPr>
            <w:r>
              <w:rPr>
                <w:rFonts w:hAnsi="宋体" w:cs="Times New Roman"/>
                <w:b/>
                <w:sz w:val="21"/>
                <w:szCs w:val="21"/>
              </w:rPr>
              <w:t>分区</w:t>
            </w:r>
          </w:p>
        </w:tc>
        <w:tc>
          <w:tcPr>
            <w:tcW w:w="1134" w:type="dxa"/>
            <w:vAlign w:val="center"/>
          </w:tcPr>
          <w:p w:rsidR="00BD5820" w:rsidRDefault="00F64314">
            <w:pPr>
              <w:widowControl/>
              <w:tabs>
                <w:tab w:val="left" w:pos="3720"/>
              </w:tabs>
              <w:topLinePunct w:val="0"/>
              <w:autoSpaceDE w:val="0"/>
              <w:autoSpaceDN w:val="0"/>
              <w:snapToGrid w:val="0"/>
              <w:spacing w:before="40" w:line="240" w:lineRule="auto"/>
              <w:ind w:firstLineChars="0" w:firstLine="0"/>
              <w:jc w:val="center"/>
              <w:textAlignment w:val="bottom"/>
              <w:rPr>
                <w:rFonts w:hAnsi="宋体" w:cs="Times New Roman"/>
                <w:b/>
                <w:sz w:val="21"/>
                <w:szCs w:val="21"/>
              </w:rPr>
            </w:pPr>
            <w:r>
              <w:rPr>
                <w:rFonts w:hAnsi="宋体" w:cs="Times New Roman"/>
                <w:b/>
                <w:sz w:val="21"/>
                <w:szCs w:val="21"/>
              </w:rPr>
              <w:t>措施类型</w:t>
            </w:r>
          </w:p>
        </w:tc>
        <w:tc>
          <w:tcPr>
            <w:tcW w:w="5562" w:type="dxa"/>
            <w:vAlign w:val="center"/>
          </w:tcPr>
          <w:p w:rsidR="00BD5820" w:rsidRDefault="00F64314">
            <w:pPr>
              <w:widowControl/>
              <w:tabs>
                <w:tab w:val="left" w:pos="3720"/>
              </w:tabs>
              <w:topLinePunct w:val="0"/>
              <w:autoSpaceDE w:val="0"/>
              <w:autoSpaceDN w:val="0"/>
              <w:snapToGrid w:val="0"/>
              <w:spacing w:before="40" w:line="240" w:lineRule="auto"/>
              <w:ind w:firstLineChars="0" w:firstLine="0"/>
              <w:jc w:val="center"/>
              <w:textAlignment w:val="bottom"/>
              <w:rPr>
                <w:rFonts w:hAnsi="宋体" w:cs="Times New Roman"/>
                <w:b/>
                <w:sz w:val="21"/>
                <w:szCs w:val="18"/>
              </w:rPr>
            </w:pPr>
            <w:r>
              <w:rPr>
                <w:rFonts w:hAnsi="宋体" w:cs="Times New Roman"/>
                <w:b/>
                <w:sz w:val="21"/>
                <w:szCs w:val="21"/>
              </w:rPr>
              <w:t>实施措施</w:t>
            </w:r>
          </w:p>
        </w:tc>
      </w:tr>
      <w:tr w:rsidR="00BD5820">
        <w:trPr>
          <w:trHeight w:val="285"/>
        </w:trPr>
        <w:tc>
          <w:tcPr>
            <w:tcW w:w="1526" w:type="dxa"/>
            <w:vMerge w:val="restart"/>
            <w:vAlign w:val="center"/>
          </w:tcPr>
          <w:p w:rsidR="00BD5820" w:rsidRDefault="00F64314">
            <w:pPr>
              <w:widowControl/>
              <w:tabs>
                <w:tab w:val="left" w:pos="3720"/>
              </w:tabs>
              <w:topLinePunct w:val="0"/>
              <w:autoSpaceDE w:val="0"/>
              <w:autoSpaceDN w:val="0"/>
              <w:snapToGrid w:val="0"/>
              <w:spacing w:before="40" w:line="240" w:lineRule="auto"/>
              <w:ind w:firstLineChars="0" w:firstLine="0"/>
              <w:jc w:val="center"/>
              <w:textAlignment w:val="bottom"/>
              <w:rPr>
                <w:rFonts w:hAnsi="宋体" w:cs="Times New Roman"/>
                <w:sz w:val="21"/>
                <w:szCs w:val="21"/>
              </w:rPr>
            </w:pPr>
            <w:r>
              <w:rPr>
                <w:rFonts w:hAnsi="宋体" w:cs="Times New Roman" w:hint="eastAsia"/>
                <w:sz w:val="21"/>
                <w:szCs w:val="21"/>
              </w:rPr>
              <w:t>站场</w:t>
            </w:r>
            <w:r>
              <w:rPr>
                <w:rFonts w:hAnsi="宋体" w:cs="Times New Roman"/>
                <w:sz w:val="21"/>
                <w:szCs w:val="21"/>
              </w:rPr>
              <w:t>及附属工程</w:t>
            </w:r>
          </w:p>
        </w:tc>
        <w:tc>
          <w:tcPr>
            <w:tcW w:w="1134" w:type="dxa"/>
            <w:vAlign w:val="center"/>
          </w:tcPr>
          <w:p w:rsidR="00BD5820" w:rsidRDefault="00F64314">
            <w:pPr>
              <w:widowControl/>
              <w:tabs>
                <w:tab w:val="left" w:pos="3720"/>
              </w:tabs>
              <w:topLinePunct w:val="0"/>
              <w:autoSpaceDE w:val="0"/>
              <w:autoSpaceDN w:val="0"/>
              <w:snapToGrid w:val="0"/>
              <w:spacing w:before="40" w:line="240" w:lineRule="auto"/>
              <w:ind w:firstLineChars="0" w:firstLine="0"/>
              <w:jc w:val="center"/>
              <w:textAlignment w:val="bottom"/>
              <w:rPr>
                <w:rFonts w:hAnsi="宋体" w:cs="Times New Roman"/>
                <w:sz w:val="21"/>
                <w:szCs w:val="21"/>
              </w:rPr>
            </w:pPr>
            <w:r>
              <w:rPr>
                <w:rFonts w:hAnsi="宋体" w:cs="Times New Roman"/>
                <w:sz w:val="21"/>
                <w:szCs w:val="21"/>
              </w:rPr>
              <w:t>工程措施</w:t>
            </w:r>
          </w:p>
        </w:tc>
        <w:tc>
          <w:tcPr>
            <w:tcW w:w="5562" w:type="dxa"/>
            <w:vAlign w:val="center"/>
          </w:tcPr>
          <w:p w:rsidR="00BD5820" w:rsidRDefault="00F64314">
            <w:pPr>
              <w:widowControl/>
              <w:tabs>
                <w:tab w:val="left" w:pos="3720"/>
              </w:tabs>
              <w:topLinePunct w:val="0"/>
              <w:autoSpaceDE w:val="0"/>
              <w:autoSpaceDN w:val="0"/>
              <w:snapToGrid w:val="0"/>
              <w:spacing w:before="40" w:line="240" w:lineRule="auto"/>
              <w:ind w:firstLineChars="0" w:firstLine="0"/>
              <w:jc w:val="left"/>
              <w:textAlignment w:val="bottom"/>
              <w:rPr>
                <w:rFonts w:hAnsi="宋体" w:cs="Times New Roman"/>
                <w:sz w:val="21"/>
                <w:szCs w:val="21"/>
              </w:rPr>
            </w:pPr>
            <w:r>
              <w:rPr>
                <w:rFonts w:hAnsi="宋体" w:cs="Times New Roman"/>
                <w:sz w:val="21"/>
                <w:szCs w:val="21"/>
              </w:rPr>
              <w:t>表土剥离</w:t>
            </w:r>
            <w:r>
              <w:rPr>
                <w:rFonts w:hAnsi="宋体" w:cs="Times New Roman"/>
                <w:sz w:val="21"/>
                <w:szCs w:val="21"/>
                <w:vertAlign w:val="superscript"/>
              </w:rPr>
              <w:t>*</w:t>
            </w:r>
            <w:r>
              <w:rPr>
                <w:rFonts w:hAnsi="宋体" w:cs="Times New Roman"/>
                <w:sz w:val="21"/>
                <w:szCs w:val="21"/>
              </w:rPr>
              <w:t>、截排水沟</w:t>
            </w:r>
            <w:r>
              <w:rPr>
                <w:rFonts w:hAnsi="宋体" w:cs="Times New Roman"/>
                <w:sz w:val="21"/>
                <w:szCs w:val="21"/>
                <w:vertAlign w:val="superscript"/>
              </w:rPr>
              <w:t>*</w:t>
            </w:r>
            <w:r>
              <w:rPr>
                <w:rFonts w:hAnsi="宋体" w:cs="Times New Roman"/>
                <w:sz w:val="21"/>
                <w:szCs w:val="21"/>
              </w:rPr>
              <w:t>、排污沟</w:t>
            </w:r>
            <w:r>
              <w:rPr>
                <w:rFonts w:hAnsi="宋体" w:cs="Times New Roman"/>
                <w:sz w:val="21"/>
                <w:szCs w:val="21"/>
                <w:vertAlign w:val="superscript"/>
              </w:rPr>
              <w:t>*</w:t>
            </w:r>
            <w:r>
              <w:rPr>
                <w:rFonts w:hAnsi="宋体" w:cs="Times New Roman"/>
                <w:sz w:val="21"/>
                <w:szCs w:val="21"/>
              </w:rPr>
              <w:t>、</w:t>
            </w:r>
            <w:r>
              <w:rPr>
                <w:rFonts w:hAnsi="宋体" w:cs="Times New Roman" w:hint="eastAsia"/>
                <w:sz w:val="21"/>
                <w:szCs w:val="21"/>
              </w:rPr>
              <w:t>站场</w:t>
            </w:r>
            <w:r>
              <w:rPr>
                <w:rFonts w:hAnsi="宋体" w:cs="Times New Roman"/>
                <w:sz w:val="21"/>
                <w:szCs w:val="21"/>
              </w:rPr>
              <w:t>边沟</w:t>
            </w:r>
            <w:r>
              <w:rPr>
                <w:rFonts w:hAnsi="宋体" w:cs="Times New Roman"/>
                <w:sz w:val="21"/>
                <w:szCs w:val="21"/>
                <w:vertAlign w:val="superscript"/>
              </w:rPr>
              <w:t>*</w:t>
            </w:r>
            <w:r>
              <w:rPr>
                <w:rFonts w:hAnsi="宋体" w:cs="Times New Roman"/>
                <w:sz w:val="21"/>
                <w:szCs w:val="21"/>
              </w:rPr>
              <w:t>、土地整治、覆土</w:t>
            </w:r>
          </w:p>
        </w:tc>
      </w:tr>
      <w:tr w:rsidR="00BD5820">
        <w:trPr>
          <w:trHeight w:val="285"/>
        </w:trPr>
        <w:tc>
          <w:tcPr>
            <w:tcW w:w="1526" w:type="dxa"/>
            <w:vMerge/>
            <w:vAlign w:val="center"/>
          </w:tcPr>
          <w:p w:rsidR="00BD5820" w:rsidRDefault="00BD5820">
            <w:pPr>
              <w:widowControl/>
              <w:tabs>
                <w:tab w:val="left" w:pos="3720"/>
              </w:tabs>
              <w:topLinePunct w:val="0"/>
              <w:autoSpaceDE w:val="0"/>
              <w:autoSpaceDN w:val="0"/>
              <w:snapToGrid w:val="0"/>
              <w:spacing w:before="40" w:line="240" w:lineRule="auto"/>
              <w:ind w:firstLineChars="0" w:firstLine="0"/>
              <w:jc w:val="center"/>
              <w:textAlignment w:val="bottom"/>
              <w:rPr>
                <w:rFonts w:hAnsi="宋体" w:cs="Times New Roman"/>
                <w:sz w:val="21"/>
                <w:szCs w:val="21"/>
              </w:rPr>
            </w:pPr>
          </w:p>
        </w:tc>
        <w:tc>
          <w:tcPr>
            <w:tcW w:w="1134" w:type="dxa"/>
            <w:vAlign w:val="center"/>
          </w:tcPr>
          <w:p w:rsidR="00BD5820" w:rsidRDefault="00F64314">
            <w:pPr>
              <w:widowControl/>
              <w:tabs>
                <w:tab w:val="left" w:pos="3720"/>
              </w:tabs>
              <w:topLinePunct w:val="0"/>
              <w:autoSpaceDE w:val="0"/>
              <w:autoSpaceDN w:val="0"/>
              <w:snapToGrid w:val="0"/>
              <w:spacing w:before="40" w:line="240" w:lineRule="auto"/>
              <w:ind w:firstLineChars="0" w:firstLine="0"/>
              <w:jc w:val="center"/>
              <w:textAlignment w:val="bottom"/>
              <w:rPr>
                <w:rFonts w:hAnsi="宋体" w:cs="Times New Roman"/>
                <w:sz w:val="21"/>
                <w:szCs w:val="21"/>
              </w:rPr>
            </w:pPr>
            <w:r>
              <w:rPr>
                <w:rFonts w:hAnsi="宋体" w:cs="Times New Roman"/>
                <w:sz w:val="21"/>
                <w:szCs w:val="21"/>
              </w:rPr>
              <w:t>植物措施</w:t>
            </w:r>
          </w:p>
        </w:tc>
        <w:tc>
          <w:tcPr>
            <w:tcW w:w="5562" w:type="dxa"/>
            <w:vAlign w:val="center"/>
          </w:tcPr>
          <w:p w:rsidR="00BD5820" w:rsidRDefault="00F64314">
            <w:pPr>
              <w:widowControl/>
              <w:tabs>
                <w:tab w:val="left" w:pos="3720"/>
              </w:tabs>
              <w:topLinePunct w:val="0"/>
              <w:autoSpaceDE w:val="0"/>
              <w:autoSpaceDN w:val="0"/>
              <w:snapToGrid w:val="0"/>
              <w:spacing w:before="40" w:line="240" w:lineRule="auto"/>
              <w:ind w:firstLineChars="0" w:firstLine="0"/>
              <w:jc w:val="left"/>
              <w:textAlignment w:val="bottom"/>
              <w:rPr>
                <w:rFonts w:hAnsi="宋体" w:cs="Times New Roman"/>
                <w:sz w:val="21"/>
                <w:szCs w:val="21"/>
              </w:rPr>
            </w:pPr>
            <w:r>
              <w:rPr>
                <w:rFonts w:hAnsi="宋体" w:cs="Times New Roman"/>
                <w:sz w:val="21"/>
                <w:szCs w:val="21"/>
              </w:rPr>
              <w:t>植草</w:t>
            </w:r>
            <w:r>
              <w:rPr>
                <w:rFonts w:hAnsi="宋体" w:cs="Times New Roman"/>
                <w:sz w:val="21"/>
                <w:szCs w:val="21"/>
                <w:vertAlign w:val="superscript"/>
              </w:rPr>
              <w:t>*</w:t>
            </w:r>
            <w:r>
              <w:rPr>
                <w:rFonts w:hAnsi="宋体" w:cs="Times New Roman"/>
                <w:sz w:val="21"/>
                <w:szCs w:val="21"/>
              </w:rPr>
              <w:t>、撒播种草</w:t>
            </w:r>
          </w:p>
        </w:tc>
      </w:tr>
      <w:tr w:rsidR="00BD5820">
        <w:trPr>
          <w:trHeight w:val="285"/>
        </w:trPr>
        <w:tc>
          <w:tcPr>
            <w:tcW w:w="1526" w:type="dxa"/>
            <w:vMerge/>
            <w:vAlign w:val="center"/>
          </w:tcPr>
          <w:p w:rsidR="00BD5820" w:rsidRDefault="00BD5820">
            <w:pPr>
              <w:widowControl/>
              <w:tabs>
                <w:tab w:val="left" w:pos="3720"/>
              </w:tabs>
              <w:topLinePunct w:val="0"/>
              <w:autoSpaceDE w:val="0"/>
              <w:autoSpaceDN w:val="0"/>
              <w:snapToGrid w:val="0"/>
              <w:spacing w:before="40" w:line="240" w:lineRule="auto"/>
              <w:ind w:firstLineChars="0" w:firstLine="0"/>
              <w:jc w:val="center"/>
              <w:textAlignment w:val="bottom"/>
              <w:rPr>
                <w:rFonts w:hAnsi="宋体" w:cs="Times New Roman"/>
                <w:sz w:val="21"/>
                <w:szCs w:val="21"/>
              </w:rPr>
            </w:pPr>
          </w:p>
        </w:tc>
        <w:tc>
          <w:tcPr>
            <w:tcW w:w="1134" w:type="dxa"/>
            <w:vAlign w:val="center"/>
          </w:tcPr>
          <w:p w:rsidR="00BD5820" w:rsidRDefault="00F64314">
            <w:pPr>
              <w:widowControl/>
              <w:tabs>
                <w:tab w:val="left" w:pos="3720"/>
              </w:tabs>
              <w:topLinePunct w:val="0"/>
              <w:autoSpaceDE w:val="0"/>
              <w:autoSpaceDN w:val="0"/>
              <w:snapToGrid w:val="0"/>
              <w:spacing w:before="40" w:line="240" w:lineRule="auto"/>
              <w:ind w:firstLineChars="0" w:firstLine="0"/>
              <w:jc w:val="center"/>
              <w:textAlignment w:val="bottom"/>
              <w:rPr>
                <w:rFonts w:hAnsi="宋体" w:cs="Times New Roman"/>
                <w:sz w:val="21"/>
                <w:szCs w:val="21"/>
              </w:rPr>
            </w:pPr>
            <w:r>
              <w:rPr>
                <w:rFonts w:hAnsi="宋体" w:cs="Times New Roman"/>
                <w:sz w:val="21"/>
                <w:szCs w:val="21"/>
              </w:rPr>
              <w:t>临时措施</w:t>
            </w:r>
          </w:p>
        </w:tc>
        <w:tc>
          <w:tcPr>
            <w:tcW w:w="5562" w:type="dxa"/>
            <w:vAlign w:val="center"/>
          </w:tcPr>
          <w:p w:rsidR="00BD5820" w:rsidRDefault="00F64314">
            <w:pPr>
              <w:widowControl/>
              <w:tabs>
                <w:tab w:val="left" w:pos="3720"/>
              </w:tabs>
              <w:topLinePunct w:val="0"/>
              <w:autoSpaceDE w:val="0"/>
              <w:autoSpaceDN w:val="0"/>
              <w:snapToGrid w:val="0"/>
              <w:spacing w:before="40" w:line="240" w:lineRule="auto"/>
              <w:ind w:firstLineChars="0" w:firstLine="0"/>
              <w:jc w:val="left"/>
              <w:textAlignment w:val="bottom"/>
              <w:rPr>
                <w:rFonts w:hAnsi="宋体" w:cs="Times New Roman"/>
                <w:sz w:val="21"/>
                <w:szCs w:val="21"/>
              </w:rPr>
            </w:pPr>
            <w:r>
              <w:rPr>
                <w:rFonts w:hAnsi="宋体" w:cs="Times New Roman"/>
                <w:sz w:val="21"/>
                <w:szCs w:val="21"/>
              </w:rPr>
              <w:t>彩条布苫盖</w:t>
            </w:r>
          </w:p>
        </w:tc>
      </w:tr>
      <w:tr w:rsidR="00BD5820">
        <w:trPr>
          <w:trHeight w:val="285"/>
        </w:trPr>
        <w:tc>
          <w:tcPr>
            <w:tcW w:w="1526" w:type="dxa"/>
            <w:vMerge w:val="restart"/>
            <w:vAlign w:val="center"/>
          </w:tcPr>
          <w:p w:rsidR="00BD5820" w:rsidRDefault="00F64314">
            <w:pPr>
              <w:widowControl/>
              <w:tabs>
                <w:tab w:val="left" w:pos="3720"/>
              </w:tabs>
              <w:topLinePunct w:val="0"/>
              <w:autoSpaceDE w:val="0"/>
              <w:autoSpaceDN w:val="0"/>
              <w:snapToGrid w:val="0"/>
              <w:spacing w:before="40" w:line="240" w:lineRule="auto"/>
              <w:ind w:firstLineChars="0" w:firstLine="0"/>
              <w:jc w:val="center"/>
              <w:textAlignment w:val="bottom"/>
              <w:rPr>
                <w:rFonts w:hAnsi="宋体" w:cs="Times New Roman"/>
                <w:sz w:val="21"/>
                <w:szCs w:val="21"/>
              </w:rPr>
            </w:pPr>
            <w:r>
              <w:rPr>
                <w:rFonts w:hAnsi="宋体" w:cs="Times New Roman" w:hint="eastAsia"/>
                <w:snapToGrid w:val="0"/>
                <w:sz w:val="21"/>
              </w:rPr>
              <w:t>站场</w:t>
            </w:r>
            <w:r>
              <w:rPr>
                <w:rFonts w:hAnsi="宋体" w:cs="Times New Roman"/>
                <w:snapToGrid w:val="0"/>
                <w:sz w:val="21"/>
              </w:rPr>
              <w:t>进场道路</w:t>
            </w:r>
          </w:p>
        </w:tc>
        <w:tc>
          <w:tcPr>
            <w:tcW w:w="1134" w:type="dxa"/>
            <w:vAlign w:val="center"/>
          </w:tcPr>
          <w:p w:rsidR="00BD5820" w:rsidRDefault="00F64314">
            <w:pPr>
              <w:widowControl/>
              <w:tabs>
                <w:tab w:val="left" w:pos="3720"/>
              </w:tabs>
              <w:topLinePunct w:val="0"/>
              <w:autoSpaceDE w:val="0"/>
              <w:autoSpaceDN w:val="0"/>
              <w:snapToGrid w:val="0"/>
              <w:spacing w:before="40" w:line="240" w:lineRule="auto"/>
              <w:ind w:firstLineChars="0" w:firstLine="0"/>
              <w:jc w:val="center"/>
              <w:textAlignment w:val="bottom"/>
              <w:rPr>
                <w:rFonts w:hAnsi="宋体" w:cs="Times New Roman"/>
                <w:sz w:val="21"/>
                <w:szCs w:val="21"/>
              </w:rPr>
            </w:pPr>
            <w:r>
              <w:rPr>
                <w:rFonts w:hAnsi="宋体" w:cs="Times New Roman"/>
                <w:sz w:val="21"/>
                <w:szCs w:val="21"/>
              </w:rPr>
              <w:t>工程措施</w:t>
            </w:r>
          </w:p>
        </w:tc>
        <w:tc>
          <w:tcPr>
            <w:tcW w:w="5562" w:type="dxa"/>
            <w:vAlign w:val="center"/>
          </w:tcPr>
          <w:p w:rsidR="00BD5820" w:rsidRDefault="00F64314">
            <w:pPr>
              <w:widowControl/>
              <w:tabs>
                <w:tab w:val="left" w:pos="3720"/>
              </w:tabs>
              <w:topLinePunct w:val="0"/>
              <w:autoSpaceDE w:val="0"/>
              <w:autoSpaceDN w:val="0"/>
              <w:snapToGrid w:val="0"/>
              <w:spacing w:before="40" w:line="240" w:lineRule="auto"/>
              <w:ind w:firstLineChars="0" w:firstLine="0"/>
              <w:jc w:val="left"/>
              <w:textAlignment w:val="bottom"/>
              <w:rPr>
                <w:rFonts w:hAnsi="宋体" w:cs="Times New Roman"/>
                <w:sz w:val="21"/>
                <w:szCs w:val="21"/>
              </w:rPr>
            </w:pPr>
            <w:r>
              <w:rPr>
                <w:rFonts w:hAnsi="宋体" w:cs="Times New Roman"/>
                <w:sz w:val="21"/>
                <w:szCs w:val="21"/>
              </w:rPr>
              <w:t>表土剥离</w:t>
            </w:r>
            <w:r>
              <w:rPr>
                <w:rFonts w:hAnsi="宋体" w:cs="Times New Roman"/>
                <w:sz w:val="21"/>
                <w:szCs w:val="21"/>
                <w:vertAlign w:val="superscript"/>
              </w:rPr>
              <w:t>*</w:t>
            </w:r>
            <w:r>
              <w:rPr>
                <w:rFonts w:hAnsi="宋体" w:cs="Times New Roman"/>
                <w:sz w:val="21"/>
                <w:szCs w:val="21"/>
              </w:rPr>
              <w:t>、排水沟</w:t>
            </w:r>
            <w:r>
              <w:rPr>
                <w:rFonts w:hAnsi="宋体" w:cs="Times New Roman"/>
                <w:sz w:val="21"/>
                <w:szCs w:val="21"/>
                <w:vertAlign w:val="superscript"/>
              </w:rPr>
              <w:t>*</w:t>
            </w:r>
            <w:r>
              <w:rPr>
                <w:rFonts w:hAnsi="宋体" w:cs="Times New Roman"/>
                <w:sz w:val="21"/>
                <w:szCs w:val="21"/>
              </w:rPr>
              <w:t>、土地整治、覆土</w:t>
            </w:r>
          </w:p>
        </w:tc>
      </w:tr>
      <w:tr w:rsidR="00BD5820">
        <w:trPr>
          <w:trHeight w:val="285"/>
        </w:trPr>
        <w:tc>
          <w:tcPr>
            <w:tcW w:w="1526" w:type="dxa"/>
            <w:vMerge/>
            <w:vAlign w:val="center"/>
          </w:tcPr>
          <w:p w:rsidR="00BD5820" w:rsidRDefault="00BD5820">
            <w:pPr>
              <w:widowControl/>
              <w:tabs>
                <w:tab w:val="left" w:pos="3720"/>
              </w:tabs>
              <w:topLinePunct w:val="0"/>
              <w:autoSpaceDE w:val="0"/>
              <w:autoSpaceDN w:val="0"/>
              <w:snapToGrid w:val="0"/>
              <w:spacing w:before="40" w:line="240" w:lineRule="auto"/>
              <w:ind w:firstLineChars="0" w:firstLine="0"/>
              <w:jc w:val="center"/>
              <w:textAlignment w:val="bottom"/>
              <w:rPr>
                <w:rFonts w:hAnsi="宋体" w:cs="Times New Roman"/>
                <w:sz w:val="21"/>
                <w:szCs w:val="21"/>
              </w:rPr>
            </w:pPr>
          </w:p>
        </w:tc>
        <w:tc>
          <w:tcPr>
            <w:tcW w:w="1134" w:type="dxa"/>
            <w:vAlign w:val="center"/>
          </w:tcPr>
          <w:p w:rsidR="00BD5820" w:rsidRDefault="00F64314">
            <w:pPr>
              <w:widowControl/>
              <w:tabs>
                <w:tab w:val="left" w:pos="3720"/>
              </w:tabs>
              <w:topLinePunct w:val="0"/>
              <w:autoSpaceDE w:val="0"/>
              <w:autoSpaceDN w:val="0"/>
              <w:snapToGrid w:val="0"/>
              <w:spacing w:before="40" w:line="240" w:lineRule="auto"/>
              <w:ind w:firstLineChars="0" w:firstLine="0"/>
              <w:jc w:val="center"/>
              <w:textAlignment w:val="bottom"/>
              <w:rPr>
                <w:rFonts w:hAnsi="宋体" w:cs="Times New Roman"/>
                <w:sz w:val="21"/>
                <w:szCs w:val="21"/>
              </w:rPr>
            </w:pPr>
            <w:r>
              <w:rPr>
                <w:rFonts w:hAnsi="宋体" w:cs="Times New Roman"/>
                <w:sz w:val="21"/>
                <w:szCs w:val="21"/>
              </w:rPr>
              <w:t>植物措施</w:t>
            </w:r>
          </w:p>
        </w:tc>
        <w:tc>
          <w:tcPr>
            <w:tcW w:w="5562" w:type="dxa"/>
            <w:vAlign w:val="center"/>
          </w:tcPr>
          <w:p w:rsidR="00BD5820" w:rsidRDefault="00F64314">
            <w:pPr>
              <w:widowControl/>
              <w:tabs>
                <w:tab w:val="left" w:pos="3720"/>
              </w:tabs>
              <w:topLinePunct w:val="0"/>
              <w:autoSpaceDE w:val="0"/>
              <w:autoSpaceDN w:val="0"/>
              <w:snapToGrid w:val="0"/>
              <w:spacing w:before="40" w:line="240" w:lineRule="auto"/>
              <w:ind w:firstLineChars="0" w:firstLine="0"/>
              <w:jc w:val="left"/>
              <w:textAlignment w:val="bottom"/>
              <w:rPr>
                <w:rFonts w:hAnsi="宋体" w:cs="Times New Roman"/>
                <w:sz w:val="21"/>
                <w:szCs w:val="21"/>
              </w:rPr>
            </w:pPr>
            <w:r>
              <w:rPr>
                <w:rFonts w:hAnsi="宋体" w:cs="Times New Roman"/>
                <w:sz w:val="21"/>
                <w:szCs w:val="21"/>
              </w:rPr>
              <w:t>/</w:t>
            </w:r>
          </w:p>
        </w:tc>
      </w:tr>
      <w:tr w:rsidR="00BD5820">
        <w:trPr>
          <w:trHeight w:val="285"/>
        </w:trPr>
        <w:tc>
          <w:tcPr>
            <w:tcW w:w="1526" w:type="dxa"/>
            <w:vMerge/>
            <w:vAlign w:val="center"/>
          </w:tcPr>
          <w:p w:rsidR="00BD5820" w:rsidRDefault="00BD5820">
            <w:pPr>
              <w:widowControl/>
              <w:tabs>
                <w:tab w:val="left" w:pos="3720"/>
              </w:tabs>
              <w:topLinePunct w:val="0"/>
              <w:autoSpaceDE w:val="0"/>
              <w:autoSpaceDN w:val="0"/>
              <w:snapToGrid w:val="0"/>
              <w:spacing w:before="40" w:line="240" w:lineRule="auto"/>
              <w:ind w:firstLineChars="0" w:firstLine="0"/>
              <w:jc w:val="center"/>
              <w:textAlignment w:val="bottom"/>
              <w:rPr>
                <w:rFonts w:hAnsi="宋体" w:cs="Times New Roman"/>
                <w:sz w:val="21"/>
                <w:szCs w:val="21"/>
              </w:rPr>
            </w:pPr>
          </w:p>
        </w:tc>
        <w:tc>
          <w:tcPr>
            <w:tcW w:w="1134" w:type="dxa"/>
            <w:vAlign w:val="center"/>
          </w:tcPr>
          <w:p w:rsidR="00BD5820" w:rsidRDefault="00F64314">
            <w:pPr>
              <w:widowControl/>
              <w:tabs>
                <w:tab w:val="left" w:pos="3720"/>
              </w:tabs>
              <w:topLinePunct w:val="0"/>
              <w:autoSpaceDE w:val="0"/>
              <w:autoSpaceDN w:val="0"/>
              <w:snapToGrid w:val="0"/>
              <w:spacing w:before="40" w:line="240" w:lineRule="auto"/>
              <w:ind w:firstLineChars="0" w:firstLine="0"/>
              <w:jc w:val="center"/>
              <w:textAlignment w:val="bottom"/>
              <w:rPr>
                <w:rFonts w:hAnsi="宋体" w:cs="Times New Roman"/>
                <w:sz w:val="21"/>
                <w:szCs w:val="21"/>
              </w:rPr>
            </w:pPr>
            <w:r>
              <w:rPr>
                <w:rFonts w:hAnsi="宋体" w:cs="Times New Roman"/>
                <w:sz w:val="21"/>
                <w:szCs w:val="21"/>
              </w:rPr>
              <w:t>临时措施</w:t>
            </w:r>
          </w:p>
        </w:tc>
        <w:tc>
          <w:tcPr>
            <w:tcW w:w="5562" w:type="dxa"/>
            <w:vAlign w:val="center"/>
          </w:tcPr>
          <w:p w:rsidR="00BD5820" w:rsidRDefault="00F64314">
            <w:pPr>
              <w:widowControl/>
              <w:tabs>
                <w:tab w:val="left" w:pos="3720"/>
              </w:tabs>
              <w:topLinePunct w:val="0"/>
              <w:autoSpaceDE w:val="0"/>
              <w:autoSpaceDN w:val="0"/>
              <w:snapToGrid w:val="0"/>
              <w:spacing w:before="40" w:line="240" w:lineRule="auto"/>
              <w:ind w:firstLineChars="0" w:firstLine="0"/>
              <w:jc w:val="left"/>
              <w:textAlignment w:val="bottom"/>
              <w:rPr>
                <w:rFonts w:hAnsi="宋体" w:cs="Times New Roman"/>
                <w:sz w:val="21"/>
                <w:szCs w:val="21"/>
              </w:rPr>
            </w:pPr>
            <w:r>
              <w:rPr>
                <w:rFonts w:hAnsi="宋体" w:cs="Times New Roman"/>
                <w:sz w:val="21"/>
                <w:szCs w:val="21"/>
              </w:rPr>
              <w:t>彩条布苫盖</w:t>
            </w:r>
          </w:p>
        </w:tc>
      </w:tr>
      <w:tr w:rsidR="00BD5820">
        <w:trPr>
          <w:trHeight w:val="285"/>
        </w:trPr>
        <w:tc>
          <w:tcPr>
            <w:tcW w:w="1526" w:type="dxa"/>
            <w:vMerge w:val="restart"/>
            <w:vAlign w:val="center"/>
          </w:tcPr>
          <w:p w:rsidR="00BD5820" w:rsidRDefault="00F64314">
            <w:pPr>
              <w:widowControl/>
              <w:tabs>
                <w:tab w:val="left" w:pos="3720"/>
              </w:tabs>
              <w:topLinePunct w:val="0"/>
              <w:autoSpaceDE w:val="0"/>
              <w:autoSpaceDN w:val="0"/>
              <w:snapToGrid w:val="0"/>
              <w:spacing w:before="40" w:line="240" w:lineRule="auto"/>
              <w:ind w:firstLineChars="0" w:firstLine="0"/>
              <w:jc w:val="center"/>
              <w:textAlignment w:val="bottom"/>
              <w:rPr>
                <w:rFonts w:hAnsi="宋体" w:cs="Times New Roman"/>
                <w:sz w:val="21"/>
                <w:szCs w:val="21"/>
              </w:rPr>
            </w:pPr>
            <w:r>
              <w:rPr>
                <w:rFonts w:hAnsi="宋体" w:cs="Times New Roman"/>
                <w:snapToGrid w:val="0"/>
                <w:sz w:val="21"/>
              </w:rPr>
              <w:t>临时堆土区</w:t>
            </w:r>
          </w:p>
        </w:tc>
        <w:tc>
          <w:tcPr>
            <w:tcW w:w="1134" w:type="dxa"/>
            <w:vAlign w:val="center"/>
          </w:tcPr>
          <w:p w:rsidR="00BD5820" w:rsidRDefault="00F64314">
            <w:pPr>
              <w:widowControl/>
              <w:tabs>
                <w:tab w:val="left" w:pos="3720"/>
              </w:tabs>
              <w:topLinePunct w:val="0"/>
              <w:autoSpaceDE w:val="0"/>
              <w:autoSpaceDN w:val="0"/>
              <w:snapToGrid w:val="0"/>
              <w:spacing w:before="40" w:line="240" w:lineRule="auto"/>
              <w:ind w:firstLineChars="0" w:firstLine="0"/>
              <w:jc w:val="center"/>
              <w:textAlignment w:val="bottom"/>
              <w:rPr>
                <w:rFonts w:hAnsi="宋体" w:cs="Times New Roman"/>
                <w:sz w:val="21"/>
                <w:szCs w:val="21"/>
              </w:rPr>
            </w:pPr>
            <w:r>
              <w:rPr>
                <w:rFonts w:hAnsi="宋体" w:cs="Times New Roman"/>
                <w:sz w:val="21"/>
                <w:szCs w:val="21"/>
              </w:rPr>
              <w:t>工程措施</w:t>
            </w:r>
          </w:p>
        </w:tc>
        <w:tc>
          <w:tcPr>
            <w:tcW w:w="5562" w:type="dxa"/>
            <w:vAlign w:val="center"/>
          </w:tcPr>
          <w:p w:rsidR="00BD5820" w:rsidRDefault="00F64314">
            <w:pPr>
              <w:widowControl/>
              <w:tabs>
                <w:tab w:val="left" w:pos="3720"/>
              </w:tabs>
              <w:topLinePunct w:val="0"/>
              <w:autoSpaceDE w:val="0"/>
              <w:autoSpaceDN w:val="0"/>
              <w:snapToGrid w:val="0"/>
              <w:spacing w:before="40" w:line="240" w:lineRule="auto"/>
              <w:ind w:firstLineChars="0" w:firstLine="0"/>
              <w:jc w:val="left"/>
              <w:textAlignment w:val="bottom"/>
              <w:rPr>
                <w:rFonts w:hAnsi="宋体" w:cs="Times New Roman"/>
                <w:sz w:val="21"/>
                <w:szCs w:val="21"/>
              </w:rPr>
            </w:pPr>
            <w:r>
              <w:rPr>
                <w:rFonts w:hAnsi="宋体" w:cs="Times New Roman"/>
                <w:sz w:val="21"/>
                <w:szCs w:val="21"/>
              </w:rPr>
              <w:t>土地整治</w:t>
            </w:r>
          </w:p>
        </w:tc>
      </w:tr>
      <w:tr w:rsidR="00BD5820">
        <w:trPr>
          <w:trHeight w:val="285"/>
        </w:trPr>
        <w:tc>
          <w:tcPr>
            <w:tcW w:w="1526" w:type="dxa"/>
            <w:vMerge/>
            <w:vAlign w:val="center"/>
          </w:tcPr>
          <w:p w:rsidR="00BD5820" w:rsidRDefault="00BD5820">
            <w:pPr>
              <w:widowControl/>
              <w:tabs>
                <w:tab w:val="left" w:pos="3720"/>
              </w:tabs>
              <w:topLinePunct w:val="0"/>
              <w:autoSpaceDE w:val="0"/>
              <w:autoSpaceDN w:val="0"/>
              <w:snapToGrid w:val="0"/>
              <w:spacing w:before="40" w:line="240" w:lineRule="auto"/>
              <w:ind w:firstLineChars="0" w:firstLine="0"/>
              <w:jc w:val="center"/>
              <w:textAlignment w:val="bottom"/>
              <w:rPr>
                <w:rFonts w:hAnsi="宋体" w:cs="Times New Roman"/>
                <w:snapToGrid w:val="0"/>
                <w:sz w:val="21"/>
              </w:rPr>
            </w:pPr>
          </w:p>
        </w:tc>
        <w:tc>
          <w:tcPr>
            <w:tcW w:w="1134" w:type="dxa"/>
            <w:vAlign w:val="center"/>
          </w:tcPr>
          <w:p w:rsidR="00BD5820" w:rsidRDefault="00F64314">
            <w:pPr>
              <w:widowControl/>
              <w:tabs>
                <w:tab w:val="left" w:pos="3720"/>
              </w:tabs>
              <w:topLinePunct w:val="0"/>
              <w:autoSpaceDE w:val="0"/>
              <w:autoSpaceDN w:val="0"/>
              <w:snapToGrid w:val="0"/>
              <w:spacing w:before="40" w:line="240" w:lineRule="auto"/>
              <w:ind w:firstLineChars="0" w:firstLine="0"/>
              <w:jc w:val="center"/>
              <w:textAlignment w:val="bottom"/>
              <w:rPr>
                <w:rFonts w:hAnsi="宋体" w:cs="Times New Roman"/>
                <w:sz w:val="21"/>
                <w:szCs w:val="21"/>
              </w:rPr>
            </w:pPr>
            <w:r>
              <w:rPr>
                <w:rFonts w:hAnsi="宋体" w:cs="Times New Roman"/>
                <w:sz w:val="21"/>
                <w:szCs w:val="21"/>
              </w:rPr>
              <w:t>植物措施</w:t>
            </w:r>
          </w:p>
        </w:tc>
        <w:tc>
          <w:tcPr>
            <w:tcW w:w="5562" w:type="dxa"/>
            <w:vAlign w:val="center"/>
          </w:tcPr>
          <w:p w:rsidR="00BD5820" w:rsidRDefault="00F64314">
            <w:pPr>
              <w:widowControl/>
              <w:tabs>
                <w:tab w:val="left" w:pos="3720"/>
              </w:tabs>
              <w:topLinePunct w:val="0"/>
              <w:autoSpaceDE w:val="0"/>
              <w:autoSpaceDN w:val="0"/>
              <w:snapToGrid w:val="0"/>
              <w:spacing w:before="40" w:line="240" w:lineRule="auto"/>
              <w:ind w:firstLineChars="0" w:firstLine="0"/>
              <w:jc w:val="left"/>
              <w:textAlignment w:val="bottom"/>
              <w:rPr>
                <w:rFonts w:hAnsi="宋体" w:cs="Times New Roman"/>
                <w:sz w:val="21"/>
                <w:szCs w:val="21"/>
              </w:rPr>
            </w:pPr>
            <w:r>
              <w:rPr>
                <w:rFonts w:hAnsi="宋体" w:cs="Times New Roman"/>
                <w:sz w:val="21"/>
                <w:szCs w:val="21"/>
              </w:rPr>
              <w:t>撒播种草</w:t>
            </w:r>
          </w:p>
        </w:tc>
      </w:tr>
      <w:tr w:rsidR="00BD5820">
        <w:trPr>
          <w:trHeight w:val="285"/>
        </w:trPr>
        <w:tc>
          <w:tcPr>
            <w:tcW w:w="1526" w:type="dxa"/>
            <w:vMerge/>
            <w:vAlign w:val="center"/>
          </w:tcPr>
          <w:p w:rsidR="00BD5820" w:rsidRDefault="00BD5820">
            <w:pPr>
              <w:widowControl/>
              <w:tabs>
                <w:tab w:val="left" w:pos="3720"/>
              </w:tabs>
              <w:topLinePunct w:val="0"/>
              <w:autoSpaceDE w:val="0"/>
              <w:autoSpaceDN w:val="0"/>
              <w:snapToGrid w:val="0"/>
              <w:spacing w:before="40" w:line="240" w:lineRule="auto"/>
              <w:ind w:firstLineChars="0" w:firstLine="0"/>
              <w:jc w:val="center"/>
              <w:textAlignment w:val="bottom"/>
              <w:rPr>
                <w:rFonts w:hAnsi="宋体" w:cs="Times New Roman"/>
                <w:snapToGrid w:val="0"/>
                <w:sz w:val="21"/>
              </w:rPr>
            </w:pPr>
          </w:p>
        </w:tc>
        <w:tc>
          <w:tcPr>
            <w:tcW w:w="1134" w:type="dxa"/>
            <w:vAlign w:val="center"/>
          </w:tcPr>
          <w:p w:rsidR="00BD5820" w:rsidRDefault="00F64314">
            <w:pPr>
              <w:widowControl/>
              <w:tabs>
                <w:tab w:val="left" w:pos="3720"/>
              </w:tabs>
              <w:topLinePunct w:val="0"/>
              <w:autoSpaceDE w:val="0"/>
              <w:autoSpaceDN w:val="0"/>
              <w:snapToGrid w:val="0"/>
              <w:spacing w:before="40" w:line="240" w:lineRule="auto"/>
              <w:ind w:firstLineChars="0" w:firstLine="0"/>
              <w:jc w:val="center"/>
              <w:textAlignment w:val="bottom"/>
              <w:rPr>
                <w:rFonts w:hAnsi="宋体" w:cs="Times New Roman"/>
                <w:sz w:val="21"/>
                <w:szCs w:val="21"/>
              </w:rPr>
            </w:pPr>
            <w:r>
              <w:rPr>
                <w:rFonts w:hAnsi="宋体" w:cs="Times New Roman"/>
                <w:sz w:val="21"/>
                <w:szCs w:val="21"/>
              </w:rPr>
              <w:t>临时措施</w:t>
            </w:r>
          </w:p>
        </w:tc>
        <w:tc>
          <w:tcPr>
            <w:tcW w:w="5562" w:type="dxa"/>
            <w:vAlign w:val="center"/>
          </w:tcPr>
          <w:p w:rsidR="00BD5820" w:rsidRDefault="00F64314">
            <w:pPr>
              <w:widowControl/>
              <w:tabs>
                <w:tab w:val="left" w:pos="3720"/>
              </w:tabs>
              <w:topLinePunct w:val="0"/>
              <w:autoSpaceDE w:val="0"/>
              <w:autoSpaceDN w:val="0"/>
              <w:snapToGrid w:val="0"/>
              <w:spacing w:before="40" w:line="240" w:lineRule="auto"/>
              <w:ind w:firstLineChars="0" w:firstLine="0"/>
              <w:jc w:val="left"/>
              <w:textAlignment w:val="bottom"/>
              <w:rPr>
                <w:rFonts w:hAnsi="宋体" w:cs="Times New Roman"/>
                <w:sz w:val="21"/>
                <w:szCs w:val="21"/>
              </w:rPr>
            </w:pPr>
            <w:r>
              <w:rPr>
                <w:rFonts w:hAnsi="宋体" w:cs="Times New Roman"/>
                <w:sz w:val="21"/>
                <w:szCs w:val="21"/>
              </w:rPr>
              <w:t>临时排水沟、临时土袋挡墙、彩条布苫盖</w:t>
            </w:r>
          </w:p>
        </w:tc>
      </w:tr>
    </w:tbl>
    <w:p w:rsidR="00BD5820" w:rsidRDefault="00F64314">
      <w:pPr>
        <w:pStyle w:val="a1"/>
        <w:ind w:firstLine="482"/>
        <w:rPr>
          <w:rFonts w:ascii="Times New Roman" w:cs="Times New Roman"/>
          <w:b/>
        </w:rPr>
      </w:pPr>
      <w:r>
        <w:rPr>
          <w:rFonts w:ascii="Times New Roman" w:cs="Times New Roman" w:hint="eastAsia"/>
          <w:b/>
        </w:rPr>
        <w:t>7.3</w:t>
      </w:r>
      <w:r>
        <w:rPr>
          <w:rFonts w:ascii="Times New Roman" w:cs="Times New Roman"/>
          <w:b/>
        </w:rPr>
        <w:t>水土流失防治措施</w:t>
      </w:r>
      <w:r>
        <w:rPr>
          <w:rFonts w:ascii="Times New Roman" w:cs="Times New Roman" w:hint="eastAsia"/>
          <w:b/>
        </w:rPr>
        <w:t>分区布设</w:t>
      </w:r>
    </w:p>
    <w:p w:rsidR="00BD5820" w:rsidRDefault="00F64314">
      <w:pPr>
        <w:pStyle w:val="a1"/>
        <w:ind w:firstLine="482"/>
        <w:rPr>
          <w:rFonts w:ascii="Times New Roman" w:cs="Times New Roman"/>
          <w:b/>
        </w:rPr>
      </w:pPr>
      <w:r>
        <w:rPr>
          <w:rFonts w:ascii="Times New Roman" w:cs="Times New Roman" w:hint="eastAsia"/>
          <w:b/>
        </w:rPr>
        <w:t>3.1</w:t>
      </w:r>
      <w:r>
        <w:rPr>
          <w:rFonts w:ascii="Times New Roman" w:cs="Times New Roman" w:hint="eastAsia"/>
          <w:b/>
        </w:rPr>
        <w:t>站场</w:t>
      </w:r>
    </w:p>
    <w:p w:rsidR="00BD5820" w:rsidRDefault="00F64314">
      <w:pPr>
        <w:pStyle w:val="a1"/>
        <w:ind w:firstLine="480"/>
        <w:rPr>
          <w:rFonts w:ascii="Times New Roman" w:cs="Times New Roman"/>
        </w:rPr>
      </w:pPr>
      <w:r>
        <w:rPr>
          <w:rFonts w:ascii="Times New Roman" w:cs="Times New Roman"/>
        </w:rPr>
        <w:t>本</w:t>
      </w:r>
      <w:r>
        <w:rPr>
          <w:rFonts w:ascii="Times New Roman" w:cs="Times New Roman" w:hint="eastAsia"/>
        </w:rPr>
        <w:t>项目站场水土流水防治措施主要为</w:t>
      </w:r>
      <w:r>
        <w:rPr>
          <w:rFonts w:ascii="Times New Roman" w:cs="Times New Roman"/>
        </w:rPr>
        <w:t>表土剥离、截排水沟、排污沟、</w:t>
      </w:r>
      <w:r>
        <w:rPr>
          <w:rFonts w:ascii="Times New Roman" w:cs="Times New Roman" w:hint="eastAsia"/>
        </w:rPr>
        <w:t>站场</w:t>
      </w:r>
      <w:r>
        <w:rPr>
          <w:rFonts w:ascii="Times New Roman" w:cs="Times New Roman"/>
        </w:rPr>
        <w:t>边沟、植草等措施，覆土、土地整治及临时措施。</w:t>
      </w:r>
    </w:p>
    <w:p w:rsidR="00BD5820" w:rsidRDefault="00F64314">
      <w:pPr>
        <w:pStyle w:val="a1"/>
        <w:ind w:firstLine="482"/>
        <w:rPr>
          <w:rFonts w:ascii="Times New Roman" w:cs="Times New Roman"/>
          <w:b/>
        </w:rPr>
      </w:pPr>
      <w:r>
        <w:rPr>
          <w:rFonts w:ascii="Times New Roman" w:cs="Times New Roman"/>
          <w:b/>
        </w:rPr>
        <w:t>1</w:t>
      </w:r>
      <w:r>
        <w:rPr>
          <w:rFonts w:ascii="Times New Roman" w:cs="Times New Roman"/>
          <w:b/>
        </w:rPr>
        <w:t>、工程措施</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1</w:t>
      </w:r>
      <w:r>
        <w:rPr>
          <w:rFonts w:ascii="Times New Roman" w:cs="Times New Roman"/>
        </w:rPr>
        <w:t>）表土剥离</w:t>
      </w:r>
    </w:p>
    <w:p w:rsidR="00BD5820" w:rsidRDefault="00F64314">
      <w:pPr>
        <w:pStyle w:val="a1"/>
        <w:ind w:firstLine="480"/>
        <w:rPr>
          <w:rFonts w:ascii="Times New Roman" w:cs="Times New Roman"/>
        </w:rPr>
      </w:pPr>
      <w:r>
        <w:rPr>
          <w:rFonts w:ascii="Times New Roman" w:cs="Times New Roman"/>
        </w:rPr>
        <w:t>施工期对</w:t>
      </w:r>
      <w:r>
        <w:rPr>
          <w:rFonts w:ascii="Times New Roman" w:cs="Times New Roman" w:hint="eastAsia"/>
        </w:rPr>
        <w:t>站场</w:t>
      </w:r>
      <w:r>
        <w:rPr>
          <w:rFonts w:ascii="Times New Roman" w:cs="Times New Roman"/>
        </w:rPr>
        <w:t>区内占用耕地</w:t>
      </w:r>
      <w:r>
        <w:rPr>
          <w:rFonts w:ascii="Times New Roman" w:cs="Times New Roman" w:hint="eastAsia"/>
        </w:rPr>
        <w:t>、林地等</w:t>
      </w:r>
      <w:r>
        <w:rPr>
          <w:rFonts w:ascii="Times New Roman" w:cs="Times New Roman"/>
        </w:rPr>
        <w:t>进行表土剥离，剥离厚度约</w:t>
      </w:r>
      <w:r>
        <w:rPr>
          <w:rFonts w:ascii="Times New Roman" w:cs="Times New Roman"/>
        </w:rPr>
        <w:t>30cm</w:t>
      </w:r>
      <w:r>
        <w:rPr>
          <w:rFonts w:ascii="Times New Roman" w:cs="Times New Roman"/>
        </w:rPr>
        <w:t>，表土剥离总量约</w:t>
      </w:r>
      <w:r>
        <w:rPr>
          <w:rFonts w:ascii="Times New Roman" w:cs="Times New Roman" w:hint="eastAsia"/>
        </w:rPr>
        <w:t>5670</w:t>
      </w:r>
      <w:r>
        <w:rPr>
          <w:rFonts w:ascii="Times New Roman" w:cs="Times New Roman"/>
        </w:rPr>
        <w:t>m</w:t>
      </w:r>
      <w:r>
        <w:rPr>
          <w:rFonts w:ascii="Times New Roman" w:cs="Times New Roman"/>
          <w:vertAlign w:val="superscript"/>
        </w:rPr>
        <w:t>3</w:t>
      </w:r>
      <w:r>
        <w:rPr>
          <w:rFonts w:ascii="Times New Roman" w:cs="Times New Roman"/>
        </w:rPr>
        <w:t>，剥离的表土全部堆存于临时堆土区，后期用于复垦覆绿覆土。</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2</w:t>
      </w:r>
      <w:r>
        <w:rPr>
          <w:rFonts w:ascii="Times New Roman" w:cs="Times New Roman"/>
        </w:rPr>
        <w:t>）</w:t>
      </w:r>
      <w:r>
        <w:rPr>
          <w:rFonts w:ascii="Times New Roman" w:cs="Times New Roman" w:hint="eastAsia"/>
        </w:rPr>
        <w:t>站场</w:t>
      </w:r>
      <w:r>
        <w:rPr>
          <w:rFonts w:ascii="Times New Roman" w:cs="Times New Roman"/>
        </w:rPr>
        <w:t>内排污沟及</w:t>
      </w:r>
      <w:r>
        <w:rPr>
          <w:rFonts w:ascii="Times New Roman" w:cs="Times New Roman" w:hint="eastAsia"/>
        </w:rPr>
        <w:t>站场</w:t>
      </w:r>
      <w:r>
        <w:rPr>
          <w:rFonts w:ascii="Times New Roman" w:cs="Times New Roman"/>
        </w:rPr>
        <w:t>边沟</w:t>
      </w:r>
    </w:p>
    <w:p w:rsidR="00BD5820" w:rsidRDefault="00F64314">
      <w:pPr>
        <w:pStyle w:val="a1"/>
        <w:ind w:firstLine="480"/>
        <w:rPr>
          <w:rFonts w:ascii="Times New Roman" w:cs="Times New Roman"/>
        </w:rPr>
      </w:pPr>
      <w:r>
        <w:rPr>
          <w:rFonts w:ascii="Times New Roman" w:cs="Times New Roman"/>
        </w:rPr>
        <w:t>在场内四周设排水边沟，站内雨水排向</w:t>
      </w:r>
      <w:r>
        <w:rPr>
          <w:rFonts w:ascii="Times New Roman" w:cs="Times New Roman" w:hint="eastAsia"/>
        </w:rPr>
        <w:t>站场</w:t>
      </w:r>
      <w:r>
        <w:rPr>
          <w:rFonts w:ascii="Times New Roman" w:cs="Times New Roman"/>
        </w:rPr>
        <w:t>周围排水沟，再沿排水沟排向低洼处或新建截水沟。新建</w:t>
      </w:r>
      <w:r>
        <w:rPr>
          <w:rFonts w:ascii="Times New Roman" w:cs="Times New Roman" w:hint="eastAsia"/>
        </w:rPr>
        <w:t>站场</w:t>
      </w:r>
      <w:r>
        <w:rPr>
          <w:rFonts w:ascii="Times New Roman" w:cs="Times New Roman"/>
        </w:rPr>
        <w:t>边沟</w:t>
      </w:r>
      <w:r>
        <w:rPr>
          <w:rFonts w:ascii="Times New Roman" w:cs="Times New Roman" w:hint="eastAsia"/>
        </w:rPr>
        <w:t>180</w:t>
      </w:r>
      <w:r>
        <w:rPr>
          <w:rFonts w:ascii="Times New Roman" w:cs="Times New Roman"/>
        </w:rPr>
        <w:t>m</w:t>
      </w:r>
      <w:r>
        <w:rPr>
          <w:rFonts w:ascii="Times New Roman" w:cs="Times New Roman"/>
        </w:rPr>
        <w:t>，底宽</w:t>
      </w:r>
      <w:r>
        <w:rPr>
          <w:rFonts w:ascii="Times New Roman" w:cs="Times New Roman"/>
        </w:rPr>
        <w:t>0.</w:t>
      </w:r>
      <w:r>
        <w:rPr>
          <w:rFonts w:ascii="Times New Roman" w:cs="Times New Roman" w:hint="eastAsia"/>
        </w:rPr>
        <w:t>4</w:t>
      </w:r>
      <w:r>
        <w:rPr>
          <w:rFonts w:ascii="Times New Roman" w:cs="Times New Roman"/>
        </w:rPr>
        <w:t>m</w:t>
      </w:r>
      <w:r>
        <w:rPr>
          <w:rFonts w:ascii="Times New Roman" w:cs="Times New Roman"/>
        </w:rPr>
        <w:t>，深</w:t>
      </w:r>
      <w:r>
        <w:rPr>
          <w:rFonts w:ascii="Times New Roman" w:cs="Times New Roman"/>
        </w:rPr>
        <w:t>0.5m</w:t>
      </w:r>
      <w:r>
        <w:rPr>
          <w:rFonts w:ascii="Times New Roman" w:cs="Times New Roman"/>
        </w:rPr>
        <w:t>，沟壁坡度</w:t>
      </w:r>
      <w:r>
        <w:rPr>
          <w:rFonts w:ascii="Times New Roman" w:cs="Times New Roman"/>
        </w:rPr>
        <w:t>1</w:t>
      </w:r>
      <w:r>
        <w:rPr>
          <w:rFonts w:ascii="Times New Roman" w:cs="Times New Roman"/>
        </w:rPr>
        <w:t>：</w:t>
      </w:r>
      <w:r>
        <w:rPr>
          <w:rFonts w:ascii="Times New Roman" w:cs="Times New Roman"/>
        </w:rPr>
        <w:t>0.2</w:t>
      </w:r>
      <w:r>
        <w:rPr>
          <w:rFonts w:ascii="Times New Roman" w:cs="Times New Roman"/>
        </w:rPr>
        <w:t>，纵坡</w:t>
      </w:r>
      <w:r>
        <w:rPr>
          <w:rFonts w:ascii="Times New Roman" w:cs="Times New Roman"/>
        </w:rPr>
        <w:t>i=0.2%</w:t>
      </w:r>
      <w:r>
        <w:rPr>
          <w:rFonts w:ascii="Times New Roman" w:cs="Times New Roman"/>
        </w:rPr>
        <w:t>；新建</w:t>
      </w:r>
      <w:r>
        <w:rPr>
          <w:rFonts w:ascii="Times New Roman" w:cs="Times New Roman" w:hint="eastAsia"/>
        </w:rPr>
        <w:t>站场</w:t>
      </w:r>
      <w:r>
        <w:rPr>
          <w:rFonts w:ascii="Times New Roman" w:cs="Times New Roman"/>
        </w:rPr>
        <w:t>内排污沟</w:t>
      </w:r>
      <w:r>
        <w:rPr>
          <w:rFonts w:ascii="Times New Roman" w:cs="Times New Roman" w:hint="eastAsia"/>
        </w:rPr>
        <w:t>400</w:t>
      </w:r>
      <w:r>
        <w:rPr>
          <w:rFonts w:ascii="Times New Roman" w:cs="Times New Roman"/>
        </w:rPr>
        <w:t>m</w:t>
      </w:r>
      <w:r>
        <w:rPr>
          <w:rFonts w:ascii="Times New Roman" w:cs="Times New Roman"/>
        </w:rPr>
        <w:t>，底宽</w:t>
      </w:r>
      <w:r>
        <w:rPr>
          <w:rFonts w:ascii="Times New Roman" w:cs="Times New Roman"/>
        </w:rPr>
        <w:t>0.</w:t>
      </w:r>
      <w:r>
        <w:rPr>
          <w:rFonts w:ascii="Times New Roman" w:cs="Times New Roman" w:hint="eastAsia"/>
        </w:rPr>
        <w:t>35</w:t>
      </w:r>
      <w:r>
        <w:rPr>
          <w:rFonts w:ascii="Times New Roman" w:cs="Times New Roman"/>
        </w:rPr>
        <w:t>m</w:t>
      </w:r>
      <w:r>
        <w:rPr>
          <w:rFonts w:ascii="Times New Roman" w:cs="Times New Roman"/>
        </w:rPr>
        <w:t>，深</w:t>
      </w:r>
      <w:r>
        <w:rPr>
          <w:rFonts w:ascii="Times New Roman" w:cs="Times New Roman"/>
        </w:rPr>
        <w:t>0.3m</w:t>
      </w:r>
      <w:r>
        <w:rPr>
          <w:rFonts w:ascii="Times New Roman" w:cs="Times New Roman"/>
        </w:rPr>
        <w:t>，纵坡</w:t>
      </w:r>
      <w:r>
        <w:rPr>
          <w:rFonts w:ascii="Times New Roman" w:cs="Times New Roman"/>
        </w:rPr>
        <w:t>i=0.2%</w:t>
      </w:r>
      <w:r>
        <w:rPr>
          <w:rFonts w:ascii="Times New Roman" w:cs="Times New Roman"/>
        </w:rPr>
        <w:t>；排污沟放坡坡率可根据现场做适当调整，但必须满足正常放坡和无倒流。</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3</w:t>
      </w:r>
      <w:r>
        <w:rPr>
          <w:rFonts w:ascii="Times New Roman" w:cs="Times New Roman"/>
        </w:rPr>
        <w:t>）截排水沟</w:t>
      </w:r>
    </w:p>
    <w:p w:rsidR="00BD5820" w:rsidRDefault="00F64314">
      <w:pPr>
        <w:pStyle w:val="a1"/>
        <w:ind w:firstLine="480"/>
        <w:rPr>
          <w:rFonts w:ascii="Times New Roman" w:cs="Times New Roman"/>
        </w:rPr>
      </w:pPr>
      <w:r>
        <w:rPr>
          <w:rFonts w:ascii="Times New Roman" w:cs="Times New Roman"/>
        </w:rPr>
        <w:t>为了防止坡面的地表水皮面冲刷造成影响，在</w:t>
      </w:r>
      <w:r>
        <w:rPr>
          <w:rFonts w:ascii="Times New Roman" w:cs="Times New Roman" w:hint="eastAsia"/>
        </w:rPr>
        <w:t>站场</w:t>
      </w:r>
      <w:r>
        <w:rPr>
          <w:rFonts w:ascii="Times New Roman" w:cs="Times New Roman"/>
        </w:rPr>
        <w:t>在北侧边坡坡顶设置截水沟</w:t>
      </w:r>
      <w:r>
        <w:rPr>
          <w:rFonts w:ascii="Times New Roman" w:cs="Times New Roman" w:hint="eastAsia"/>
        </w:rPr>
        <w:t>350</w:t>
      </w:r>
      <w:r>
        <w:rPr>
          <w:rFonts w:ascii="Times New Roman" w:cs="Times New Roman"/>
        </w:rPr>
        <w:t>m</w:t>
      </w:r>
      <w:r>
        <w:rPr>
          <w:rFonts w:ascii="Times New Roman" w:cs="Times New Roman"/>
        </w:rPr>
        <w:t>，底宽</w:t>
      </w:r>
      <w:r>
        <w:rPr>
          <w:rFonts w:ascii="Times New Roman" w:cs="Times New Roman"/>
        </w:rPr>
        <w:t>0.</w:t>
      </w:r>
      <w:r>
        <w:rPr>
          <w:rFonts w:ascii="Times New Roman" w:cs="Times New Roman" w:hint="eastAsia"/>
        </w:rPr>
        <w:t>7</w:t>
      </w:r>
      <w:r>
        <w:rPr>
          <w:rFonts w:ascii="Times New Roman" w:cs="Times New Roman"/>
        </w:rPr>
        <w:t>m</w:t>
      </w:r>
      <w:r>
        <w:rPr>
          <w:rFonts w:ascii="Times New Roman" w:cs="Times New Roman"/>
        </w:rPr>
        <w:t>，深</w:t>
      </w:r>
      <w:r>
        <w:rPr>
          <w:rFonts w:ascii="Times New Roman" w:cs="Times New Roman"/>
        </w:rPr>
        <w:t>0.5m</w:t>
      </w:r>
      <w:r>
        <w:rPr>
          <w:rFonts w:ascii="Times New Roman" w:cs="Times New Roman"/>
        </w:rPr>
        <w:t>，沟壁坡度</w:t>
      </w:r>
      <w:r>
        <w:rPr>
          <w:rFonts w:ascii="Times New Roman" w:cs="Times New Roman"/>
        </w:rPr>
        <w:t>1</w:t>
      </w:r>
      <w:r>
        <w:rPr>
          <w:rFonts w:ascii="Times New Roman" w:cs="Times New Roman"/>
        </w:rPr>
        <w:t>：</w:t>
      </w:r>
      <w:r>
        <w:rPr>
          <w:rFonts w:ascii="Times New Roman" w:cs="Times New Roman"/>
        </w:rPr>
        <w:t>1</w:t>
      </w:r>
      <w:r>
        <w:rPr>
          <w:rFonts w:ascii="Times New Roman" w:cs="Times New Roman"/>
        </w:rPr>
        <w:t>，纵坡</w:t>
      </w:r>
      <w:r>
        <w:rPr>
          <w:rFonts w:ascii="Times New Roman" w:cs="Times New Roman"/>
        </w:rPr>
        <w:t>i=0.2%</w:t>
      </w:r>
      <w:r>
        <w:rPr>
          <w:rFonts w:ascii="Times New Roman" w:cs="Times New Roman"/>
        </w:rPr>
        <w:t>；自然雨水排向坡顶新建截水沟，再沿水沟排向道路边沟或原有自然冲沟。</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4</w:t>
      </w:r>
      <w:r>
        <w:rPr>
          <w:rFonts w:ascii="Times New Roman" w:cs="Times New Roman"/>
        </w:rPr>
        <w:t>）表土回填</w:t>
      </w:r>
    </w:p>
    <w:p w:rsidR="00BD5820" w:rsidRDefault="00F64314">
      <w:pPr>
        <w:pStyle w:val="a1"/>
        <w:ind w:firstLine="480"/>
        <w:rPr>
          <w:rFonts w:ascii="Times New Roman" w:cs="Times New Roman"/>
        </w:rPr>
      </w:pPr>
      <w:r>
        <w:rPr>
          <w:rFonts w:ascii="Times New Roman" w:cs="Times New Roman"/>
        </w:rPr>
        <w:t>完井工程结束后拆除临时设施，堆存的表土回填至</w:t>
      </w:r>
      <w:r>
        <w:rPr>
          <w:rFonts w:ascii="Times New Roman" w:cs="Times New Roman" w:hint="eastAsia"/>
        </w:rPr>
        <w:t>站场</w:t>
      </w:r>
      <w:r>
        <w:rPr>
          <w:rFonts w:ascii="Times New Roman" w:cs="Times New Roman"/>
        </w:rPr>
        <w:t>区复垦区域内，表土回填量</w:t>
      </w:r>
      <w:r>
        <w:rPr>
          <w:rFonts w:ascii="Times New Roman" w:cs="Times New Roman" w:hint="eastAsia"/>
        </w:rPr>
        <w:t>532.8</w:t>
      </w:r>
      <w:r>
        <w:rPr>
          <w:rFonts w:ascii="Times New Roman" w:cs="Times New Roman"/>
        </w:rPr>
        <w:t>m³</w:t>
      </w:r>
      <w:r>
        <w:rPr>
          <w:rFonts w:ascii="Times New Roman" w:cs="Times New Roman"/>
        </w:rPr>
        <w:t>。</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5</w:t>
      </w:r>
      <w:r>
        <w:rPr>
          <w:rFonts w:ascii="Times New Roman" w:cs="Times New Roman"/>
        </w:rPr>
        <w:t>）土地整治</w:t>
      </w:r>
    </w:p>
    <w:p w:rsidR="00BD5820" w:rsidRDefault="00F64314">
      <w:pPr>
        <w:pStyle w:val="a1"/>
        <w:ind w:firstLine="480"/>
        <w:rPr>
          <w:rFonts w:ascii="Times New Roman" w:cs="Times New Roman"/>
        </w:rPr>
      </w:pPr>
      <w:r>
        <w:rPr>
          <w:rFonts w:ascii="Times New Roman" w:cs="Times New Roman" w:hint="eastAsia"/>
        </w:rPr>
        <w:t>施工</w:t>
      </w:r>
      <w:r>
        <w:rPr>
          <w:rFonts w:ascii="Times New Roman" w:cs="Times New Roman"/>
        </w:rPr>
        <w:t>结束后拆除临时设施，对裸露或扰动区域进行土地整治，整治面积共计</w:t>
      </w:r>
      <w:r>
        <w:rPr>
          <w:rFonts w:ascii="Times New Roman" w:cs="Times New Roman" w:hint="eastAsia"/>
          <w:bCs/>
        </w:rPr>
        <w:t>36060</w:t>
      </w:r>
      <w:r>
        <w:rPr>
          <w:rFonts w:ascii="Times New Roman" w:cs="Times New Roman"/>
        </w:rPr>
        <w:t>m</w:t>
      </w:r>
      <w:r>
        <w:rPr>
          <w:rFonts w:ascii="Times New Roman" w:cs="Times New Roman"/>
          <w:vertAlign w:val="superscript"/>
        </w:rPr>
        <w:t>2</w:t>
      </w:r>
      <w:r>
        <w:rPr>
          <w:rFonts w:ascii="Times New Roman" w:cs="Times New Roman"/>
        </w:rPr>
        <w:t>，土地整治后进行复耕复绿。土地整治包括场地清理和整地。</w:t>
      </w:r>
    </w:p>
    <w:p w:rsidR="00BD5820" w:rsidRDefault="00F64314">
      <w:pPr>
        <w:pStyle w:val="a1"/>
        <w:ind w:firstLine="480"/>
        <w:rPr>
          <w:rFonts w:ascii="Times New Roman" w:cs="Times New Roman"/>
        </w:rPr>
      </w:pPr>
      <w:r>
        <w:rPr>
          <w:rFonts w:ascii="Times New Roman" w:cs="Times New Roman"/>
        </w:rPr>
        <w:t>场地清理：清理并收集该区域的垃圾，集中堆放，对开挖动土区域进行坑凹回填，场地平整改造，恢复利用。</w:t>
      </w:r>
    </w:p>
    <w:p w:rsidR="00BD5820" w:rsidRDefault="00F64314">
      <w:pPr>
        <w:pStyle w:val="a1"/>
        <w:ind w:firstLine="480"/>
        <w:rPr>
          <w:rFonts w:ascii="Times New Roman" w:cs="Times New Roman"/>
        </w:rPr>
      </w:pPr>
      <w:r>
        <w:rPr>
          <w:rFonts w:ascii="Times New Roman" w:cs="Times New Roman"/>
        </w:rPr>
        <w:t>整地：包括平整土地、翻地改善土壤理化性状，给植物及农作物生长尤其是根的发育创造了适宜的土壤条件。其方法和要求：先将表土翻松，再进行细平工作，局部高差较大处，进行回填，做到挖填同时进行。平整时应采取就近原则，</w:t>
      </w:r>
      <w:r>
        <w:rPr>
          <w:rFonts w:ascii="Times New Roman" w:cs="Times New Roman"/>
        </w:rPr>
        <w:lastRenderedPageBreak/>
        <w:t>开挖及回填时应保证表土回填前土块有足够的保水层，防止表土层底部漏水，并配合平整进行表土覆土。</w:t>
      </w:r>
    </w:p>
    <w:p w:rsidR="00BD5820" w:rsidRDefault="00F64314">
      <w:pPr>
        <w:pStyle w:val="a1"/>
        <w:ind w:firstLine="482"/>
        <w:rPr>
          <w:rFonts w:ascii="Times New Roman" w:cs="Times New Roman"/>
          <w:b/>
        </w:rPr>
      </w:pPr>
      <w:r>
        <w:rPr>
          <w:rFonts w:ascii="Times New Roman" w:cs="Times New Roman"/>
          <w:b/>
        </w:rPr>
        <w:t>2</w:t>
      </w:r>
      <w:r>
        <w:rPr>
          <w:rFonts w:ascii="Times New Roman" w:cs="Times New Roman"/>
          <w:b/>
        </w:rPr>
        <w:t>、植物措施</w:t>
      </w:r>
    </w:p>
    <w:p w:rsidR="00BD5820" w:rsidRDefault="00F64314">
      <w:pPr>
        <w:pStyle w:val="a1"/>
        <w:ind w:firstLine="480"/>
        <w:rPr>
          <w:rFonts w:ascii="Times New Roman" w:cs="Times New Roman"/>
        </w:rPr>
      </w:pPr>
      <w:r>
        <w:rPr>
          <w:rFonts w:ascii="Times New Roman" w:cs="Times New Roman" w:hint="eastAsia"/>
        </w:rPr>
        <w:t>施工期</w:t>
      </w:r>
      <w:r>
        <w:rPr>
          <w:rFonts w:ascii="Times New Roman" w:cs="Times New Roman"/>
        </w:rPr>
        <w:t>，在开挖裸露面设计撒播植草面积</w:t>
      </w:r>
      <w:r>
        <w:rPr>
          <w:rFonts w:ascii="Times New Roman" w:cs="Times New Roman" w:hint="eastAsia"/>
        </w:rPr>
        <w:t>200</w:t>
      </w:r>
      <w:r>
        <w:rPr>
          <w:rFonts w:ascii="Times New Roman" w:cs="Times New Roman"/>
        </w:rPr>
        <w:t>m</w:t>
      </w:r>
      <w:r>
        <w:rPr>
          <w:rFonts w:ascii="Times New Roman" w:cs="Times New Roman"/>
          <w:vertAlign w:val="superscript"/>
        </w:rPr>
        <w:t>2</w:t>
      </w:r>
      <w:r>
        <w:rPr>
          <w:rFonts w:ascii="Times New Roman" w:cs="Times New Roman"/>
        </w:rPr>
        <w:t>，初步考虑种植高羊茅。按照每公顷</w:t>
      </w:r>
      <w:r>
        <w:rPr>
          <w:rFonts w:ascii="Times New Roman" w:cs="Times New Roman"/>
        </w:rPr>
        <w:t>40kg</w:t>
      </w:r>
      <w:r>
        <w:rPr>
          <w:rFonts w:ascii="Times New Roman" w:cs="Times New Roman"/>
        </w:rPr>
        <w:t>播撒。</w:t>
      </w:r>
    </w:p>
    <w:p w:rsidR="00BD5820" w:rsidRDefault="00F64314">
      <w:pPr>
        <w:pStyle w:val="a1"/>
        <w:ind w:firstLine="482"/>
        <w:rPr>
          <w:rFonts w:ascii="Times New Roman" w:cs="Times New Roman"/>
          <w:b/>
        </w:rPr>
      </w:pPr>
      <w:r>
        <w:rPr>
          <w:rFonts w:ascii="Times New Roman" w:cs="Times New Roman"/>
          <w:b/>
        </w:rPr>
        <w:t>3</w:t>
      </w:r>
      <w:r>
        <w:rPr>
          <w:rFonts w:ascii="Times New Roman" w:cs="Times New Roman"/>
          <w:b/>
        </w:rPr>
        <w:t>、临时措施</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1</w:t>
      </w:r>
      <w:r>
        <w:rPr>
          <w:rFonts w:ascii="Times New Roman" w:cs="Times New Roman"/>
        </w:rPr>
        <w:t>）临时彩条布苫盖</w:t>
      </w:r>
    </w:p>
    <w:p w:rsidR="00BD5820" w:rsidRDefault="00F64314">
      <w:pPr>
        <w:pStyle w:val="a1"/>
        <w:ind w:firstLine="480"/>
        <w:rPr>
          <w:rFonts w:ascii="Times New Roman" w:cs="Times New Roman"/>
        </w:rPr>
      </w:pPr>
      <w:r>
        <w:rPr>
          <w:rFonts w:ascii="Times New Roman" w:cs="Times New Roman"/>
        </w:rPr>
        <w:t>施工中对</w:t>
      </w:r>
      <w:r>
        <w:rPr>
          <w:rFonts w:ascii="Times New Roman" w:cs="Times New Roman" w:hint="eastAsia"/>
        </w:rPr>
        <w:t>站场</w:t>
      </w:r>
      <w:r>
        <w:rPr>
          <w:rFonts w:ascii="Times New Roman" w:cs="Times New Roman"/>
        </w:rPr>
        <w:t>裸露面进行临时彩条布苫盖，需彩条布面积为</w:t>
      </w:r>
      <w:r>
        <w:rPr>
          <w:rFonts w:ascii="Times New Roman" w:cs="Times New Roman" w:hint="eastAsia"/>
        </w:rPr>
        <w:t>20</w:t>
      </w:r>
      <w:r>
        <w:rPr>
          <w:rFonts w:ascii="Times New Roman" w:cs="Times New Roman"/>
        </w:rPr>
        <w:t>00m</w:t>
      </w:r>
      <w:r>
        <w:rPr>
          <w:rFonts w:ascii="Times New Roman" w:cs="Times New Roman"/>
          <w:vertAlign w:val="superscript"/>
        </w:rPr>
        <w:t>2</w:t>
      </w:r>
      <w:r>
        <w:rPr>
          <w:rFonts w:ascii="Times New Roman" w:cs="Times New Roman"/>
        </w:rPr>
        <w:t>。</w:t>
      </w:r>
    </w:p>
    <w:p w:rsidR="00BD5820" w:rsidRDefault="00F64314">
      <w:pPr>
        <w:pStyle w:val="a1"/>
        <w:ind w:firstLine="482"/>
        <w:rPr>
          <w:rFonts w:ascii="Times New Roman" w:cs="Times New Roman"/>
          <w:b/>
        </w:rPr>
      </w:pPr>
      <w:r>
        <w:rPr>
          <w:rFonts w:ascii="Times New Roman" w:cs="Times New Roman" w:hint="eastAsia"/>
          <w:b/>
        </w:rPr>
        <w:t>3.2</w:t>
      </w:r>
      <w:r>
        <w:rPr>
          <w:rFonts w:ascii="Times New Roman" w:cs="Times New Roman" w:hint="eastAsia"/>
          <w:b/>
        </w:rPr>
        <w:t>进场道路</w:t>
      </w:r>
    </w:p>
    <w:p w:rsidR="00BD5820" w:rsidRDefault="00F64314">
      <w:pPr>
        <w:pStyle w:val="a1"/>
        <w:ind w:firstLine="480"/>
        <w:rPr>
          <w:rFonts w:ascii="Times New Roman" w:cs="Times New Roman"/>
        </w:rPr>
      </w:pPr>
      <w:r>
        <w:rPr>
          <w:rFonts w:ascii="Times New Roman" w:cs="Times New Roman"/>
        </w:rPr>
        <w:t>本</w:t>
      </w:r>
      <w:r>
        <w:rPr>
          <w:rFonts w:ascii="Times New Roman" w:cs="Times New Roman" w:hint="eastAsia"/>
        </w:rPr>
        <w:t>项目进场道路水土流水防治措施主要为</w:t>
      </w:r>
      <w:r>
        <w:rPr>
          <w:rFonts w:ascii="Times New Roman" w:cs="Times New Roman"/>
        </w:rPr>
        <w:t>表土剥离、截排水沟、植草等措施</w:t>
      </w:r>
      <w:r>
        <w:rPr>
          <w:rFonts w:ascii="Times New Roman" w:cs="Times New Roman" w:hint="eastAsia"/>
        </w:rPr>
        <w:t>、</w:t>
      </w:r>
      <w:r>
        <w:rPr>
          <w:rFonts w:ascii="Times New Roman" w:cs="Times New Roman"/>
        </w:rPr>
        <w:t>覆土、土地整治及临时措施。</w:t>
      </w:r>
    </w:p>
    <w:p w:rsidR="00BD5820" w:rsidRDefault="00F64314">
      <w:pPr>
        <w:pStyle w:val="a1"/>
        <w:ind w:firstLine="482"/>
        <w:rPr>
          <w:rFonts w:ascii="Times New Roman" w:cs="Times New Roman"/>
          <w:b/>
        </w:rPr>
      </w:pPr>
      <w:r>
        <w:rPr>
          <w:rFonts w:ascii="Times New Roman" w:cs="Times New Roman"/>
          <w:b/>
        </w:rPr>
        <w:t>1</w:t>
      </w:r>
      <w:r>
        <w:rPr>
          <w:rFonts w:ascii="Times New Roman" w:cs="Times New Roman"/>
          <w:b/>
        </w:rPr>
        <w:t>、工程措施</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1</w:t>
      </w:r>
      <w:r>
        <w:rPr>
          <w:rFonts w:ascii="Times New Roman" w:cs="Times New Roman"/>
        </w:rPr>
        <w:t>）表土剥离</w:t>
      </w:r>
    </w:p>
    <w:p w:rsidR="00BD5820" w:rsidRDefault="00F64314">
      <w:pPr>
        <w:pStyle w:val="a1"/>
        <w:ind w:firstLine="480"/>
        <w:rPr>
          <w:rFonts w:ascii="Times New Roman" w:cs="Times New Roman"/>
        </w:rPr>
      </w:pPr>
      <w:r>
        <w:rPr>
          <w:rFonts w:ascii="Times New Roman" w:cs="Times New Roman"/>
        </w:rPr>
        <w:t>施工期对</w:t>
      </w:r>
      <w:r>
        <w:rPr>
          <w:rFonts w:ascii="Times New Roman" w:cs="Times New Roman" w:hint="eastAsia"/>
        </w:rPr>
        <w:t>进场道路</w:t>
      </w:r>
      <w:r>
        <w:rPr>
          <w:rFonts w:ascii="Times New Roman" w:cs="Times New Roman"/>
        </w:rPr>
        <w:t>占用耕地区域进行表土剥离，平均剥离厚度约</w:t>
      </w:r>
      <w:r>
        <w:rPr>
          <w:rFonts w:ascii="Times New Roman" w:cs="Times New Roman"/>
        </w:rPr>
        <w:t>30cm</w:t>
      </w:r>
      <w:r>
        <w:rPr>
          <w:rFonts w:ascii="Times New Roman" w:cs="Times New Roman"/>
        </w:rPr>
        <w:t>，表土剥离总量约</w:t>
      </w:r>
      <w:r>
        <w:rPr>
          <w:rFonts w:ascii="Times New Roman" w:cs="Times New Roman" w:hint="eastAsia"/>
        </w:rPr>
        <w:t>732</w:t>
      </w:r>
      <w:r>
        <w:rPr>
          <w:rFonts w:ascii="Times New Roman" w:cs="Times New Roman"/>
        </w:rPr>
        <w:t>m</w:t>
      </w:r>
      <w:r>
        <w:rPr>
          <w:rFonts w:ascii="Times New Roman" w:cs="Times New Roman"/>
          <w:vertAlign w:val="superscript"/>
        </w:rPr>
        <w:t>3</w:t>
      </w:r>
      <w:r>
        <w:rPr>
          <w:rFonts w:ascii="Times New Roman" w:cs="Times New Roman"/>
        </w:rPr>
        <w:t>，剥离的表土全部堆存于临时堆土区，后期用于复垦覆土复绿。</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2</w:t>
      </w:r>
      <w:r>
        <w:rPr>
          <w:rFonts w:ascii="Times New Roman" w:cs="Times New Roman"/>
        </w:rPr>
        <w:t>）表土回填工程施工结束后将剥离的表土回填覆盖在</w:t>
      </w:r>
      <w:r>
        <w:rPr>
          <w:rFonts w:ascii="Times New Roman" w:cs="Times New Roman" w:hint="eastAsia"/>
        </w:rPr>
        <w:t>站场</w:t>
      </w:r>
      <w:r>
        <w:rPr>
          <w:rFonts w:ascii="Times New Roman" w:cs="Times New Roman"/>
        </w:rPr>
        <w:t>复垦区域内，共覆土约</w:t>
      </w:r>
      <w:r>
        <w:rPr>
          <w:rFonts w:ascii="Times New Roman" w:cs="Times New Roman" w:hint="eastAsia"/>
        </w:rPr>
        <w:t>6402</w:t>
      </w:r>
      <w:r>
        <w:rPr>
          <w:rFonts w:ascii="Times New Roman" w:cs="Times New Roman"/>
        </w:rPr>
        <w:t>m</w:t>
      </w:r>
      <w:r>
        <w:rPr>
          <w:rFonts w:ascii="Times New Roman" w:cs="Times New Roman"/>
          <w:vertAlign w:val="superscript"/>
        </w:rPr>
        <w:t>3</w:t>
      </w:r>
      <w:r>
        <w:rPr>
          <w:rFonts w:ascii="Times New Roman" w:cs="Times New Roman"/>
        </w:rPr>
        <w:t>。</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hint="eastAsia"/>
        </w:rPr>
        <w:t>3</w:t>
      </w:r>
      <w:r>
        <w:rPr>
          <w:rFonts w:ascii="Times New Roman" w:cs="Times New Roman"/>
        </w:rPr>
        <w:t>）土地整治</w:t>
      </w:r>
    </w:p>
    <w:p w:rsidR="00BD5820" w:rsidRDefault="00F64314">
      <w:pPr>
        <w:pStyle w:val="a1"/>
        <w:ind w:firstLine="480"/>
        <w:rPr>
          <w:rFonts w:ascii="Times New Roman" w:cs="Times New Roman"/>
        </w:rPr>
      </w:pPr>
      <w:r>
        <w:rPr>
          <w:rFonts w:ascii="Times New Roman" w:cs="Times New Roman"/>
        </w:rPr>
        <w:t>施工结束后，对裸露或扰动区域进行土地整治，整治面积</w:t>
      </w:r>
      <w:r>
        <w:rPr>
          <w:rFonts w:ascii="Times New Roman" w:cs="Times New Roman" w:hint="eastAsia"/>
        </w:rPr>
        <w:t>约</w:t>
      </w:r>
      <w:r>
        <w:rPr>
          <w:rFonts w:ascii="Times New Roman" w:cs="Times New Roman" w:hint="eastAsia"/>
        </w:rPr>
        <w:t>305</w:t>
      </w:r>
      <w:r>
        <w:rPr>
          <w:rFonts w:ascii="Times New Roman" w:cs="Times New Roman"/>
        </w:rPr>
        <w:t>m</w:t>
      </w:r>
      <w:r>
        <w:rPr>
          <w:rFonts w:ascii="Times New Roman" w:cs="Times New Roman"/>
          <w:vertAlign w:val="superscript"/>
        </w:rPr>
        <w:t>2</w:t>
      </w:r>
      <w:r>
        <w:rPr>
          <w:rFonts w:ascii="Times New Roman" w:cs="Times New Roman"/>
        </w:rPr>
        <w:t>，土地整治后进行复耕。土地整治包括场地清理和整地。</w:t>
      </w:r>
    </w:p>
    <w:p w:rsidR="00BD5820" w:rsidRDefault="00F64314">
      <w:pPr>
        <w:pStyle w:val="a1"/>
        <w:ind w:firstLine="480"/>
        <w:rPr>
          <w:rFonts w:ascii="Times New Roman" w:cs="Times New Roman"/>
        </w:rPr>
      </w:pPr>
      <w:r>
        <w:rPr>
          <w:rFonts w:ascii="Times New Roman" w:cs="Times New Roman"/>
        </w:rPr>
        <w:t>场地清理：清理并收集该区域的垃圾，集中堆放，对开挖动土区域进行坑凹回填，场地平整改造，恢复利用。</w:t>
      </w:r>
    </w:p>
    <w:p w:rsidR="00BD5820" w:rsidRDefault="00F64314">
      <w:pPr>
        <w:pStyle w:val="a1"/>
        <w:ind w:firstLine="480"/>
        <w:rPr>
          <w:rFonts w:ascii="Times New Roman" w:cs="Times New Roman"/>
        </w:rPr>
      </w:pPr>
      <w:r>
        <w:rPr>
          <w:rFonts w:ascii="Times New Roman" w:cs="Times New Roman"/>
        </w:rPr>
        <w:t>整地：包括平整土地、翻地改善土壤理化性状，给植物及农作物生长尤其是根的发育创造了适宜的土壤条件。其方法和要求：先将表土翻松，再进行细平工作，局部高差较大处，进行回填，做到挖填同时进行。平整时应采取就近原则，开挖及回填时应保证表土回填前土块有足够的保水层，防止表土层底部漏水，并配合平整进行表土覆土。</w:t>
      </w:r>
    </w:p>
    <w:p w:rsidR="00BD5820" w:rsidRDefault="00F64314">
      <w:pPr>
        <w:pStyle w:val="a1"/>
        <w:ind w:firstLine="482"/>
        <w:rPr>
          <w:rFonts w:ascii="Times New Roman" w:cs="Times New Roman"/>
          <w:b/>
        </w:rPr>
      </w:pPr>
      <w:r>
        <w:rPr>
          <w:rFonts w:ascii="Times New Roman" w:cs="Times New Roman"/>
          <w:b/>
        </w:rPr>
        <w:t>2</w:t>
      </w:r>
      <w:r>
        <w:rPr>
          <w:rFonts w:ascii="Times New Roman" w:cs="Times New Roman"/>
          <w:b/>
        </w:rPr>
        <w:t>、临时措施</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1</w:t>
      </w:r>
      <w:r>
        <w:rPr>
          <w:rFonts w:ascii="Times New Roman" w:cs="Times New Roman"/>
        </w:rPr>
        <w:t>）临时彩条布苫盖</w:t>
      </w:r>
    </w:p>
    <w:p w:rsidR="00BD5820" w:rsidRDefault="00F64314">
      <w:pPr>
        <w:pStyle w:val="a1"/>
        <w:ind w:firstLine="480"/>
        <w:rPr>
          <w:rFonts w:ascii="Times New Roman" w:cs="Times New Roman"/>
        </w:rPr>
      </w:pPr>
      <w:r>
        <w:rPr>
          <w:rFonts w:ascii="Times New Roman" w:cs="Times New Roman"/>
        </w:rPr>
        <w:lastRenderedPageBreak/>
        <w:t>施工中对</w:t>
      </w:r>
      <w:r>
        <w:rPr>
          <w:rFonts w:ascii="Times New Roman" w:cs="Times New Roman" w:hint="eastAsia"/>
        </w:rPr>
        <w:t>站场</w:t>
      </w:r>
      <w:r>
        <w:rPr>
          <w:rFonts w:ascii="Times New Roman" w:cs="Times New Roman"/>
        </w:rPr>
        <w:t>进场道路裸露边坡进行临时彩条布苫盖，需彩条布面积为</w:t>
      </w:r>
      <w:r>
        <w:rPr>
          <w:rFonts w:ascii="Times New Roman" w:cs="Times New Roman" w:hint="eastAsia"/>
        </w:rPr>
        <w:t>3</w:t>
      </w:r>
      <w:r>
        <w:rPr>
          <w:rFonts w:ascii="Times New Roman" w:cs="Times New Roman"/>
        </w:rPr>
        <w:t>00m</w:t>
      </w:r>
      <w:r>
        <w:rPr>
          <w:rFonts w:ascii="Times New Roman" w:cs="Times New Roman"/>
          <w:vertAlign w:val="superscript"/>
        </w:rPr>
        <w:t>2</w:t>
      </w:r>
      <w:r>
        <w:rPr>
          <w:rFonts w:ascii="Times New Roman" w:cs="Times New Roman"/>
        </w:rPr>
        <w:t>。</w:t>
      </w:r>
    </w:p>
    <w:p w:rsidR="00BD5820" w:rsidRDefault="00F64314">
      <w:pPr>
        <w:pStyle w:val="a1"/>
        <w:ind w:firstLine="482"/>
        <w:rPr>
          <w:rFonts w:ascii="Times New Roman" w:cs="Times New Roman"/>
          <w:b/>
        </w:rPr>
      </w:pPr>
      <w:r>
        <w:rPr>
          <w:rFonts w:ascii="Times New Roman" w:cs="Times New Roman" w:hint="eastAsia"/>
          <w:b/>
        </w:rPr>
        <w:t>3.3</w:t>
      </w:r>
      <w:r>
        <w:rPr>
          <w:rFonts w:ascii="Times New Roman" w:cs="Times New Roman" w:hint="eastAsia"/>
          <w:b/>
        </w:rPr>
        <w:t>临时堆土区</w:t>
      </w:r>
    </w:p>
    <w:p w:rsidR="00BD5820" w:rsidRDefault="00F64314">
      <w:pPr>
        <w:pStyle w:val="a1"/>
        <w:ind w:firstLine="480"/>
        <w:rPr>
          <w:rFonts w:ascii="Times New Roman" w:cs="Times New Roman"/>
        </w:rPr>
      </w:pPr>
      <w:r>
        <w:rPr>
          <w:rFonts w:ascii="Times New Roman" w:cs="Times New Roman"/>
        </w:rPr>
        <w:t>本</w:t>
      </w:r>
      <w:r>
        <w:rPr>
          <w:rFonts w:ascii="Times New Roman" w:cs="Times New Roman" w:hint="eastAsia"/>
        </w:rPr>
        <w:t>项目临时堆土区水土流水防治措施主要为</w:t>
      </w:r>
      <w:r>
        <w:rPr>
          <w:rFonts w:ascii="Times New Roman" w:cs="Times New Roman"/>
        </w:rPr>
        <w:t>覆土、土地整治、植物及临时措施。</w:t>
      </w:r>
    </w:p>
    <w:p w:rsidR="00BD5820" w:rsidRDefault="00F64314">
      <w:pPr>
        <w:pStyle w:val="a1"/>
        <w:ind w:firstLine="482"/>
        <w:rPr>
          <w:rFonts w:ascii="Times New Roman" w:cs="Times New Roman"/>
          <w:b/>
        </w:rPr>
      </w:pPr>
      <w:r>
        <w:rPr>
          <w:rFonts w:ascii="Times New Roman" w:cs="Times New Roman"/>
          <w:b/>
        </w:rPr>
        <w:t>1</w:t>
      </w:r>
      <w:r>
        <w:rPr>
          <w:rFonts w:ascii="Times New Roman" w:cs="Times New Roman"/>
          <w:b/>
        </w:rPr>
        <w:t>、工程措施</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1</w:t>
      </w:r>
      <w:r>
        <w:rPr>
          <w:rFonts w:ascii="Times New Roman" w:cs="Times New Roman"/>
        </w:rPr>
        <w:t>）土地整治</w:t>
      </w:r>
    </w:p>
    <w:p w:rsidR="00BD5820" w:rsidRDefault="00F64314">
      <w:pPr>
        <w:pStyle w:val="a1"/>
        <w:ind w:firstLine="480"/>
        <w:rPr>
          <w:rFonts w:ascii="Times New Roman" w:cs="Times New Roman"/>
        </w:rPr>
      </w:pPr>
      <w:r>
        <w:rPr>
          <w:rFonts w:ascii="Times New Roman" w:cs="Times New Roman"/>
        </w:rPr>
        <w:t>施工结束后，对裸露或扰动区域进行土地整治，整治面积共计</w:t>
      </w:r>
      <w:r>
        <w:rPr>
          <w:rFonts w:ascii="Times New Roman" w:cs="Times New Roman" w:hint="eastAsia"/>
        </w:rPr>
        <w:t>1500</w:t>
      </w:r>
      <w:r>
        <w:rPr>
          <w:rFonts w:ascii="Times New Roman" w:cs="Times New Roman"/>
        </w:rPr>
        <w:t>m</w:t>
      </w:r>
      <w:r>
        <w:rPr>
          <w:rFonts w:ascii="Times New Roman" w:cs="Times New Roman"/>
          <w:vertAlign w:val="superscript"/>
        </w:rPr>
        <w:t>2</w:t>
      </w:r>
      <w:r>
        <w:rPr>
          <w:rFonts w:ascii="Times New Roman" w:cs="Times New Roman"/>
        </w:rPr>
        <w:t>，土地整治后进行复耕。土地整治包括场地清理和整地。</w:t>
      </w:r>
    </w:p>
    <w:p w:rsidR="00BD5820" w:rsidRDefault="00F64314">
      <w:pPr>
        <w:pStyle w:val="a1"/>
        <w:ind w:firstLine="480"/>
        <w:rPr>
          <w:rFonts w:ascii="Times New Roman" w:cs="Times New Roman"/>
        </w:rPr>
      </w:pPr>
      <w:r>
        <w:rPr>
          <w:rFonts w:ascii="Times New Roman" w:cs="Times New Roman"/>
        </w:rPr>
        <w:t>场地清理：清理并收集该区域的垃圾，集中堆放，对开挖动土区域进行坑凹回填，场地平整改造，恢复利用。</w:t>
      </w:r>
    </w:p>
    <w:p w:rsidR="00BD5820" w:rsidRDefault="00F64314">
      <w:pPr>
        <w:pStyle w:val="a1"/>
        <w:ind w:firstLine="480"/>
        <w:rPr>
          <w:rFonts w:ascii="Times New Roman" w:cs="Times New Roman"/>
        </w:rPr>
      </w:pPr>
      <w:r>
        <w:rPr>
          <w:rFonts w:ascii="Times New Roman" w:cs="Times New Roman"/>
        </w:rPr>
        <w:t>整地：包括平整土地、翻地改善土壤理化性状，给植物及农作物生长尤其是根的发育创造了适宜的土壤条件。其方法和要求：先将表土翻松，再进行细平工作，局部高差较大处，进行回填，做到挖填同时进行。平整时应采取就近原则，开挖及回填时应保证表土回填前土块有足够的保水层，防止表土层底部漏水，并配合平整进行表土覆土。</w:t>
      </w:r>
    </w:p>
    <w:p w:rsidR="00BD5820" w:rsidRDefault="00F64314">
      <w:pPr>
        <w:pStyle w:val="a1"/>
        <w:ind w:firstLine="482"/>
        <w:rPr>
          <w:rFonts w:ascii="Times New Roman" w:cs="Times New Roman"/>
          <w:b/>
        </w:rPr>
      </w:pPr>
      <w:r>
        <w:rPr>
          <w:rFonts w:ascii="Times New Roman" w:cs="Times New Roman"/>
          <w:b/>
        </w:rPr>
        <w:t>2</w:t>
      </w:r>
      <w:r>
        <w:rPr>
          <w:rFonts w:ascii="Times New Roman" w:cs="Times New Roman"/>
          <w:b/>
        </w:rPr>
        <w:t>、植物措施</w:t>
      </w:r>
    </w:p>
    <w:p w:rsidR="00BD5820" w:rsidRDefault="00F64314">
      <w:pPr>
        <w:pStyle w:val="a1"/>
        <w:ind w:firstLine="480"/>
        <w:rPr>
          <w:rFonts w:ascii="Times New Roman" w:cs="Times New Roman"/>
        </w:rPr>
      </w:pPr>
      <w:r>
        <w:rPr>
          <w:rFonts w:ascii="Times New Roman" w:cs="Times New Roman" w:hint="eastAsia"/>
        </w:rPr>
        <w:t>①</w:t>
      </w:r>
      <w:r>
        <w:rPr>
          <w:rFonts w:ascii="Times New Roman" w:cs="Times New Roman"/>
        </w:rPr>
        <w:t>撒播草籽</w:t>
      </w:r>
    </w:p>
    <w:p w:rsidR="00BD5820" w:rsidRDefault="00F64314">
      <w:pPr>
        <w:pStyle w:val="a1"/>
        <w:ind w:firstLine="480"/>
        <w:rPr>
          <w:rFonts w:ascii="Times New Roman" w:cs="Times New Roman"/>
        </w:rPr>
      </w:pPr>
      <w:r>
        <w:rPr>
          <w:rFonts w:ascii="Times New Roman" w:cs="Times New Roman"/>
        </w:rPr>
        <w:t>表土堆放过程中，对表土堆放放场堆土表面播撒草种进行临时植被恢复，播撒草种面积为约</w:t>
      </w:r>
      <w:r>
        <w:rPr>
          <w:rFonts w:ascii="Times New Roman" w:cs="Times New Roman" w:hint="eastAsia"/>
        </w:rPr>
        <w:t>1500</w:t>
      </w:r>
      <w:r>
        <w:rPr>
          <w:rFonts w:ascii="Times New Roman" w:cs="Times New Roman"/>
        </w:rPr>
        <w:t>m</w:t>
      </w:r>
      <w:r>
        <w:rPr>
          <w:rFonts w:ascii="Times New Roman" w:cs="Times New Roman"/>
          <w:vertAlign w:val="superscript"/>
        </w:rPr>
        <w:t>2</w:t>
      </w:r>
      <w:r>
        <w:rPr>
          <w:rFonts w:ascii="Times New Roman" w:cs="Times New Roman"/>
        </w:rPr>
        <w:t>，草种选用三叶草或狗牙根。</w:t>
      </w:r>
    </w:p>
    <w:p w:rsidR="00BD5820" w:rsidRDefault="00F64314">
      <w:pPr>
        <w:pStyle w:val="a1"/>
        <w:ind w:firstLine="482"/>
        <w:rPr>
          <w:rFonts w:ascii="Times New Roman" w:cs="Times New Roman"/>
          <w:b/>
        </w:rPr>
      </w:pPr>
      <w:r>
        <w:rPr>
          <w:rFonts w:ascii="Times New Roman" w:cs="Times New Roman"/>
          <w:b/>
        </w:rPr>
        <w:t>3</w:t>
      </w:r>
      <w:r>
        <w:rPr>
          <w:rFonts w:ascii="Times New Roman" w:cs="Times New Roman"/>
          <w:b/>
        </w:rPr>
        <w:t>、临时措施</w:t>
      </w:r>
    </w:p>
    <w:p w:rsidR="00BD5820" w:rsidRDefault="00F64314">
      <w:pPr>
        <w:pStyle w:val="a1"/>
        <w:ind w:firstLine="480"/>
        <w:rPr>
          <w:rFonts w:ascii="Times New Roman" w:cs="Times New Roman"/>
        </w:rPr>
      </w:pPr>
      <w:r>
        <w:rPr>
          <w:rFonts w:ascii="Times New Roman" w:cs="Times New Roman"/>
        </w:rPr>
        <w:t>对临时堆土区</w:t>
      </w:r>
      <w:r>
        <w:rPr>
          <w:rFonts w:ascii="Times New Roman" w:cs="Times New Roman" w:hint="eastAsia"/>
          <w:lang w:val="en-GB"/>
        </w:rPr>
        <w:t>东</w:t>
      </w:r>
      <w:r>
        <w:rPr>
          <w:rFonts w:ascii="Times New Roman" w:cs="Times New Roman"/>
          <w:lang w:val="en-GB"/>
        </w:rPr>
        <w:t>侧</w:t>
      </w:r>
      <w:r>
        <w:rPr>
          <w:rFonts w:ascii="Times New Roman" w:cs="Times New Roman" w:hint="eastAsia"/>
          <w:lang w:val="en-GB"/>
        </w:rPr>
        <w:t>设置挡墙，高度</w:t>
      </w:r>
      <w:r>
        <w:rPr>
          <w:rFonts w:ascii="Times New Roman" w:cs="Times New Roman" w:hint="eastAsia"/>
          <w:lang w:val="en-GB"/>
        </w:rPr>
        <w:t>2~4.5m</w:t>
      </w:r>
      <w:r>
        <w:rPr>
          <w:rFonts w:ascii="Times New Roman" w:cs="Times New Roman"/>
          <w:lang w:val="en-GB"/>
        </w:rPr>
        <w:t>，</w:t>
      </w:r>
      <w:r>
        <w:rPr>
          <w:rFonts w:ascii="Times New Roman" w:cs="Times New Roman" w:hint="eastAsia"/>
        </w:rPr>
        <w:t>长度</w:t>
      </w:r>
      <w:r>
        <w:rPr>
          <w:rFonts w:ascii="Times New Roman" w:cs="Times New Roman" w:hint="eastAsia"/>
        </w:rPr>
        <w:t>25m</w:t>
      </w:r>
      <w:r>
        <w:rPr>
          <w:rFonts w:ascii="Times New Roman" w:cs="Times New Roman"/>
          <w:lang w:val="en-GB"/>
        </w:rPr>
        <w:t>，堆放的表土全部用于后期覆土。</w:t>
      </w:r>
    </w:p>
    <w:p w:rsidR="00BD5820" w:rsidRDefault="00F64314">
      <w:pPr>
        <w:pStyle w:val="a1"/>
        <w:ind w:firstLine="482"/>
        <w:rPr>
          <w:rFonts w:ascii="Times New Roman" w:cs="Times New Roman"/>
        </w:rPr>
      </w:pPr>
      <w:r>
        <w:rPr>
          <w:rFonts w:ascii="Times New Roman" w:cs="Times New Roman" w:hint="eastAsia"/>
          <w:b/>
        </w:rPr>
        <w:t>7.4</w:t>
      </w:r>
      <w:r>
        <w:rPr>
          <w:rFonts w:ascii="Times New Roman" w:cs="Times New Roman"/>
          <w:b/>
        </w:rPr>
        <w:t>水土流失防治措施</w:t>
      </w:r>
      <w:r>
        <w:rPr>
          <w:rFonts w:ascii="Times New Roman" w:cs="Times New Roman" w:hint="eastAsia"/>
          <w:b/>
        </w:rPr>
        <w:t>施工要求</w:t>
      </w:r>
    </w:p>
    <w:p w:rsidR="00BD5820" w:rsidRDefault="00F64314">
      <w:pPr>
        <w:pStyle w:val="a1"/>
        <w:ind w:firstLine="480"/>
        <w:rPr>
          <w:rFonts w:ascii="Times New Roman" w:cs="Times New Roman"/>
        </w:rPr>
      </w:pPr>
      <w:r>
        <w:rPr>
          <w:rFonts w:ascii="Times New Roman" w:cs="Times New Roman"/>
        </w:rPr>
        <w:t>水土保持工程措施和植物措施施工方法采用常规施工方法，交通不便和施工场地较狭窄区域以人工作业为主，其他施工作业时尽可能选择机械作业并辅以人工相结合。</w:t>
      </w:r>
    </w:p>
    <w:p w:rsidR="00BD5820" w:rsidRDefault="00F64314">
      <w:pPr>
        <w:pStyle w:val="a1"/>
        <w:ind w:firstLine="482"/>
        <w:rPr>
          <w:rFonts w:ascii="Times New Roman" w:cs="Times New Roman"/>
          <w:b/>
        </w:rPr>
      </w:pPr>
      <w:r>
        <w:rPr>
          <w:rFonts w:ascii="Times New Roman" w:cs="Times New Roman"/>
          <w:b/>
        </w:rPr>
        <w:t>1</w:t>
      </w:r>
      <w:r>
        <w:rPr>
          <w:rFonts w:ascii="Times New Roman" w:cs="Times New Roman"/>
          <w:b/>
        </w:rPr>
        <w:t>、土地整治工程</w:t>
      </w:r>
    </w:p>
    <w:p w:rsidR="00BD5820" w:rsidRDefault="00F64314">
      <w:pPr>
        <w:pStyle w:val="a1"/>
        <w:ind w:firstLine="480"/>
        <w:rPr>
          <w:rFonts w:ascii="Times New Roman" w:cs="Times New Roman"/>
        </w:rPr>
      </w:pPr>
      <w:r>
        <w:rPr>
          <w:rFonts w:ascii="Times New Roman" w:cs="Times New Roman"/>
        </w:rPr>
        <w:t>本项目土地整治工程主要是对临时占地施工完成后，需要回填表土并恢复原地貌土地类型，而进行的地貌平整、表层土翻松、等一系列小型整治工程措施。</w:t>
      </w:r>
      <w:r>
        <w:rPr>
          <w:rFonts w:ascii="Times New Roman" w:cs="Times New Roman"/>
        </w:rPr>
        <w:lastRenderedPageBreak/>
        <w:t>在实施以上工程措施的同时，结合土地使用的立地条件及项目区生产建设需要，尽量采取深耕深松、增施有机肥等土壤改良措施，对防治责任范围内的耕作用地及林业用地进行改造整治，恢复原土地类型的生产力。</w:t>
      </w:r>
    </w:p>
    <w:p w:rsidR="00BD5820" w:rsidRDefault="00F64314">
      <w:pPr>
        <w:pStyle w:val="a1"/>
        <w:ind w:firstLine="482"/>
        <w:rPr>
          <w:rFonts w:ascii="Times New Roman" w:cs="Times New Roman"/>
          <w:b/>
        </w:rPr>
      </w:pPr>
      <w:r>
        <w:rPr>
          <w:rFonts w:ascii="Times New Roman" w:cs="Times New Roman"/>
          <w:b/>
        </w:rPr>
        <w:t>2</w:t>
      </w:r>
      <w:r>
        <w:rPr>
          <w:rFonts w:ascii="Times New Roman" w:cs="Times New Roman"/>
          <w:b/>
        </w:rPr>
        <w:t>、土石方开挖及回填</w:t>
      </w:r>
    </w:p>
    <w:p w:rsidR="00BD5820" w:rsidRDefault="00F64314">
      <w:pPr>
        <w:pStyle w:val="a1"/>
        <w:ind w:firstLine="480"/>
        <w:rPr>
          <w:rFonts w:ascii="Times New Roman" w:cs="Times New Roman"/>
        </w:rPr>
      </w:pPr>
      <w:r>
        <w:rPr>
          <w:rFonts w:ascii="Times New Roman" w:cs="Times New Roman"/>
        </w:rPr>
        <w:t>石方开挖采用手风钻浅孔，小范围爆破，人工开挖，开挖弃渣综合利用，土夹石开挖采用人工或机械进行。</w:t>
      </w:r>
    </w:p>
    <w:p w:rsidR="00BD5820" w:rsidRDefault="00F64314">
      <w:pPr>
        <w:pStyle w:val="a1"/>
        <w:ind w:firstLine="482"/>
        <w:rPr>
          <w:rFonts w:ascii="Times New Roman" w:cs="Times New Roman"/>
          <w:b/>
        </w:rPr>
      </w:pPr>
      <w:r>
        <w:rPr>
          <w:rFonts w:ascii="Times New Roman" w:cs="Times New Roman"/>
          <w:b/>
        </w:rPr>
        <w:t>3</w:t>
      </w:r>
      <w:r>
        <w:rPr>
          <w:rFonts w:ascii="Times New Roman" w:cs="Times New Roman"/>
          <w:b/>
        </w:rPr>
        <w:t>、林草措施布设</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1</w:t>
      </w:r>
      <w:r>
        <w:rPr>
          <w:rFonts w:ascii="Times New Roman" w:cs="Times New Roman"/>
        </w:rPr>
        <w:t>）植物种类选择</w:t>
      </w:r>
    </w:p>
    <w:p w:rsidR="00BD5820" w:rsidRDefault="00F64314">
      <w:pPr>
        <w:pStyle w:val="a1"/>
        <w:ind w:firstLine="480"/>
        <w:rPr>
          <w:rFonts w:ascii="Times New Roman" w:cs="Times New Roman"/>
        </w:rPr>
      </w:pPr>
      <w:r>
        <w:rPr>
          <w:rFonts w:ascii="Times New Roman" w:cs="Times New Roman"/>
        </w:rPr>
        <w:t>项目区地处亚热带湿润季风气候区，应选择喜湿、喜温、根系发达、固土作用强、生长迅速的植物种类。根据项目区植被分布及植被类型，尽量选用当地乡土树草种或适生树草种作为本方案的绿化树草种。</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2</w:t>
      </w:r>
      <w:r>
        <w:rPr>
          <w:rFonts w:ascii="Times New Roman" w:cs="Times New Roman"/>
        </w:rPr>
        <w:t>）种草</w:t>
      </w:r>
    </w:p>
    <w:p w:rsidR="00BD5820" w:rsidRDefault="00F64314">
      <w:pPr>
        <w:pStyle w:val="a1"/>
        <w:ind w:firstLine="480"/>
        <w:rPr>
          <w:rFonts w:ascii="Times New Roman" w:cs="Times New Roman"/>
        </w:rPr>
      </w:pPr>
      <w:r>
        <w:rPr>
          <w:rFonts w:ascii="Times New Roman" w:cs="Times New Roman"/>
        </w:rPr>
        <w:t>草本植物种植一般采用如下方式进行：</w:t>
      </w:r>
    </w:p>
    <w:p w:rsidR="00BD5820" w:rsidRDefault="00F64314">
      <w:pPr>
        <w:pStyle w:val="a1"/>
        <w:ind w:firstLine="480"/>
        <w:rPr>
          <w:rFonts w:ascii="Times New Roman" w:cs="Times New Roman"/>
        </w:rPr>
      </w:pPr>
      <w:r>
        <w:rPr>
          <w:rFonts w:ascii="Times New Roman" w:cs="Times New Roman"/>
        </w:rPr>
        <w:t>鉴于项目区水热条件较好，本项目主要采用撒播方式进行种草，草种应选用适应性强的耐热、耐湿、耐贫瘠；繁殖容易、管理方便的当地适生草种。</w:t>
      </w:r>
    </w:p>
    <w:p w:rsidR="00BD5820" w:rsidRDefault="00F64314">
      <w:pPr>
        <w:pStyle w:val="a1"/>
        <w:ind w:firstLine="480"/>
        <w:rPr>
          <w:rFonts w:ascii="Times New Roman" w:cs="Times New Roman"/>
        </w:rPr>
      </w:pPr>
      <w:r>
        <w:rPr>
          <w:rFonts w:ascii="Times New Roman" w:cs="Times New Roman"/>
        </w:rPr>
        <w:t>草籽撒播首先进行整地，耕翻土层</w:t>
      </w:r>
      <w:r>
        <w:rPr>
          <w:rFonts w:ascii="Times New Roman" w:cs="Times New Roman"/>
        </w:rPr>
        <w:t>20cm</w:t>
      </w:r>
      <w:r>
        <w:rPr>
          <w:rFonts w:ascii="Times New Roman" w:cs="Times New Roman"/>
        </w:rPr>
        <w:t>左右，清除土层中的碎石等杂物，以形成一个疏松、透气、透水等适宜草种生长的苗床。种子处理去杂、精选，保证种子质量，播种前将精选的草种浸泡</w:t>
      </w:r>
      <w:r>
        <w:rPr>
          <w:rFonts w:ascii="Times New Roman" w:cs="Times New Roman"/>
        </w:rPr>
        <w:t>24</w:t>
      </w:r>
      <w:r>
        <w:rPr>
          <w:rFonts w:ascii="Times New Roman" w:cs="Times New Roman"/>
        </w:rPr>
        <w:t>小时以利于出芽，宜在春末夏初或夏季播种，适当施有机肥或</w:t>
      </w:r>
      <w:r>
        <w:rPr>
          <w:rFonts w:ascii="Times New Roman" w:cs="Times New Roman"/>
        </w:rPr>
        <w:t>N</w:t>
      </w:r>
      <w:r>
        <w:rPr>
          <w:rFonts w:ascii="Times New Roman" w:cs="Times New Roman"/>
        </w:rPr>
        <w:t>、</w:t>
      </w:r>
      <w:r>
        <w:rPr>
          <w:rFonts w:ascii="Times New Roman" w:cs="Times New Roman"/>
        </w:rPr>
        <w:t>P</w:t>
      </w:r>
      <w:r>
        <w:rPr>
          <w:rFonts w:ascii="Times New Roman" w:cs="Times New Roman"/>
        </w:rPr>
        <w:t>、</w:t>
      </w:r>
      <w:r>
        <w:rPr>
          <w:rFonts w:ascii="Times New Roman" w:cs="Times New Roman"/>
        </w:rPr>
        <w:t>K</w:t>
      </w:r>
      <w:r>
        <w:rPr>
          <w:rFonts w:ascii="Times New Roman" w:cs="Times New Roman"/>
        </w:rPr>
        <w:t>复合肥，及时浇水、施肥。</w:t>
      </w:r>
    </w:p>
    <w:p w:rsidR="00BD5820" w:rsidRDefault="00F64314">
      <w:pPr>
        <w:pStyle w:val="a1"/>
        <w:ind w:firstLine="480"/>
        <w:rPr>
          <w:rFonts w:ascii="Times New Roman" w:cs="Times New Roman"/>
        </w:rPr>
      </w:pPr>
      <w:r>
        <w:rPr>
          <w:rFonts w:ascii="Times New Roman" w:cs="Times New Roman"/>
        </w:rPr>
        <w:t>植物措施抚育期</w:t>
      </w:r>
      <w:r>
        <w:rPr>
          <w:rFonts w:ascii="Times New Roman" w:cs="Times New Roman"/>
        </w:rPr>
        <w:t>6</w:t>
      </w:r>
      <w:r>
        <w:rPr>
          <w:rFonts w:ascii="Times New Roman" w:cs="Times New Roman"/>
        </w:rPr>
        <w:t>个月，播撒草种后植被在</w:t>
      </w:r>
      <w:r>
        <w:rPr>
          <w:rFonts w:ascii="Times New Roman" w:cs="Times New Roman"/>
        </w:rPr>
        <w:t>6</w:t>
      </w:r>
      <w:r>
        <w:rPr>
          <w:rFonts w:ascii="Times New Roman" w:cs="Times New Roman"/>
        </w:rPr>
        <w:t>个月内发挥植物措施效果。</w:t>
      </w:r>
    </w:p>
    <w:p w:rsidR="00BD5820" w:rsidRDefault="00F64314">
      <w:pPr>
        <w:pStyle w:val="a1"/>
        <w:ind w:firstLine="482"/>
        <w:rPr>
          <w:rFonts w:ascii="Times New Roman" w:cs="Times New Roman"/>
          <w:b/>
        </w:rPr>
      </w:pPr>
      <w:r>
        <w:rPr>
          <w:rFonts w:ascii="Times New Roman" w:cs="Times New Roman"/>
          <w:b/>
        </w:rPr>
        <w:t>4</w:t>
      </w:r>
      <w:r>
        <w:rPr>
          <w:rFonts w:ascii="Times New Roman" w:cs="Times New Roman"/>
          <w:b/>
        </w:rPr>
        <w:t>、临时措施实施</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1</w:t>
      </w:r>
      <w:r>
        <w:rPr>
          <w:rFonts w:ascii="Times New Roman" w:cs="Times New Roman"/>
        </w:rPr>
        <w:t>）挡墙：主要用于临时堆存表土的拦挡，具体做法为：利用挖除的土方装入编织袋中，扎紧袋口，将沙袋码放在规划堆土场地周围，上下交错码放。</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2</w:t>
      </w:r>
      <w:r>
        <w:rPr>
          <w:rFonts w:ascii="Times New Roman" w:cs="Times New Roman"/>
        </w:rPr>
        <w:t>）防雨布覆盖：将防雨布铺在堆土（或堆料）表面，并用砖石压护。</w:t>
      </w:r>
    </w:p>
    <w:p w:rsidR="00BD5820" w:rsidRDefault="00F64314">
      <w:pPr>
        <w:pStyle w:val="a1"/>
        <w:ind w:firstLine="482"/>
        <w:rPr>
          <w:rFonts w:ascii="Times New Roman" w:cs="Times New Roman"/>
        </w:rPr>
      </w:pPr>
      <w:r>
        <w:rPr>
          <w:rFonts w:ascii="Times New Roman" w:cs="Times New Roman" w:hint="eastAsia"/>
          <w:b/>
        </w:rPr>
        <w:t>7.4</w:t>
      </w:r>
      <w:r>
        <w:rPr>
          <w:rFonts w:ascii="Times New Roman" w:cs="Times New Roman" w:hint="eastAsia"/>
          <w:b/>
        </w:rPr>
        <w:t>管线施工</w:t>
      </w:r>
      <w:r>
        <w:rPr>
          <w:rFonts w:ascii="Times New Roman" w:cs="Times New Roman"/>
          <w:b/>
        </w:rPr>
        <w:t>水土流失防治措施</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1</w:t>
      </w:r>
      <w:r>
        <w:rPr>
          <w:rFonts w:ascii="Times New Roman" w:cs="Times New Roman"/>
        </w:rPr>
        <w:t>）尽量避开雨季施工；分段施工，做到随挖、随运、随铺、随压，尽量不留疏松地面，减少风蚀导致的水土流失。</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2</w:t>
      </w:r>
      <w:r>
        <w:rPr>
          <w:rFonts w:ascii="Times New Roman" w:cs="Times New Roman"/>
        </w:rPr>
        <w:t>）划定施工作业带范围和路线，不随意扩大。并严格控制机械和车辆的作业范围，尽可能减少对土壤和农作物的破坏以及由此引发的水土流失。</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3</w:t>
      </w:r>
      <w:r>
        <w:rPr>
          <w:rFonts w:ascii="Times New Roman" w:cs="Times New Roman"/>
        </w:rPr>
        <w:t>）提高工程施工效率，缩短施工工期。</w:t>
      </w:r>
    </w:p>
    <w:p w:rsidR="00BD5820" w:rsidRDefault="00F64314">
      <w:pPr>
        <w:pStyle w:val="a1"/>
        <w:ind w:firstLine="480"/>
        <w:rPr>
          <w:rFonts w:ascii="Times New Roman" w:cs="Times New Roman"/>
        </w:rPr>
      </w:pPr>
      <w:r>
        <w:rPr>
          <w:rFonts w:ascii="Times New Roman" w:cs="Times New Roman"/>
        </w:rPr>
        <w:lastRenderedPageBreak/>
        <w:t>（</w:t>
      </w:r>
      <w:r>
        <w:rPr>
          <w:rFonts w:ascii="Times New Roman" w:cs="Times New Roman"/>
        </w:rPr>
        <w:t>4</w:t>
      </w:r>
      <w:r>
        <w:rPr>
          <w:rFonts w:ascii="Times New Roman" w:cs="Times New Roman"/>
        </w:rPr>
        <w:t>）施工时将禁止材料的随意堆放，划定统一的堆料场，防止对植物破坏范围扩大。</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hint="eastAsia"/>
        </w:rPr>
        <w:t>5</w:t>
      </w:r>
      <w:r>
        <w:rPr>
          <w:rFonts w:ascii="Times New Roman" w:cs="Times New Roman"/>
        </w:rPr>
        <w:t>）施工破坏的植被地带，施工结束后，及时恢复植被，减少水土流失。对于穿越的林地，管线敷设后，土方回填不仅遵循设计规范要求，还将遵循下石上土、下粗上细、肥沃的在上贫瘠的在下的原则。回填后管线两侧</w:t>
      </w:r>
      <w:r>
        <w:rPr>
          <w:rFonts w:ascii="Times New Roman" w:cs="Times New Roman"/>
        </w:rPr>
        <w:t>5m</w:t>
      </w:r>
      <w:r>
        <w:rPr>
          <w:rFonts w:ascii="Times New Roman" w:cs="Times New Roman"/>
        </w:rPr>
        <w:t>范围内栽种根系不发达、生长性强的植被。对于耕地，施工结束后，遵循上述相同的原则，进行复耕。</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hint="eastAsia"/>
        </w:rPr>
        <w:t>6</w:t>
      </w:r>
      <w:r>
        <w:rPr>
          <w:rFonts w:ascii="Times New Roman" w:cs="Times New Roman"/>
        </w:rPr>
        <w:t>）水土保持和水工保护措施相结合，工程措施和生物措施相互结合，分区进行布局。</w:t>
      </w:r>
    </w:p>
    <w:p w:rsidR="00BD5820" w:rsidRDefault="00F64314">
      <w:pPr>
        <w:pStyle w:val="3"/>
        <w:rPr>
          <w:rFonts w:eastAsia="宋体"/>
        </w:rPr>
      </w:pPr>
      <w:bookmarkStart w:id="511" w:name="_Toc19816127"/>
      <w:bookmarkStart w:id="512" w:name="_Toc12288790"/>
      <w:r>
        <w:rPr>
          <w:rFonts w:eastAsia="宋体"/>
        </w:rPr>
        <w:t xml:space="preserve">8.1.3 </w:t>
      </w:r>
      <w:r>
        <w:rPr>
          <w:rFonts w:eastAsia="宋体"/>
        </w:rPr>
        <w:t>施工期污染防治措施</w:t>
      </w:r>
      <w:bookmarkEnd w:id="511"/>
      <w:bookmarkEnd w:id="512"/>
    </w:p>
    <w:p w:rsidR="00BD5820" w:rsidRDefault="00F64314">
      <w:pPr>
        <w:ind w:firstLine="482"/>
        <w:rPr>
          <w:rFonts w:ascii="Times New Roman" w:cs="Times New Roman"/>
          <w:b/>
        </w:rPr>
      </w:pPr>
      <w:r>
        <w:rPr>
          <w:rFonts w:ascii="Times New Roman" w:cs="Times New Roman"/>
          <w:b/>
        </w:rPr>
        <w:t>1</w:t>
      </w:r>
      <w:r>
        <w:rPr>
          <w:rFonts w:ascii="Times New Roman" w:cs="Times New Roman"/>
          <w:b/>
        </w:rPr>
        <w:t>、废气染防治措施</w:t>
      </w:r>
    </w:p>
    <w:p w:rsidR="00BD5820" w:rsidRDefault="00F64314">
      <w:pPr>
        <w:pStyle w:val="a1"/>
        <w:ind w:firstLine="480"/>
        <w:rPr>
          <w:rFonts w:ascii="Times New Roman" w:cs="Times New Roman"/>
        </w:rPr>
      </w:pPr>
      <w:r>
        <w:rPr>
          <w:rFonts w:ascii="Times New Roman" w:cs="Times New Roman"/>
        </w:rPr>
        <w:t>施工废气主要来自地面开挖和运输车辆行驶产生的扬尘、施工机械排放的尾气。</w:t>
      </w:r>
    </w:p>
    <w:p w:rsidR="00BD5820" w:rsidRDefault="00F64314">
      <w:pPr>
        <w:pStyle w:val="a1"/>
        <w:ind w:firstLine="482"/>
        <w:rPr>
          <w:rFonts w:ascii="Times New Roman" w:cs="Times New Roman"/>
          <w:b/>
        </w:rPr>
      </w:pPr>
      <w:bookmarkStart w:id="513" w:name="_Toc12288791"/>
      <w:r>
        <w:rPr>
          <w:rFonts w:ascii="Times New Roman" w:cs="Times New Roman"/>
          <w:b/>
        </w:rPr>
        <w:t>（</w:t>
      </w:r>
      <w:r>
        <w:rPr>
          <w:rFonts w:ascii="Times New Roman" w:cs="Times New Roman"/>
          <w:b/>
        </w:rPr>
        <w:t>1</w:t>
      </w:r>
      <w:r>
        <w:rPr>
          <w:rFonts w:ascii="Times New Roman" w:cs="Times New Roman"/>
          <w:b/>
        </w:rPr>
        <w:t>）施工扬尘</w:t>
      </w:r>
      <w:bookmarkEnd w:id="513"/>
    </w:p>
    <w:p w:rsidR="00BD5820" w:rsidRDefault="00F64314">
      <w:pPr>
        <w:pStyle w:val="a1"/>
        <w:ind w:firstLine="480"/>
        <w:rPr>
          <w:rFonts w:ascii="Times New Roman" w:cs="Times New Roman"/>
        </w:rPr>
      </w:pPr>
      <w:r>
        <w:rPr>
          <w:rFonts w:ascii="Times New Roman" w:cs="Times New Roman"/>
        </w:rPr>
        <w:t>相比其它施工废气而言，施工扬尘是造成周围大气环境污染最严重的，根据设计资料，为减少施工工程中扬尘的产生量，拟采取如下措施：</w:t>
      </w:r>
    </w:p>
    <w:p w:rsidR="00BD5820" w:rsidRDefault="00F64314">
      <w:pPr>
        <w:pStyle w:val="a1"/>
        <w:ind w:firstLine="480"/>
        <w:rPr>
          <w:rFonts w:ascii="Times New Roman" w:cs="Times New Roman"/>
        </w:rPr>
      </w:pPr>
      <w:r>
        <w:rPr>
          <w:rFonts w:hAnsi="宋体" w:hint="eastAsia"/>
        </w:rPr>
        <w:t>①</w:t>
      </w:r>
      <w:r>
        <w:rPr>
          <w:rFonts w:ascii="Times New Roman" w:cs="Times New Roman"/>
        </w:rPr>
        <w:t>开挖施工过程中产生的扬尘，采用洒水车定期对作业面和土堆洒水，使其保持一定湿度，降低施工期的粉尘散发量。</w:t>
      </w:r>
    </w:p>
    <w:p w:rsidR="00BD5820" w:rsidRDefault="00F64314">
      <w:pPr>
        <w:pStyle w:val="a1"/>
        <w:ind w:firstLine="480"/>
        <w:rPr>
          <w:rFonts w:ascii="Times New Roman" w:cs="Times New Roman"/>
        </w:rPr>
      </w:pPr>
      <w:r>
        <w:rPr>
          <w:rFonts w:hAnsi="宋体" w:hint="eastAsia"/>
        </w:rPr>
        <w:t>②</w:t>
      </w:r>
      <w:r>
        <w:rPr>
          <w:rFonts w:ascii="Times New Roman" w:cs="Times New Roman"/>
        </w:rPr>
        <w:t>在施工现场进行合理化管理，统一堆放材料，设置专门库房堆放水泥，尽量减少搬运环节，搬运时轻举轻放，防止包装袋破裂，施工散料运输车辆应采用加盖蓬布和湿法相结合的方式，减少扬尘对大气的污染，物料堆放时加盖蓬布。</w:t>
      </w:r>
    </w:p>
    <w:p w:rsidR="00BD5820" w:rsidRDefault="00F64314">
      <w:pPr>
        <w:pStyle w:val="a1"/>
        <w:ind w:firstLine="480"/>
        <w:rPr>
          <w:rFonts w:ascii="Times New Roman" w:cs="Times New Roman"/>
        </w:rPr>
      </w:pPr>
      <w:r>
        <w:rPr>
          <w:rFonts w:hAnsi="宋体" w:hint="eastAsia"/>
        </w:rPr>
        <w:t>③</w:t>
      </w:r>
      <w:r>
        <w:rPr>
          <w:rFonts w:ascii="Times New Roman" w:cs="Times New Roman"/>
        </w:rPr>
        <w:t>当风速过大时，应停止施工作业，并对堆存的沙粉等建筑材料采取遮盖措施。</w:t>
      </w:r>
    </w:p>
    <w:p w:rsidR="00BD5820" w:rsidRDefault="00F64314">
      <w:pPr>
        <w:pStyle w:val="a1"/>
        <w:ind w:firstLine="480"/>
        <w:rPr>
          <w:rFonts w:ascii="Times New Roman" w:cs="Times New Roman"/>
        </w:rPr>
      </w:pPr>
      <w:r>
        <w:rPr>
          <w:rFonts w:hAnsi="宋体" w:hint="eastAsia"/>
        </w:rPr>
        <w:t>④</w:t>
      </w:r>
      <w:r>
        <w:rPr>
          <w:rFonts w:ascii="Times New Roman" w:cs="Times New Roman"/>
        </w:rPr>
        <w:t>保持运输车辆完好，不过满装载，尽量采取遮盖、密闭措施，减少沿程抛洒，及时清扫散落在路面上的泥土和建筑材料，冲洗轮胎，定时洒水压尘，减少运输过程中的扬尘。同时，在经过住户、学校附近时，应减速慢行，尽量减少粉尘对敏感点的影响。</w:t>
      </w:r>
    </w:p>
    <w:p w:rsidR="00BD5820" w:rsidRDefault="00F64314">
      <w:pPr>
        <w:pStyle w:val="a1"/>
        <w:ind w:firstLine="480"/>
        <w:rPr>
          <w:rFonts w:ascii="Times New Roman" w:cs="Times New Roman"/>
        </w:rPr>
      </w:pPr>
      <w:r>
        <w:rPr>
          <w:rFonts w:hAnsi="宋体" w:hint="eastAsia"/>
        </w:rPr>
        <w:t>⑤</w:t>
      </w:r>
      <w:r>
        <w:rPr>
          <w:rFonts w:ascii="Times New Roman" w:cs="Times New Roman"/>
        </w:rPr>
        <w:t>堆积于管沟两侧的临时堆土表面应覆盖毡土，防止尘土飞扬；同时在风力大于</w:t>
      </w:r>
      <w:r>
        <w:rPr>
          <w:rFonts w:ascii="Times New Roman" w:cs="Times New Roman"/>
        </w:rPr>
        <w:t>4</w:t>
      </w:r>
      <w:r>
        <w:rPr>
          <w:rFonts w:ascii="Times New Roman" w:cs="Times New Roman"/>
        </w:rPr>
        <w:t>级时停止土方开挖和回填等作业。</w:t>
      </w:r>
    </w:p>
    <w:p w:rsidR="00BD5820" w:rsidRDefault="00F64314">
      <w:pPr>
        <w:pStyle w:val="a1"/>
        <w:ind w:firstLine="480"/>
        <w:rPr>
          <w:rFonts w:ascii="Times New Roman" w:cs="Times New Roman"/>
        </w:rPr>
      </w:pPr>
      <w:r>
        <w:rPr>
          <w:rFonts w:hAnsi="宋体" w:hint="eastAsia"/>
        </w:rPr>
        <w:t>⑥</w:t>
      </w:r>
      <w:r>
        <w:rPr>
          <w:rFonts w:ascii="Times New Roman" w:cs="Times New Roman"/>
        </w:rPr>
        <w:t>施工单位应严格遵守各级人民政府制定的建设施工管理制度，全面推行现</w:t>
      </w:r>
      <w:r>
        <w:rPr>
          <w:rFonts w:ascii="Times New Roman" w:cs="Times New Roman"/>
        </w:rPr>
        <w:lastRenderedPageBreak/>
        <w:t>场标准化管理，工地做到六必须（必须围挡作业、必须硬化道路、必须设置冲洗设施、必须及时洒水作业、必须落实保洁人员、必须定时清扫施工现场）；六不准（不准车辆带泥出门、不准运渣车辆冒顶装载、不准高空抛撒建筑垃圾、不准现场搅拌混凝土、不准场地积水、不准现场焚烧废弃物）。并且施工单位应严格落实本环评提出各项降尘措施。</w:t>
      </w:r>
    </w:p>
    <w:p w:rsidR="00BD5820" w:rsidRDefault="00F64314">
      <w:pPr>
        <w:pStyle w:val="a1"/>
        <w:ind w:firstLine="480"/>
        <w:rPr>
          <w:rFonts w:ascii="Times New Roman" w:cs="Times New Roman"/>
        </w:rPr>
      </w:pPr>
      <w:r>
        <w:rPr>
          <w:rFonts w:ascii="Times New Roman" w:cs="Times New Roman"/>
        </w:rPr>
        <w:t>根据达州市住房和城乡建设局《关于印发〈施工扬尘污染防治管理办法（试行）〉的通知》（达市住建发〔</w:t>
      </w:r>
      <w:r>
        <w:rPr>
          <w:rFonts w:ascii="Times New Roman" w:cs="Times New Roman"/>
        </w:rPr>
        <w:t>2018</w:t>
      </w:r>
      <w:r>
        <w:rPr>
          <w:rFonts w:ascii="Times New Roman" w:cs="Times New Roman"/>
        </w:rPr>
        <w:t>〕</w:t>
      </w:r>
      <w:r>
        <w:rPr>
          <w:rFonts w:ascii="Times New Roman" w:cs="Times New Roman"/>
        </w:rPr>
        <w:t>331</w:t>
      </w:r>
      <w:r>
        <w:rPr>
          <w:rFonts w:ascii="Times New Roman" w:cs="Times New Roman"/>
        </w:rPr>
        <w:t>号）的规定：招标文件中应明确扬尘污染防治目标要求，建设工程施工合同中应明确施工单位扬尘防治职责，并与施工单位签订扬尘防治责任书；应将建设工程施工现场扬尘污染防治费用列入工程概预算、招标文件工程量清单和施工合同，实行专款专用。</w:t>
      </w:r>
    </w:p>
    <w:p w:rsidR="00BD5820" w:rsidRDefault="00F64314">
      <w:pPr>
        <w:pStyle w:val="a1"/>
        <w:ind w:firstLine="480"/>
        <w:rPr>
          <w:rFonts w:ascii="Times New Roman" w:cs="Times New Roman"/>
        </w:rPr>
      </w:pPr>
      <w:r>
        <w:rPr>
          <w:rFonts w:ascii="Times New Roman" w:cs="Times New Roman"/>
        </w:rPr>
        <w:t>施工扬尘量随管理手段的提高而降低，如果管理措施得当，扬尘量将降低</w:t>
      </w:r>
      <w:r>
        <w:rPr>
          <w:rFonts w:ascii="Times New Roman" w:cs="Times New Roman"/>
        </w:rPr>
        <w:t>70</w:t>
      </w:r>
      <w:r>
        <w:rPr>
          <w:rFonts w:ascii="Times New Roman" w:cs="Times New Roman"/>
        </w:rPr>
        <w:t>～</w:t>
      </w:r>
      <w:r>
        <w:rPr>
          <w:rFonts w:ascii="Times New Roman" w:cs="Times New Roman"/>
        </w:rPr>
        <w:t>80%</w:t>
      </w:r>
      <w:r>
        <w:rPr>
          <w:rFonts w:ascii="Times New Roman" w:cs="Times New Roman"/>
        </w:rPr>
        <w:t>，大大减少对环境的影响。本项目在施工过程中，在落实以上措施的同时，应注意加强对施工队伍的管理，如建立施工规章制度，由通过</w:t>
      </w:r>
      <w:r>
        <w:rPr>
          <w:rFonts w:ascii="Times New Roman" w:cs="Times New Roman"/>
        </w:rPr>
        <w:t>IS014000</w:t>
      </w:r>
      <w:r>
        <w:rPr>
          <w:rFonts w:ascii="Times New Roman" w:cs="Times New Roman"/>
        </w:rPr>
        <w:t>认证的单位施工等。</w:t>
      </w:r>
    </w:p>
    <w:p w:rsidR="00BD5820" w:rsidRDefault="00F64314">
      <w:pPr>
        <w:pStyle w:val="a1"/>
        <w:ind w:firstLine="482"/>
        <w:rPr>
          <w:rFonts w:ascii="Times New Roman" w:cs="Times New Roman"/>
          <w:b/>
        </w:rPr>
      </w:pPr>
      <w:bookmarkStart w:id="514" w:name="_Toc12288793"/>
      <w:r>
        <w:rPr>
          <w:rFonts w:ascii="Times New Roman" w:cs="Times New Roman"/>
          <w:b/>
        </w:rPr>
        <w:t>（</w:t>
      </w:r>
      <w:r>
        <w:rPr>
          <w:rFonts w:ascii="Times New Roman" w:cs="Times New Roman"/>
          <w:b/>
        </w:rPr>
        <w:t>2</w:t>
      </w:r>
      <w:r>
        <w:rPr>
          <w:rFonts w:ascii="Times New Roman" w:cs="Times New Roman"/>
          <w:b/>
        </w:rPr>
        <w:t>）施工机械排放尾气</w:t>
      </w:r>
      <w:bookmarkEnd w:id="514"/>
    </w:p>
    <w:p w:rsidR="00BD5820" w:rsidRDefault="00F64314">
      <w:pPr>
        <w:pStyle w:val="a1"/>
        <w:ind w:firstLine="480"/>
        <w:rPr>
          <w:rFonts w:ascii="Times New Roman" w:cs="Times New Roman"/>
          <w:bCs/>
        </w:rPr>
      </w:pPr>
      <w:bookmarkStart w:id="515" w:name="_Hlk41407154"/>
      <w:r>
        <w:rPr>
          <w:rFonts w:ascii="Times New Roman" w:cs="Times New Roman"/>
        </w:rPr>
        <w:t>对于施工机械排放的尾气，污染源本身排放量较小，并具有间歇性和短期性，</w:t>
      </w:r>
      <w:bookmarkStart w:id="516" w:name="_Hlk41462172"/>
      <w:r>
        <w:rPr>
          <w:rFonts w:ascii="Times New Roman" w:cs="Times New Roman"/>
        </w:rPr>
        <w:t>施工过程中应加强大型施工机械和车辆管理，工程承包商的机械设备应配备相应的消烟除尘设备</w:t>
      </w:r>
      <w:bookmarkEnd w:id="516"/>
      <w:r>
        <w:rPr>
          <w:rFonts w:ascii="Times New Roman" w:cs="Times New Roman"/>
        </w:rPr>
        <w:t>；定期检查、维修，确保施工机械和车辆各项环保指标符合尾气排放要求；应采用优质、污染小的燃油，因此不会对周围环境造成很大的污染。</w:t>
      </w:r>
    </w:p>
    <w:p w:rsidR="00BD5820" w:rsidRDefault="00F64314">
      <w:pPr>
        <w:pStyle w:val="affa"/>
        <w:ind w:firstLine="482"/>
        <w:rPr>
          <w:b/>
        </w:rPr>
      </w:pPr>
      <w:r>
        <w:rPr>
          <w:rFonts w:hint="eastAsia"/>
          <w:b/>
        </w:rPr>
        <w:t>（</w:t>
      </w:r>
      <w:r>
        <w:rPr>
          <w:rFonts w:hint="eastAsia"/>
          <w:b/>
        </w:rPr>
        <w:t>4</w:t>
      </w:r>
      <w:r>
        <w:rPr>
          <w:rFonts w:hint="eastAsia"/>
          <w:b/>
        </w:rPr>
        <w:t>）食堂油烟</w:t>
      </w:r>
    </w:p>
    <w:p w:rsidR="00BD5820" w:rsidRDefault="00F64314">
      <w:pPr>
        <w:pStyle w:val="a1"/>
        <w:ind w:firstLine="480"/>
        <w:rPr>
          <w:rFonts w:ascii="Times New Roman" w:cs="Times New Roman"/>
          <w:bCs/>
        </w:rPr>
      </w:pPr>
      <w:r>
        <w:rPr>
          <w:rFonts w:ascii="Times New Roman" w:cs="Times New Roman" w:hint="eastAsia"/>
        </w:rPr>
        <w:t>施工期食堂油烟经油烟净化器处理后通过专用管道超屋顶排放</w:t>
      </w:r>
      <w:r>
        <w:rPr>
          <w:rFonts w:cs="Times New Roman" w:hint="eastAsia"/>
        </w:rPr>
        <w:t>，对环境空气影响小</w:t>
      </w:r>
      <w:r>
        <w:rPr>
          <w:rFonts w:ascii="Times New Roman" w:cs="Times New Roman" w:hint="eastAsia"/>
        </w:rPr>
        <w:t>。</w:t>
      </w:r>
    </w:p>
    <w:p w:rsidR="00BD5820" w:rsidRDefault="00F64314">
      <w:pPr>
        <w:pStyle w:val="affa"/>
        <w:ind w:firstLine="482"/>
        <w:rPr>
          <w:b/>
        </w:rPr>
      </w:pPr>
      <w:bookmarkStart w:id="517" w:name="_Toc12288794"/>
      <w:bookmarkEnd w:id="515"/>
      <w:r>
        <w:rPr>
          <w:b/>
        </w:rPr>
        <w:t>2</w:t>
      </w:r>
      <w:r>
        <w:rPr>
          <w:b/>
        </w:rPr>
        <w:t>、废水染防治措施</w:t>
      </w:r>
      <w:bookmarkEnd w:id="517"/>
    </w:p>
    <w:p w:rsidR="00BD5820" w:rsidRDefault="00F64314">
      <w:pPr>
        <w:pStyle w:val="a1"/>
        <w:ind w:firstLine="480"/>
        <w:rPr>
          <w:rFonts w:ascii="Times New Roman" w:cs="Times New Roman"/>
        </w:rPr>
      </w:pPr>
      <w:r>
        <w:rPr>
          <w:rFonts w:ascii="Times New Roman" w:cs="Times New Roman"/>
        </w:rPr>
        <w:t>施工期废水主要来自施工人员在施工作业中产生的生活污水、管道安装完后试压中排放的废水及施工废水</w:t>
      </w:r>
      <w:r>
        <w:rPr>
          <w:rFonts w:hint="eastAsia"/>
        </w:rPr>
        <w:t>、站场施工废水</w:t>
      </w:r>
      <w:r>
        <w:rPr>
          <w:rFonts w:ascii="Times New Roman" w:cs="Times New Roman"/>
        </w:rPr>
        <w:t>。</w:t>
      </w:r>
    </w:p>
    <w:p w:rsidR="00BD5820" w:rsidRDefault="00F64314">
      <w:pPr>
        <w:pStyle w:val="a1"/>
        <w:ind w:firstLine="482"/>
        <w:rPr>
          <w:rFonts w:ascii="Times New Roman" w:cs="Times New Roman"/>
          <w:b/>
        </w:rPr>
      </w:pPr>
      <w:bookmarkStart w:id="518" w:name="_Toc12288795"/>
      <w:r>
        <w:rPr>
          <w:rFonts w:ascii="Times New Roman" w:cs="Times New Roman"/>
          <w:b/>
        </w:rPr>
        <w:t>（</w:t>
      </w:r>
      <w:r>
        <w:rPr>
          <w:rFonts w:ascii="Times New Roman" w:cs="Times New Roman"/>
          <w:b/>
        </w:rPr>
        <w:t>1</w:t>
      </w:r>
      <w:r>
        <w:rPr>
          <w:rFonts w:ascii="Times New Roman" w:cs="Times New Roman"/>
          <w:b/>
        </w:rPr>
        <w:t>）生活污水</w:t>
      </w:r>
      <w:bookmarkEnd w:id="518"/>
    </w:p>
    <w:p w:rsidR="00BD5820" w:rsidRDefault="00F64314">
      <w:pPr>
        <w:pStyle w:val="a1"/>
        <w:ind w:firstLine="480"/>
        <w:rPr>
          <w:rFonts w:ascii="Times New Roman" w:cs="Times New Roman"/>
        </w:rPr>
      </w:pPr>
      <w:r>
        <w:rPr>
          <w:rFonts w:ascii="Times New Roman" w:cs="Times New Roman" w:hint="eastAsia"/>
        </w:rPr>
        <w:t>本</w:t>
      </w:r>
      <w:r>
        <w:rPr>
          <w:rFonts w:ascii="Times New Roman" w:cs="Times New Roman"/>
        </w:rPr>
        <w:t>项目施工期不单独设置施工营地，</w:t>
      </w:r>
      <w:r>
        <w:rPr>
          <w:spacing w:val="-8"/>
          <w:szCs w:val="21"/>
        </w:rPr>
        <w:t>施工期管线施工人员生活污水依托租用附近居民房收集处理</w:t>
      </w:r>
      <w:r>
        <w:rPr>
          <w:rFonts w:hint="eastAsia"/>
          <w:spacing w:val="-8"/>
          <w:szCs w:val="21"/>
        </w:rPr>
        <w:t>；</w:t>
      </w:r>
      <w:r>
        <w:rPr>
          <w:spacing w:val="-8"/>
          <w:szCs w:val="21"/>
        </w:rPr>
        <w:t>施工</w:t>
      </w:r>
      <w:r>
        <w:rPr>
          <w:rFonts w:hint="eastAsia"/>
          <w:spacing w:val="-8"/>
          <w:szCs w:val="21"/>
        </w:rPr>
        <w:t>入厕生活污水依托</w:t>
      </w:r>
      <w:r>
        <w:rPr>
          <w:spacing w:val="-8"/>
          <w:szCs w:val="21"/>
        </w:rPr>
        <w:t>经</w:t>
      </w:r>
      <w:r>
        <w:rPr>
          <w:bCs/>
          <w:spacing w:val="-8"/>
          <w:szCs w:val="21"/>
        </w:rPr>
        <w:t>生态环保厕所收集处理</w:t>
      </w:r>
      <w:r>
        <w:t>后，用作周边农肥，不外排</w:t>
      </w:r>
      <w:r>
        <w:rPr>
          <w:rFonts w:hint="eastAsia"/>
        </w:rPr>
        <w:t>；员工洗澡、食堂废水经单独收集后拉运至普光镇场镇污水处理厂处理</w:t>
      </w:r>
      <w:r>
        <w:rPr>
          <w:rFonts w:ascii="Times New Roman" w:cs="Times New Roman"/>
        </w:rPr>
        <w:t>。</w:t>
      </w:r>
    </w:p>
    <w:p w:rsidR="00BD5820" w:rsidRDefault="00F64314">
      <w:pPr>
        <w:pStyle w:val="a1"/>
        <w:ind w:firstLine="480"/>
        <w:rPr>
          <w:rFonts w:ascii="Times New Roman" w:cs="Times New Roman"/>
        </w:rPr>
      </w:pPr>
      <w:r>
        <w:rPr>
          <w:rFonts w:ascii="Times New Roman" w:cs="Times New Roman"/>
        </w:rPr>
        <w:lastRenderedPageBreak/>
        <w:t>项目施工分段进行，具有较大分散性，局部</w:t>
      </w:r>
      <w:r>
        <w:rPr>
          <w:rFonts w:ascii="Times New Roman" w:cs="Times New Roman" w:hint="eastAsia"/>
        </w:rPr>
        <w:t>产生</w:t>
      </w:r>
      <w:r>
        <w:rPr>
          <w:rFonts w:ascii="Times New Roman" w:cs="Times New Roman"/>
        </w:rPr>
        <w:t>量小，生活污水经上述措施处理完全可行、有效。</w:t>
      </w:r>
    </w:p>
    <w:p w:rsidR="00BD5820" w:rsidRDefault="00F64314">
      <w:pPr>
        <w:pStyle w:val="a1"/>
        <w:ind w:firstLine="482"/>
        <w:rPr>
          <w:rFonts w:ascii="Times New Roman" w:cs="Times New Roman"/>
          <w:b/>
        </w:rPr>
      </w:pPr>
      <w:bookmarkStart w:id="519" w:name="_Toc12288796"/>
      <w:r>
        <w:rPr>
          <w:rFonts w:ascii="Times New Roman" w:cs="Times New Roman"/>
          <w:b/>
        </w:rPr>
        <w:t>（</w:t>
      </w:r>
      <w:r>
        <w:rPr>
          <w:rFonts w:ascii="Times New Roman" w:cs="Times New Roman"/>
          <w:b/>
        </w:rPr>
        <w:t>2</w:t>
      </w:r>
      <w:r>
        <w:rPr>
          <w:rFonts w:ascii="Times New Roman" w:cs="Times New Roman"/>
          <w:b/>
        </w:rPr>
        <w:t>）试压废水</w:t>
      </w:r>
      <w:bookmarkEnd w:id="519"/>
    </w:p>
    <w:p w:rsidR="00BD5820" w:rsidRDefault="00F64314">
      <w:pPr>
        <w:pStyle w:val="affa"/>
        <w:ind w:firstLine="480"/>
      </w:pPr>
      <w:r>
        <w:t>清管试压废水主要含铁锈和泥沙等杂质，排放量相对较少，同时废水中主要含少量铁锈、焊渣和泥砂，因此，根据国内其它管线建设经验，试压废水根据周围地形和环境条件，设置沉淀池沉淀后</w:t>
      </w:r>
      <w:r>
        <w:rPr>
          <w:rFonts w:hint="eastAsia"/>
        </w:rPr>
        <w:t>回用，不外排</w:t>
      </w:r>
      <w:r>
        <w:t>，排放时尽量避免排水造成局部土壤流失和污染。为减少对水资源的浪费，在清管试压过程中尽量收集好此股废水，</w:t>
      </w:r>
      <w:r>
        <w:rPr>
          <w:rFonts w:hint="eastAsia"/>
        </w:rPr>
        <w:t>全部</w:t>
      </w:r>
      <w:r>
        <w:t>重复使用，同时杜绝废水排放，避免造成局部土壤流失。</w:t>
      </w:r>
    </w:p>
    <w:p w:rsidR="00BD5820" w:rsidRDefault="00F64314">
      <w:pPr>
        <w:pStyle w:val="a1"/>
        <w:ind w:firstLine="482"/>
        <w:rPr>
          <w:rFonts w:ascii="Times New Roman" w:cs="Times New Roman"/>
          <w:b/>
        </w:rPr>
      </w:pPr>
      <w:r>
        <w:rPr>
          <w:rFonts w:ascii="Times New Roman" w:cs="Times New Roman"/>
          <w:b/>
        </w:rPr>
        <w:t>（</w:t>
      </w:r>
      <w:r>
        <w:rPr>
          <w:rFonts w:ascii="Times New Roman" w:cs="Times New Roman"/>
          <w:b/>
        </w:rPr>
        <w:t>3</w:t>
      </w:r>
      <w:r>
        <w:rPr>
          <w:rFonts w:ascii="Times New Roman" w:cs="Times New Roman"/>
          <w:b/>
        </w:rPr>
        <w:t>）</w:t>
      </w:r>
      <w:r>
        <w:rPr>
          <w:rFonts w:ascii="Times New Roman" w:cs="Times New Roman" w:hint="eastAsia"/>
          <w:b/>
        </w:rPr>
        <w:t>站场</w:t>
      </w:r>
      <w:r>
        <w:rPr>
          <w:rFonts w:ascii="Times New Roman" w:cs="Times New Roman"/>
          <w:b/>
        </w:rPr>
        <w:t>施工废水</w:t>
      </w:r>
    </w:p>
    <w:p w:rsidR="00BD5820" w:rsidRDefault="00F64314">
      <w:pPr>
        <w:pStyle w:val="a1"/>
        <w:ind w:firstLine="480"/>
        <w:rPr>
          <w:rFonts w:ascii="Times New Roman" w:cs="Times New Roman"/>
        </w:rPr>
      </w:pPr>
      <w:r>
        <w:rPr>
          <w:rFonts w:ascii="Times New Roman" w:cs="Times New Roman" w:hint="eastAsia"/>
        </w:rPr>
        <w:t>站场</w:t>
      </w:r>
      <w:r>
        <w:rPr>
          <w:rFonts w:ascii="Times New Roman" w:cs="Times New Roman"/>
        </w:rPr>
        <w:t>施工废水</w:t>
      </w:r>
      <w:r>
        <w:rPr>
          <w:rFonts w:ascii="Times New Roman" w:cs="Times New Roman" w:hint="eastAsia"/>
        </w:rPr>
        <w:t>经</w:t>
      </w:r>
      <w:r>
        <w:rPr>
          <w:rFonts w:ascii="Times New Roman" w:cs="Times New Roman"/>
        </w:rPr>
        <w:t>沉淀后回用洒水，禁止未经处理直接外排。</w:t>
      </w:r>
    </w:p>
    <w:p w:rsidR="00BD5820" w:rsidRDefault="00F64314">
      <w:pPr>
        <w:pStyle w:val="a1"/>
        <w:ind w:firstLine="482"/>
        <w:rPr>
          <w:rFonts w:ascii="Times New Roman" w:cs="Times New Roman"/>
          <w:b/>
        </w:rPr>
      </w:pPr>
      <w:bookmarkStart w:id="520" w:name="_Toc12288797"/>
      <w:r>
        <w:rPr>
          <w:rFonts w:ascii="Times New Roman" w:cs="Times New Roman"/>
          <w:b/>
        </w:rPr>
        <w:t>3</w:t>
      </w:r>
      <w:r>
        <w:rPr>
          <w:rFonts w:ascii="Times New Roman" w:cs="Times New Roman"/>
          <w:b/>
        </w:rPr>
        <w:t>、固体废物染防治措施</w:t>
      </w:r>
      <w:bookmarkEnd w:id="520"/>
    </w:p>
    <w:p w:rsidR="00BD5820" w:rsidRDefault="00F64314">
      <w:pPr>
        <w:pStyle w:val="a1"/>
        <w:ind w:firstLine="480"/>
        <w:rPr>
          <w:rFonts w:ascii="Times New Roman" w:cs="Times New Roman"/>
        </w:rPr>
      </w:pPr>
      <w:r>
        <w:rPr>
          <w:rFonts w:ascii="Times New Roman" w:cs="Times New Roman"/>
        </w:rPr>
        <w:t>施工期产生的固体废物主要为生活垃圾、施工废料、</w:t>
      </w:r>
      <w:r>
        <w:rPr>
          <w:rFonts w:hint="eastAsia"/>
        </w:rPr>
        <w:t>土石方</w:t>
      </w:r>
      <w:r>
        <w:t>等</w:t>
      </w:r>
      <w:r>
        <w:rPr>
          <w:rFonts w:ascii="Times New Roman" w:cs="Times New Roman"/>
        </w:rPr>
        <w:t>。</w:t>
      </w:r>
    </w:p>
    <w:p w:rsidR="00BD5820" w:rsidRDefault="00F64314">
      <w:pPr>
        <w:pStyle w:val="a1"/>
        <w:ind w:firstLine="482"/>
        <w:rPr>
          <w:rFonts w:ascii="Times New Roman" w:cs="Times New Roman"/>
          <w:b/>
          <w:bCs/>
        </w:rPr>
      </w:pPr>
      <w:bookmarkStart w:id="521" w:name="_Toc12288798"/>
      <w:r>
        <w:rPr>
          <w:rFonts w:ascii="Times New Roman" w:cs="Times New Roman"/>
          <w:b/>
          <w:bCs/>
        </w:rPr>
        <w:t>（</w:t>
      </w:r>
      <w:r>
        <w:rPr>
          <w:rFonts w:ascii="Times New Roman" w:cs="Times New Roman"/>
          <w:b/>
          <w:bCs/>
        </w:rPr>
        <w:t>1</w:t>
      </w:r>
      <w:r>
        <w:rPr>
          <w:rFonts w:ascii="Times New Roman" w:cs="Times New Roman"/>
          <w:b/>
          <w:bCs/>
        </w:rPr>
        <w:t>）生活垃圾</w:t>
      </w:r>
      <w:bookmarkEnd w:id="521"/>
    </w:p>
    <w:p w:rsidR="00BD5820" w:rsidRDefault="00F64314">
      <w:pPr>
        <w:pStyle w:val="a1"/>
        <w:ind w:firstLine="480"/>
        <w:rPr>
          <w:rFonts w:ascii="Times New Roman" w:cs="Times New Roman"/>
        </w:rPr>
      </w:pPr>
      <w:r>
        <w:rPr>
          <w:rFonts w:ascii="Times New Roman" w:cs="Times New Roman"/>
        </w:rPr>
        <w:t>施工期产生的生活垃圾具有较大的分散性，且持续时间短。施工人员生活垃圾</w:t>
      </w:r>
      <w:r>
        <w:rPr>
          <w:rFonts w:ascii="Times New Roman" w:cs="Times New Roman" w:hint="eastAsia"/>
        </w:rPr>
        <w:t>经垃圾收集</w:t>
      </w:r>
      <w:r>
        <w:rPr>
          <w:rFonts w:ascii="Times New Roman" w:cs="Times New Roman"/>
        </w:rPr>
        <w:t>设施收集，统一按当地环卫部门要求处置。本次环评要求：在河流周围</w:t>
      </w:r>
      <w:r>
        <w:rPr>
          <w:rFonts w:ascii="Times New Roman" w:cs="Times New Roman"/>
        </w:rPr>
        <w:t>200m</w:t>
      </w:r>
      <w:r>
        <w:rPr>
          <w:rFonts w:ascii="Times New Roman" w:cs="Times New Roman"/>
        </w:rPr>
        <w:t>范围内不得随意向河流倾倒生活垃圾等固体废物。</w:t>
      </w:r>
    </w:p>
    <w:p w:rsidR="00BD5820" w:rsidRDefault="00F64314">
      <w:pPr>
        <w:pStyle w:val="a1"/>
        <w:ind w:firstLine="482"/>
        <w:rPr>
          <w:rFonts w:ascii="Times New Roman" w:cs="Times New Roman"/>
          <w:b/>
          <w:bCs/>
        </w:rPr>
      </w:pPr>
      <w:bookmarkStart w:id="522" w:name="_Toc12288799"/>
      <w:r>
        <w:rPr>
          <w:rFonts w:ascii="Times New Roman" w:cs="Times New Roman"/>
          <w:b/>
          <w:bCs/>
        </w:rPr>
        <w:t>（</w:t>
      </w:r>
      <w:r>
        <w:rPr>
          <w:rFonts w:ascii="Times New Roman" w:cs="Times New Roman"/>
          <w:b/>
          <w:bCs/>
        </w:rPr>
        <w:t>2</w:t>
      </w:r>
      <w:r>
        <w:rPr>
          <w:rFonts w:ascii="Times New Roman" w:cs="Times New Roman"/>
          <w:b/>
          <w:bCs/>
        </w:rPr>
        <w:t>）</w:t>
      </w:r>
      <w:bookmarkEnd w:id="522"/>
      <w:r>
        <w:rPr>
          <w:rFonts w:ascii="Times New Roman" w:cs="Times New Roman" w:hint="eastAsia"/>
          <w:b/>
          <w:bCs/>
        </w:rPr>
        <w:t>土石方</w:t>
      </w:r>
    </w:p>
    <w:p w:rsidR="00BD5820" w:rsidRDefault="00F64314">
      <w:pPr>
        <w:pStyle w:val="a1"/>
        <w:ind w:firstLine="480"/>
        <w:rPr>
          <w:rFonts w:ascii="Times New Roman" w:cs="Times New Roman"/>
        </w:rPr>
      </w:pPr>
      <w:r>
        <w:rPr>
          <w:rFonts w:ascii="Times New Roman" w:cs="Times New Roman"/>
        </w:rPr>
        <w:t>施工过程中产生的弃土主要为管道在陆地开挖敷设时会产生泥土和碎石。项目管沟开挖施工土石方挖填平衡，无外运弃渣，不设置弃渣场。</w:t>
      </w:r>
      <w:r>
        <w:rPr>
          <w:rFonts w:ascii="Times New Roman" w:cs="Times New Roman" w:hint="eastAsia"/>
        </w:rPr>
        <w:t xml:space="preserve"> </w:t>
      </w:r>
    </w:p>
    <w:p w:rsidR="00BD5820" w:rsidRDefault="00F64314">
      <w:pPr>
        <w:pStyle w:val="a1"/>
        <w:ind w:firstLine="480"/>
        <w:rPr>
          <w:rFonts w:ascii="Times New Roman" w:cs="Times New Roman"/>
        </w:rPr>
      </w:pPr>
      <w:r>
        <w:rPr>
          <w:rFonts w:ascii="Times New Roman" w:cs="Times New Roman"/>
        </w:rPr>
        <w:t>在耕作区开挖时，熟土（表层耕作土）和生土（下层土）分开堆放，管沟回填按生、熟土顺序填放，保护耕作层。回填后，管沟上方留有自然沉降余量（高出地面</w:t>
      </w:r>
      <w:r>
        <w:rPr>
          <w:rFonts w:ascii="Times New Roman" w:cs="Times New Roman"/>
        </w:rPr>
        <w:t>0.3</w:t>
      </w:r>
      <w:r>
        <w:rPr>
          <w:rFonts w:ascii="Times New Roman" w:cs="Times New Roman"/>
        </w:rPr>
        <w:t>～</w:t>
      </w:r>
      <w:r>
        <w:rPr>
          <w:rFonts w:ascii="Times New Roman" w:cs="Times New Roman"/>
        </w:rPr>
        <w:t>0.5m</w:t>
      </w:r>
      <w:r>
        <w:rPr>
          <w:rFonts w:ascii="Times New Roman" w:cs="Times New Roman"/>
        </w:rPr>
        <w:t>），多余土方就近平整。</w:t>
      </w:r>
    </w:p>
    <w:p w:rsidR="00BD5820" w:rsidRDefault="00F64314">
      <w:pPr>
        <w:pStyle w:val="a1"/>
        <w:ind w:firstLine="482"/>
        <w:rPr>
          <w:rFonts w:ascii="Times New Roman" w:cs="Times New Roman"/>
          <w:b/>
        </w:rPr>
      </w:pPr>
      <w:bookmarkStart w:id="523" w:name="_Toc12288800"/>
      <w:r>
        <w:rPr>
          <w:rFonts w:ascii="Times New Roman" w:cs="Times New Roman"/>
          <w:b/>
        </w:rPr>
        <w:t>（</w:t>
      </w:r>
      <w:r>
        <w:rPr>
          <w:rFonts w:ascii="Times New Roman" w:cs="Times New Roman"/>
          <w:b/>
        </w:rPr>
        <w:t>3</w:t>
      </w:r>
      <w:r>
        <w:rPr>
          <w:rFonts w:ascii="Times New Roman" w:cs="Times New Roman"/>
          <w:b/>
        </w:rPr>
        <w:t>）施工废料</w:t>
      </w:r>
      <w:bookmarkEnd w:id="523"/>
    </w:p>
    <w:p w:rsidR="00BD5820" w:rsidRDefault="00F64314">
      <w:pPr>
        <w:pStyle w:val="a1"/>
        <w:ind w:firstLine="480"/>
        <w:rPr>
          <w:rFonts w:ascii="Times New Roman" w:cs="Times New Roman"/>
        </w:rPr>
      </w:pPr>
      <w:r>
        <w:rPr>
          <w:rFonts w:ascii="Times New Roman" w:cs="Times New Roman"/>
        </w:rPr>
        <w:t>施工废料主要包括焊接作业中产生的废焊条及施工过程中产生的废混凝土等。施工结束后应及时清理施工材料和施工垃圾，并做好河岸的护坡防护，减少对水环境的污染。施工废料部分回收利用，剩余废料依托当地环卫部门处置。</w:t>
      </w:r>
    </w:p>
    <w:p w:rsidR="00BD5820" w:rsidRDefault="00F64314">
      <w:pPr>
        <w:pStyle w:val="a1"/>
        <w:ind w:firstLine="482"/>
        <w:rPr>
          <w:rFonts w:ascii="Times New Roman" w:cs="Times New Roman"/>
          <w:b/>
        </w:rPr>
      </w:pPr>
      <w:bookmarkStart w:id="524" w:name="_Toc12288801"/>
      <w:r>
        <w:rPr>
          <w:rFonts w:ascii="Times New Roman" w:cs="Times New Roman"/>
          <w:b/>
        </w:rPr>
        <w:t>4</w:t>
      </w:r>
      <w:r>
        <w:rPr>
          <w:rFonts w:ascii="Times New Roman" w:cs="Times New Roman"/>
          <w:b/>
        </w:rPr>
        <w:t>、噪声防治措施</w:t>
      </w:r>
      <w:bookmarkEnd w:id="524"/>
    </w:p>
    <w:p w:rsidR="00BD5820" w:rsidRDefault="00F64314">
      <w:pPr>
        <w:pStyle w:val="a1"/>
        <w:ind w:firstLine="480"/>
        <w:rPr>
          <w:rFonts w:ascii="Times New Roman" w:cs="Times New Roman"/>
        </w:rPr>
      </w:pPr>
      <w:r>
        <w:rPr>
          <w:rFonts w:ascii="Times New Roman" w:cs="Times New Roman"/>
        </w:rPr>
        <w:t>施工期噪声源主要来自施工作业机械，如挖掘机、电焊机、推土机等，其强度在</w:t>
      </w:r>
      <w:r>
        <w:rPr>
          <w:rFonts w:ascii="Times New Roman" w:cs="Times New Roman"/>
        </w:rPr>
        <w:t>85</w:t>
      </w:r>
      <w:r>
        <w:rPr>
          <w:rFonts w:ascii="Times New Roman" w:cs="Times New Roman"/>
        </w:rPr>
        <w:t>～</w:t>
      </w:r>
      <w:r>
        <w:rPr>
          <w:rFonts w:ascii="Times New Roman" w:cs="Times New Roman"/>
        </w:rPr>
        <w:t>105dB</w:t>
      </w:r>
      <w:r>
        <w:rPr>
          <w:rFonts w:ascii="Times New Roman" w:cs="Times New Roman" w:hint="eastAsia"/>
        </w:rPr>
        <w:t>（</w:t>
      </w:r>
      <w:r>
        <w:rPr>
          <w:rFonts w:ascii="Times New Roman" w:cs="Times New Roman"/>
        </w:rPr>
        <w:t>A</w:t>
      </w:r>
      <w:r>
        <w:rPr>
          <w:rFonts w:ascii="Times New Roman" w:cs="Times New Roman" w:hint="eastAsia"/>
        </w:rPr>
        <w:t>）</w:t>
      </w:r>
      <w:r>
        <w:rPr>
          <w:rFonts w:ascii="Times New Roman" w:cs="Times New Roman"/>
        </w:rPr>
        <w:t>。施工期拟采取如下噪声防治措施：</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1</w:t>
      </w:r>
      <w:r>
        <w:rPr>
          <w:rFonts w:ascii="Times New Roman" w:cs="Times New Roman"/>
        </w:rPr>
        <w:t>）施工单位必须选用符合国家有关标准的施工机具和运输车辆，尽量选用</w:t>
      </w:r>
      <w:r>
        <w:rPr>
          <w:rFonts w:ascii="Times New Roman" w:cs="Times New Roman"/>
        </w:rPr>
        <w:lastRenderedPageBreak/>
        <w:t>低噪声的施工机械和工艺，振动较大的固定机械设备应加装减振机座，同时加强各类施工设备的维护和保养，保持其良好的工况，以便从根本上降低噪声源强。</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2</w:t>
      </w:r>
      <w:r>
        <w:rPr>
          <w:rFonts w:ascii="Times New Roman" w:cs="Times New Roman"/>
        </w:rPr>
        <w:t>）在离居民区较近的地方施工，应严格执行当地政府控制规定，严禁在晚上</w:t>
      </w:r>
      <w:r>
        <w:rPr>
          <w:rFonts w:ascii="Times New Roman" w:cs="Times New Roman"/>
        </w:rPr>
        <w:t>10</w:t>
      </w:r>
      <w:r>
        <w:rPr>
          <w:rFonts w:ascii="Times New Roman" w:cs="Times New Roman"/>
        </w:rPr>
        <w:t>时至次日</w:t>
      </w:r>
      <w:r>
        <w:rPr>
          <w:rFonts w:ascii="Times New Roman" w:cs="Times New Roman"/>
        </w:rPr>
        <w:t>6</w:t>
      </w:r>
      <w:r>
        <w:rPr>
          <w:rFonts w:ascii="Times New Roman" w:cs="Times New Roman"/>
        </w:rPr>
        <w:t>时进行高噪声施工，夜间施工应向有关部门申请，批准后才能根据规定施工。</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3</w:t>
      </w:r>
      <w:r>
        <w:rPr>
          <w:rFonts w:ascii="Times New Roman" w:cs="Times New Roman"/>
        </w:rPr>
        <w:t>）在施工中严格控制作业时间，根据具体情况，合理安排施工时间，提高操作水平，与周围居民做好沟通工作，减少对敏感地点的影响，防止发生噪声扰民现象。</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4</w:t>
      </w:r>
      <w:r>
        <w:rPr>
          <w:rFonts w:ascii="Times New Roman" w:cs="Times New Roman"/>
        </w:rPr>
        <w:t>）运输车辆应尽可能减少鸣号，尤其是在晚间和午休时间。</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5</w:t>
      </w:r>
      <w:r>
        <w:rPr>
          <w:rFonts w:ascii="Times New Roman" w:cs="Times New Roman"/>
        </w:rPr>
        <w:t>）合理布局施工现场，避免在同一地点安排大量动力机械设备，以免局部声级过高。</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6</w:t>
      </w:r>
      <w:r>
        <w:rPr>
          <w:rFonts w:ascii="Times New Roman" w:cs="Times New Roman"/>
        </w:rPr>
        <w:t>）施工沿线居民集中点设挡声板。</w:t>
      </w:r>
    </w:p>
    <w:p w:rsidR="00BD5820" w:rsidRDefault="00BD5820">
      <w:pPr>
        <w:widowControl/>
        <w:topLinePunct w:val="0"/>
        <w:adjustRightInd/>
        <w:ind w:firstLineChars="0" w:firstLine="0"/>
        <w:jc w:val="left"/>
        <w:rPr>
          <w:rFonts w:ascii="Times New Roman" w:cs="Times New Roman"/>
        </w:rPr>
        <w:sectPr w:rsidR="00BD5820">
          <w:headerReference w:type="even" r:id="rId127"/>
          <w:headerReference w:type="default" r:id="rId128"/>
          <w:footerReference w:type="even" r:id="rId129"/>
          <w:footerReference w:type="default" r:id="rId130"/>
          <w:headerReference w:type="first" r:id="rId131"/>
          <w:footerReference w:type="first" r:id="rId132"/>
          <w:pgSz w:w="11910" w:h="16840"/>
          <w:pgMar w:top="1440" w:right="1800" w:bottom="1440" w:left="1800" w:header="885" w:footer="1025" w:gutter="0"/>
          <w:cols w:space="720"/>
          <w:docGrid w:linePitch="326"/>
        </w:sectPr>
      </w:pPr>
    </w:p>
    <w:p w:rsidR="00BD5820" w:rsidRDefault="00F64314">
      <w:pPr>
        <w:pStyle w:val="2"/>
        <w:spacing w:before="120"/>
        <w:rPr>
          <w:rFonts w:cs="Times New Roman"/>
        </w:rPr>
      </w:pPr>
      <w:bookmarkStart w:id="525" w:name="bookmark73"/>
      <w:bookmarkStart w:id="526" w:name="_Toc19816128"/>
      <w:bookmarkStart w:id="527" w:name="_Toc12288807"/>
      <w:bookmarkStart w:id="528" w:name="_Toc11075"/>
      <w:bookmarkEnd w:id="525"/>
      <w:r>
        <w:rPr>
          <w:rFonts w:cs="Times New Roman"/>
        </w:rPr>
        <w:lastRenderedPageBreak/>
        <w:t xml:space="preserve">8.2 </w:t>
      </w:r>
      <w:r>
        <w:rPr>
          <w:rFonts w:cs="Times New Roman"/>
        </w:rPr>
        <w:t>营运期的环境保护措施</w:t>
      </w:r>
      <w:bookmarkEnd w:id="526"/>
      <w:bookmarkEnd w:id="527"/>
      <w:bookmarkEnd w:id="528"/>
    </w:p>
    <w:p w:rsidR="00BD5820" w:rsidRDefault="00F64314">
      <w:pPr>
        <w:pStyle w:val="3"/>
        <w:rPr>
          <w:rFonts w:eastAsia="宋体"/>
        </w:rPr>
      </w:pPr>
      <w:bookmarkStart w:id="529" w:name="_Toc19816129"/>
      <w:bookmarkStart w:id="530" w:name="_Toc12288808"/>
      <w:r>
        <w:rPr>
          <w:rFonts w:eastAsia="宋体"/>
        </w:rPr>
        <w:t xml:space="preserve">8.2.1 </w:t>
      </w:r>
      <w:r>
        <w:rPr>
          <w:rFonts w:eastAsia="宋体"/>
        </w:rPr>
        <w:t>废气防治措施</w:t>
      </w:r>
      <w:bookmarkEnd w:id="529"/>
      <w:bookmarkEnd w:id="530"/>
    </w:p>
    <w:p w:rsidR="00BD5820" w:rsidRDefault="00F64314">
      <w:pPr>
        <w:pStyle w:val="affa"/>
        <w:ind w:firstLine="482"/>
        <w:rPr>
          <w:b/>
          <w:bCs/>
        </w:rPr>
      </w:pPr>
      <w:bookmarkStart w:id="531" w:name="_Toc12288809"/>
      <w:r>
        <w:rPr>
          <w:b/>
          <w:bCs/>
        </w:rPr>
        <w:t>1</w:t>
      </w:r>
      <w:r>
        <w:rPr>
          <w:b/>
          <w:bCs/>
        </w:rPr>
        <w:t>、正常工况</w:t>
      </w:r>
    </w:p>
    <w:p w:rsidR="00BD5820" w:rsidRDefault="00F64314">
      <w:pPr>
        <w:pStyle w:val="affa"/>
        <w:ind w:firstLine="480"/>
      </w:pPr>
      <w:r>
        <w:t>根据本项目所提供的设计资料，本项目正常生产时，天然气处于完全密闭系统内，无废气产生和排放。</w:t>
      </w:r>
    </w:p>
    <w:p w:rsidR="00BD5820" w:rsidRDefault="00F64314">
      <w:pPr>
        <w:pStyle w:val="affa"/>
        <w:ind w:firstLine="480"/>
      </w:pPr>
      <w:r>
        <w:t>由于输气管道敷设在地下，进行密闭输送，管道进行了防腐处理，在正常情况下，不会有废气排放，不会对大气环境造成不利影响。</w:t>
      </w:r>
    </w:p>
    <w:p w:rsidR="00BD5820" w:rsidRDefault="00F64314">
      <w:pPr>
        <w:pStyle w:val="affa"/>
        <w:ind w:firstLine="482"/>
        <w:rPr>
          <w:b/>
          <w:bCs/>
        </w:rPr>
      </w:pPr>
      <w:r>
        <w:rPr>
          <w:b/>
          <w:bCs/>
        </w:rPr>
        <w:t>2</w:t>
      </w:r>
      <w:r>
        <w:rPr>
          <w:b/>
          <w:bCs/>
        </w:rPr>
        <w:t>、非正常工况</w:t>
      </w:r>
    </w:p>
    <w:p w:rsidR="00BD5820" w:rsidRDefault="00F64314">
      <w:pPr>
        <w:pStyle w:val="affa"/>
        <w:ind w:firstLine="480"/>
      </w:pPr>
      <w:r>
        <w:t>项目非正常工况下，</w:t>
      </w:r>
      <w:r>
        <w:rPr>
          <w:rFonts w:hint="eastAsia"/>
        </w:rPr>
        <w:t>在事故或检修放空期间会产生放空废气，事故或检修放空</w:t>
      </w:r>
      <w:r>
        <w:t>次数极少，发生的频率约为</w:t>
      </w:r>
      <w:r>
        <w:t>1</w:t>
      </w:r>
      <w:r>
        <w:t>次</w:t>
      </w:r>
      <w:r>
        <w:t>/</w:t>
      </w:r>
      <w:r>
        <w:t>年，每次持续时间约</w:t>
      </w:r>
      <w:r>
        <w:t>1h</w:t>
      </w:r>
      <w:r>
        <w:t>。排放的</w:t>
      </w:r>
      <w:r>
        <w:rPr>
          <w:rFonts w:hint="eastAsia"/>
        </w:rPr>
        <w:t>废气</w:t>
      </w:r>
      <w:r>
        <w:t>经新建放空火炬燃烧后排放。</w:t>
      </w:r>
      <w:r>
        <w:rPr>
          <w:rFonts w:hint="eastAsia"/>
        </w:rPr>
        <w:t>事故或检修放空</w:t>
      </w:r>
      <w:r>
        <w:t>时产生的污染物绝对量很低，加之各站外环境较为空旷、有利于废气扩散</w:t>
      </w:r>
      <w:r>
        <w:rPr>
          <w:rFonts w:hint="eastAsia"/>
        </w:rPr>
        <w:t>，放空时疏散</w:t>
      </w:r>
      <w:r>
        <w:t>附近的居民</w:t>
      </w:r>
      <w:r>
        <w:rPr>
          <w:rFonts w:hint="eastAsia"/>
        </w:rPr>
        <w:t>，对大气环境影响小</w:t>
      </w:r>
      <w:r>
        <w:t>。</w:t>
      </w:r>
    </w:p>
    <w:p w:rsidR="00BD5820" w:rsidRDefault="00F64314">
      <w:pPr>
        <w:pStyle w:val="affa"/>
        <w:ind w:firstLine="480"/>
      </w:pPr>
      <w:r>
        <w:t>当管线发生破裂事故，其泄漏的天然气进行大气环境中，会对大气环境造成一定的影响，但是泄漏事故发生概率较小，泄漏量较少，泄漏时间较短，若发生泄漏</w:t>
      </w:r>
      <w:r>
        <w:rPr>
          <w:rFonts w:hint="eastAsia"/>
        </w:rPr>
        <w:t>，</w:t>
      </w:r>
      <w:r>
        <w:t>及时</w:t>
      </w:r>
      <w:r>
        <w:rPr>
          <w:rFonts w:hint="eastAsia"/>
        </w:rPr>
        <w:t>疏散</w:t>
      </w:r>
      <w:r>
        <w:t>附近的居民</w:t>
      </w:r>
      <w:r>
        <w:rPr>
          <w:rFonts w:hint="eastAsia"/>
        </w:rPr>
        <w:t>，</w:t>
      </w:r>
      <w:r>
        <w:t>不会对大气环境造成严重不利影响。</w:t>
      </w:r>
    </w:p>
    <w:p w:rsidR="00BD5820" w:rsidRDefault="00F64314">
      <w:pPr>
        <w:pStyle w:val="3"/>
        <w:rPr>
          <w:rFonts w:eastAsia="宋体"/>
        </w:rPr>
      </w:pPr>
      <w:bookmarkStart w:id="532" w:name="_Toc19816130"/>
      <w:bookmarkStart w:id="533" w:name="_Toc12288811"/>
      <w:bookmarkEnd w:id="531"/>
      <w:r>
        <w:rPr>
          <w:rFonts w:eastAsia="宋体"/>
        </w:rPr>
        <w:t xml:space="preserve">8.2.2 </w:t>
      </w:r>
      <w:r>
        <w:rPr>
          <w:rFonts w:eastAsia="宋体"/>
        </w:rPr>
        <w:t>废水防治措施</w:t>
      </w:r>
      <w:bookmarkEnd w:id="532"/>
      <w:bookmarkEnd w:id="533"/>
    </w:p>
    <w:p w:rsidR="00BD5820" w:rsidRDefault="00F64314">
      <w:pPr>
        <w:pStyle w:val="affa"/>
        <w:ind w:firstLine="482"/>
        <w:rPr>
          <w:b/>
          <w:bCs/>
        </w:rPr>
      </w:pPr>
      <w:r>
        <w:rPr>
          <w:b/>
          <w:bCs/>
        </w:rPr>
        <w:t>1</w:t>
      </w:r>
      <w:r>
        <w:rPr>
          <w:b/>
          <w:bCs/>
        </w:rPr>
        <w:t>、管线对地表水的影响</w:t>
      </w:r>
    </w:p>
    <w:p w:rsidR="00BD5820" w:rsidRDefault="00F64314">
      <w:pPr>
        <w:pStyle w:val="affa"/>
        <w:ind w:firstLine="480"/>
      </w:pPr>
      <w:r>
        <w:t>正常工况下，由于输气管线是全封闭系统，输运的天然气不会与</w:t>
      </w:r>
      <w:r>
        <w:rPr>
          <w:rFonts w:hint="eastAsia"/>
        </w:rPr>
        <w:t>项目附近地表水</w:t>
      </w:r>
      <w:r>
        <w:t>水体之间发生联系，采用外防腐层和强制电流阴极保护联合方式，如</w:t>
      </w:r>
      <w:r>
        <w:rPr>
          <w:rFonts w:hint="eastAsia"/>
        </w:rPr>
        <w:t>不</w:t>
      </w:r>
      <w:r>
        <w:t>发生泄漏事故，正常运营期对</w:t>
      </w:r>
      <w:r>
        <w:rPr>
          <w:rFonts w:hint="eastAsia"/>
        </w:rPr>
        <w:t>地表水</w:t>
      </w:r>
      <w:r>
        <w:t>不会造成影响；在发生泄漏事故时，由于天然气中以</w:t>
      </w:r>
      <w:r>
        <w:t>CH</w:t>
      </w:r>
      <w:r>
        <w:rPr>
          <w:vertAlign w:val="subscript"/>
        </w:rPr>
        <w:t>4</w:t>
      </w:r>
      <w:r>
        <w:t>为主，在水中的溶解度极低，因此对水环境基本无影响。</w:t>
      </w:r>
    </w:p>
    <w:p w:rsidR="00BD5820" w:rsidRDefault="00F64314">
      <w:pPr>
        <w:pStyle w:val="affa"/>
        <w:ind w:firstLine="482"/>
        <w:rPr>
          <w:b/>
          <w:bCs/>
        </w:rPr>
      </w:pPr>
      <w:r>
        <w:rPr>
          <w:b/>
          <w:bCs/>
        </w:rPr>
        <w:t>2</w:t>
      </w:r>
      <w:r>
        <w:rPr>
          <w:b/>
          <w:bCs/>
        </w:rPr>
        <w:t>、水污染源及排放情况</w:t>
      </w:r>
    </w:p>
    <w:p w:rsidR="00BD5820" w:rsidRDefault="00F64314">
      <w:pPr>
        <w:pStyle w:val="affa"/>
        <w:ind w:firstLine="480"/>
      </w:pPr>
      <w:r>
        <w:rPr>
          <w:rFonts w:hint="eastAsia"/>
        </w:rPr>
        <w:t>本项目站场</w:t>
      </w:r>
      <w:r>
        <w:t>为</w:t>
      </w:r>
      <w:r>
        <w:rPr>
          <w:rFonts w:hint="eastAsia"/>
        </w:rPr>
        <w:t>无</w:t>
      </w:r>
      <w:r>
        <w:t>人值守集气站，</w:t>
      </w:r>
      <w:r>
        <w:rPr>
          <w:rFonts w:hint="eastAsia"/>
        </w:rPr>
        <w:t>人员依托</w:t>
      </w:r>
      <w:r>
        <w:rPr>
          <w:rFonts w:hint="eastAsia"/>
        </w:rPr>
        <w:t>P102</w:t>
      </w:r>
      <w:r>
        <w:rPr>
          <w:rFonts w:hint="eastAsia"/>
        </w:rPr>
        <w:t>集气站，</w:t>
      </w:r>
      <w:r>
        <w:t>运营期</w:t>
      </w:r>
      <w:r>
        <w:rPr>
          <w:rFonts w:hint="eastAsia"/>
        </w:rPr>
        <w:t>无</w:t>
      </w:r>
      <w:r>
        <w:t>生活污水产生。</w:t>
      </w:r>
    </w:p>
    <w:p w:rsidR="00BD5820" w:rsidRDefault="00F64314">
      <w:pPr>
        <w:pStyle w:val="affa"/>
        <w:ind w:firstLine="480"/>
      </w:pPr>
      <w:r>
        <w:rPr>
          <w:szCs w:val="22"/>
        </w:rPr>
        <w:t>本项目运营期产生的气田水</w:t>
      </w:r>
      <w:r>
        <w:rPr>
          <w:rFonts w:hint="eastAsia"/>
          <w:szCs w:val="22"/>
        </w:rPr>
        <w:t>分别经普光</w:t>
      </w:r>
      <w:r>
        <w:rPr>
          <w:rFonts w:hint="eastAsia"/>
          <w:szCs w:val="22"/>
        </w:rPr>
        <w:t>3#</w:t>
      </w:r>
      <w:r>
        <w:rPr>
          <w:rFonts w:hint="eastAsia"/>
          <w:szCs w:val="22"/>
        </w:rPr>
        <w:t>水处理站、</w:t>
      </w:r>
      <w:r>
        <w:rPr>
          <w:rFonts w:hint="eastAsia"/>
          <w:szCs w:val="22"/>
        </w:rPr>
        <w:t>1#</w:t>
      </w:r>
      <w:r>
        <w:rPr>
          <w:rFonts w:hint="eastAsia"/>
          <w:szCs w:val="22"/>
        </w:rPr>
        <w:t>污水处理站集中处理，水处理采用新建预处理流程，满足压裂液配制要求，剩余采出水然后进入深度水处理站处理后回用</w:t>
      </w:r>
      <w:r>
        <w:rPr>
          <w:szCs w:val="22"/>
        </w:rPr>
        <w:t>，不外排</w:t>
      </w:r>
      <w:r>
        <w:t>。</w:t>
      </w:r>
    </w:p>
    <w:p w:rsidR="00BD5820" w:rsidRDefault="00F64314">
      <w:pPr>
        <w:pStyle w:val="3"/>
        <w:rPr>
          <w:rFonts w:eastAsia="宋体"/>
        </w:rPr>
      </w:pPr>
      <w:bookmarkStart w:id="534" w:name="_Toc12288812"/>
      <w:bookmarkStart w:id="535" w:name="_Toc19816131"/>
      <w:r>
        <w:rPr>
          <w:rFonts w:eastAsia="宋体"/>
        </w:rPr>
        <w:t xml:space="preserve">8.2.3 </w:t>
      </w:r>
      <w:r>
        <w:rPr>
          <w:rFonts w:eastAsia="宋体"/>
        </w:rPr>
        <w:t>声环境防治措施</w:t>
      </w:r>
      <w:bookmarkEnd w:id="534"/>
      <w:bookmarkEnd w:id="535"/>
    </w:p>
    <w:p w:rsidR="00BD5820" w:rsidRDefault="00F64314">
      <w:pPr>
        <w:pStyle w:val="affa"/>
        <w:ind w:firstLine="480"/>
      </w:pPr>
      <w:bookmarkStart w:id="536" w:name="_Toc19816132"/>
      <w:bookmarkStart w:id="537" w:name="_Toc12288813"/>
      <w:r>
        <w:t>本项目输气管道采用埋地敷设，在正常生产过程中不会产生噪声污染。</w:t>
      </w:r>
      <w:r>
        <w:rPr>
          <w:rFonts w:hint="eastAsia"/>
        </w:rPr>
        <w:t>本项</w:t>
      </w:r>
      <w:r>
        <w:rPr>
          <w:rFonts w:hint="eastAsia"/>
        </w:rPr>
        <w:lastRenderedPageBreak/>
        <w:t>目站场</w:t>
      </w:r>
      <w:r>
        <w:t>选址远离集中居民区，合理布局，控制气体流速，并在工艺设计中考虑减少站场工艺管线的弯头、三通等管件，降低输气站内的噪声</w:t>
      </w:r>
      <w:r>
        <w:rPr>
          <w:rFonts w:hint="eastAsia"/>
        </w:rPr>
        <w:t>，放空时及时疏散附近居民</w:t>
      </w:r>
      <w:r>
        <w:t>。采用上述措施后，站场场界能满足《工业企业厂界噪声排放标准》（</w:t>
      </w:r>
      <w:r>
        <w:t>GB12348-2008</w:t>
      </w:r>
      <w:r>
        <w:t>）</w:t>
      </w:r>
      <w:r>
        <w:t>2</w:t>
      </w:r>
      <w:r>
        <w:t>类标准限值，所采用措施具有经济技术可行性，对周边声环境影响较小。</w:t>
      </w:r>
    </w:p>
    <w:p w:rsidR="00BD5820" w:rsidRDefault="00F64314">
      <w:pPr>
        <w:pStyle w:val="3"/>
        <w:rPr>
          <w:rFonts w:eastAsia="宋体"/>
        </w:rPr>
      </w:pPr>
      <w:r>
        <w:rPr>
          <w:rFonts w:eastAsia="宋体"/>
        </w:rPr>
        <w:t xml:space="preserve">8.2.4 </w:t>
      </w:r>
      <w:r>
        <w:rPr>
          <w:rFonts w:eastAsia="宋体"/>
        </w:rPr>
        <w:t>固体废物治理措施</w:t>
      </w:r>
      <w:bookmarkEnd w:id="536"/>
      <w:bookmarkEnd w:id="537"/>
    </w:p>
    <w:p w:rsidR="00BD5820" w:rsidRDefault="00F64314">
      <w:pPr>
        <w:pStyle w:val="affa"/>
        <w:ind w:firstLine="480"/>
      </w:pPr>
      <w:bookmarkStart w:id="538" w:name="_Toc19816133"/>
      <w:bookmarkStart w:id="539" w:name="_Toc12288814"/>
      <w:r>
        <w:t>本项目集气管道采用埋地敷设方式，在正常运行过程中集气管道不会产生固体废物。</w:t>
      </w:r>
    </w:p>
    <w:p w:rsidR="00BD5820" w:rsidRDefault="00F64314">
      <w:pPr>
        <w:pStyle w:val="a1"/>
        <w:ind w:firstLine="480"/>
        <w:rPr>
          <w:rFonts w:ascii="Times New Roman" w:cs="Times New Roman"/>
        </w:rPr>
      </w:pPr>
      <w:r>
        <w:rPr>
          <w:rFonts w:ascii="Times New Roman" w:cs="Times New Roman" w:hint="eastAsia"/>
        </w:rPr>
        <w:t>本项目空压机等设备润滑主要产生</w:t>
      </w:r>
      <w:r>
        <w:rPr>
          <w:rFonts w:ascii="Times New Roman" w:cs="Times New Roman"/>
        </w:rPr>
        <w:t>废</w:t>
      </w:r>
      <w:r>
        <w:rPr>
          <w:rFonts w:ascii="Times New Roman" w:cs="Times New Roman" w:hint="eastAsia"/>
        </w:rPr>
        <w:t>润滑</w:t>
      </w:r>
      <w:r>
        <w:rPr>
          <w:rFonts w:ascii="Times New Roman" w:cs="Times New Roman"/>
        </w:rPr>
        <w:t>油</w:t>
      </w:r>
      <w:r>
        <w:rPr>
          <w:rFonts w:ascii="Times New Roman" w:cs="Times New Roman" w:hint="eastAsia"/>
        </w:rPr>
        <w:t>，</w:t>
      </w:r>
      <w:r>
        <w:rPr>
          <w:rFonts w:ascii="Times New Roman" w:cs="Times New Roman"/>
        </w:rPr>
        <w:t>产生量约</w:t>
      </w:r>
      <w:r>
        <w:rPr>
          <w:rFonts w:ascii="Times New Roman" w:cs="Times New Roman" w:hint="eastAsia"/>
        </w:rPr>
        <w:t>2t/a</w:t>
      </w:r>
      <w:r>
        <w:rPr>
          <w:rFonts w:ascii="Times New Roman" w:cs="Times New Roman" w:hint="eastAsia"/>
        </w:rPr>
        <w:t>；过滤</w:t>
      </w:r>
      <w:r>
        <w:rPr>
          <w:rFonts w:ascii="Times New Roman" w:cs="Times New Roman"/>
        </w:rPr>
        <w:t>分离器及污水罐底部产生的污泥</w:t>
      </w:r>
      <w:r>
        <w:rPr>
          <w:rFonts w:ascii="Times New Roman" w:cs="Times New Roman" w:hint="eastAsia"/>
        </w:rPr>
        <w:t>，产生量约</w:t>
      </w:r>
      <w:r>
        <w:rPr>
          <w:rFonts w:ascii="Times New Roman" w:cs="Times New Roman" w:hint="eastAsia"/>
        </w:rPr>
        <w:t>2.5t/a</w:t>
      </w:r>
      <w:r>
        <w:rPr>
          <w:rFonts w:ascii="Times New Roman" w:cs="Times New Roman" w:hint="eastAsia"/>
        </w:rPr>
        <w:t>；</w:t>
      </w:r>
      <w:r>
        <w:rPr>
          <w:rFonts w:ascii="Times New Roman" w:cs="Times New Roman"/>
        </w:rPr>
        <w:t>清管作业产生的少量固体粉末</w:t>
      </w:r>
      <w:r>
        <w:rPr>
          <w:rFonts w:ascii="Times New Roman" w:cs="Times New Roman" w:hint="eastAsia"/>
        </w:rPr>
        <w:t>，产生量约</w:t>
      </w:r>
      <w:r>
        <w:rPr>
          <w:rFonts w:ascii="Times New Roman" w:cs="Times New Roman" w:hint="eastAsia"/>
        </w:rPr>
        <w:t>0.2t/a</w:t>
      </w:r>
      <w:r>
        <w:rPr>
          <w:rFonts w:ascii="Times New Roman" w:cs="Times New Roman" w:hint="eastAsia"/>
        </w:rPr>
        <w:t>。</w:t>
      </w:r>
      <w:r>
        <w:rPr>
          <w:rFonts w:ascii="Times New Roman" w:cs="Times New Roman"/>
        </w:rPr>
        <w:t>废</w:t>
      </w:r>
      <w:r>
        <w:rPr>
          <w:rFonts w:ascii="Times New Roman" w:cs="Times New Roman" w:hint="eastAsia"/>
        </w:rPr>
        <w:t>润滑油、</w:t>
      </w:r>
      <w:r>
        <w:rPr>
          <w:rFonts w:ascii="Times New Roman" w:cs="Times New Roman"/>
        </w:rPr>
        <w:t>污泥</w:t>
      </w:r>
      <w:r>
        <w:rPr>
          <w:rFonts w:ascii="Times New Roman" w:cs="Times New Roman" w:hint="eastAsia"/>
        </w:rPr>
        <w:t>暂存于危废暂存间，面积约</w:t>
      </w:r>
      <w:r>
        <w:rPr>
          <w:rFonts w:ascii="Times New Roman" w:cs="Times New Roman" w:hint="eastAsia"/>
        </w:rPr>
        <w:t>5m</w:t>
      </w:r>
      <w:r>
        <w:rPr>
          <w:rFonts w:ascii="Times New Roman" w:cs="Times New Roman" w:hint="eastAsia"/>
          <w:vertAlign w:val="superscript"/>
        </w:rPr>
        <w:t>2</w:t>
      </w:r>
      <w:r>
        <w:rPr>
          <w:rFonts w:ascii="Times New Roman" w:cs="Times New Roman" w:hint="eastAsia"/>
        </w:rPr>
        <w:t>，暂存间地面采取四防措施（防风、防雨、防晒、防渗漏），并及时清运至企业净化厂危险废物贮存仓库（与普光气田</w:t>
      </w:r>
      <w:r>
        <w:rPr>
          <w:rFonts w:ascii="Times New Roman" w:cs="Times New Roman" w:hint="eastAsia"/>
        </w:rPr>
        <w:t>1#</w:t>
      </w:r>
      <w:r>
        <w:rPr>
          <w:rFonts w:ascii="Times New Roman" w:cs="Times New Roman" w:hint="eastAsia"/>
        </w:rPr>
        <w:t>增压站、普光气田</w:t>
      </w:r>
      <w:r>
        <w:rPr>
          <w:rFonts w:ascii="Times New Roman" w:cs="Times New Roman" w:hint="eastAsia"/>
        </w:rPr>
        <w:t>2#</w:t>
      </w:r>
      <w:r>
        <w:rPr>
          <w:rFonts w:ascii="Times New Roman" w:cs="Times New Roman" w:hint="eastAsia"/>
        </w:rPr>
        <w:t>增压站运距分别为</w:t>
      </w:r>
      <w:r>
        <w:rPr>
          <w:rFonts w:ascii="Times New Roman" w:cs="Times New Roman" w:hint="eastAsia"/>
        </w:rPr>
        <w:t>12km</w:t>
      </w:r>
      <w:r>
        <w:rPr>
          <w:rFonts w:ascii="Times New Roman" w:cs="Times New Roman" w:hint="eastAsia"/>
        </w:rPr>
        <w:t>和</w:t>
      </w:r>
      <w:r>
        <w:rPr>
          <w:rFonts w:ascii="Times New Roman" w:cs="Times New Roman" w:hint="eastAsia"/>
        </w:rPr>
        <w:t>1.6km</w:t>
      </w:r>
      <w:r>
        <w:rPr>
          <w:rFonts w:ascii="Times New Roman" w:cs="Times New Roman" w:hint="eastAsia"/>
        </w:rPr>
        <w:t>），定期委托有资质单位进行处理</w:t>
      </w:r>
      <w:r>
        <w:rPr>
          <w:rFonts w:ascii="Times New Roman" w:cs="Times New Roman"/>
        </w:rPr>
        <w:t>。本项目对废油的收集、贮存和运输应满足《危险废物收集</w:t>
      </w:r>
      <w:r>
        <w:rPr>
          <w:rFonts w:ascii="Times New Roman" w:cs="Times New Roman"/>
        </w:rPr>
        <w:t xml:space="preserve"> </w:t>
      </w:r>
      <w:r>
        <w:rPr>
          <w:rFonts w:ascii="Times New Roman" w:cs="Times New Roman"/>
        </w:rPr>
        <w:t>贮存</w:t>
      </w:r>
      <w:r>
        <w:rPr>
          <w:rFonts w:ascii="Times New Roman" w:cs="Times New Roman"/>
        </w:rPr>
        <w:t xml:space="preserve"> </w:t>
      </w:r>
      <w:r>
        <w:rPr>
          <w:rFonts w:ascii="Times New Roman" w:cs="Times New Roman"/>
        </w:rPr>
        <w:t>运输技术规范》（</w:t>
      </w:r>
      <w:r>
        <w:rPr>
          <w:rFonts w:ascii="Times New Roman" w:cs="Times New Roman"/>
        </w:rPr>
        <w:t>HJ 2025-2012</w:t>
      </w:r>
      <w:r>
        <w:rPr>
          <w:rFonts w:ascii="Times New Roman" w:cs="Times New Roman"/>
        </w:rPr>
        <w:t>）的相关规定</w:t>
      </w:r>
      <w:r>
        <w:rPr>
          <w:rFonts w:ascii="Times New Roman" w:cs="Times New Roman" w:hint="eastAsia"/>
        </w:rPr>
        <w:t>，</w:t>
      </w:r>
      <w:r>
        <w:rPr>
          <w:rFonts w:ascii="Times New Roman" w:cs="Times New Roman"/>
        </w:rPr>
        <w:t>建设单位做好</w:t>
      </w:r>
      <w:r>
        <w:rPr>
          <w:rFonts w:ascii="Times New Roman" w:cs="Times New Roman" w:hint="eastAsia"/>
        </w:rPr>
        <w:t>危废</w:t>
      </w:r>
      <w:r>
        <w:rPr>
          <w:rFonts w:ascii="Times New Roman" w:cs="Times New Roman"/>
        </w:rPr>
        <w:t>转移记录。</w:t>
      </w:r>
    </w:p>
    <w:p w:rsidR="00BD5820" w:rsidRDefault="00F64314">
      <w:pPr>
        <w:pStyle w:val="affa"/>
        <w:ind w:firstLine="480"/>
      </w:pPr>
      <w:r>
        <w:rPr>
          <w:rFonts w:hint="eastAsia"/>
        </w:rPr>
        <w:t>本项目站场</w:t>
      </w:r>
      <w:r>
        <w:t>为</w:t>
      </w:r>
      <w:r>
        <w:rPr>
          <w:rFonts w:hint="eastAsia"/>
        </w:rPr>
        <w:t>无</w:t>
      </w:r>
      <w:r>
        <w:t>人值守站，</w:t>
      </w:r>
      <w:r>
        <w:rPr>
          <w:rFonts w:hint="eastAsia"/>
        </w:rPr>
        <w:t>人员依托</w:t>
      </w:r>
      <w:r>
        <w:t>P102</w:t>
      </w:r>
      <w:r>
        <w:t>集气站</w:t>
      </w:r>
      <w:r>
        <w:rPr>
          <w:rFonts w:hint="eastAsia"/>
        </w:rPr>
        <w:t>和净化厂，</w:t>
      </w:r>
      <w:r>
        <w:t>工作人员</w:t>
      </w:r>
      <w:r>
        <w:rPr>
          <w:rFonts w:hint="eastAsia"/>
        </w:rPr>
        <w:t>10</w:t>
      </w:r>
      <w:r>
        <w:t>人</w:t>
      </w:r>
      <w:r>
        <w:rPr>
          <w:rFonts w:hint="eastAsia"/>
        </w:rPr>
        <w:t>，运营期无生活垃圾产生</w:t>
      </w:r>
      <w:r>
        <w:t>。</w:t>
      </w:r>
    </w:p>
    <w:p w:rsidR="00BD5820" w:rsidRDefault="00F64314">
      <w:pPr>
        <w:pStyle w:val="a1"/>
        <w:ind w:firstLine="480"/>
        <w:rPr>
          <w:rFonts w:ascii="Times New Roman" w:cs="Times New Roman"/>
        </w:rPr>
      </w:pPr>
      <w:r>
        <w:rPr>
          <w:rFonts w:ascii="Times New Roman" w:cs="Times New Roman"/>
        </w:rPr>
        <w:t>综上所述，营运期</w:t>
      </w:r>
      <w:r>
        <w:rPr>
          <w:rFonts w:ascii="Times New Roman" w:cs="Times New Roman" w:hint="eastAsia"/>
        </w:rPr>
        <w:t>无</w:t>
      </w:r>
      <w:r>
        <w:rPr>
          <w:rFonts w:ascii="Times New Roman" w:cs="Times New Roman"/>
        </w:rPr>
        <w:t>固体废物</w:t>
      </w:r>
      <w:r>
        <w:rPr>
          <w:rFonts w:ascii="Times New Roman" w:cs="Times New Roman" w:hint="eastAsia"/>
        </w:rPr>
        <w:t>产生</w:t>
      </w:r>
      <w:r>
        <w:rPr>
          <w:rFonts w:ascii="Times New Roman" w:cs="Times New Roman"/>
        </w:rPr>
        <w:t>，对环境影响较小。</w:t>
      </w:r>
    </w:p>
    <w:p w:rsidR="00BD5820" w:rsidRDefault="00F64314">
      <w:pPr>
        <w:pStyle w:val="3"/>
        <w:rPr>
          <w:rFonts w:eastAsia="宋体"/>
        </w:rPr>
      </w:pPr>
      <w:r>
        <w:rPr>
          <w:rFonts w:eastAsia="宋体"/>
        </w:rPr>
        <w:t xml:space="preserve">8.2.5 </w:t>
      </w:r>
      <w:r>
        <w:rPr>
          <w:rFonts w:eastAsia="宋体"/>
        </w:rPr>
        <w:t>土壤和地下水污染防治措施</w:t>
      </w:r>
    </w:p>
    <w:p w:rsidR="00BD5820" w:rsidRDefault="00F64314">
      <w:pPr>
        <w:pStyle w:val="affa"/>
        <w:ind w:firstLine="480"/>
      </w:pPr>
      <w:r>
        <w:t>由于输气管道敷设在地下，进行密闭输送，且项目管道采用外防腐层和强制电流阴极保护联合方式，发生泄漏事故概率较小。当管线发生破裂事故，其泄漏的天然气绝大部分进行大气环境中，会对大气环境造成一定的影响，对地下水基本不会造成影响。</w:t>
      </w:r>
    </w:p>
    <w:p w:rsidR="00BD5820" w:rsidRDefault="00F64314">
      <w:pPr>
        <w:pStyle w:val="affa"/>
        <w:ind w:firstLine="480"/>
      </w:pPr>
      <w:r>
        <w:rPr>
          <w:rFonts w:hint="eastAsia"/>
        </w:rPr>
        <w:t>本项目站场</w:t>
      </w:r>
      <w:r>
        <w:t>内</w:t>
      </w:r>
      <w:r>
        <w:rPr>
          <w:rFonts w:hint="eastAsia"/>
        </w:rPr>
        <w:t>气田水部分暂存于放喷池、部分</w:t>
      </w:r>
      <w:r>
        <w:t>经</w:t>
      </w:r>
      <w:r>
        <w:rPr>
          <w:kern w:val="2"/>
          <w:szCs w:val="22"/>
        </w:rPr>
        <w:t>污水罐</w:t>
      </w:r>
      <w:r>
        <w:t>收集，</w:t>
      </w:r>
      <w:r>
        <w:rPr>
          <w:rFonts w:hint="eastAsia"/>
        </w:rPr>
        <w:t>污水罐</w:t>
      </w:r>
      <w:r>
        <w:t>四周设置防渗围堰，一旦储罐发生破损泄漏，可将废水收集在围堰内，再统一清理，不会对地下水造成影响。</w:t>
      </w:r>
    </w:p>
    <w:p w:rsidR="00BD5820" w:rsidRDefault="00F64314">
      <w:pPr>
        <w:pStyle w:val="3"/>
        <w:rPr>
          <w:rFonts w:eastAsia="宋体"/>
        </w:rPr>
      </w:pPr>
      <w:r>
        <w:rPr>
          <w:rFonts w:eastAsia="宋体"/>
        </w:rPr>
        <w:t xml:space="preserve">8.2.6 </w:t>
      </w:r>
      <w:r>
        <w:rPr>
          <w:rFonts w:eastAsia="宋体"/>
        </w:rPr>
        <w:t>生态环境影响减缓措施</w:t>
      </w:r>
      <w:bookmarkEnd w:id="538"/>
      <w:bookmarkEnd w:id="539"/>
    </w:p>
    <w:p w:rsidR="00BD5820" w:rsidRDefault="00F64314">
      <w:pPr>
        <w:pStyle w:val="a1"/>
        <w:ind w:firstLine="480"/>
        <w:rPr>
          <w:rFonts w:ascii="Times New Roman" w:cs="Times New Roman"/>
        </w:rPr>
      </w:pPr>
      <w:r>
        <w:rPr>
          <w:rFonts w:ascii="Times New Roman" w:cs="Times New Roman"/>
        </w:rPr>
        <w:t>1</w:t>
      </w:r>
      <w:r>
        <w:rPr>
          <w:rFonts w:ascii="Times New Roman" w:cs="Times New Roman"/>
        </w:rPr>
        <w:t>、项目运行期，在管道沿线区域要加强对临时占地区域的植被恢复工程护，发现植被恢复受阻，如死亡的林木等，要进行植被的补植补种；森林的管护和抚</w:t>
      </w:r>
      <w:r>
        <w:rPr>
          <w:rFonts w:ascii="Times New Roman" w:cs="Times New Roman"/>
        </w:rPr>
        <w:lastRenderedPageBreak/>
        <w:t>育，提供森林植被的水源涵养能力，针对管线建设所形成的廊道，应制定严格的管理措施，严格限制人员进入廊道实施与管道管理和森林保护无关的活动。</w:t>
      </w:r>
    </w:p>
    <w:p w:rsidR="00BD5820" w:rsidRDefault="00F64314">
      <w:pPr>
        <w:pStyle w:val="a1"/>
        <w:ind w:firstLine="480"/>
        <w:rPr>
          <w:rFonts w:ascii="Times New Roman" w:cs="Times New Roman"/>
        </w:rPr>
      </w:pPr>
      <w:r>
        <w:rPr>
          <w:rFonts w:ascii="Times New Roman" w:cs="Times New Roman"/>
        </w:rPr>
        <w:t>2</w:t>
      </w:r>
      <w:r>
        <w:rPr>
          <w:rFonts w:ascii="Times New Roman" w:cs="Times New Roman"/>
        </w:rPr>
        <w:t>、在项目区内特别是在林地区域内设置告示牌和警告牌，宣传保护野生动物及其栖息地生态环境，加强公众的野生动物保护和生态环境的保护意识教育；</w:t>
      </w:r>
    </w:p>
    <w:p w:rsidR="00BD5820" w:rsidRDefault="00F64314">
      <w:pPr>
        <w:pStyle w:val="a1"/>
        <w:ind w:firstLine="480"/>
        <w:rPr>
          <w:rFonts w:ascii="Times New Roman" w:cs="Times New Roman"/>
        </w:rPr>
      </w:pPr>
      <w:r>
        <w:rPr>
          <w:rFonts w:ascii="Times New Roman" w:cs="Times New Roman"/>
        </w:rPr>
        <w:t>3</w:t>
      </w:r>
      <w:r>
        <w:rPr>
          <w:rFonts w:ascii="Times New Roman" w:cs="Times New Roman"/>
        </w:rPr>
        <w:t>、加强对项目区内的生态保护，严格按照相关的规章制度执行。</w:t>
      </w:r>
    </w:p>
    <w:p w:rsidR="00BD5820" w:rsidRDefault="00F64314">
      <w:pPr>
        <w:pStyle w:val="2"/>
        <w:spacing w:before="120"/>
        <w:rPr>
          <w:rFonts w:cs="Times New Roman"/>
        </w:rPr>
      </w:pPr>
      <w:bookmarkStart w:id="540" w:name="bookmark74"/>
      <w:bookmarkStart w:id="541" w:name="_Toc12288815"/>
      <w:bookmarkStart w:id="542" w:name="_Toc19816134"/>
      <w:bookmarkStart w:id="543" w:name="_Toc21241"/>
      <w:bookmarkEnd w:id="540"/>
      <w:r>
        <w:rPr>
          <w:rFonts w:cs="Times New Roman"/>
        </w:rPr>
        <w:t xml:space="preserve">8.3 </w:t>
      </w:r>
      <w:r>
        <w:rPr>
          <w:rFonts w:cs="Times New Roman" w:hint="eastAsia"/>
        </w:rPr>
        <w:t>本项目</w:t>
      </w:r>
      <w:r>
        <w:rPr>
          <w:rFonts w:cs="Times New Roman"/>
        </w:rPr>
        <w:t>“</w:t>
      </w:r>
      <w:r>
        <w:rPr>
          <w:rFonts w:cs="Times New Roman"/>
        </w:rPr>
        <w:t>三同时</w:t>
      </w:r>
      <w:r>
        <w:rPr>
          <w:rFonts w:cs="Times New Roman"/>
        </w:rPr>
        <w:t>”</w:t>
      </w:r>
      <w:r>
        <w:rPr>
          <w:rFonts w:cs="Times New Roman"/>
        </w:rPr>
        <w:t>验收</w:t>
      </w:r>
      <w:bookmarkEnd w:id="541"/>
      <w:bookmarkEnd w:id="542"/>
      <w:bookmarkEnd w:id="543"/>
    </w:p>
    <w:p w:rsidR="00BD5820" w:rsidRDefault="00F64314">
      <w:pPr>
        <w:pStyle w:val="a1"/>
        <w:ind w:firstLine="480"/>
        <w:rPr>
          <w:rFonts w:ascii="Times New Roman" w:cs="Times New Roman"/>
        </w:rPr>
      </w:pPr>
      <w:r>
        <w:rPr>
          <w:rFonts w:ascii="Times New Roman" w:cs="Times New Roman"/>
        </w:rPr>
        <w:t>本项目</w:t>
      </w:r>
      <w:r>
        <w:rPr>
          <w:rFonts w:ascii="Times New Roman" w:cs="Times New Roman"/>
        </w:rPr>
        <w:t>“</w:t>
      </w:r>
      <w:r>
        <w:rPr>
          <w:rFonts w:ascii="Times New Roman" w:cs="Times New Roman"/>
        </w:rPr>
        <w:t>三同时</w:t>
      </w:r>
      <w:r>
        <w:rPr>
          <w:rFonts w:ascii="Times New Roman" w:cs="Times New Roman"/>
        </w:rPr>
        <w:t>”</w:t>
      </w:r>
      <w:r>
        <w:rPr>
          <w:rFonts w:ascii="Times New Roman" w:cs="Times New Roman"/>
        </w:rPr>
        <w:t>验收内容见下表。</w:t>
      </w:r>
    </w:p>
    <w:p w:rsidR="00BD5820" w:rsidRDefault="00BD5820">
      <w:pPr>
        <w:widowControl/>
        <w:topLinePunct w:val="0"/>
        <w:adjustRightInd/>
        <w:ind w:firstLineChars="0" w:firstLine="0"/>
        <w:jc w:val="left"/>
        <w:rPr>
          <w:rFonts w:ascii="Times New Roman" w:cs="Times New Roman"/>
        </w:rPr>
        <w:sectPr w:rsidR="00BD5820">
          <w:pgSz w:w="11910" w:h="16840"/>
          <w:pgMar w:top="1440" w:right="1800" w:bottom="1440" w:left="1800" w:header="885" w:footer="1025" w:gutter="0"/>
          <w:cols w:space="720"/>
          <w:docGrid w:linePitch="326"/>
        </w:sectPr>
      </w:pPr>
    </w:p>
    <w:p w:rsidR="00BD5820" w:rsidRDefault="00F64314">
      <w:pPr>
        <w:pStyle w:val="TOC11"/>
        <w:rPr>
          <w:rFonts w:eastAsia="宋体"/>
        </w:rPr>
      </w:pPr>
      <w:r>
        <w:rPr>
          <w:rFonts w:eastAsia="宋体"/>
        </w:rPr>
        <w:lastRenderedPageBreak/>
        <w:t>表</w:t>
      </w:r>
      <w:r>
        <w:rPr>
          <w:rFonts w:eastAsia="宋体"/>
        </w:rPr>
        <w:t xml:space="preserve">8.3-1  </w:t>
      </w:r>
      <w:r>
        <w:rPr>
          <w:rFonts w:eastAsia="宋体"/>
        </w:rPr>
        <w:t>环保</w:t>
      </w:r>
      <w:r>
        <w:rPr>
          <w:rFonts w:eastAsia="宋体"/>
        </w:rPr>
        <w:t>“</w:t>
      </w:r>
      <w:r>
        <w:rPr>
          <w:rFonts w:eastAsia="宋体"/>
        </w:rPr>
        <w:t>三同时</w:t>
      </w:r>
      <w:r>
        <w:rPr>
          <w:rFonts w:eastAsia="宋体"/>
        </w:rPr>
        <w:t>”</w:t>
      </w:r>
      <w:r>
        <w:rPr>
          <w:rFonts w:eastAsia="宋体"/>
        </w:rPr>
        <w:t>验收一览表</w:t>
      </w:r>
    </w:p>
    <w:tbl>
      <w:tblPr>
        <w:tblW w:w="5093" w:type="pct"/>
        <w:jc w:val="center"/>
        <w:tblBorders>
          <w:top w:val="single" w:sz="12" w:space="0" w:color="000000"/>
          <w:bottom w:val="single" w:sz="12" w:space="0" w:color="000000"/>
          <w:insideH w:val="single" w:sz="2" w:space="0" w:color="000000"/>
          <w:insideV w:val="single" w:sz="4" w:space="0" w:color="000000"/>
        </w:tblBorders>
        <w:tblCellMar>
          <w:left w:w="0" w:type="dxa"/>
          <w:right w:w="0" w:type="dxa"/>
        </w:tblCellMar>
        <w:tblLook w:val="04A0"/>
      </w:tblPr>
      <w:tblGrid>
        <w:gridCol w:w="616"/>
        <w:gridCol w:w="1066"/>
        <w:gridCol w:w="15"/>
        <w:gridCol w:w="2133"/>
        <w:gridCol w:w="6478"/>
        <w:gridCol w:w="4401"/>
      </w:tblGrid>
      <w:tr w:rsidR="00BD5820">
        <w:trPr>
          <w:trHeight w:val="20"/>
          <w:jc w:val="center"/>
        </w:trPr>
        <w:tc>
          <w:tcPr>
            <w:tcW w:w="1301" w:type="pct"/>
            <w:gridSpan w:val="4"/>
            <w:vAlign w:val="center"/>
          </w:tcPr>
          <w:p w:rsidR="00BD5820" w:rsidRDefault="00F64314">
            <w:pPr>
              <w:pStyle w:val="TableParagraph"/>
              <w:spacing w:line="240" w:lineRule="auto"/>
              <w:ind w:firstLineChars="0" w:firstLine="0"/>
              <w:rPr>
                <w:rFonts w:ascii="Times New Roman" w:cs="Times New Roman"/>
                <w:b/>
                <w:kern w:val="2"/>
                <w:sz w:val="21"/>
                <w:szCs w:val="21"/>
              </w:rPr>
            </w:pPr>
            <w:r>
              <w:rPr>
                <w:rFonts w:ascii="Times New Roman" w:cs="Times New Roman"/>
                <w:b/>
                <w:kern w:val="2"/>
                <w:sz w:val="21"/>
                <w:szCs w:val="21"/>
              </w:rPr>
              <w:t>项目</w:t>
            </w:r>
          </w:p>
        </w:tc>
        <w:tc>
          <w:tcPr>
            <w:tcW w:w="2202" w:type="pct"/>
            <w:vAlign w:val="center"/>
          </w:tcPr>
          <w:p w:rsidR="00BD5820" w:rsidRDefault="00F64314">
            <w:pPr>
              <w:pStyle w:val="TableParagraph"/>
              <w:spacing w:line="240" w:lineRule="auto"/>
              <w:ind w:firstLineChars="0" w:firstLine="0"/>
              <w:rPr>
                <w:rFonts w:ascii="Times New Roman" w:cs="Times New Roman"/>
                <w:b/>
                <w:kern w:val="2"/>
                <w:sz w:val="21"/>
                <w:szCs w:val="21"/>
              </w:rPr>
            </w:pPr>
            <w:r>
              <w:rPr>
                <w:rFonts w:ascii="Times New Roman" w:cs="Times New Roman"/>
                <w:b/>
                <w:kern w:val="2"/>
                <w:sz w:val="21"/>
                <w:szCs w:val="21"/>
              </w:rPr>
              <w:t>主要内容</w:t>
            </w:r>
          </w:p>
        </w:tc>
        <w:tc>
          <w:tcPr>
            <w:tcW w:w="1496" w:type="pct"/>
            <w:vAlign w:val="center"/>
          </w:tcPr>
          <w:p w:rsidR="00BD5820" w:rsidRDefault="00F64314">
            <w:pPr>
              <w:pStyle w:val="TableParagraph"/>
              <w:spacing w:line="240" w:lineRule="auto"/>
              <w:ind w:firstLineChars="0" w:firstLine="0"/>
              <w:rPr>
                <w:rFonts w:ascii="Times New Roman" w:cs="Times New Roman"/>
                <w:b/>
                <w:kern w:val="2"/>
                <w:sz w:val="21"/>
                <w:szCs w:val="21"/>
              </w:rPr>
            </w:pPr>
            <w:r>
              <w:rPr>
                <w:rFonts w:ascii="Times New Roman" w:cs="Times New Roman"/>
                <w:b/>
                <w:kern w:val="2"/>
                <w:sz w:val="21"/>
                <w:szCs w:val="21"/>
              </w:rPr>
              <w:t>达到效果</w:t>
            </w:r>
          </w:p>
        </w:tc>
      </w:tr>
      <w:tr w:rsidR="00BD5820">
        <w:trPr>
          <w:trHeight w:val="272"/>
          <w:jc w:val="center"/>
        </w:trPr>
        <w:tc>
          <w:tcPr>
            <w:tcW w:w="209" w:type="pct"/>
            <w:vMerge w:val="restart"/>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施工期</w:t>
            </w:r>
          </w:p>
        </w:tc>
        <w:tc>
          <w:tcPr>
            <w:tcW w:w="1092" w:type="pct"/>
            <w:gridSpan w:val="3"/>
            <w:vMerge w:val="restart"/>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废气</w:t>
            </w:r>
          </w:p>
        </w:tc>
        <w:tc>
          <w:tcPr>
            <w:tcW w:w="2202" w:type="pct"/>
            <w:vAlign w:val="center"/>
          </w:tcPr>
          <w:p w:rsidR="00BD5820" w:rsidRDefault="00F64314">
            <w:pPr>
              <w:pStyle w:val="TableParagraph"/>
              <w:spacing w:line="240" w:lineRule="auto"/>
              <w:ind w:firstLine="420"/>
            </w:pPr>
            <w:r>
              <w:rPr>
                <w:rFonts w:ascii="Times New Roman" w:cs="Times New Roman"/>
                <w:kern w:val="2"/>
                <w:sz w:val="21"/>
                <w:szCs w:val="21"/>
              </w:rPr>
              <w:t>采取覆盖防尘布、洒水降尘、道路洒水、车辆清洗，大风天气停止土方开挖作业</w:t>
            </w:r>
            <w:r>
              <w:rPr>
                <w:rFonts w:ascii="Times New Roman" w:cs="Times New Roman" w:hint="eastAsia"/>
                <w:kern w:val="2"/>
                <w:sz w:val="21"/>
                <w:szCs w:val="21"/>
              </w:rPr>
              <w:t>，</w:t>
            </w:r>
            <w:r>
              <w:rPr>
                <w:rFonts w:ascii="Times New Roman" w:cs="Times New Roman"/>
                <w:kern w:val="2"/>
                <w:sz w:val="21"/>
                <w:szCs w:val="21"/>
              </w:rPr>
              <w:t>使用尾气达标机械车辆</w:t>
            </w:r>
            <w:r>
              <w:rPr>
                <w:rFonts w:ascii="Times New Roman" w:cs="Times New Roman" w:hint="eastAsia"/>
                <w:kern w:val="2"/>
                <w:sz w:val="21"/>
                <w:szCs w:val="21"/>
              </w:rPr>
              <w:t>等措施</w:t>
            </w:r>
            <w:r>
              <w:rPr>
                <w:rFonts w:ascii="Times New Roman" w:cs="Times New Roman"/>
                <w:kern w:val="2"/>
                <w:sz w:val="21"/>
                <w:szCs w:val="21"/>
              </w:rPr>
              <w:t>。</w:t>
            </w:r>
          </w:p>
        </w:tc>
        <w:tc>
          <w:tcPr>
            <w:tcW w:w="1496" w:type="pct"/>
            <w:vAlign w:val="center"/>
          </w:tcPr>
          <w:p w:rsidR="00BD5820" w:rsidRDefault="00F64314">
            <w:pPr>
              <w:pStyle w:val="TableParagraph"/>
              <w:ind w:firstLine="420"/>
              <w:rPr>
                <w:rFonts w:ascii="Times New Roman" w:cs="Times New Roman"/>
                <w:kern w:val="2"/>
                <w:sz w:val="21"/>
                <w:szCs w:val="21"/>
              </w:rPr>
            </w:pPr>
            <w:r>
              <w:rPr>
                <w:rFonts w:ascii="Times New Roman" w:cs="Times New Roman"/>
                <w:kern w:val="2"/>
                <w:sz w:val="21"/>
                <w:szCs w:val="21"/>
              </w:rPr>
              <w:t>降低施工扬尘，满足地市相关管理办法要求</w:t>
            </w:r>
          </w:p>
        </w:tc>
      </w:tr>
      <w:tr w:rsidR="00BD5820">
        <w:trPr>
          <w:trHeight w:val="272"/>
          <w:jc w:val="center"/>
        </w:trPr>
        <w:tc>
          <w:tcPr>
            <w:tcW w:w="209" w:type="pct"/>
            <w:vMerge/>
            <w:vAlign w:val="center"/>
          </w:tcPr>
          <w:p w:rsidR="00BD5820" w:rsidRDefault="00BD5820">
            <w:pPr>
              <w:pStyle w:val="TableParagraph"/>
              <w:spacing w:line="240" w:lineRule="auto"/>
              <w:ind w:firstLineChars="0" w:firstLine="0"/>
              <w:rPr>
                <w:rFonts w:ascii="Times New Roman" w:cs="Times New Roman"/>
                <w:kern w:val="2"/>
                <w:sz w:val="21"/>
                <w:szCs w:val="21"/>
              </w:rPr>
            </w:pPr>
          </w:p>
        </w:tc>
        <w:tc>
          <w:tcPr>
            <w:tcW w:w="1092" w:type="pct"/>
            <w:gridSpan w:val="3"/>
            <w:vMerge/>
            <w:vAlign w:val="center"/>
          </w:tcPr>
          <w:p w:rsidR="00BD5820" w:rsidRDefault="00BD5820">
            <w:pPr>
              <w:pStyle w:val="TableParagraph"/>
              <w:spacing w:line="240" w:lineRule="auto"/>
              <w:ind w:firstLineChars="0" w:firstLine="0"/>
              <w:rPr>
                <w:rFonts w:ascii="Times New Roman" w:cs="Times New Roman"/>
                <w:kern w:val="2"/>
                <w:sz w:val="21"/>
                <w:szCs w:val="21"/>
              </w:rPr>
            </w:pPr>
          </w:p>
        </w:tc>
        <w:tc>
          <w:tcPr>
            <w:tcW w:w="2202" w:type="pct"/>
            <w:vAlign w:val="center"/>
          </w:tcPr>
          <w:p w:rsidR="00BD5820" w:rsidRDefault="00F64314">
            <w:pPr>
              <w:pStyle w:val="TableParagraph"/>
              <w:spacing w:line="240" w:lineRule="auto"/>
              <w:ind w:firstLine="420"/>
              <w:rPr>
                <w:rFonts w:ascii="Times New Roman" w:cs="Times New Roman"/>
                <w:kern w:val="2"/>
                <w:sz w:val="21"/>
                <w:szCs w:val="21"/>
              </w:rPr>
            </w:pPr>
            <w:r>
              <w:rPr>
                <w:rFonts w:ascii="Times New Roman" w:cs="Times New Roman" w:hint="eastAsia"/>
                <w:kern w:val="2"/>
                <w:sz w:val="21"/>
                <w:szCs w:val="21"/>
              </w:rPr>
              <w:t>食堂油烟经油烟净化器处理后通过专用管道超屋顶排放</w:t>
            </w:r>
          </w:p>
        </w:tc>
        <w:tc>
          <w:tcPr>
            <w:tcW w:w="1496" w:type="pct"/>
            <w:vAlign w:val="center"/>
          </w:tcPr>
          <w:p w:rsidR="00BD5820" w:rsidRDefault="00F64314">
            <w:pPr>
              <w:pStyle w:val="TableParagraph"/>
              <w:ind w:firstLine="420"/>
              <w:rPr>
                <w:rFonts w:ascii="Times New Roman" w:cs="Times New Roman"/>
                <w:kern w:val="2"/>
                <w:sz w:val="21"/>
                <w:szCs w:val="21"/>
              </w:rPr>
            </w:pPr>
            <w:r>
              <w:rPr>
                <w:rFonts w:ascii="Times New Roman" w:cs="Times New Roman" w:hint="eastAsia"/>
                <w:kern w:val="2"/>
                <w:sz w:val="21"/>
                <w:szCs w:val="21"/>
              </w:rPr>
              <w:t>达标排放</w:t>
            </w:r>
          </w:p>
        </w:tc>
      </w:tr>
      <w:tr w:rsidR="00BD5820">
        <w:trPr>
          <w:trHeight w:val="20"/>
          <w:jc w:val="center"/>
        </w:trPr>
        <w:tc>
          <w:tcPr>
            <w:tcW w:w="209" w:type="pct"/>
            <w:vMerge/>
            <w:vAlign w:val="center"/>
          </w:tcPr>
          <w:p w:rsidR="00BD5820" w:rsidRDefault="00BD5820">
            <w:pPr>
              <w:widowControl/>
              <w:topLinePunct w:val="0"/>
              <w:adjustRightInd/>
              <w:spacing w:line="240" w:lineRule="auto"/>
              <w:ind w:firstLineChars="0" w:firstLine="0"/>
              <w:jc w:val="center"/>
              <w:rPr>
                <w:rFonts w:ascii="Times New Roman" w:cs="Times New Roman"/>
                <w:kern w:val="2"/>
                <w:sz w:val="21"/>
                <w:szCs w:val="21"/>
              </w:rPr>
            </w:pPr>
          </w:p>
        </w:tc>
        <w:tc>
          <w:tcPr>
            <w:tcW w:w="362" w:type="pct"/>
            <w:vMerge w:val="restart"/>
            <w:tcBorders>
              <w:right w:val="single" w:sz="4" w:space="0" w:color="auto"/>
            </w:tcBorders>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废水</w:t>
            </w:r>
          </w:p>
        </w:tc>
        <w:tc>
          <w:tcPr>
            <w:tcW w:w="730" w:type="pct"/>
            <w:gridSpan w:val="2"/>
            <w:tcBorders>
              <w:left w:val="single" w:sz="4" w:space="0" w:color="auto"/>
            </w:tcBorders>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试压废水排放措施</w:t>
            </w:r>
          </w:p>
        </w:tc>
        <w:tc>
          <w:tcPr>
            <w:tcW w:w="2202" w:type="pct"/>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试压废水</w:t>
            </w:r>
            <w:r>
              <w:rPr>
                <w:rFonts w:ascii="Times New Roman" w:cs="Times New Roman"/>
                <w:kern w:val="2"/>
                <w:sz w:val="21"/>
                <w:szCs w:val="21"/>
              </w:rPr>
              <w:t>分段</w:t>
            </w:r>
            <w:r>
              <w:rPr>
                <w:rFonts w:ascii="Times New Roman" w:cs="Times New Roman" w:hint="eastAsia"/>
                <w:kern w:val="2"/>
                <w:sz w:val="21"/>
                <w:szCs w:val="21"/>
              </w:rPr>
              <w:t>试压，</w:t>
            </w:r>
            <w:r>
              <w:rPr>
                <w:rFonts w:ascii="Times New Roman" w:cs="Times New Roman"/>
                <w:kern w:val="2"/>
                <w:sz w:val="21"/>
                <w:szCs w:val="21"/>
              </w:rPr>
              <w:t>末端处挖一沉沙池，经沉沙池沉淀后</w:t>
            </w:r>
            <w:r>
              <w:rPr>
                <w:rFonts w:ascii="Times New Roman" w:cs="Times New Roman" w:hint="eastAsia"/>
                <w:kern w:val="2"/>
                <w:sz w:val="21"/>
                <w:szCs w:val="21"/>
              </w:rPr>
              <w:t>回用，不外排</w:t>
            </w:r>
            <w:r>
              <w:rPr>
                <w:rFonts w:ascii="Times New Roman" w:cs="Times New Roman"/>
                <w:kern w:val="2"/>
                <w:sz w:val="21"/>
                <w:szCs w:val="21"/>
              </w:rPr>
              <w:t>。</w:t>
            </w:r>
          </w:p>
        </w:tc>
        <w:tc>
          <w:tcPr>
            <w:tcW w:w="1496" w:type="pct"/>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沉淀处理</w:t>
            </w:r>
            <w:r>
              <w:rPr>
                <w:rFonts w:ascii="Times New Roman" w:cs="Times New Roman" w:hint="eastAsia"/>
                <w:kern w:val="2"/>
                <w:sz w:val="21"/>
                <w:szCs w:val="21"/>
              </w:rPr>
              <w:t>后回用</w:t>
            </w:r>
            <w:r>
              <w:rPr>
                <w:rFonts w:ascii="Times New Roman" w:cs="Times New Roman"/>
                <w:kern w:val="2"/>
                <w:sz w:val="21"/>
                <w:szCs w:val="21"/>
              </w:rPr>
              <w:t>，不直接外排</w:t>
            </w:r>
          </w:p>
        </w:tc>
      </w:tr>
      <w:tr w:rsidR="00BD5820">
        <w:trPr>
          <w:trHeight w:val="20"/>
          <w:jc w:val="center"/>
        </w:trPr>
        <w:tc>
          <w:tcPr>
            <w:tcW w:w="209" w:type="pct"/>
            <w:vMerge/>
            <w:vAlign w:val="center"/>
          </w:tcPr>
          <w:p w:rsidR="00BD5820" w:rsidRDefault="00BD5820">
            <w:pPr>
              <w:widowControl/>
              <w:topLinePunct w:val="0"/>
              <w:adjustRightInd/>
              <w:spacing w:line="240" w:lineRule="auto"/>
              <w:ind w:firstLineChars="0" w:firstLine="0"/>
              <w:jc w:val="center"/>
              <w:rPr>
                <w:rFonts w:ascii="Times New Roman" w:cs="Times New Roman"/>
                <w:kern w:val="2"/>
                <w:sz w:val="21"/>
                <w:szCs w:val="21"/>
              </w:rPr>
            </w:pPr>
          </w:p>
        </w:tc>
        <w:tc>
          <w:tcPr>
            <w:tcW w:w="362" w:type="pct"/>
            <w:vMerge/>
            <w:tcBorders>
              <w:right w:val="single" w:sz="4" w:space="0" w:color="auto"/>
            </w:tcBorders>
            <w:vAlign w:val="center"/>
          </w:tcPr>
          <w:p w:rsidR="00BD5820" w:rsidRDefault="00BD5820">
            <w:pPr>
              <w:pStyle w:val="TableParagraph"/>
              <w:spacing w:line="240" w:lineRule="auto"/>
              <w:ind w:firstLineChars="0" w:firstLine="0"/>
              <w:rPr>
                <w:rFonts w:ascii="Times New Roman" w:cs="Times New Roman"/>
                <w:kern w:val="2"/>
                <w:sz w:val="21"/>
                <w:szCs w:val="21"/>
              </w:rPr>
            </w:pPr>
          </w:p>
        </w:tc>
        <w:tc>
          <w:tcPr>
            <w:tcW w:w="730" w:type="pct"/>
            <w:gridSpan w:val="2"/>
            <w:tcBorders>
              <w:left w:val="single" w:sz="4" w:space="0" w:color="auto"/>
            </w:tcBorders>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站场</w:t>
            </w:r>
            <w:r>
              <w:rPr>
                <w:rFonts w:ascii="Times New Roman" w:cs="Times New Roman"/>
                <w:kern w:val="2"/>
                <w:sz w:val="21"/>
                <w:szCs w:val="21"/>
              </w:rPr>
              <w:t>施工</w:t>
            </w:r>
            <w:r>
              <w:rPr>
                <w:rFonts w:ascii="Times New Roman" w:cs="Times New Roman" w:hint="eastAsia"/>
                <w:kern w:val="2"/>
                <w:sz w:val="21"/>
                <w:szCs w:val="21"/>
              </w:rPr>
              <w:t>生产</w:t>
            </w:r>
            <w:r>
              <w:rPr>
                <w:rFonts w:ascii="Times New Roman" w:cs="Times New Roman"/>
                <w:kern w:val="2"/>
                <w:sz w:val="21"/>
                <w:szCs w:val="21"/>
              </w:rPr>
              <w:t>废水</w:t>
            </w:r>
          </w:p>
        </w:tc>
        <w:tc>
          <w:tcPr>
            <w:tcW w:w="2202" w:type="pct"/>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站场</w:t>
            </w:r>
            <w:r>
              <w:rPr>
                <w:rFonts w:ascii="Times New Roman" w:cs="Times New Roman"/>
                <w:kern w:val="2"/>
                <w:sz w:val="21"/>
                <w:szCs w:val="21"/>
              </w:rPr>
              <w:t>施工</w:t>
            </w:r>
            <w:r>
              <w:rPr>
                <w:rFonts w:ascii="Times New Roman" w:cs="Times New Roman" w:hint="eastAsia"/>
                <w:kern w:val="2"/>
                <w:sz w:val="21"/>
                <w:szCs w:val="21"/>
              </w:rPr>
              <w:t>生产</w:t>
            </w:r>
            <w:r>
              <w:rPr>
                <w:rFonts w:ascii="Times New Roman" w:cs="Times New Roman"/>
                <w:kern w:val="2"/>
                <w:sz w:val="21"/>
                <w:szCs w:val="21"/>
              </w:rPr>
              <w:t>废水经沿沉淀池沉淀后洒水降尘使用，不直接外排。</w:t>
            </w:r>
          </w:p>
        </w:tc>
        <w:tc>
          <w:tcPr>
            <w:tcW w:w="1496" w:type="pct"/>
            <w:vAlign w:val="center"/>
          </w:tcPr>
          <w:p w:rsidR="00BD5820" w:rsidRDefault="00F64314">
            <w:pPr>
              <w:pStyle w:val="TableParagraph"/>
              <w:spacing w:line="240" w:lineRule="auto"/>
              <w:ind w:firstLineChars="0" w:firstLine="0"/>
              <w:rPr>
                <w:rFonts w:ascii="Times New Roman" w:cs="Times New Roman"/>
                <w:kern w:val="2"/>
                <w:sz w:val="21"/>
                <w:szCs w:val="21"/>
              </w:rPr>
            </w:pPr>
            <w:bookmarkStart w:id="544" w:name="OLE_LINK146"/>
            <w:r>
              <w:rPr>
                <w:rFonts w:ascii="Times New Roman" w:cs="Times New Roman"/>
                <w:kern w:val="2"/>
                <w:sz w:val="21"/>
                <w:szCs w:val="21"/>
              </w:rPr>
              <w:t>沉淀处理</w:t>
            </w:r>
            <w:r>
              <w:rPr>
                <w:rFonts w:ascii="Times New Roman" w:cs="Times New Roman" w:hint="eastAsia"/>
                <w:kern w:val="2"/>
                <w:sz w:val="21"/>
                <w:szCs w:val="21"/>
              </w:rPr>
              <w:t>后回用</w:t>
            </w:r>
            <w:r>
              <w:rPr>
                <w:rFonts w:ascii="Times New Roman" w:cs="Times New Roman"/>
                <w:kern w:val="2"/>
                <w:sz w:val="21"/>
                <w:szCs w:val="21"/>
              </w:rPr>
              <w:t>，不直接外排</w:t>
            </w:r>
            <w:bookmarkEnd w:id="544"/>
          </w:p>
        </w:tc>
      </w:tr>
      <w:tr w:rsidR="00BD5820">
        <w:trPr>
          <w:trHeight w:val="20"/>
          <w:jc w:val="center"/>
        </w:trPr>
        <w:tc>
          <w:tcPr>
            <w:tcW w:w="209" w:type="pct"/>
            <w:vMerge/>
            <w:vAlign w:val="center"/>
          </w:tcPr>
          <w:p w:rsidR="00BD5820" w:rsidRDefault="00BD5820">
            <w:pPr>
              <w:widowControl/>
              <w:topLinePunct w:val="0"/>
              <w:adjustRightInd/>
              <w:spacing w:line="240" w:lineRule="auto"/>
              <w:ind w:firstLineChars="0" w:firstLine="0"/>
              <w:jc w:val="center"/>
              <w:rPr>
                <w:rFonts w:ascii="Times New Roman" w:cs="Times New Roman"/>
                <w:kern w:val="2"/>
                <w:sz w:val="21"/>
                <w:szCs w:val="21"/>
              </w:rPr>
            </w:pPr>
          </w:p>
        </w:tc>
        <w:tc>
          <w:tcPr>
            <w:tcW w:w="362" w:type="pct"/>
            <w:vMerge/>
            <w:tcBorders>
              <w:right w:val="single" w:sz="4" w:space="0" w:color="auto"/>
            </w:tcBorders>
            <w:vAlign w:val="center"/>
          </w:tcPr>
          <w:p w:rsidR="00BD5820" w:rsidRDefault="00BD5820">
            <w:pPr>
              <w:pStyle w:val="TableParagraph"/>
              <w:spacing w:line="240" w:lineRule="auto"/>
              <w:ind w:firstLineChars="0" w:firstLine="0"/>
              <w:rPr>
                <w:rFonts w:ascii="Times New Roman" w:cs="Times New Roman"/>
                <w:kern w:val="2"/>
                <w:sz w:val="21"/>
                <w:szCs w:val="21"/>
              </w:rPr>
            </w:pPr>
          </w:p>
        </w:tc>
        <w:tc>
          <w:tcPr>
            <w:tcW w:w="730" w:type="pct"/>
            <w:gridSpan w:val="2"/>
            <w:tcBorders>
              <w:left w:val="single" w:sz="4" w:space="0" w:color="auto"/>
            </w:tcBorders>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生活污水</w:t>
            </w:r>
          </w:p>
        </w:tc>
        <w:tc>
          <w:tcPr>
            <w:tcW w:w="2202" w:type="pct"/>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施工期管线施工人员生活污水依托租用附近居民房收集处理</w:t>
            </w:r>
            <w:r>
              <w:rPr>
                <w:rFonts w:ascii="Times New Roman" w:cs="Times New Roman" w:hint="eastAsia"/>
                <w:kern w:val="2"/>
                <w:sz w:val="21"/>
                <w:szCs w:val="21"/>
              </w:rPr>
              <w:t>；站场</w:t>
            </w:r>
            <w:r>
              <w:rPr>
                <w:spacing w:val="-8"/>
                <w:sz w:val="21"/>
                <w:szCs w:val="21"/>
              </w:rPr>
              <w:t>施工</w:t>
            </w:r>
            <w:r>
              <w:rPr>
                <w:rFonts w:hint="eastAsia"/>
                <w:spacing w:val="-8"/>
                <w:sz w:val="21"/>
                <w:szCs w:val="21"/>
              </w:rPr>
              <w:t>入厕生活污水依托</w:t>
            </w:r>
            <w:r>
              <w:rPr>
                <w:spacing w:val="-8"/>
                <w:sz w:val="21"/>
                <w:szCs w:val="21"/>
              </w:rPr>
              <w:t>经</w:t>
            </w:r>
            <w:r>
              <w:rPr>
                <w:bCs/>
                <w:spacing w:val="-8"/>
                <w:sz w:val="21"/>
                <w:szCs w:val="21"/>
              </w:rPr>
              <w:t>生态环保厕所收集处理</w:t>
            </w:r>
            <w:r>
              <w:rPr>
                <w:sz w:val="21"/>
                <w:szCs w:val="21"/>
              </w:rPr>
              <w:t>后，用作周边农肥，不外排</w:t>
            </w:r>
            <w:r>
              <w:rPr>
                <w:rFonts w:hint="eastAsia"/>
                <w:sz w:val="21"/>
                <w:szCs w:val="21"/>
              </w:rPr>
              <w:t>；员工洗澡、食堂废水经单独收集后拉运至普光镇场镇污水处理厂处理</w:t>
            </w:r>
            <w:r>
              <w:rPr>
                <w:rFonts w:ascii="Times New Roman" w:cs="Times New Roman"/>
                <w:kern w:val="2"/>
                <w:sz w:val="21"/>
                <w:szCs w:val="21"/>
              </w:rPr>
              <w:t>。</w:t>
            </w:r>
          </w:p>
        </w:tc>
        <w:tc>
          <w:tcPr>
            <w:tcW w:w="1496" w:type="pct"/>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保护地表水环境</w:t>
            </w:r>
          </w:p>
        </w:tc>
      </w:tr>
      <w:tr w:rsidR="00BD5820">
        <w:trPr>
          <w:trHeight w:val="20"/>
          <w:jc w:val="center"/>
        </w:trPr>
        <w:tc>
          <w:tcPr>
            <w:tcW w:w="209" w:type="pct"/>
            <w:vMerge/>
            <w:vAlign w:val="center"/>
          </w:tcPr>
          <w:p w:rsidR="00BD5820" w:rsidRDefault="00BD5820">
            <w:pPr>
              <w:widowControl/>
              <w:topLinePunct w:val="0"/>
              <w:adjustRightInd/>
              <w:spacing w:line="240" w:lineRule="auto"/>
              <w:ind w:firstLineChars="0" w:firstLine="0"/>
              <w:jc w:val="center"/>
              <w:rPr>
                <w:rFonts w:ascii="Times New Roman" w:cs="Times New Roman"/>
                <w:kern w:val="2"/>
                <w:sz w:val="21"/>
                <w:szCs w:val="21"/>
              </w:rPr>
            </w:pPr>
          </w:p>
        </w:tc>
        <w:tc>
          <w:tcPr>
            <w:tcW w:w="1092" w:type="pct"/>
            <w:gridSpan w:val="3"/>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噪声</w:t>
            </w:r>
          </w:p>
        </w:tc>
        <w:tc>
          <w:tcPr>
            <w:tcW w:w="2202" w:type="pct"/>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管道、站场施工</w:t>
            </w:r>
            <w:r>
              <w:rPr>
                <w:rFonts w:ascii="Times New Roman" w:cs="Times New Roman"/>
                <w:kern w:val="2"/>
                <w:sz w:val="21"/>
                <w:szCs w:val="21"/>
              </w:rPr>
              <w:t>采取合理安排作业时间，合理布置施工机械等措施</w:t>
            </w:r>
            <w:r>
              <w:rPr>
                <w:rFonts w:ascii="Times New Roman" w:cs="Times New Roman" w:hint="eastAsia"/>
                <w:kern w:val="2"/>
                <w:sz w:val="21"/>
                <w:szCs w:val="21"/>
              </w:rPr>
              <w:t>，</w:t>
            </w:r>
            <w:r>
              <w:rPr>
                <w:rFonts w:ascii="Times New Roman" w:cs="Times New Roman"/>
                <w:kern w:val="2"/>
                <w:sz w:val="21"/>
                <w:szCs w:val="21"/>
              </w:rPr>
              <w:t>施工沿线居民集中点设挡声板。</w:t>
            </w:r>
          </w:p>
        </w:tc>
        <w:tc>
          <w:tcPr>
            <w:tcW w:w="1496" w:type="pct"/>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《建筑施工场界环境噪声排放标准》（</w:t>
            </w:r>
            <w:r>
              <w:rPr>
                <w:rFonts w:ascii="Times New Roman" w:cs="Times New Roman"/>
                <w:kern w:val="2"/>
                <w:sz w:val="21"/>
                <w:szCs w:val="21"/>
              </w:rPr>
              <w:t>GB12523-2011</w:t>
            </w:r>
            <w:r>
              <w:rPr>
                <w:rFonts w:ascii="Times New Roman" w:cs="Times New Roman"/>
                <w:kern w:val="2"/>
                <w:sz w:val="21"/>
                <w:szCs w:val="21"/>
              </w:rPr>
              <w:t>）中的噪声排放限值。</w:t>
            </w:r>
          </w:p>
        </w:tc>
      </w:tr>
      <w:tr w:rsidR="00BD5820">
        <w:trPr>
          <w:trHeight w:val="20"/>
          <w:jc w:val="center"/>
        </w:trPr>
        <w:tc>
          <w:tcPr>
            <w:tcW w:w="209" w:type="pct"/>
            <w:vMerge/>
            <w:vAlign w:val="center"/>
          </w:tcPr>
          <w:p w:rsidR="00BD5820" w:rsidRDefault="00BD5820">
            <w:pPr>
              <w:widowControl/>
              <w:topLinePunct w:val="0"/>
              <w:adjustRightInd/>
              <w:spacing w:line="240" w:lineRule="auto"/>
              <w:ind w:firstLineChars="0" w:firstLine="0"/>
              <w:jc w:val="center"/>
              <w:rPr>
                <w:rFonts w:ascii="Times New Roman" w:cs="Times New Roman"/>
                <w:kern w:val="2"/>
                <w:sz w:val="21"/>
                <w:szCs w:val="21"/>
              </w:rPr>
            </w:pPr>
          </w:p>
        </w:tc>
        <w:tc>
          <w:tcPr>
            <w:tcW w:w="367" w:type="pct"/>
            <w:gridSpan w:val="2"/>
            <w:tcBorders>
              <w:right w:val="single" w:sz="4" w:space="0" w:color="auto"/>
            </w:tcBorders>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固体废物</w:t>
            </w:r>
          </w:p>
        </w:tc>
        <w:tc>
          <w:tcPr>
            <w:tcW w:w="725" w:type="pct"/>
            <w:tcBorders>
              <w:left w:val="single" w:sz="4" w:space="0" w:color="auto"/>
            </w:tcBorders>
            <w:vAlign w:val="center"/>
          </w:tcPr>
          <w:p w:rsidR="00BD5820" w:rsidRDefault="00F64314">
            <w:pPr>
              <w:pStyle w:val="TableParagraph"/>
              <w:ind w:firstLineChars="0" w:firstLine="0"/>
              <w:rPr>
                <w:rFonts w:ascii="Times New Roman" w:cs="Times New Roman"/>
                <w:kern w:val="2"/>
                <w:sz w:val="21"/>
                <w:szCs w:val="21"/>
              </w:rPr>
            </w:pPr>
            <w:r>
              <w:rPr>
                <w:rFonts w:ascii="Times New Roman" w:cs="Times New Roman"/>
                <w:kern w:val="2"/>
                <w:sz w:val="21"/>
                <w:szCs w:val="21"/>
              </w:rPr>
              <w:t>生活垃圾、施工废料</w:t>
            </w:r>
          </w:p>
        </w:tc>
        <w:tc>
          <w:tcPr>
            <w:tcW w:w="2202" w:type="pct"/>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生活垃圾、施工废料</w:t>
            </w:r>
            <w:r>
              <w:rPr>
                <w:rFonts w:ascii="Times New Roman" w:cs="Times New Roman" w:hint="eastAsia"/>
                <w:kern w:val="2"/>
                <w:sz w:val="21"/>
                <w:szCs w:val="21"/>
              </w:rPr>
              <w:t>经</w:t>
            </w:r>
            <w:r>
              <w:rPr>
                <w:rFonts w:ascii="Times New Roman" w:cs="Times New Roman"/>
                <w:kern w:val="2"/>
                <w:sz w:val="21"/>
                <w:szCs w:val="21"/>
              </w:rPr>
              <w:t>当地环卫部门统一清运处理</w:t>
            </w:r>
          </w:p>
        </w:tc>
        <w:tc>
          <w:tcPr>
            <w:tcW w:w="1496" w:type="pct"/>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施工现场无遗留固废，处理率</w:t>
            </w:r>
            <w:r>
              <w:rPr>
                <w:rFonts w:ascii="Times New Roman" w:cs="Times New Roman"/>
                <w:kern w:val="2"/>
                <w:sz w:val="21"/>
                <w:szCs w:val="21"/>
              </w:rPr>
              <w:t>100%</w:t>
            </w:r>
            <w:r>
              <w:rPr>
                <w:rFonts w:ascii="Times New Roman" w:cs="Times New Roman"/>
                <w:kern w:val="2"/>
                <w:sz w:val="21"/>
                <w:szCs w:val="21"/>
              </w:rPr>
              <w:t>，无二次污染</w:t>
            </w:r>
          </w:p>
        </w:tc>
      </w:tr>
      <w:tr w:rsidR="00BD5820">
        <w:trPr>
          <w:trHeight w:val="20"/>
          <w:jc w:val="center"/>
        </w:trPr>
        <w:tc>
          <w:tcPr>
            <w:tcW w:w="209" w:type="pct"/>
            <w:vMerge/>
            <w:vAlign w:val="center"/>
          </w:tcPr>
          <w:p w:rsidR="00BD5820" w:rsidRDefault="00BD5820">
            <w:pPr>
              <w:widowControl/>
              <w:topLinePunct w:val="0"/>
              <w:adjustRightInd/>
              <w:spacing w:line="240" w:lineRule="auto"/>
              <w:ind w:firstLineChars="0" w:firstLine="0"/>
              <w:jc w:val="center"/>
              <w:rPr>
                <w:rFonts w:ascii="Times New Roman" w:cs="Times New Roman"/>
                <w:kern w:val="2"/>
                <w:sz w:val="21"/>
                <w:szCs w:val="21"/>
              </w:rPr>
            </w:pPr>
          </w:p>
        </w:tc>
        <w:tc>
          <w:tcPr>
            <w:tcW w:w="1092" w:type="pct"/>
            <w:gridSpan w:val="3"/>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生态</w:t>
            </w:r>
          </w:p>
        </w:tc>
        <w:tc>
          <w:tcPr>
            <w:tcW w:w="2202" w:type="pct"/>
            <w:vAlign w:val="center"/>
          </w:tcPr>
          <w:p w:rsidR="00BD5820" w:rsidRDefault="00F64314">
            <w:pPr>
              <w:pStyle w:val="TableParagraph"/>
              <w:spacing w:line="240" w:lineRule="auto"/>
              <w:ind w:firstLine="420"/>
              <w:rPr>
                <w:rFonts w:ascii="Times New Roman" w:cs="Times New Roman"/>
                <w:kern w:val="2"/>
                <w:sz w:val="21"/>
                <w:szCs w:val="21"/>
              </w:rPr>
            </w:pPr>
            <w:r>
              <w:rPr>
                <w:rFonts w:ascii="Times New Roman" w:cs="Times New Roman" w:hint="eastAsia"/>
                <w:kern w:val="2"/>
                <w:sz w:val="21"/>
                <w:szCs w:val="21"/>
              </w:rPr>
              <w:t>站场施工：站场、进场道路及临时堆土区分区采取相应的</w:t>
            </w:r>
            <w:r>
              <w:rPr>
                <w:rFonts w:ascii="Times New Roman" w:cs="Times New Roman"/>
                <w:kern w:val="2"/>
                <w:sz w:val="21"/>
                <w:szCs w:val="21"/>
              </w:rPr>
              <w:t>表土剥离、截排水沟、排污沟、</w:t>
            </w:r>
            <w:r>
              <w:rPr>
                <w:rFonts w:ascii="Times New Roman" w:cs="Times New Roman" w:hint="eastAsia"/>
                <w:kern w:val="2"/>
                <w:sz w:val="21"/>
                <w:szCs w:val="21"/>
              </w:rPr>
              <w:t>站场</w:t>
            </w:r>
            <w:r>
              <w:rPr>
                <w:rFonts w:ascii="Times New Roman" w:cs="Times New Roman"/>
                <w:kern w:val="2"/>
                <w:sz w:val="21"/>
                <w:szCs w:val="21"/>
              </w:rPr>
              <w:t>边沟、植草等措施，覆土、土地整治及临时措施。</w:t>
            </w:r>
          </w:p>
          <w:p w:rsidR="00BD5820" w:rsidRDefault="00F64314">
            <w:pPr>
              <w:pStyle w:val="TableParagraph"/>
              <w:spacing w:line="240" w:lineRule="auto"/>
              <w:ind w:firstLine="420"/>
              <w:rPr>
                <w:rFonts w:ascii="Times New Roman" w:cs="Times New Roman"/>
                <w:kern w:val="2"/>
                <w:sz w:val="21"/>
                <w:szCs w:val="21"/>
              </w:rPr>
            </w:pPr>
            <w:r>
              <w:rPr>
                <w:rFonts w:ascii="Times New Roman" w:cs="Times New Roman"/>
                <w:kern w:val="2"/>
                <w:sz w:val="21"/>
                <w:szCs w:val="21"/>
              </w:rPr>
              <w:t>管线施工：（</w:t>
            </w:r>
            <w:r>
              <w:rPr>
                <w:rFonts w:ascii="Times New Roman" w:cs="Times New Roman"/>
                <w:kern w:val="2"/>
                <w:sz w:val="21"/>
                <w:szCs w:val="21"/>
              </w:rPr>
              <w:t>1</w:t>
            </w:r>
            <w:r>
              <w:rPr>
                <w:rFonts w:ascii="Times New Roman" w:cs="Times New Roman"/>
                <w:kern w:val="2"/>
                <w:sz w:val="21"/>
                <w:szCs w:val="21"/>
              </w:rPr>
              <w:t>）尽量避开雨季施工；分段施工，做到随挖、随运、随铺、随压，尽量不留疏松地面，减少风蚀导致的水土流失。</w:t>
            </w:r>
          </w:p>
          <w:p w:rsidR="00BD5820" w:rsidRDefault="00F64314">
            <w:pPr>
              <w:pStyle w:val="TableParagraph"/>
              <w:spacing w:line="240" w:lineRule="auto"/>
              <w:ind w:firstLine="420"/>
              <w:rPr>
                <w:rFonts w:ascii="Times New Roman" w:cs="Times New Roman"/>
                <w:kern w:val="2"/>
                <w:sz w:val="21"/>
                <w:szCs w:val="21"/>
              </w:rPr>
            </w:pPr>
            <w:r>
              <w:rPr>
                <w:rFonts w:ascii="Times New Roman" w:cs="Times New Roman"/>
                <w:kern w:val="2"/>
                <w:sz w:val="21"/>
                <w:szCs w:val="21"/>
              </w:rPr>
              <w:t>（</w:t>
            </w:r>
            <w:r>
              <w:rPr>
                <w:rFonts w:ascii="Times New Roman" w:cs="Times New Roman"/>
                <w:kern w:val="2"/>
                <w:sz w:val="21"/>
                <w:szCs w:val="21"/>
              </w:rPr>
              <w:t>2</w:t>
            </w:r>
            <w:r>
              <w:rPr>
                <w:rFonts w:ascii="Times New Roman" w:cs="Times New Roman"/>
                <w:kern w:val="2"/>
                <w:sz w:val="21"/>
                <w:szCs w:val="21"/>
              </w:rPr>
              <w:t>）划定施工作业带范围和路线，不随意扩大。并严格控制机械和车辆的作业范围，尽可能减少对土壤和农作物的破坏以及由此引发的水土流失。</w:t>
            </w:r>
          </w:p>
          <w:p w:rsidR="00BD5820" w:rsidRDefault="00F64314">
            <w:pPr>
              <w:pStyle w:val="TableParagraph"/>
              <w:spacing w:line="240" w:lineRule="auto"/>
              <w:ind w:firstLine="420"/>
              <w:rPr>
                <w:rFonts w:ascii="Times New Roman" w:cs="Times New Roman"/>
                <w:kern w:val="2"/>
                <w:sz w:val="21"/>
                <w:szCs w:val="21"/>
              </w:rPr>
            </w:pPr>
            <w:r>
              <w:rPr>
                <w:rFonts w:ascii="Times New Roman" w:cs="Times New Roman"/>
                <w:kern w:val="2"/>
                <w:sz w:val="21"/>
                <w:szCs w:val="21"/>
              </w:rPr>
              <w:t>（</w:t>
            </w:r>
            <w:r>
              <w:rPr>
                <w:rFonts w:ascii="Times New Roman" w:cs="Times New Roman"/>
                <w:kern w:val="2"/>
                <w:sz w:val="21"/>
                <w:szCs w:val="21"/>
              </w:rPr>
              <w:t>3</w:t>
            </w:r>
            <w:r>
              <w:rPr>
                <w:rFonts w:ascii="Times New Roman" w:cs="Times New Roman"/>
                <w:kern w:val="2"/>
                <w:sz w:val="21"/>
                <w:szCs w:val="21"/>
              </w:rPr>
              <w:t>）提高工程施工效率，缩短施工工期。</w:t>
            </w:r>
          </w:p>
          <w:p w:rsidR="00BD5820" w:rsidRDefault="00F64314">
            <w:pPr>
              <w:pStyle w:val="TableParagraph"/>
              <w:spacing w:line="240" w:lineRule="auto"/>
              <w:ind w:firstLine="420"/>
              <w:rPr>
                <w:rFonts w:ascii="Times New Roman" w:cs="Times New Roman"/>
                <w:kern w:val="2"/>
                <w:sz w:val="21"/>
                <w:szCs w:val="21"/>
              </w:rPr>
            </w:pPr>
            <w:r>
              <w:rPr>
                <w:rFonts w:ascii="Times New Roman" w:cs="Times New Roman"/>
                <w:kern w:val="2"/>
                <w:sz w:val="21"/>
                <w:szCs w:val="21"/>
              </w:rPr>
              <w:t>（</w:t>
            </w:r>
            <w:r>
              <w:rPr>
                <w:rFonts w:ascii="Times New Roman" w:cs="Times New Roman"/>
                <w:kern w:val="2"/>
                <w:sz w:val="21"/>
                <w:szCs w:val="21"/>
              </w:rPr>
              <w:t>4</w:t>
            </w:r>
            <w:r>
              <w:rPr>
                <w:rFonts w:ascii="Times New Roman" w:cs="Times New Roman"/>
                <w:kern w:val="2"/>
                <w:sz w:val="21"/>
                <w:szCs w:val="21"/>
              </w:rPr>
              <w:t>）施工时将禁止材料的随意堆放，划定统一的堆料场，防止对植物破坏范围扩大。</w:t>
            </w:r>
          </w:p>
          <w:p w:rsidR="00BD5820" w:rsidRDefault="00F64314">
            <w:pPr>
              <w:pStyle w:val="TableParagraph"/>
              <w:spacing w:line="240" w:lineRule="auto"/>
              <w:ind w:firstLine="420"/>
              <w:rPr>
                <w:rFonts w:ascii="Times New Roman" w:cs="Times New Roman"/>
                <w:kern w:val="2"/>
                <w:sz w:val="21"/>
                <w:szCs w:val="21"/>
              </w:rPr>
            </w:pPr>
            <w:r>
              <w:rPr>
                <w:rFonts w:ascii="Times New Roman" w:cs="Times New Roman"/>
                <w:kern w:val="2"/>
                <w:sz w:val="21"/>
                <w:szCs w:val="21"/>
              </w:rPr>
              <w:t>（</w:t>
            </w:r>
            <w:r>
              <w:rPr>
                <w:rFonts w:ascii="Times New Roman" w:cs="Times New Roman" w:hint="eastAsia"/>
                <w:kern w:val="2"/>
                <w:sz w:val="21"/>
                <w:szCs w:val="21"/>
              </w:rPr>
              <w:t>5</w:t>
            </w:r>
            <w:r>
              <w:rPr>
                <w:rFonts w:ascii="Times New Roman" w:cs="Times New Roman"/>
                <w:kern w:val="2"/>
                <w:sz w:val="21"/>
                <w:szCs w:val="21"/>
              </w:rPr>
              <w:t>）施工破坏的植被地带，施工结束后，及时恢复植被，减少水土流失。对于穿越的林地，管线敷设后，土方回填不仅遵循设计规范要求，还将遵循下石上土、下粗上细、肥沃的在上贫瘠的在下的原则。回填后管线两侧</w:t>
            </w:r>
            <w:r>
              <w:rPr>
                <w:rFonts w:ascii="Times New Roman" w:cs="Times New Roman"/>
                <w:kern w:val="2"/>
                <w:sz w:val="21"/>
                <w:szCs w:val="21"/>
              </w:rPr>
              <w:t>5m</w:t>
            </w:r>
            <w:r>
              <w:rPr>
                <w:rFonts w:ascii="Times New Roman" w:cs="Times New Roman"/>
                <w:kern w:val="2"/>
                <w:sz w:val="21"/>
                <w:szCs w:val="21"/>
              </w:rPr>
              <w:t>范围内栽种根系不发达、生长性强的植被。对于耕地，施工结束后，遵循上述相同的原则，进行复耕。</w:t>
            </w:r>
          </w:p>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w:t>
            </w:r>
            <w:r>
              <w:rPr>
                <w:rFonts w:ascii="Times New Roman" w:cs="Times New Roman" w:hint="eastAsia"/>
                <w:kern w:val="2"/>
                <w:sz w:val="21"/>
                <w:szCs w:val="21"/>
              </w:rPr>
              <w:t>6</w:t>
            </w:r>
            <w:r>
              <w:rPr>
                <w:rFonts w:ascii="Times New Roman" w:cs="Times New Roman"/>
                <w:kern w:val="2"/>
                <w:sz w:val="21"/>
                <w:szCs w:val="21"/>
              </w:rPr>
              <w:t>）水土保持和水工保护措施相结合，工程措施和生物措施相互结合，分区进行布局。</w:t>
            </w:r>
          </w:p>
        </w:tc>
        <w:tc>
          <w:tcPr>
            <w:tcW w:w="1496" w:type="pct"/>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满足环保要求</w:t>
            </w:r>
          </w:p>
        </w:tc>
      </w:tr>
      <w:tr w:rsidR="00BD5820">
        <w:trPr>
          <w:trHeight w:val="20"/>
          <w:jc w:val="center"/>
        </w:trPr>
        <w:tc>
          <w:tcPr>
            <w:tcW w:w="209" w:type="pct"/>
            <w:vMerge/>
            <w:vAlign w:val="center"/>
          </w:tcPr>
          <w:p w:rsidR="00BD5820" w:rsidRDefault="00BD5820">
            <w:pPr>
              <w:widowControl/>
              <w:topLinePunct w:val="0"/>
              <w:adjustRightInd/>
              <w:spacing w:line="240" w:lineRule="auto"/>
              <w:ind w:firstLineChars="0" w:firstLine="0"/>
              <w:jc w:val="center"/>
              <w:rPr>
                <w:rFonts w:ascii="Times New Roman" w:cs="Times New Roman"/>
                <w:kern w:val="2"/>
                <w:sz w:val="21"/>
                <w:szCs w:val="21"/>
              </w:rPr>
            </w:pPr>
          </w:p>
        </w:tc>
        <w:tc>
          <w:tcPr>
            <w:tcW w:w="1092" w:type="pct"/>
            <w:gridSpan w:val="3"/>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环保培训、规章建立及实施</w:t>
            </w:r>
          </w:p>
        </w:tc>
        <w:tc>
          <w:tcPr>
            <w:tcW w:w="2202" w:type="pct"/>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环境敏感区、村庄施工段设置环保警示牌，对施工队伍普及环保知识。</w:t>
            </w:r>
          </w:p>
        </w:tc>
        <w:tc>
          <w:tcPr>
            <w:tcW w:w="1496" w:type="pct"/>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环保培训、规章建立及实施</w:t>
            </w:r>
          </w:p>
        </w:tc>
      </w:tr>
      <w:tr w:rsidR="00BD5820">
        <w:trPr>
          <w:trHeight w:val="265"/>
          <w:jc w:val="center"/>
        </w:trPr>
        <w:tc>
          <w:tcPr>
            <w:tcW w:w="209" w:type="pct"/>
            <w:vMerge w:val="restart"/>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运行期</w:t>
            </w:r>
          </w:p>
        </w:tc>
        <w:tc>
          <w:tcPr>
            <w:tcW w:w="362" w:type="pct"/>
            <w:tcBorders>
              <w:right w:val="single" w:sz="4" w:space="0" w:color="auto"/>
            </w:tcBorders>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废气治理</w:t>
            </w:r>
          </w:p>
        </w:tc>
        <w:tc>
          <w:tcPr>
            <w:tcW w:w="730" w:type="pct"/>
            <w:gridSpan w:val="2"/>
            <w:tcBorders>
              <w:left w:val="single" w:sz="4" w:space="0" w:color="auto"/>
              <w:bottom w:val="single" w:sz="4" w:space="0" w:color="auto"/>
            </w:tcBorders>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非正常工况放空废气</w:t>
            </w:r>
          </w:p>
        </w:tc>
        <w:tc>
          <w:tcPr>
            <w:tcW w:w="2202" w:type="pct"/>
            <w:tcBorders>
              <w:bottom w:val="single" w:sz="4" w:space="0" w:color="auto"/>
            </w:tcBorders>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事故或检修放空</w:t>
            </w:r>
            <w:r>
              <w:rPr>
                <w:rFonts w:ascii="Times New Roman" w:cs="Times New Roman"/>
                <w:kern w:val="2"/>
                <w:sz w:val="21"/>
                <w:szCs w:val="21"/>
              </w:rPr>
              <w:t>排放的天然气</w:t>
            </w:r>
            <w:r w:rsidR="005A638B" w:rsidRPr="005A638B">
              <w:rPr>
                <w:rFonts w:ascii="Times New Roman" w:cs="Times New Roman"/>
                <w:color w:val="FF0000"/>
                <w:kern w:val="2"/>
                <w:sz w:val="21"/>
                <w:szCs w:val="21"/>
              </w:rPr>
              <w:t>分别</w:t>
            </w:r>
            <w:r>
              <w:rPr>
                <w:rFonts w:ascii="Times New Roman" w:cs="Times New Roman"/>
                <w:kern w:val="2"/>
                <w:sz w:val="21"/>
                <w:szCs w:val="21"/>
              </w:rPr>
              <w:t>经</w:t>
            </w:r>
            <w:r>
              <w:rPr>
                <w:rFonts w:ascii="Times New Roman" w:cs="Times New Roman" w:hint="eastAsia"/>
                <w:kern w:val="2"/>
                <w:sz w:val="21"/>
                <w:szCs w:val="21"/>
              </w:rPr>
              <w:t>P102</w:t>
            </w:r>
            <w:r>
              <w:rPr>
                <w:rFonts w:ascii="Times New Roman" w:cs="Times New Roman" w:hint="eastAsia"/>
                <w:kern w:val="2"/>
                <w:sz w:val="21"/>
                <w:szCs w:val="21"/>
              </w:rPr>
              <w:t>集气站</w:t>
            </w:r>
            <w:r w:rsidR="005A638B" w:rsidRPr="005A638B">
              <w:rPr>
                <w:rFonts w:ascii="Times New Roman" w:cs="Times New Roman"/>
                <w:color w:val="FF0000"/>
                <w:kern w:val="2"/>
                <w:sz w:val="21"/>
                <w:szCs w:val="21"/>
              </w:rPr>
              <w:t>和普光净化厂</w:t>
            </w:r>
            <w:r>
              <w:rPr>
                <w:rFonts w:ascii="Times New Roman" w:cs="Times New Roman"/>
                <w:kern w:val="2"/>
                <w:sz w:val="21"/>
                <w:szCs w:val="21"/>
              </w:rPr>
              <w:t>放空火炬</w:t>
            </w:r>
            <w:r>
              <w:rPr>
                <w:rFonts w:ascii="Times New Roman" w:cs="Times New Roman" w:hint="eastAsia"/>
                <w:kern w:val="2"/>
                <w:sz w:val="21"/>
                <w:szCs w:val="21"/>
              </w:rPr>
              <w:t>（</w:t>
            </w:r>
            <w:r>
              <w:rPr>
                <w:rFonts w:ascii="Times New Roman" w:cs="Times New Roman" w:hint="eastAsia"/>
                <w:kern w:val="2"/>
                <w:sz w:val="21"/>
                <w:szCs w:val="21"/>
              </w:rPr>
              <w:t>85m</w:t>
            </w:r>
            <w:r>
              <w:rPr>
                <w:rFonts w:ascii="Times New Roman" w:cs="Times New Roman" w:hint="eastAsia"/>
                <w:kern w:val="2"/>
                <w:sz w:val="21"/>
                <w:szCs w:val="21"/>
              </w:rPr>
              <w:t>高）</w:t>
            </w:r>
            <w:r>
              <w:rPr>
                <w:rFonts w:ascii="Times New Roman" w:cs="Times New Roman"/>
                <w:kern w:val="2"/>
                <w:sz w:val="21"/>
                <w:szCs w:val="21"/>
              </w:rPr>
              <w:t>燃烧后排放。</w:t>
            </w:r>
          </w:p>
        </w:tc>
        <w:tc>
          <w:tcPr>
            <w:tcW w:w="1496" w:type="pct"/>
            <w:tcBorders>
              <w:bottom w:val="single" w:sz="4" w:space="0" w:color="auto"/>
            </w:tcBorders>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满足环保要求</w:t>
            </w:r>
          </w:p>
        </w:tc>
      </w:tr>
      <w:tr w:rsidR="00BD5820">
        <w:trPr>
          <w:trHeight w:val="267"/>
          <w:jc w:val="center"/>
        </w:trPr>
        <w:tc>
          <w:tcPr>
            <w:tcW w:w="209" w:type="pct"/>
            <w:vMerge/>
            <w:vAlign w:val="center"/>
          </w:tcPr>
          <w:p w:rsidR="00BD5820" w:rsidRDefault="00BD5820">
            <w:pPr>
              <w:widowControl/>
              <w:topLinePunct w:val="0"/>
              <w:adjustRightInd/>
              <w:spacing w:line="240" w:lineRule="auto"/>
              <w:ind w:firstLineChars="0" w:firstLine="0"/>
              <w:jc w:val="center"/>
              <w:rPr>
                <w:rFonts w:ascii="Times New Roman" w:cs="Times New Roman"/>
                <w:kern w:val="2"/>
                <w:sz w:val="21"/>
                <w:szCs w:val="21"/>
              </w:rPr>
            </w:pPr>
          </w:p>
        </w:tc>
        <w:tc>
          <w:tcPr>
            <w:tcW w:w="362" w:type="pct"/>
            <w:tcBorders>
              <w:top w:val="single" w:sz="4" w:space="0" w:color="auto"/>
              <w:right w:val="single" w:sz="4" w:space="0" w:color="auto"/>
            </w:tcBorders>
            <w:vAlign w:val="center"/>
          </w:tcPr>
          <w:p w:rsidR="00BD5820" w:rsidRDefault="00F64314">
            <w:pPr>
              <w:pStyle w:val="TableParagraph"/>
              <w:ind w:firstLineChars="0" w:firstLine="0"/>
              <w:rPr>
                <w:rFonts w:ascii="Times New Roman" w:cs="Times New Roman"/>
                <w:kern w:val="2"/>
                <w:sz w:val="21"/>
                <w:szCs w:val="21"/>
              </w:rPr>
            </w:pPr>
            <w:r>
              <w:rPr>
                <w:rFonts w:ascii="Times New Roman" w:cs="Times New Roman" w:hint="eastAsia"/>
                <w:kern w:val="2"/>
                <w:sz w:val="21"/>
                <w:szCs w:val="21"/>
              </w:rPr>
              <w:t>废水治理</w:t>
            </w:r>
          </w:p>
        </w:tc>
        <w:tc>
          <w:tcPr>
            <w:tcW w:w="730" w:type="pct"/>
            <w:gridSpan w:val="2"/>
            <w:tcBorders>
              <w:top w:val="single" w:sz="4" w:space="0" w:color="auto"/>
              <w:left w:val="single" w:sz="4" w:space="0" w:color="auto"/>
            </w:tcBorders>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气田水</w:t>
            </w:r>
          </w:p>
        </w:tc>
        <w:tc>
          <w:tcPr>
            <w:tcW w:w="2202" w:type="pct"/>
            <w:tcBorders>
              <w:top w:val="single" w:sz="4" w:space="0" w:color="auto"/>
            </w:tcBorders>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本项目运营期产生的气田水分别经普光</w:t>
            </w:r>
            <w:r>
              <w:rPr>
                <w:rFonts w:ascii="Times New Roman" w:cs="Times New Roman" w:hint="eastAsia"/>
                <w:kern w:val="2"/>
                <w:sz w:val="21"/>
                <w:szCs w:val="21"/>
              </w:rPr>
              <w:t>3#</w:t>
            </w:r>
            <w:r>
              <w:rPr>
                <w:rFonts w:ascii="Times New Roman" w:cs="Times New Roman" w:hint="eastAsia"/>
                <w:kern w:val="2"/>
                <w:sz w:val="21"/>
                <w:szCs w:val="21"/>
              </w:rPr>
              <w:t>水处理站、</w:t>
            </w:r>
            <w:r>
              <w:rPr>
                <w:rFonts w:ascii="Times New Roman" w:cs="Times New Roman" w:hint="eastAsia"/>
                <w:kern w:val="2"/>
                <w:sz w:val="21"/>
                <w:szCs w:val="21"/>
              </w:rPr>
              <w:t>1#</w:t>
            </w:r>
            <w:r>
              <w:rPr>
                <w:rFonts w:ascii="Times New Roman" w:cs="Times New Roman" w:hint="eastAsia"/>
                <w:kern w:val="2"/>
                <w:sz w:val="21"/>
                <w:szCs w:val="21"/>
              </w:rPr>
              <w:t>污水处理站集中处理，水处理采用新建预处理流程，满足压裂液配制要求，剩余采出水</w:t>
            </w:r>
            <w:r>
              <w:rPr>
                <w:rFonts w:ascii="Times New Roman" w:cs="Times New Roman" w:hint="eastAsia"/>
                <w:kern w:val="2"/>
                <w:sz w:val="21"/>
                <w:szCs w:val="21"/>
              </w:rPr>
              <w:lastRenderedPageBreak/>
              <w:t>然后进入深度水处理站处理后回用，不外排</w:t>
            </w:r>
            <w:r>
              <w:rPr>
                <w:rFonts w:ascii="Times New Roman" w:cs="Times New Roman"/>
                <w:kern w:val="2"/>
                <w:sz w:val="21"/>
                <w:szCs w:val="21"/>
              </w:rPr>
              <w:t>。</w:t>
            </w:r>
          </w:p>
        </w:tc>
        <w:tc>
          <w:tcPr>
            <w:tcW w:w="1496" w:type="pct"/>
            <w:tcBorders>
              <w:top w:val="single" w:sz="4" w:space="0" w:color="auto"/>
            </w:tcBorders>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lastRenderedPageBreak/>
              <w:t>满足环保要求</w:t>
            </w:r>
          </w:p>
        </w:tc>
      </w:tr>
      <w:tr w:rsidR="00BD5820">
        <w:trPr>
          <w:trHeight w:val="90"/>
          <w:jc w:val="center"/>
        </w:trPr>
        <w:tc>
          <w:tcPr>
            <w:tcW w:w="209" w:type="pct"/>
            <w:vMerge/>
            <w:vAlign w:val="center"/>
          </w:tcPr>
          <w:p w:rsidR="00BD5820" w:rsidRDefault="00BD5820">
            <w:pPr>
              <w:widowControl/>
              <w:topLinePunct w:val="0"/>
              <w:adjustRightInd/>
              <w:spacing w:line="240" w:lineRule="auto"/>
              <w:ind w:firstLineChars="0" w:firstLine="0"/>
              <w:jc w:val="center"/>
              <w:rPr>
                <w:rFonts w:ascii="Times New Roman" w:cs="Times New Roman"/>
                <w:kern w:val="2"/>
                <w:sz w:val="21"/>
                <w:szCs w:val="21"/>
              </w:rPr>
            </w:pPr>
          </w:p>
        </w:tc>
        <w:tc>
          <w:tcPr>
            <w:tcW w:w="362" w:type="pct"/>
            <w:tcBorders>
              <w:top w:val="single" w:sz="4" w:space="0" w:color="auto"/>
              <w:right w:val="single" w:sz="4" w:space="0" w:color="auto"/>
            </w:tcBorders>
            <w:vAlign w:val="center"/>
          </w:tcPr>
          <w:p w:rsidR="00BD5820" w:rsidRDefault="00F64314">
            <w:pPr>
              <w:pStyle w:val="TableParagraph"/>
              <w:ind w:firstLineChars="0" w:firstLine="0"/>
              <w:rPr>
                <w:rFonts w:ascii="Times New Roman" w:cs="Times New Roman"/>
                <w:kern w:val="2"/>
                <w:sz w:val="21"/>
                <w:szCs w:val="21"/>
              </w:rPr>
            </w:pPr>
            <w:r>
              <w:rPr>
                <w:rFonts w:ascii="Times New Roman" w:cs="Times New Roman" w:hint="eastAsia"/>
                <w:kern w:val="2"/>
                <w:sz w:val="21"/>
                <w:szCs w:val="21"/>
              </w:rPr>
              <w:t>固体废物</w:t>
            </w:r>
          </w:p>
        </w:tc>
        <w:tc>
          <w:tcPr>
            <w:tcW w:w="730" w:type="pct"/>
            <w:gridSpan w:val="2"/>
            <w:tcBorders>
              <w:top w:val="single" w:sz="4" w:space="0" w:color="auto"/>
              <w:left w:val="single" w:sz="4" w:space="0" w:color="auto"/>
            </w:tcBorders>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废油、污泥</w:t>
            </w:r>
          </w:p>
        </w:tc>
        <w:tc>
          <w:tcPr>
            <w:tcW w:w="2202" w:type="pct"/>
            <w:tcBorders>
              <w:top w:val="single" w:sz="4" w:space="0" w:color="auto"/>
            </w:tcBorders>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废</w:t>
            </w:r>
            <w:r>
              <w:rPr>
                <w:rFonts w:ascii="Times New Roman" w:cs="Times New Roman" w:hint="eastAsia"/>
                <w:kern w:val="2"/>
                <w:sz w:val="21"/>
                <w:szCs w:val="21"/>
              </w:rPr>
              <w:t>润滑油、</w:t>
            </w:r>
            <w:r>
              <w:rPr>
                <w:rFonts w:ascii="Times New Roman" w:cs="Times New Roman"/>
                <w:kern w:val="2"/>
                <w:sz w:val="21"/>
                <w:szCs w:val="21"/>
              </w:rPr>
              <w:t>污泥</w:t>
            </w:r>
            <w:r>
              <w:rPr>
                <w:rFonts w:ascii="Times New Roman" w:cs="Times New Roman" w:hint="eastAsia"/>
                <w:kern w:val="2"/>
                <w:sz w:val="21"/>
                <w:szCs w:val="21"/>
              </w:rPr>
              <w:t>暂存于危废暂存间，面积约</w:t>
            </w:r>
            <w:r>
              <w:rPr>
                <w:rFonts w:ascii="Times New Roman" w:cs="Times New Roman" w:hint="eastAsia"/>
                <w:kern w:val="2"/>
                <w:sz w:val="21"/>
                <w:szCs w:val="21"/>
              </w:rPr>
              <w:t>5m</w:t>
            </w:r>
            <w:r>
              <w:rPr>
                <w:rFonts w:ascii="Times New Roman" w:cs="Times New Roman" w:hint="eastAsia"/>
                <w:kern w:val="2"/>
                <w:sz w:val="21"/>
                <w:szCs w:val="21"/>
                <w:vertAlign w:val="superscript"/>
              </w:rPr>
              <w:t>2</w:t>
            </w:r>
            <w:r>
              <w:rPr>
                <w:rFonts w:ascii="Times New Roman" w:cs="Times New Roman" w:hint="eastAsia"/>
                <w:kern w:val="2"/>
                <w:sz w:val="21"/>
                <w:szCs w:val="21"/>
              </w:rPr>
              <w:t>，暂存间地面采取四防措施（防风、防雨、防晒、防渗漏），并及时清运至企业净化厂危险废物贮存仓库（与普光气田</w:t>
            </w:r>
            <w:r>
              <w:rPr>
                <w:rFonts w:ascii="Times New Roman" w:cs="Times New Roman" w:hint="eastAsia"/>
                <w:kern w:val="2"/>
                <w:sz w:val="21"/>
                <w:szCs w:val="21"/>
              </w:rPr>
              <w:t>1#</w:t>
            </w:r>
            <w:r>
              <w:rPr>
                <w:rFonts w:ascii="Times New Roman" w:cs="Times New Roman" w:hint="eastAsia"/>
                <w:kern w:val="2"/>
                <w:sz w:val="21"/>
                <w:szCs w:val="21"/>
              </w:rPr>
              <w:t>增压站、普光气田</w:t>
            </w:r>
            <w:r>
              <w:rPr>
                <w:rFonts w:ascii="Times New Roman" w:cs="Times New Roman" w:hint="eastAsia"/>
                <w:kern w:val="2"/>
                <w:sz w:val="21"/>
                <w:szCs w:val="21"/>
              </w:rPr>
              <w:t>2#</w:t>
            </w:r>
            <w:r>
              <w:rPr>
                <w:rFonts w:ascii="Times New Roman" w:cs="Times New Roman" w:hint="eastAsia"/>
                <w:kern w:val="2"/>
                <w:sz w:val="21"/>
                <w:szCs w:val="21"/>
              </w:rPr>
              <w:t>增压站运距分别为</w:t>
            </w:r>
            <w:r>
              <w:rPr>
                <w:rFonts w:ascii="Times New Roman" w:cs="Times New Roman" w:hint="eastAsia"/>
                <w:kern w:val="2"/>
                <w:sz w:val="21"/>
                <w:szCs w:val="21"/>
              </w:rPr>
              <w:t>12km</w:t>
            </w:r>
            <w:r>
              <w:rPr>
                <w:rFonts w:ascii="Times New Roman" w:cs="Times New Roman" w:hint="eastAsia"/>
                <w:kern w:val="2"/>
                <w:sz w:val="21"/>
                <w:szCs w:val="21"/>
              </w:rPr>
              <w:t>和</w:t>
            </w:r>
            <w:r>
              <w:rPr>
                <w:rFonts w:ascii="Times New Roman" w:cs="Times New Roman" w:hint="eastAsia"/>
                <w:kern w:val="2"/>
                <w:sz w:val="21"/>
                <w:szCs w:val="21"/>
              </w:rPr>
              <w:t>1.6km</w:t>
            </w:r>
            <w:r>
              <w:rPr>
                <w:rFonts w:ascii="Times New Roman" w:cs="Times New Roman" w:hint="eastAsia"/>
                <w:kern w:val="2"/>
                <w:sz w:val="21"/>
                <w:szCs w:val="21"/>
              </w:rPr>
              <w:t>），定期委托有资质单位进行处理。</w:t>
            </w:r>
          </w:p>
        </w:tc>
        <w:tc>
          <w:tcPr>
            <w:tcW w:w="1496" w:type="pct"/>
            <w:tcBorders>
              <w:top w:val="single" w:sz="4" w:space="0" w:color="auto"/>
            </w:tcBorders>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满足环保要求</w:t>
            </w:r>
          </w:p>
        </w:tc>
      </w:tr>
      <w:tr w:rsidR="00BD5820">
        <w:trPr>
          <w:trHeight w:val="267"/>
          <w:jc w:val="center"/>
        </w:trPr>
        <w:tc>
          <w:tcPr>
            <w:tcW w:w="209" w:type="pct"/>
            <w:vMerge/>
            <w:vAlign w:val="center"/>
          </w:tcPr>
          <w:p w:rsidR="00BD5820" w:rsidRDefault="00BD5820">
            <w:pPr>
              <w:widowControl/>
              <w:topLinePunct w:val="0"/>
              <w:adjustRightInd/>
              <w:spacing w:line="240" w:lineRule="auto"/>
              <w:ind w:firstLineChars="0" w:firstLine="0"/>
              <w:jc w:val="center"/>
              <w:rPr>
                <w:rFonts w:ascii="Times New Roman" w:cs="Times New Roman"/>
                <w:kern w:val="2"/>
                <w:sz w:val="21"/>
                <w:szCs w:val="21"/>
              </w:rPr>
            </w:pPr>
          </w:p>
        </w:tc>
        <w:tc>
          <w:tcPr>
            <w:tcW w:w="1092" w:type="pct"/>
            <w:gridSpan w:val="3"/>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地下水</w:t>
            </w:r>
          </w:p>
        </w:tc>
        <w:tc>
          <w:tcPr>
            <w:tcW w:w="2202" w:type="pct"/>
            <w:tcBorders>
              <w:top w:val="single" w:sz="4" w:space="0" w:color="auto"/>
            </w:tcBorders>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管道采用外防腐层和强制电流阴极保护联合方式；污水罐：四周设置防渗围堰。</w:t>
            </w:r>
          </w:p>
        </w:tc>
        <w:tc>
          <w:tcPr>
            <w:tcW w:w="1496" w:type="pct"/>
            <w:tcBorders>
              <w:top w:val="single" w:sz="4" w:space="0" w:color="auto"/>
            </w:tcBorders>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满足环保要求</w:t>
            </w:r>
          </w:p>
        </w:tc>
      </w:tr>
      <w:tr w:rsidR="00BD5820">
        <w:trPr>
          <w:trHeight w:val="20"/>
          <w:jc w:val="center"/>
        </w:trPr>
        <w:tc>
          <w:tcPr>
            <w:tcW w:w="209" w:type="pct"/>
            <w:vMerge/>
            <w:vAlign w:val="center"/>
          </w:tcPr>
          <w:p w:rsidR="00BD5820" w:rsidRDefault="00BD5820">
            <w:pPr>
              <w:widowControl/>
              <w:topLinePunct w:val="0"/>
              <w:adjustRightInd/>
              <w:spacing w:line="240" w:lineRule="auto"/>
              <w:ind w:firstLineChars="0" w:firstLine="0"/>
              <w:jc w:val="center"/>
              <w:rPr>
                <w:rFonts w:ascii="Times New Roman" w:cs="Times New Roman"/>
                <w:kern w:val="2"/>
                <w:sz w:val="21"/>
                <w:szCs w:val="21"/>
              </w:rPr>
            </w:pPr>
          </w:p>
        </w:tc>
        <w:tc>
          <w:tcPr>
            <w:tcW w:w="1092" w:type="pct"/>
            <w:gridSpan w:val="3"/>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噪声治理</w:t>
            </w:r>
          </w:p>
        </w:tc>
        <w:tc>
          <w:tcPr>
            <w:tcW w:w="2202" w:type="pct"/>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低噪声设备；管线地埋敷设。</w:t>
            </w:r>
          </w:p>
        </w:tc>
        <w:tc>
          <w:tcPr>
            <w:tcW w:w="1496" w:type="pct"/>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满足区域《工业企业厂界噪声排放标准》（</w:t>
            </w:r>
            <w:r>
              <w:rPr>
                <w:rFonts w:ascii="Times New Roman" w:cs="Times New Roman"/>
                <w:kern w:val="2"/>
                <w:sz w:val="21"/>
                <w:szCs w:val="21"/>
              </w:rPr>
              <w:t>GB12348-2008</w:t>
            </w:r>
            <w:r>
              <w:rPr>
                <w:rFonts w:ascii="Times New Roman" w:cs="Times New Roman"/>
                <w:kern w:val="2"/>
                <w:sz w:val="21"/>
                <w:szCs w:val="21"/>
              </w:rPr>
              <w:t>）</w:t>
            </w:r>
            <w:r>
              <w:rPr>
                <w:rFonts w:ascii="Times New Roman" w:cs="Times New Roman"/>
                <w:kern w:val="2"/>
                <w:sz w:val="21"/>
                <w:szCs w:val="21"/>
              </w:rPr>
              <w:t>2</w:t>
            </w:r>
            <w:r>
              <w:rPr>
                <w:rFonts w:ascii="Times New Roman" w:cs="Times New Roman"/>
                <w:kern w:val="2"/>
                <w:sz w:val="21"/>
                <w:szCs w:val="21"/>
              </w:rPr>
              <w:t>类标准限值</w:t>
            </w:r>
          </w:p>
        </w:tc>
      </w:tr>
      <w:tr w:rsidR="00BD5820">
        <w:trPr>
          <w:trHeight w:val="914"/>
          <w:jc w:val="center"/>
        </w:trPr>
        <w:tc>
          <w:tcPr>
            <w:tcW w:w="209" w:type="pct"/>
            <w:vMerge/>
            <w:vAlign w:val="center"/>
          </w:tcPr>
          <w:p w:rsidR="00BD5820" w:rsidRDefault="00BD5820">
            <w:pPr>
              <w:widowControl/>
              <w:topLinePunct w:val="0"/>
              <w:adjustRightInd/>
              <w:spacing w:line="240" w:lineRule="auto"/>
              <w:ind w:firstLineChars="0" w:firstLine="0"/>
              <w:jc w:val="center"/>
              <w:rPr>
                <w:rFonts w:ascii="Times New Roman" w:cs="Times New Roman"/>
                <w:kern w:val="2"/>
                <w:sz w:val="21"/>
                <w:szCs w:val="21"/>
              </w:rPr>
            </w:pPr>
          </w:p>
        </w:tc>
        <w:tc>
          <w:tcPr>
            <w:tcW w:w="1092" w:type="pct"/>
            <w:gridSpan w:val="3"/>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环境风险</w:t>
            </w:r>
          </w:p>
        </w:tc>
        <w:tc>
          <w:tcPr>
            <w:tcW w:w="2202" w:type="pct"/>
            <w:vAlign w:val="center"/>
          </w:tcPr>
          <w:p w:rsidR="00BD5820" w:rsidRDefault="00F64314">
            <w:pPr>
              <w:pStyle w:val="TableParagraph"/>
              <w:spacing w:line="240" w:lineRule="auto"/>
              <w:ind w:firstLine="420"/>
              <w:rPr>
                <w:rFonts w:ascii="Times New Roman" w:cs="Times New Roman"/>
                <w:kern w:val="2"/>
                <w:sz w:val="21"/>
                <w:szCs w:val="21"/>
              </w:rPr>
            </w:pPr>
            <w:r>
              <w:rPr>
                <w:rFonts w:ascii="Times New Roman" w:cs="Times New Roman"/>
                <w:kern w:val="2"/>
                <w:sz w:val="21"/>
                <w:szCs w:val="21"/>
              </w:rPr>
              <w:t>事故放空：事故状态下管线及站场内天然气通过新建放</w:t>
            </w:r>
            <w:r>
              <w:rPr>
                <w:rFonts w:ascii="Times New Roman" w:cs="Times New Roman" w:hint="eastAsia"/>
                <w:kern w:val="2"/>
                <w:sz w:val="21"/>
                <w:szCs w:val="21"/>
              </w:rPr>
              <w:t>空系统燃烧</w:t>
            </w:r>
            <w:r>
              <w:rPr>
                <w:rFonts w:ascii="Times New Roman" w:cs="Times New Roman"/>
                <w:kern w:val="2"/>
                <w:sz w:val="21"/>
                <w:szCs w:val="21"/>
              </w:rPr>
              <w:t>排放。</w:t>
            </w:r>
          </w:p>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污水罐：四周设置防渗围堰。</w:t>
            </w:r>
          </w:p>
        </w:tc>
        <w:tc>
          <w:tcPr>
            <w:tcW w:w="1496" w:type="pct"/>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满足</w:t>
            </w:r>
            <w:r>
              <w:rPr>
                <w:rFonts w:ascii="Times New Roman" w:cs="Times New Roman" w:hint="eastAsia"/>
                <w:kern w:val="2"/>
                <w:sz w:val="21"/>
                <w:szCs w:val="21"/>
              </w:rPr>
              <w:t>环境</w:t>
            </w:r>
            <w:r>
              <w:rPr>
                <w:rFonts w:ascii="Times New Roman" w:cs="Times New Roman"/>
                <w:kern w:val="2"/>
                <w:sz w:val="21"/>
                <w:szCs w:val="21"/>
              </w:rPr>
              <w:t>风险防控要求</w:t>
            </w:r>
          </w:p>
        </w:tc>
      </w:tr>
      <w:tr w:rsidR="00BD5820">
        <w:trPr>
          <w:trHeight w:val="396"/>
          <w:jc w:val="center"/>
        </w:trPr>
        <w:tc>
          <w:tcPr>
            <w:tcW w:w="209" w:type="pct"/>
            <w:vMerge/>
            <w:vAlign w:val="center"/>
          </w:tcPr>
          <w:p w:rsidR="00BD5820" w:rsidRDefault="00BD5820">
            <w:pPr>
              <w:widowControl/>
              <w:topLinePunct w:val="0"/>
              <w:adjustRightInd/>
              <w:spacing w:line="240" w:lineRule="auto"/>
              <w:ind w:firstLineChars="0" w:firstLine="0"/>
              <w:jc w:val="center"/>
              <w:rPr>
                <w:rFonts w:ascii="Times New Roman" w:cs="Times New Roman"/>
                <w:kern w:val="2"/>
                <w:sz w:val="21"/>
                <w:szCs w:val="21"/>
              </w:rPr>
            </w:pPr>
          </w:p>
        </w:tc>
        <w:tc>
          <w:tcPr>
            <w:tcW w:w="1092" w:type="pct"/>
            <w:gridSpan w:val="3"/>
            <w:vAlign w:val="center"/>
          </w:tcPr>
          <w:p w:rsidR="00BD5820" w:rsidRDefault="00F64314">
            <w:pPr>
              <w:widowControl/>
              <w:topLinePunct w:val="0"/>
              <w:adjustRightInd/>
              <w:spacing w:line="240" w:lineRule="auto"/>
              <w:ind w:firstLineChars="0" w:firstLine="0"/>
              <w:jc w:val="center"/>
              <w:rPr>
                <w:rFonts w:ascii="Times New Roman" w:cs="Times New Roman"/>
                <w:kern w:val="2"/>
                <w:sz w:val="21"/>
                <w:szCs w:val="21"/>
              </w:rPr>
            </w:pPr>
            <w:r>
              <w:rPr>
                <w:rFonts w:ascii="Times New Roman" w:cs="Times New Roman" w:hint="eastAsia"/>
                <w:kern w:val="2"/>
                <w:sz w:val="21"/>
                <w:szCs w:val="21"/>
              </w:rPr>
              <w:t>生态</w:t>
            </w:r>
          </w:p>
        </w:tc>
        <w:tc>
          <w:tcPr>
            <w:tcW w:w="2202" w:type="pct"/>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w:t>
            </w:r>
            <w:r>
              <w:rPr>
                <w:rFonts w:ascii="Times New Roman" w:cs="Times New Roman" w:hint="eastAsia"/>
                <w:kern w:val="2"/>
                <w:sz w:val="21"/>
                <w:szCs w:val="21"/>
              </w:rPr>
              <w:t>1</w:t>
            </w:r>
            <w:r>
              <w:rPr>
                <w:rFonts w:ascii="Times New Roman" w:cs="Times New Roman" w:hint="eastAsia"/>
                <w:kern w:val="2"/>
                <w:sz w:val="21"/>
                <w:szCs w:val="21"/>
              </w:rPr>
              <w:t>）项目管沟及其施工作业带全线采取水土保持措施，包括工程措施、植物措施、管理措施，做好护坡、堡坎和排水设施。</w:t>
            </w:r>
          </w:p>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w:t>
            </w:r>
            <w:r>
              <w:rPr>
                <w:rFonts w:ascii="Times New Roman" w:cs="Times New Roman" w:hint="eastAsia"/>
                <w:kern w:val="2"/>
                <w:sz w:val="21"/>
                <w:szCs w:val="21"/>
              </w:rPr>
              <w:t>2</w:t>
            </w:r>
            <w:r>
              <w:rPr>
                <w:rFonts w:ascii="Times New Roman" w:cs="Times New Roman" w:hint="eastAsia"/>
                <w:kern w:val="2"/>
                <w:sz w:val="21"/>
                <w:szCs w:val="21"/>
              </w:rPr>
              <w:t>）</w:t>
            </w:r>
            <w:r>
              <w:rPr>
                <w:rFonts w:ascii="Times New Roman" w:cs="Times New Roman"/>
                <w:kern w:val="2"/>
                <w:sz w:val="21"/>
                <w:szCs w:val="21"/>
              </w:rPr>
              <w:t>站场周边修建排水沟，进行绿化建设；管线通过陡坡地段，设置护坡、堡坎等。</w:t>
            </w:r>
          </w:p>
        </w:tc>
        <w:tc>
          <w:tcPr>
            <w:tcW w:w="1496" w:type="pct"/>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满足环保要求</w:t>
            </w:r>
          </w:p>
        </w:tc>
      </w:tr>
    </w:tbl>
    <w:p w:rsidR="00BD5820" w:rsidRDefault="00BD5820">
      <w:pPr>
        <w:pStyle w:val="a1"/>
        <w:ind w:firstLine="480"/>
        <w:rPr>
          <w:rFonts w:ascii="Times New Roman" w:cs="Times New Roman"/>
        </w:rPr>
      </w:pPr>
    </w:p>
    <w:p w:rsidR="00BD5820" w:rsidRDefault="00BD5820">
      <w:pPr>
        <w:widowControl/>
        <w:topLinePunct w:val="0"/>
        <w:adjustRightInd/>
        <w:ind w:firstLineChars="0" w:firstLine="0"/>
        <w:jc w:val="left"/>
        <w:rPr>
          <w:rFonts w:ascii="Times New Roman" w:cs="Times New Roman"/>
        </w:rPr>
        <w:sectPr w:rsidR="00BD5820">
          <w:pgSz w:w="16840" w:h="11910" w:orient="landscape"/>
          <w:pgMar w:top="800" w:right="1200" w:bottom="280" w:left="1200" w:header="0" w:footer="0" w:gutter="0"/>
          <w:cols w:space="720"/>
        </w:sectPr>
      </w:pPr>
    </w:p>
    <w:p w:rsidR="00BD5820" w:rsidRDefault="00F64314">
      <w:pPr>
        <w:pStyle w:val="2"/>
        <w:spacing w:before="120"/>
        <w:rPr>
          <w:rFonts w:cs="Times New Roman"/>
        </w:rPr>
      </w:pPr>
      <w:bookmarkStart w:id="545" w:name="bookmark75"/>
      <w:bookmarkStart w:id="546" w:name="bookmark76"/>
      <w:bookmarkStart w:id="547" w:name="_Toc12288817"/>
      <w:bookmarkStart w:id="548" w:name="_Toc19816136"/>
      <w:bookmarkStart w:id="549" w:name="_Toc27971"/>
      <w:bookmarkEnd w:id="545"/>
      <w:bookmarkEnd w:id="546"/>
      <w:r>
        <w:rPr>
          <w:rFonts w:cs="Times New Roman"/>
        </w:rPr>
        <w:lastRenderedPageBreak/>
        <w:t xml:space="preserve">8.4 </w:t>
      </w:r>
      <w:r>
        <w:rPr>
          <w:rFonts w:cs="Times New Roman"/>
        </w:rPr>
        <w:t>环保投资估算</w:t>
      </w:r>
      <w:bookmarkEnd w:id="547"/>
      <w:bookmarkEnd w:id="548"/>
      <w:bookmarkEnd w:id="549"/>
    </w:p>
    <w:p w:rsidR="00BD5820" w:rsidRDefault="00F64314">
      <w:pPr>
        <w:pStyle w:val="a1"/>
        <w:ind w:firstLine="480"/>
        <w:rPr>
          <w:rFonts w:ascii="Times New Roman" w:cs="Times New Roman"/>
        </w:rPr>
      </w:pPr>
      <w:r>
        <w:rPr>
          <w:rFonts w:ascii="Times New Roman" w:cs="Times New Roman" w:hint="eastAsia"/>
        </w:rPr>
        <w:t>本</w:t>
      </w:r>
      <w:r>
        <w:rPr>
          <w:rFonts w:ascii="Times New Roman" w:cs="Times New Roman"/>
        </w:rPr>
        <w:t>项目总投资</w:t>
      </w:r>
      <w:r>
        <w:rPr>
          <w:rFonts w:ascii="Times New Roman" w:cs="Times New Roman" w:hint="eastAsia"/>
        </w:rPr>
        <w:t>85368</w:t>
      </w:r>
      <w:r>
        <w:rPr>
          <w:rFonts w:ascii="Times New Roman" w:cs="Times New Roman"/>
        </w:rPr>
        <w:t>万元，其中环保投资</w:t>
      </w:r>
      <w:r>
        <w:rPr>
          <w:rFonts w:ascii="Times New Roman" w:cs="Times New Roman" w:hint="eastAsia"/>
        </w:rPr>
        <w:t>150</w:t>
      </w:r>
      <w:r>
        <w:rPr>
          <w:rFonts w:ascii="Times New Roman" w:cs="Times New Roman" w:hint="eastAsia"/>
        </w:rPr>
        <w:t>万元</w:t>
      </w:r>
      <w:r>
        <w:rPr>
          <w:rFonts w:ascii="Times New Roman" w:cs="Times New Roman"/>
        </w:rPr>
        <w:t>，占项目总投资的</w:t>
      </w:r>
      <w:r>
        <w:rPr>
          <w:rFonts w:ascii="Times New Roman" w:cs="Times New Roman" w:hint="eastAsia"/>
        </w:rPr>
        <w:t>0.18%</w:t>
      </w:r>
      <w:r>
        <w:rPr>
          <w:rFonts w:ascii="Times New Roman" w:cs="Times New Roman"/>
        </w:rPr>
        <w:t>。项目环保投资估算时，环保措施单价参照其他已有工程类比，环保措施数量依据初步设计确定，环保投资估算见下表。</w:t>
      </w:r>
    </w:p>
    <w:p w:rsidR="00BD5820" w:rsidRDefault="00BD5820">
      <w:pPr>
        <w:pStyle w:val="a1"/>
        <w:ind w:firstLine="480"/>
        <w:rPr>
          <w:rFonts w:ascii="Times New Roman" w:cs="Times New Roman"/>
        </w:rPr>
      </w:pPr>
    </w:p>
    <w:p w:rsidR="00BD5820" w:rsidRDefault="00BD5820">
      <w:pPr>
        <w:pStyle w:val="a1"/>
        <w:ind w:firstLine="480"/>
        <w:rPr>
          <w:rFonts w:ascii="Times New Roman" w:cs="Times New Roman"/>
        </w:rPr>
      </w:pPr>
    </w:p>
    <w:p w:rsidR="00BD5820" w:rsidRDefault="00BD5820">
      <w:pPr>
        <w:pStyle w:val="a1"/>
        <w:ind w:firstLine="480"/>
        <w:rPr>
          <w:rFonts w:ascii="Times New Roman" w:cs="Times New Roman"/>
        </w:rPr>
        <w:sectPr w:rsidR="00BD5820">
          <w:pgSz w:w="11910" w:h="16840"/>
          <w:pgMar w:top="1440" w:right="1800" w:bottom="1440" w:left="1800" w:header="885" w:footer="1025" w:gutter="0"/>
          <w:cols w:space="720"/>
          <w:docGrid w:linePitch="326"/>
        </w:sectPr>
      </w:pPr>
    </w:p>
    <w:p w:rsidR="00BD5820" w:rsidRDefault="00F64314">
      <w:pPr>
        <w:pStyle w:val="TOC11"/>
        <w:rPr>
          <w:rFonts w:eastAsia="宋体"/>
        </w:rPr>
      </w:pPr>
      <w:r>
        <w:rPr>
          <w:rFonts w:eastAsia="宋体"/>
        </w:rPr>
        <w:lastRenderedPageBreak/>
        <w:t>表</w:t>
      </w:r>
      <w:r>
        <w:rPr>
          <w:rFonts w:eastAsia="宋体"/>
        </w:rPr>
        <w:t xml:space="preserve">8.4-1  </w:t>
      </w:r>
      <w:r>
        <w:rPr>
          <w:rFonts w:eastAsia="宋体"/>
        </w:rPr>
        <w:t>工程环保投资估算表</w:t>
      </w:r>
      <w:r>
        <w:rPr>
          <w:rFonts w:eastAsia="宋体"/>
          <w:kern w:val="2"/>
        </w:rPr>
        <w:t xml:space="preserve">  </w:t>
      </w:r>
      <w:r>
        <w:rPr>
          <w:rFonts w:eastAsia="宋体"/>
          <w:kern w:val="2"/>
        </w:rPr>
        <w:t>单位：万元</w:t>
      </w:r>
    </w:p>
    <w:tbl>
      <w:tblPr>
        <w:tblW w:w="5000" w:type="pct"/>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tblPr>
      <w:tblGrid>
        <w:gridCol w:w="1214"/>
        <w:gridCol w:w="887"/>
        <w:gridCol w:w="6"/>
        <w:gridCol w:w="1579"/>
        <w:gridCol w:w="707"/>
        <w:gridCol w:w="9444"/>
        <w:gridCol w:w="701"/>
      </w:tblGrid>
      <w:tr w:rsidR="00BD5820">
        <w:trPr>
          <w:trHeight w:val="50"/>
          <w:tblHeader/>
        </w:trPr>
        <w:tc>
          <w:tcPr>
            <w:tcW w:w="418" w:type="pct"/>
            <w:vAlign w:val="center"/>
          </w:tcPr>
          <w:p w:rsidR="00BD5820" w:rsidRDefault="00F64314">
            <w:pPr>
              <w:pStyle w:val="TableParagraph"/>
              <w:spacing w:line="240" w:lineRule="auto"/>
              <w:ind w:firstLineChars="0" w:firstLine="0"/>
              <w:rPr>
                <w:rFonts w:ascii="Times New Roman" w:cs="Times New Roman"/>
                <w:b/>
                <w:kern w:val="2"/>
                <w:sz w:val="21"/>
                <w:szCs w:val="21"/>
              </w:rPr>
            </w:pPr>
            <w:r>
              <w:rPr>
                <w:rFonts w:ascii="Times New Roman" w:cs="Times New Roman"/>
                <w:b/>
                <w:kern w:val="2"/>
                <w:sz w:val="21"/>
                <w:szCs w:val="21"/>
              </w:rPr>
              <w:t>项目</w:t>
            </w:r>
          </w:p>
        </w:tc>
        <w:tc>
          <w:tcPr>
            <w:tcW w:w="849" w:type="pct"/>
            <w:gridSpan w:val="3"/>
            <w:vAlign w:val="center"/>
          </w:tcPr>
          <w:p w:rsidR="00BD5820" w:rsidRDefault="00F64314">
            <w:pPr>
              <w:pStyle w:val="TableParagraph"/>
              <w:spacing w:line="240" w:lineRule="auto"/>
              <w:ind w:firstLineChars="0" w:firstLine="0"/>
              <w:rPr>
                <w:rFonts w:ascii="Times New Roman" w:cs="Times New Roman"/>
                <w:b/>
                <w:kern w:val="2"/>
                <w:sz w:val="21"/>
                <w:szCs w:val="21"/>
              </w:rPr>
            </w:pPr>
            <w:r>
              <w:rPr>
                <w:rFonts w:ascii="Times New Roman" w:cs="Times New Roman"/>
                <w:b/>
                <w:kern w:val="2"/>
                <w:sz w:val="21"/>
                <w:szCs w:val="21"/>
              </w:rPr>
              <w:t>措施类型</w:t>
            </w:r>
          </w:p>
        </w:tc>
        <w:tc>
          <w:tcPr>
            <w:tcW w:w="243" w:type="pct"/>
            <w:vAlign w:val="center"/>
          </w:tcPr>
          <w:p w:rsidR="00BD5820" w:rsidRDefault="00F64314">
            <w:pPr>
              <w:pStyle w:val="TableParagraph"/>
              <w:spacing w:line="240" w:lineRule="auto"/>
              <w:ind w:firstLineChars="0" w:firstLine="0"/>
              <w:rPr>
                <w:rFonts w:ascii="Times New Roman" w:cs="Times New Roman"/>
                <w:b/>
                <w:kern w:val="2"/>
                <w:sz w:val="21"/>
                <w:szCs w:val="21"/>
              </w:rPr>
            </w:pPr>
            <w:r>
              <w:rPr>
                <w:rFonts w:ascii="Times New Roman" w:cs="Times New Roman"/>
                <w:b/>
                <w:kern w:val="2"/>
                <w:sz w:val="21"/>
                <w:szCs w:val="21"/>
              </w:rPr>
              <w:t>投资</w:t>
            </w:r>
          </w:p>
        </w:tc>
        <w:tc>
          <w:tcPr>
            <w:tcW w:w="3247" w:type="pct"/>
            <w:vAlign w:val="center"/>
          </w:tcPr>
          <w:p w:rsidR="00BD5820" w:rsidRDefault="00F64314">
            <w:pPr>
              <w:pStyle w:val="TableParagraph"/>
              <w:spacing w:line="240" w:lineRule="auto"/>
              <w:ind w:firstLineChars="0" w:firstLine="0"/>
              <w:rPr>
                <w:rFonts w:ascii="Times New Roman" w:cs="Times New Roman"/>
                <w:b/>
                <w:kern w:val="2"/>
                <w:sz w:val="21"/>
                <w:szCs w:val="21"/>
              </w:rPr>
            </w:pPr>
            <w:r>
              <w:rPr>
                <w:rFonts w:ascii="Times New Roman" w:cs="Times New Roman"/>
                <w:b/>
                <w:kern w:val="2"/>
                <w:sz w:val="21"/>
                <w:szCs w:val="21"/>
              </w:rPr>
              <w:t>说明</w:t>
            </w:r>
          </w:p>
        </w:tc>
        <w:tc>
          <w:tcPr>
            <w:tcW w:w="241" w:type="pct"/>
            <w:vAlign w:val="center"/>
          </w:tcPr>
          <w:p w:rsidR="00BD5820" w:rsidRDefault="00F64314">
            <w:pPr>
              <w:pStyle w:val="TableParagraph"/>
              <w:spacing w:line="240" w:lineRule="auto"/>
              <w:ind w:firstLineChars="0" w:firstLine="0"/>
              <w:rPr>
                <w:rFonts w:ascii="Times New Roman" w:cs="Times New Roman"/>
                <w:b/>
                <w:kern w:val="2"/>
                <w:sz w:val="21"/>
                <w:szCs w:val="21"/>
              </w:rPr>
            </w:pPr>
            <w:r>
              <w:rPr>
                <w:rFonts w:ascii="Times New Roman" w:cs="Times New Roman"/>
                <w:b/>
                <w:kern w:val="2"/>
                <w:sz w:val="21"/>
                <w:szCs w:val="21"/>
              </w:rPr>
              <w:t>备注</w:t>
            </w:r>
          </w:p>
        </w:tc>
      </w:tr>
      <w:tr w:rsidR="00BD5820">
        <w:trPr>
          <w:trHeight w:val="20"/>
        </w:trPr>
        <w:tc>
          <w:tcPr>
            <w:tcW w:w="418" w:type="pct"/>
            <w:vMerge w:val="restart"/>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水土保持措施</w:t>
            </w:r>
          </w:p>
        </w:tc>
        <w:tc>
          <w:tcPr>
            <w:tcW w:w="849" w:type="pct"/>
            <w:gridSpan w:val="3"/>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kern w:val="2"/>
                <w:sz w:val="21"/>
                <w:szCs w:val="21"/>
              </w:rPr>
              <w:t>水土保持工程措施</w:t>
            </w:r>
          </w:p>
        </w:tc>
        <w:tc>
          <w:tcPr>
            <w:tcW w:w="243" w:type="pct"/>
            <w:vAlign w:val="center"/>
          </w:tcPr>
          <w:p w:rsidR="00BD5820" w:rsidRDefault="00F64314">
            <w:pPr>
              <w:pStyle w:val="TableParagraph"/>
              <w:kinsoku w:val="0"/>
              <w:overflowPunct w:val="0"/>
              <w:spacing w:line="240" w:lineRule="auto"/>
              <w:ind w:firstLineChars="0" w:firstLine="0"/>
              <w:rPr>
                <w:rFonts w:ascii="Times New Roman" w:cs="Times New Roman"/>
                <w:kern w:val="2"/>
              </w:rPr>
            </w:pPr>
            <w:r>
              <w:rPr>
                <w:rFonts w:ascii="Times New Roman" w:cs="Times New Roman" w:hint="eastAsia"/>
                <w:w w:val="99"/>
                <w:kern w:val="2"/>
                <w:sz w:val="21"/>
                <w:szCs w:val="21"/>
              </w:rPr>
              <w:t>/</w:t>
            </w:r>
          </w:p>
        </w:tc>
        <w:tc>
          <w:tcPr>
            <w:tcW w:w="3247"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kern w:val="2"/>
                <w:sz w:val="21"/>
                <w:szCs w:val="21"/>
              </w:rPr>
              <w:t>用于施工期管线区域、施工便道等临时占地的剥离表土、土地整治、复耕等，以及用于、挡墙建设、安装排水沟等建设。</w:t>
            </w:r>
          </w:p>
        </w:tc>
        <w:tc>
          <w:tcPr>
            <w:tcW w:w="241" w:type="pct"/>
            <w:vMerge w:val="restar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kern w:val="2"/>
                <w:sz w:val="21"/>
                <w:szCs w:val="21"/>
              </w:rPr>
              <w:t>计入水土保持投资</w:t>
            </w:r>
          </w:p>
        </w:tc>
      </w:tr>
      <w:tr w:rsidR="00BD5820">
        <w:trPr>
          <w:trHeight w:val="20"/>
        </w:trPr>
        <w:tc>
          <w:tcPr>
            <w:tcW w:w="418" w:type="pct"/>
            <w:vMerge/>
            <w:vAlign w:val="center"/>
          </w:tcPr>
          <w:p w:rsidR="00BD5820" w:rsidRDefault="00BD5820">
            <w:pPr>
              <w:pStyle w:val="TableParagraph"/>
              <w:spacing w:line="240" w:lineRule="auto"/>
              <w:ind w:firstLineChars="0" w:firstLine="0"/>
              <w:rPr>
                <w:rFonts w:ascii="Times New Roman" w:cs="Times New Roman"/>
                <w:kern w:val="2"/>
                <w:sz w:val="21"/>
                <w:szCs w:val="21"/>
              </w:rPr>
            </w:pPr>
          </w:p>
        </w:tc>
        <w:tc>
          <w:tcPr>
            <w:tcW w:w="849" w:type="pct"/>
            <w:gridSpan w:val="3"/>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kern w:val="2"/>
                <w:sz w:val="21"/>
                <w:szCs w:val="21"/>
              </w:rPr>
              <w:t>水土保持植物措施</w:t>
            </w:r>
          </w:p>
        </w:tc>
        <w:tc>
          <w:tcPr>
            <w:tcW w:w="243"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w:t>
            </w:r>
          </w:p>
        </w:tc>
        <w:tc>
          <w:tcPr>
            <w:tcW w:w="3247"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kern w:val="2"/>
                <w:sz w:val="21"/>
                <w:szCs w:val="21"/>
              </w:rPr>
              <w:t>管道沿线、</w:t>
            </w:r>
            <w:r>
              <w:rPr>
                <w:rFonts w:ascii="Times New Roman" w:cs="Times New Roman" w:hint="eastAsia"/>
                <w:kern w:val="2"/>
                <w:sz w:val="21"/>
                <w:szCs w:val="21"/>
              </w:rPr>
              <w:t>场站</w:t>
            </w:r>
            <w:r>
              <w:rPr>
                <w:rFonts w:ascii="Times New Roman" w:cs="Times New Roman"/>
                <w:kern w:val="2"/>
                <w:sz w:val="21"/>
                <w:szCs w:val="21"/>
              </w:rPr>
              <w:t>等区域植被恢复、绿化等植物措施</w:t>
            </w:r>
            <w:r>
              <w:rPr>
                <w:rFonts w:ascii="Times New Roman" w:cs="Times New Roman" w:hint="eastAsia"/>
                <w:kern w:val="2"/>
                <w:sz w:val="21"/>
                <w:szCs w:val="21"/>
              </w:rPr>
              <w:t>。</w:t>
            </w:r>
          </w:p>
        </w:tc>
        <w:tc>
          <w:tcPr>
            <w:tcW w:w="241" w:type="pct"/>
            <w:vMerge/>
            <w:vAlign w:val="center"/>
          </w:tcPr>
          <w:p w:rsidR="00BD5820" w:rsidRDefault="00BD5820">
            <w:pPr>
              <w:pStyle w:val="TableParagraph"/>
              <w:kinsoku w:val="0"/>
              <w:overflowPunct w:val="0"/>
              <w:spacing w:line="240" w:lineRule="auto"/>
              <w:ind w:firstLineChars="0" w:firstLine="0"/>
              <w:rPr>
                <w:rFonts w:ascii="Times New Roman" w:cs="Times New Roman"/>
                <w:kern w:val="2"/>
                <w:sz w:val="21"/>
                <w:szCs w:val="21"/>
              </w:rPr>
            </w:pPr>
          </w:p>
        </w:tc>
      </w:tr>
      <w:tr w:rsidR="00BD5820">
        <w:trPr>
          <w:trHeight w:val="20"/>
        </w:trPr>
        <w:tc>
          <w:tcPr>
            <w:tcW w:w="418" w:type="pct"/>
            <w:vMerge/>
            <w:vAlign w:val="center"/>
          </w:tcPr>
          <w:p w:rsidR="00BD5820" w:rsidRDefault="00BD5820">
            <w:pPr>
              <w:pStyle w:val="TableParagraph"/>
              <w:spacing w:line="240" w:lineRule="auto"/>
              <w:ind w:firstLineChars="0" w:firstLine="0"/>
              <w:rPr>
                <w:rFonts w:ascii="Times New Roman" w:cs="Times New Roman"/>
                <w:kern w:val="2"/>
                <w:sz w:val="21"/>
                <w:szCs w:val="21"/>
              </w:rPr>
            </w:pPr>
          </w:p>
        </w:tc>
        <w:tc>
          <w:tcPr>
            <w:tcW w:w="849" w:type="pct"/>
            <w:gridSpan w:val="3"/>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kern w:val="2"/>
                <w:sz w:val="21"/>
                <w:szCs w:val="21"/>
              </w:rPr>
              <w:t>水土保持临时措施</w:t>
            </w:r>
          </w:p>
        </w:tc>
        <w:tc>
          <w:tcPr>
            <w:tcW w:w="243"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w:t>
            </w:r>
          </w:p>
        </w:tc>
        <w:tc>
          <w:tcPr>
            <w:tcW w:w="3247"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kern w:val="2"/>
                <w:sz w:val="21"/>
                <w:szCs w:val="21"/>
              </w:rPr>
              <w:t>设置土质排水沟、临时沉砂凼、土袋挡土墙等措施</w:t>
            </w:r>
            <w:r>
              <w:rPr>
                <w:rFonts w:ascii="Times New Roman" w:cs="Times New Roman" w:hint="eastAsia"/>
                <w:kern w:val="2"/>
                <w:sz w:val="21"/>
                <w:szCs w:val="21"/>
              </w:rPr>
              <w:t>。</w:t>
            </w:r>
          </w:p>
        </w:tc>
        <w:tc>
          <w:tcPr>
            <w:tcW w:w="241" w:type="pct"/>
            <w:vMerge/>
            <w:vAlign w:val="center"/>
          </w:tcPr>
          <w:p w:rsidR="00BD5820" w:rsidRDefault="00BD5820">
            <w:pPr>
              <w:pStyle w:val="TableParagraph"/>
              <w:kinsoku w:val="0"/>
              <w:overflowPunct w:val="0"/>
              <w:spacing w:line="240" w:lineRule="auto"/>
              <w:ind w:firstLineChars="0" w:firstLine="0"/>
              <w:rPr>
                <w:rFonts w:ascii="Times New Roman" w:cs="Times New Roman"/>
                <w:kern w:val="2"/>
                <w:sz w:val="21"/>
                <w:szCs w:val="21"/>
              </w:rPr>
            </w:pPr>
          </w:p>
        </w:tc>
      </w:tr>
      <w:tr w:rsidR="00BD5820">
        <w:trPr>
          <w:trHeight w:val="20"/>
        </w:trPr>
        <w:tc>
          <w:tcPr>
            <w:tcW w:w="418" w:type="pct"/>
            <w:vMerge w:val="restart"/>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大气保护措施</w:t>
            </w:r>
          </w:p>
        </w:tc>
        <w:tc>
          <w:tcPr>
            <w:tcW w:w="305" w:type="pct"/>
            <w:vMerge w:val="restart"/>
            <w:tcBorders>
              <w:right w:val="single" w:sz="2" w:space="0" w:color="000000"/>
            </w:tcBorders>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施工期</w:t>
            </w:r>
          </w:p>
        </w:tc>
        <w:tc>
          <w:tcPr>
            <w:tcW w:w="544" w:type="pct"/>
            <w:gridSpan w:val="2"/>
            <w:tcBorders>
              <w:left w:val="single" w:sz="2" w:space="0" w:color="000000"/>
            </w:tcBorders>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kern w:val="2"/>
                <w:sz w:val="21"/>
                <w:szCs w:val="21"/>
              </w:rPr>
              <w:t>扬尘防护措施</w:t>
            </w:r>
          </w:p>
        </w:tc>
        <w:tc>
          <w:tcPr>
            <w:tcW w:w="243"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9</w:t>
            </w:r>
          </w:p>
        </w:tc>
        <w:tc>
          <w:tcPr>
            <w:tcW w:w="3247"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kern w:val="2"/>
                <w:sz w:val="21"/>
                <w:szCs w:val="21"/>
              </w:rPr>
              <w:t>施工期购置洒水设备进行洒水作业，对临时堆放表土采用篷布覆；进行道面清扫，对轮胎进行清洗；用于施工期间物料运输车辆的覆盖，粉料采用粉料车运输，防止物料散落和灰尘飘散</w:t>
            </w:r>
          </w:p>
        </w:tc>
        <w:tc>
          <w:tcPr>
            <w:tcW w:w="241" w:type="pct"/>
            <w:vAlign w:val="center"/>
          </w:tcPr>
          <w:p w:rsidR="00BD5820" w:rsidRDefault="00F64314">
            <w:pPr>
              <w:pStyle w:val="TableParagraph"/>
              <w:kinsoku w:val="0"/>
              <w:overflowPunct w:val="0"/>
              <w:spacing w:line="240" w:lineRule="auto"/>
              <w:ind w:right="1" w:firstLineChars="0" w:firstLine="0"/>
              <w:rPr>
                <w:rFonts w:ascii="Times New Roman" w:cs="Times New Roman"/>
                <w:kern w:val="2"/>
                <w:sz w:val="21"/>
                <w:szCs w:val="21"/>
              </w:rPr>
            </w:pPr>
            <w:r>
              <w:rPr>
                <w:rFonts w:ascii="Times New Roman" w:cs="Times New Roman"/>
                <w:kern w:val="2"/>
                <w:sz w:val="21"/>
                <w:szCs w:val="21"/>
              </w:rPr>
              <w:t>/</w:t>
            </w:r>
          </w:p>
        </w:tc>
      </w:tr>
      <w:tr w:rsidR="00BD5820">
        <w:trPr>
          <w:trHeight w:val="20"/>
        </w:trPr>
        <w:tc>
          <w:tcPr>
            <w:tcW w:w="418" w:type="pct"/>
            <w:vMerge/>
            <w:vAlign w:val="center"/>
          </w:tcPr>
          <w:p w:rsidR="00BD5820" w:rsidRDefault="00BD5820">
            <w:pPr>
              <w:pStyle w:val="TableParagraph"/>
              <w:spacing w:line="240" w:lineRule="auto"/>
              <w:ind w:firstLineChars="0" w:firstLine="0"/>
              <w:rPr>
                <w:rFonts w:ascii="Times New Roman" w:cs="Times New Roman"/>
                <w:kern w:val="2"/>
                <w:sz w:val="21"/>
                <w:szCs w:val="21"/>
              </w:rPr>
            </w:pPr>
          </w:p>
        </w:tc>
        <w:tc>
          <w:tcPr>
            <w:tcW w:w="305" w:type="pct"/>
            <w:vMerge/>
            <w:tcBorders>
              <w:right w:val="single" w:sz="2" w:space="0" w:color="000000"/>
            </w:tcBorders>
            <w:vAlign w:val="center"/>
          </w:tcPr>
          <w:p w:rsidR="00BD5820" w:rsidRDefault="00BD5820">
            <w:pPr>
              <w:pStyle w:val="TableParagraph"/>
              <w:kinsoku w:val="0"/>
              <w:overflowPunct w:val="0"/>
              <w:spacing w:line="240" w:lineRule="auto"/>
              <w:ind w:firstLineChars="0" w:firstLine="0"/>
              <w:rPr>
                <w:rFonts w:ascii="Times New Roman" w:cs="Times New Roman"/>
                <w:kern w:val="2"/>
                <w:sz w:val="21"/>
                <w:szCs w:val="21"/>
              </w:rPr>
            </w:pPr>
          </w:p>
        </w:tc>
        <w:tc>
          <w:tcPr>
            <w:tcW w:w="544" w:type="pct"/>
            <w:gridSpan w:val="2"/>
            <w:tcBorders>
              <w:left w:val="single" w:sz="2" w:space="0" w:color="000000"/>
            </w:tcBorders>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食堂油烟治理措施</w:t>
            </w:r>
          </w:p>
        </w:tc>
        <w:tc>
          <w:tcPr>
            <w:tcW w:w="243"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1</w:t>
            </w:r>
          </w:p>
        </w:tc>
        <w:tc>
          <w:tcPr>
            <w:tcW w:w="3247"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食堂油烟经油烟净化器处理后通过专用管道超屋顶排放</w:t>
            </w:r>
          </w:p>
        </w:tc>
        <w:tc>
          <w:tcPr>
            <w:tcW w:w="241" w:type="pct"/>
            <w:vAlign w:val="center"/>
          </w:tcPr>
          <w:p w:rsidR="00BD5820" w:rsidRDefault="00F64314">
            <w:pPr>
              <w:pStyle w:val="TableParagraph"/>
              <w:kinsoku w:val="0"/>
              <w:overflowPunct w:val="0"/>
              <w:spacing w:line="240" w:lineRule="auto"/>
              <w:ind w:right="1" w:firstLineChars="0" w:firstLine="0"/>
              <w:rPr>
                <w:rFonts w:ascii="Times New Roman" w:cs="Times New Roman"/>
                <w:kern w:val="2"/>
                <w:sz w:val="21"/>
                <w:szCs w:val="21"/>
              </w:rPr>
            </w:pPr>
            <w:r>
              <w:rPr>
                <w:rFonts w:ascii="Times New Roman" w:cs="Times New Roman" w:hint="eastAsia"/>
                <w:kern w:val="2"/>
                <w:sz w:val="21"/>
                <w:szCs w:val="21"/>
              </w:rPr>
              <w:t>/</w:t>
            </w:r>
          </w:p>
        </w:tc>
      </w:tr>
      <w:tr w:rsidR="00BD5820">
        <w:trPr>
          <w:trHeight w:val="20"/>
        </w:trPr>
        <w:tc>
          <w:tcPr>
            <w:tcW w:w="418" w:type="pct"/>
            <w:vMerge/>
            <w:vAlign w:val="center"/>
          </w:tcPr>
          <w:p w:rsidR="00BD5820" w:rsidRDefault="00BD5820">
            <w:pPr>
              <w:pStyle w:val="TableParagraph"/>
              <w:spacing w:line="240" w:lineRule="auto"/>
              <w:ind w:firstLineChars="0" w:firstLine="0"/>
              <w:rPr>
                <w:rFonts w:ascii="Times New Roman" w:cs="Times New Roman"/>
                <w:kern w:val="2"/>
                <w:sz w:val="21"/>
                <w:szCs w:val="21"/>
              </w:rPr>
            </w:pPr>
          </w:p>
        </w:tc>
        <w:tc>
          <w:tcPr>
            <w:tcW w:w="305" w:type="pct"/>
            <w:tcBorders>
              <w:right w:val="single" w:sz="2" w:space="0" w:color="000000"/>
            </w:tcBorders>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运营期</w:t>
            </w:r>
          </w:p>
        </w:tc>
        <w:tc>
          <w:tcPr>
            <w:tcW w:w="544" w:type="pct"/>
            <w:gridSpan w:val="2"/>
            <w:tcBorders>
              <w:left w:val="single" w:sz="2" w:space="0" w:color="000000"/>
            </w:tcBorders>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事故放空废气</w:t>
            </w:r>
          </w:p>
        </w:tc>
        <w:tc>
          <w:tcPr>
            <w:tcW w:w="243"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w:t>
            </w:r>
          </w:p>
        </w:tc>
        <w:tc>
          <w:tcPr>
            <w:tcW w:w="3247" w:type="pct"/>
            <w:vAlign w:val="center"/>
          </w:tcPr>
          <w:p w:rsidR="00BD5820" w:rsidRDefault="00F64314" w:rsidP="005A638B">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事故或检修放空</w:t>
            </w:r>
            <w:r>
              <w:rPr>
                <w:rFonts w:ascii="Times New Roman" w:cs="Times New Roman"/>
                <w:kern w:val="2"/>
                <w:sz w:val="21"/>
                <w:szCs w:val="21"/>
              </w:rPr>
              <w:t>排放的天然气</w:t>
            </w:r>
            <w:r w:rsidR="005A638B" w:rsidRPr="005A638B">
              <w:rPr>
                <w:rFonts w:ascii="Times New Roman" w:cs="Times New Roman"/>
                <w:color w:val="FF0000"/>
                <w:kern w:val="2"/>
                <w:sz w:val="21"/>
                <w:szCs w:val="21"/>
              </w:rPr>
              <w:t>分别</w:t>
            </w:r>
            <w:r w:rsidR="005A638B">
              <w:rPr>
                <w:rFonts w:ascii="Times New Roman" w:cs="Times New Roman"/>
                <w:kern w:val="2"/>
                <w:sz w:val="21"/>
                <w:szCs w:val="21"/>
              </w:rPr>
              <w:t>经</w:t>
            </w:r>
            <w:r w:rsidR="005A638B">
              <w:rPr>
                <w:rFonts w:ascii="Times New Roman" w:cs="Times New Roman" w:hint="eastAsia"/>
                <w:kern w:val="2"/>
                <w:sz w:val="21"/>
                <w:szCs w:val="21"/>
              </w:rPr>
              <w:t>P102</w:t>
            </w:r>
            <w:r w:rsidR="005A638B">
              <w:rPr>
                <w:rFonts w:ascii="Times New Roman" w:cs="Times New Roman" w:hint="eastAsia"/>
                <w:kern w:val="2"/>
                <w:sz w:val="21"/>
                <w:szCs w:val="21"/>
              </w:rPr>
              <w:t>集气站</w:t>
            </w:r>
            <w:r w:rsidR="005A638B" w:rsidRPr="005A638B">
              <w:rPr>
                <w:rFonts w:ascii="Times New Roman" w:cs="Times New Roman"/>
                <w:color w:val="FF0000"/>
                <w:kern w:val="2"/>
                <w:sz w:val="21"/>
                <w:szCs w:val="21"/>
              </w:rPr>
              <w:t>和普光净化厂</w:t>
            </w:r>
            <w:r w:rsidR="005A638B">
              <w:rPr>
                <w:rFonts w:ascii="Times New Roman" w:cs="Times New Roman"/>
                <w:kern w:val="2"/>
                <w:sz w:val="21"/>
                <w:szCs w:val="21"/>
              </w:rPr>
              <w:t>放空火炬</w:t>
            </w:r>
            <w:r w:rsidR="005A638B">
              <w:rPr>
                <w:rFonts w:ascii="Times New Roman" w:cs="Times New Roman" w:hint="eastAsia"/>
                <w:kern w:val="2"/>
                <w:sz w:val="21"/>
                <w:szCs w:val="21"/>
              </w:rPr>
              <w:t>（</w:t>
            </w:r>
            <w:r w:rsidR="005A638B">
              <w:rPr>
                <w:rFonts w:ascii="Times New Roman" w:cs="Times New Roman" w:hint="eastAsia"/>
                <w:kern w:val="2"/>
                <w:sz w:val="21"/>
                <w:szCs w:val="21"/>
              </w:rPr>
              <w:t>85m</w:t>
            </w:r>
            <w:r w:rsidR="005A638B">
              <w:rPr>
                <w:rFonts w:ascii="Times New Roman" w:cs="Times New Roman" w:hint="eastAsia"/>
                <w:kern w:val="2"/>
                <w:sz w:val="21"/>
                <w:szCs w:val="21"/>
              </w:rPr>
              <w:t>高）</w:t>
            </w:r>
            <w:r w:rsidR="005A638B">
              <w:rPr>
                <w:rFonts w:ascii="Times New Roman" w:cs="Times New Roman"/>
                <w:kern w:val="2"/>
                <w:sz w:val="21"/>
                <w:szCs w:val="21"/>
              </w:rPr>
              <w:t>燃烧后排放</w:t>
            </w:r>
            <w:r>
              <w:rPr>
                <w:rFonts w:ascii="Times New Roman" w:cs="Times New Roman"/>
                <w:kern w:val="2"/>
                <w:sz w:val="21"/>
                <w:szCs w:val="21"/>
              </w:rPr>
              <w:t>。</w:t>
            </w:r>
          </w:p>
        </w:tc>
        <w:tc>
          <w:tcPr>
            <w:tcW w:w="241" w:type="pct"/>
            <w:vAlign w:val="center"/>
          </w:tcPr>
          <w:p w:rsidR="00BD5820" w:rsidRDefault="00F64314">
            <w:pPr>
              <w:pStyle w:val="TableParagraph"/>
              <w:kinsoku w:val="0"/>
              <w:overflowPunct w:val="0"/>
              <w:spacing w:line="240" w:lineRule="auto"/>
              <w:ind w:right="1" w:firstLineChars="0" w:firstLine="0"/>
              <w:rPr>
                <w:rFonts w:ascii="Times New Roman" w:cs="Times New Roman"/>
                <w:kern w:val="2"/>
                <w:sz w:val="21"/>
                <w:szCs w:val="21"/>
              </w:rPr>
            </w:pPr>
            <w:r>
              <w:rPr>
                <w:rFonts w:ascii="Times New Roman" w:cs="Times New Roman" w:hint="eastAsia"/>
                <w:kern w:val="2"/>
                <w:sz w:val="21"/>
                <w:szCs w:val="21"/>
              </w:rPr>
              <w:t>/</w:t>
            </w:r>
          </w:p>
        </w:tc>
      </w:tr>
      <w:tr w:rsidR="00BD5820">
        <w:trPr>
          <w:trHeight w:val="20"/>
        </w:trPr>
        <w:tc>
          <w:tcPr>
            <w:tcW w:w="418" w:type="pct"/>
            <w:vMerge w:val="restart"/>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水环境保护措施</w:t>
            </w:r>
          </w:p>
        </w:tc>
        <w:tc>
          <w:tcPr>
            <w:tcW w:w="307" w:type="pct"/>
            <w:gridSpan w:val="2"/>
            <w:vMerge w:val="restart"/>
            <w:tcBorders>
              <w:right w:val="single" w:sz="2" w:space="0" w:color="000000"/>
            </w:tcBorders>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施工期</w:t>
            </w:r>
          </w:p>
        </w:tc>
        <w:tc>
          <w:tcPr>
            <w:tcW w:w="542" w:type="pct"/>
            <w:tcBorders>
              <w:left w:val="single" w:sz="2" w:space="0" w:color="000000"/>
            </w:tcBorders>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施工人员生活污水</w:t>
            </w:r>
          </w:p>
        </w:tc>
        <w:tc>
          <w:tcPr>
            <w:tcW w:w="243"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25</w:t>
            </w:r>
          </w:p>
        </w:tc>
        <w:tc>
          <w:tcPr>
            <w:tcW w:w="3247"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kern w:val="2"/>
                <w:sz w:val="21"/>
                <w:szCs w:val="21"/>
              </w:rPr>
              <w:t>施工期管线施工人员生活污水依托租用附近居民房收集处理，</w:t>
            </w:r>
            <w:r>
              <w:rPr>
                <w:rFonts w:ascii="Times New Roman" w:cs="Times New Roman" w:hint="eastAsia"/>
                <w:kern w:val="2"/>
                <w:sz w:val="21"/>
                <w:szCs w:val="21"/>
              </w:rPr>
              <w:t>站场</w:t>
            </w:r>
            <w:r>
              <w:rPr>
                <w:spacing w:val="-8"/>
                <w:sz w:val="21"/>
                <w:szCs w:val="21"/>
              </w:rPr>
              <w:t>施工</w:t>
            </w:r>
            <w:r>
              <w:rPr>
                <w:rFonts w:hint="eastAsia"/>
                <w:spacing w:val="-8"/>
                <w:sz w:val="21"/>
                <w:szCs w:val="21"/>
              </w:rPr>
              <w:t>入厕生活污水依托</w:t>
            </w:r>
            <w:r>
              <w:rPr>
                <w:spacing w:val="-8"/>
                <w:sz w:val="21"/>
                <w:szCs w:val="21"/>
              </w:rPr>
              <w:t>经</w:t>
            </w:r>
            <w:r>
              <w:rPr>
                <w:bCs/>
                <w:spacing w:val="-8"/>
                <w:sz w:val="21"/>
                <w:szCs w:val="21"/>
              </w:rPr>
              <w:t>生态环保厕所收集处理</w:t>
            </w:r>
            <w:r>
              <w:rPr>
                <w:sz w:val="21"/>
                <w:szCs w:val="21"/>
              </w:rPr>
              <w:t>后，用作周边农肥，不外排</w:t>
            </w:r>
            <w:r>
              <w:rPr>
                <w:rFonts w:hint="eastAsia"/>
                <w:sz w:val="21"/>
                <w:szCs w:val="21"/>
              </w:rPr>
              <w:t>；员工洗澡、食堂废水经单独收集后拉运至普光镇场镇污水处理厂处理</w:t>
            </w:r>
            <w:r>
              <w:rPr>
                <w:rFonts w:ascii="Times New Roman" w:cs="Times New Roman" w:hint="eastAsia"/>
                <w:kern w:val="2"/>
                <w:sz w:val="21"/>
                <w:szCs w:val="21"/>
              </w:rPr>
              <w:t>。</w:t>
            </w:r>
          </w:p>
        </w:tc>
        <w:tc>
          <w:tcPr>
            <w:tcW w:w="241"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kern w:val="2"/>
                <w:sz w:val="21"/>
                <w:szCs w:val="21"/>
              </w:rPr>
              <w:t>/</w:t>
            </w:r>
          </w:p>
        </w:tc>
      </w:tr>
      <w:tr w:rsidR="00BD5820">
        <w:trPr>
          <w:trHeight w:val="20"/>
        </w:trPr>
        <w:tc>
          <w:tcPr>
            <w:tcW w:w="418" w:type="pct"/>
            <w:vMerge/>
            <w:vAlign w:val="center"/>
          </w:tcPr>
          <w:p w:rsidR="00BD5820" w:rsidRDefault="00BD5820">
            <w:pPr>
              <w:pStyle w:val="TableParagraph"/>
              <w:spacing w:line="240" w:lineRule="auto"/>
              <w:ind w:firstLineChars="0" w:firstLine="0"/>
              <w:rPr>
                <w:rFonts w:ascii="Times New Roman" w:cs="Times New Roman"/>
                <w:kern w:val="2"/>
                <w:sz w:val="21"/>
                <w:szCs w:val="21"/>
              </w:rPr>
            </w:pPr>
          </w:p>
        </w:tc>
        <w:tc>
          <w:tcPr>
            <w:tcW w:w="307" w:type="pct"/>
            <w:gridSpan w:val="2"/>
            <w:vMerge/>
            <w:tcBorders>
              <w:right w:val="single" w:sz="2" w:space="0" w:color="000000"/>
            </w:tcBorders>
            <w:vAlign w:val="center"/>
          </w:tcPr>
          <w:p w:rsidR="00BD5820" w:rsidRDefault="00BD5820">
            <w:pPr>
              <w:pStyle w:val="TableParagraph"/>
              <w:kinsoku w:val="0"/>
              <w:overflowPunct w:val="0"/>
              <w:spacing w:line="240" w:lineRule="auto"/>
              <w:ind w:firstLineChars="0" w:firstLine="0"/>
              <w:rPr>
                <w:rFonts w:ascii="Times New Roman" w:cs="Times New Roman"/>
                <w:kern w:val="2"/>
                <w:sz w:val="21"/>
                <w:szCs w:val="21"/>
              </w:rPr>
            </w:pPr>
          </w:p>
        </w:tc>
        <w:tc>
          <w:tcPr>
            <w:tcW w:w="542" w:type="pct"/>
            <w:tcBorders>
              <w:left w:val="single" w:sz="2" w:space="0" w:color="000000"/>
            </w:tcBorders>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清管试压废水</w:t>
            </w:r>
          </w:p>
        </w:tc>
        <w:tc>
          <w:tcPr>
            <w:tcW w:w="243"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5</w:t>
            </w:r>
          </w:p>
        </w:tc>
        <w:tc>
          <w:tcPr>
            <w:tcW w:w="3247"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清管试压废水经沉淀后回用，不外排。</w:t>
            </w:r>
          </w:p>
        </w:tc>
        <w:tc>
          <w:tcPr>
            <w:tcW w:w="241"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w:t>
            </w:r>
          </w:p>
        </w:tc>
      </w:tr>
      <w:tr w:rsidR="00BD5820">
        <w:trPr>
          <w:trHeight w:val="20"/>
        </w:trPr>
        <w:tc>
          <w:tcPr>
            <w:tcW w:w="418" w:type="pct"/>
            <w:vMerge/>
            <w:vAlign w:val="center"/>
          </w:tcPr>
          <w:p w:rsidR="00BD5820" w:rsidRDefault="00BD5820">
            <w:pPr>
              <w:pStyle w:val="TableParagraph"/>
              <w:spacing w:line="240" w:lineRule="auto"/>
              <w:ind w:firstLineChars="0" w:firstLine="0"/>
              <w:rPr>
                <w:rFonts w:ascii="Times New Roman" w:cs="Times New Roman"/>
                <w:kern w:val="2"/>
                <w:sz w:val="21"/>
                <w:szCs w:val="21"/>
              </w:rPr>
            </w:pPr>
          </w:p>
        </w:tc>
        <w:tc>
          <w:tcPr>
            <w:tcW w:w="307" w:type="pct"/>
            <w:gridSpan w:val="2"/>
            <w:vMerge/>
            <w:tcBorders>
              <w:right w:val="single" w:sz="2" w:space="0" w:color="000000"/>
            </w:tcBorders>
            <w:vAlign w:val="center"/>
          </w:tcPr>
          <w:p w:rsidR="00BD5820" w:rsidRDefault="00BD5820">
            <w:pPr>
              <w:pStyle w:val="TableParagraph"/>
              <w:kinsoku w:val="0"/>
              <w:overflowPunct w:val="0"/>
              <w:spacing w:line="240" w:lineRule="auto"/>
              <w:ind w:firstLineChars="0" w:firstLine="0"/>
              <w:rPr>
                <w:rFonts w:ascii="Times New Roman" w:cs="Times New Roman"/>
                <w:kern w:val="2"/>
                <w:sz w:val="21"/>
                <w:szCs w:val="21"/>
              </w:rPr>
            </w:pPr>
          </w:p>
        </w:tc>
        <w:tc>
          <w:tcPr>
            <w:tcW w:w="542" w:type="pct"/>
            <w:tcBorders>
              <w:left w:val="single" w:sz="2" w:space="0" w:color="000000"/>
            </w:tcBorders>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站场施工废水</w:t>
            </w:r>
          </w:p>
        </w:tc>
        <w:tc>
          <w:tcPr>
            <w:tcW w:w="243"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1</w:t>
            </w:r>
            <w:r>
              <w:rPr>
                <w:rFonts w:ascii="Times New Roman" w:cs="Times New Roman"/>
                <w:kern w:val="2"/>
                <w:sz w:val="21"/>
                <w:szCs w:val="21"/>
              </w:rPr>
              <w:t>0</w:t>
            </w:r>
          </w:p>
        </w:tc>
        <w:tc>
          <w:tcPr>
            <w:tcW w:w="3247"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kern w:val="2"/>
                <w:sz w:val="21"/>
                <w:szCs w:val="21"/>
              </w:rPr>
              <w:t>设置施工废水沉淀池，施工废水沉淀后回用</w:t>
            </w:r>
            <w:r>
              <w:rPr>
                <w:rFonts w:ascii="Times New Roman" w:cs="Times New Roman" w:hint="eastAsia"/>
                <w:kern w:val="2"/>
                <w:sz w:val="21"/>
                <w:szCs w:val="21"/>
              </w:rPr>
              <w:t>。</w:t>
            </w:r>
          </w:p>
        </w:tc>
        <w:tc>
          <w:tcPr>
            <w:tcW w:w="241"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w:t>
            </w:r>
          </w:p>
        </w:tc>
      </w:tr>
      <w:tr w:rsidR="00BD5820">
        <w:trPr>
          <w:trHeight w:val="20"/>
        </w:trPr>
        <w:tc>
          <w:tcPr>
            <w:tcW w:w="418" w:type="pct"/>
            <w:vMerge/>
            <w:vAlign w:val="center"/>
          </w:tcPr>
          <w:p w:rsidR="00BD5820" w:rsidRDefault="00BD5820">
            <w:pPr>
              <w:pStyle w:val="TableParagraph"/>
              <w:spacing w:line="240" w:lineRule="auto"/>
              <w:ind w:firstLineChars="0" w:firstLine="0"/>
              <w:rPr>
                <w:rFonts w:ascii="Times New Roman" w:cs="Times New Roman"/>
                <w:kern w:val="2"/>
                <w:sz w:val="21"/>
                <w:szCs w:val="21"/>
              </w:rPr>
            </w:pPr>
          </w:p>
        </w:tc>
        <w:tc>
          <w:tcPr>
            <w:tcW w:w="307" w:type="pct"/>
            <w:gridSpan w:val="2"/>
            <w:tcBorders>
              <w:right w:val="single" w:sz="2" w:space="0" w:color="000000"/>
            </w:tcBorders>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运营期</w:t>
            </w:r>
          </w:p>
        </w:tc>
        <w:tc>
          <w:tcPr>
            <w:tcW w:w="542" w:type="pct"/>
            <w:tcBorders>
              <w:left w:val="single" w:sz="2" w:space="0" w:color="000000"/>
            </w:tcBorders>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气田水</w:t>
            </w:r>
          </w:p>
        </w:tc>
        <w:tc>
          <w:tcPr>
            <w:tcW w:w="243"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w:t>
            </w:r>
          </w:p>
        </w:tc>
        <w:tc>
          <w:tcPr>
            <w:tcW w:w="3247"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本项目运营期产生的气田水分别经普光</w:t>
            </w:r>
            <w:r>
              <w:rPr>
                <w:rFonts w:ascii="Times New Roman" w:cs="Times New Roman" w:hint="eastAsia"/>
                <w:kern w:val="2"/>
                <w:sz w:val="21"/>
                <w:szCs w:val="21"/>
              </w:rPr>
              <w:t>3#</w:t>
            </w:r>
            <w:r>
              <w:rPr>
                <w:rFonts w:ascii="Times New Roman" w:cs="Times New Roman" w:hint="eastAsia"/>
                <w:kern w:val="2"/>
                <w:sz w:val="21"/>
                <w:szCs w:val="21"/>
              </w:rPr>
              <w:t>水处理站、</w:t>
            </w:r>
            <w:r>
              <w:rPr>
                <w:rFonts w:ascii="Times New Roman" w:cs="Times New Roman" w:hint="eastAsia"/>
                <w:kern w:val="2"/>
                <w:sz w:val="21"/>
                <w:szCs w:val="21"/>
              </w:rPr>
              <w:t>1#</w:t>
            </w:r>
            <w:r>
              <w:rPr>
                <w:rFonts w:ascii="Times New Roman" w:cs="Times New Roman" w:hint="eastAsia"/>
                <w:kern w:val="2"/>
                <w:sz w:val="21"/>
                <w:szCs w:val="21"/>
              </w:rPr>
              <w:t>污水处理站集中处理，水处理采用新建预处理流程，满足压裂液配制要求，剩余采出水然后进入深度水处理站处理后回用，不外排</w:t>
            </w:r>
            <w:r>
              <w:rPr>
                <w:rFonts w:ascii="Times New Roman" w:cs="Times New Roman"/>
                <w:kern w:val="2"/>
                <w:sz w:val="21"/>
                <w:szCs w:val="21"/>
              </w:rPr>
              <w:t>。</w:t>
            </w:r>
          </w:p>
        </w:tc>
        <w:tc>
          <w:tcPr>
            <w:tcW w:w="241"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w:t>
            </w:r>
          </w:p>
        </w:tc>
      </w:tr>
      <w:tr w:rsidR="00BD5820">
        <w:trPr>
          <w:trHeight w:val="20"/>
        </w:trPr>
        <w:tc>
          <w:tcPr>
            <w:tcW w:w="418" w:type="pct"/>
            <w:vMerge w:val="restart"/>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噪声防治措施</w:t>
            </w:r>
          </w:p>
        </w:tc>
        <w:tc>
          <w:tcPr>
            <w:tcW w:w="849" w:type="pct"/>
            <w:gridSpan w:val="3"/>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施工期</w:t>
            </w:r>
          </w:p>
        </w:tc>
        <w:tc>
          <w:tcPr>
            <w:tcW w:w="243"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20</w:t>
            </w:r>
          </w:p>
        </w:tc>
        <w:tc>
          <w:tcPr>
            <w:tcW w:w="3247"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bookmarkStart w:id="550" w:name="_Hlk22306402"/>
            <w:r>
              <w:rPr>
                <w:rFonts w:ascii="Times New Roman" w:cs="Times New Roman"/>
                <w:kern w:val="2"/>
                <w:sz w:val="21"/>
                <w:szCs w:val="21"/>
              </w:rPr>
              <w:t>合理安排施工作业时间，合理布局施工现场，禁止夜间施工</w:t>
            </w:r>
            <w:bookmarkEnd w:id="550"/>
            <w:r>
              <w:rPr>
                <w:rFonts w:ascii="Times New Roman" w:cs="Times New Roman" w:hint="eastAsia"/>
                <w:kern w:val="2"/>
                <w:sz w:val="21"/>
                <w:szCs w:val="21"/>
              </w:rPr>
              <w:t>。</w:t>
            </w:r>
          </w:p>
        </w:tc>
        <w:tc>
          <w:tcPr>
            <w:tcW w:w="241"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kern w:val="2"/>
                <w:sz w:val="21"/>
                <w:szCs w:val="21"/>
              </w:rPr>
              <w:t>/</w:t>
            </w:r>
          </w:p>
        </w:tc>
      </w:tr>
      <w:tr w:rsidR="00BD5820">
        <w:trPr>
          <w:trHeight w:val="20"/>
        </w:trPr>
        <w:tc>
          <w:tcPr>
            <w:tcW w:w="418" w:type="pct"/>
            <w:vMerge/>
            <w:vAlign w:val="center"/>
          </w:tcPr>
          <w:p w:rsidR="00BD5820" w:rsidRDefault="00BD5820">
            <w:pPr>
              <w:pStyle w:val="TableParagraph"/>
              <w:spacing w:line="240" w:lineRule="auto"/>
              <w:ind w:firstLineChars="0" w:firstLine="0"/>
              <w:rPr>
                <w:rFonts w:ascii="Times New Roman" w:cs="Times New Roman"/>
                <w:kern w:val="2"/>
                <w:sz w:val="21"/>
                <w:szCs w:val="21"/>
              </w:rPr>
            </w:pPr>
          </w:p>
        </w:tc>
        <w:tc>
          <w:tcPr>
            <w:tcW w:w="849" w:type="pct"/>
            <w:gridSpan w:val="3"/>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运营期</w:t>
            </w:r>
          </w:p>
        </w:tc>
        <w:tc>
          <w:tcPr>
            <w:tcW w:w="243"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w:t>
            </w:r>
          </w:p>
        </w:tc>
        <w:tc>
          <w:tcPr>
            <w:tcW w:w="3247"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基础减振和距离衰减</w:t>
            </w:r>
          </w:p>
        </w:tc>
        <w:tc>
          <w:tcPr>
            <w:tcW w:w="241" w:type="pct"/>
            <w:vAlign w:val="center"/>
          </w:tcPr>
          <w:p w:rsidR="00BD5820" w:rsidRDefault="00BD5820">
            <w:pPr>
              <w:pStyle w:val="TableParagraph"/>
              <w:kinsoku w:val="0"/>
              <w:overflowPunct w:val="0"/>
              <w:spacing w:line="240" w:lineRule="auto"/>
              <w:ind w:firstLineChars="0" w:firstLine="0"/>
              <w:rPr>
                <w:rFonts w:ascii="Times New Roman" w:cs="Times New Roman"/>
                <w:kern w:val="2"/>
                <w:sz w:val="21"/>
                <w:szCs w:val="21"/>
              </w:rPr>
            </w:pPr>
          </w:p>
        </w:tc>
      </w:tr>
      <w:tr w:rsidR="00BD5820">
        <w:trPr>
          <w:trHeight w:val="20"/>
        </w:trPr>
        <w:tc>
          <w:tcPr>
            <w:tcW w:w="418" w:type="pct"/>
            <w:vMerge w:val="restart"/>
            <w:vAlign w:val="center"/>
          </w:tcPr>
          <w:p w:rsidR="00BD5820" w:rsidRDefault="00F64314">
            <w:pPr>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固废处理措施</w:t>
            </w:r>
          </w:p>
        </w:tc>
        <w:tc>
          <w:tcPr>
            <w:tcW w:w="307" w:type="pct"/>
            <w:gridSpan w:val="2"/>
            <w:vMerge w:val="restart"/>
            <w:tcBorders>
              <w:right w:val="single" w:sz="2" w:space="0" w:color="000000"/>
            </w:tcBorders>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施工期</w:t>
            </w:r>
          </w:p>
        </w:tc>
        <w:tc>
          <w:tcPr>
            <w:tcW w:w="542" w:type="pct"/>
            <w:tcBorders>
              <w:left w:val="single" w:sz="2" w:space="0" w:color="000000"/>
            </w:tcBorders>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施工人员生活垃圾</w:t>
            </w:r>
          </w:p>
        </w:tc>
        <w:tc>
          <w:tcPr>
            <w:tcW w:w="243"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kern w:val="2"/>
                <w:sz w:val="21"/>
                <w:szCs w:val="21"/>
              </w:rPr>
              <w:t>1</w:t>
            </w:r>
          </w:p>
        </w:tc>
        <w:tc>
          <w:tcPr>
            <w:tcW w:w="3247"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交由环卫部门处理</w:t>
            </w:r>
          </w:p>
        </w:tc>
        <w:tc>
          <w:tcPr>
            <w:tcW w:w="241"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kern w:val="2"/>
                <w:sz w:val="21"/>
                <w:szCs w:val="21"/>
              </w:rPr>
              <w:t>/</w:t>
            </w:r>
          </w:p>
        </w:tc>
      </w:tr>
      <w:tr w:rsidR="00BD5820">
        <w:trPr>
          <w:trHeight w:val="20"/>
        </w:trPr>
        <w:tc>
          <w:tcPr>
            <w:tcW w:w="418" w:type="pct"/>
            <w:vMerge/>
            <w:vAlign w:val="center"/>
          </w:tcPr>
          <w:p w:rsidR="00BD5820" w:rsidRDefault="00BD5820">
            <w:pPr>
              <w:spacing w:line="240" w:lineRule="auto"/>
              <w:ind w:firstLineChars="0" w:firstLine="0"/>
              <w:jc w:val="center"/>
              <w:rPr>
                <w:rFonts w:ascii="Times New Roman" w:cs="Times New Roman"/>
                <w:kern w:val="2"/>
                <w:sz w:val="21"/>
                <w:szCs w:val="21"/>
              </w:rPr>
            </w:pPr>
          </w:p>
        </w:tc>
        <w:tc>
          <w:tcPr>
            <w:tcW w:w="307" w:type="pct"/>
            <w:gridSpan w:val="2"/>
            <w:vMerge/>
            <w:tcBorders>
              <w:right w:val="single" w:sz="2" w:space="0" w:color="000000"/>
            </w:tcBorders>
            <w:vAlign w:val="center"/>
          </w:tcPr>
          <w:p w:rsidR="00BD5820" w:rsidRDefault="00BD5820">
            <w:pPr>
              <w:pStyle w:val="TableParagraph"/>
              <w:kinsoku w:val="0"/>
              <w:overflowPunct w:val="0"/>
              <w:spacing w:line="240" w:lineRule="auto"/>
              <w:ind w:firstLineChars="0" w:firstLine="0"/>
              <w:rPr>
                <w:rFonts w:ascii="Times New Roman" w:cs="Times New Roman"/>
                <w:kern w:val="2"/>
                <w:sz w:val="21"/>
                <w:szCs w:val="21"/>
              </w:rPr>
            </w:pPr>
          </w:p>
        </w:tc>
        <w:tc>
          <w:tcPr>
            <w:tcW w:w="542" w:type="pct"/>
            <w:tcBorders>
              <w:left w:val="single" w:sz="2" w:space="0" w:color="000000"/>
            </w:tcBorders>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施工废料</w:t>
            </w:r>
          </w:p>
        </w:tc>
        <w:tc>
          <w:tcPr>
            <w:tcW w:w="243"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2</w:t>
            </w:r>
          </w:p>
        </w:tc>
        <w:tc>
          <w:tcPr>
            <w:tcW w:w="3247"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施工废料部分回收利用，剩余废料依托当地环卫部门处置</w:t>
            </w:r>
          </w:p>
        </w:tc>
        <w:tc>
          <w:tcPr>
            <w:tcW w:w="241"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kern w:val="2"/>
                <w:sz w:val="21"/>
                <w:szCs w:val="21"/>
              </w:rPr>
              <w:t>/</w:t>
            </w:r>
          </w:p>
        </w:tc>
      </w:tr>
      <w:tr w:rsidR="00BD5820">
        <w:trPr>
          <w:trHeight w:val="20"/>
        </w:trPr>
        <w:tc>
          <w:tcPr>
            <w:tcW w:w="418" w:type="pct"/>
            <w:vMerge/>
            <w:vAlign w:val="center"/>
          </w:tcPr>
          <w:p w:rsidR="00BD5820" w:rsidRDefault="00BD5820">
            <w:pPr>
              <w:spacing w:line="240" w:lineRule="auto"/>
              <w:ind w:firstLineChars="0" w:firstLine="0"/>
              <w:jc w:val="center"/>
              <w:rPr>
                <w:rFonts w:ascii="Times New Roman" w:cs="Times New Roman"/>
                <w:kern w:val="2"/>
                <w:sz w:val="21"/>
                <w:szCs w:val="21"/>
              </w:rPr>
            </w:pPr>
          </w:p>
        </w:tc>
        <w:tc>
          <w:tcPr>
            <w:tcW w:w="307" w:type="pct"/>
            <w:gridSpan w:val="2"/>
            <w:vMerge w:val="restart"/>
            <w:tcBorders>
              <w:right w:val="single" w:sz="2" w:space="0" w:color="000000"/>
            </w:tcBorders>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kern w:val="2"/>
                <w:sz w:val="21"/>
                <w:szCs w:val="21"/>
              </w:rPr>
              <w:t>运营期</w:t>
            </w:r>
          </w:p>
        </w:tc>
        <w:tc>
          <w:tcPr>
            <w:tcW w:w="542" w:type="pct"/>
            <w:tcBorders>
              <w:left w:val="single" w:sz="2" w:space="0" w:color="000000"/>
            </w:tcBorders>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生活垃圾</w:t>
            </w:r>
          </w:p>
        </w:tc>
        <w:tc>
          <w:tcPr>
            <w:tcW w:w="243"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kern w:val="2"/>
                <w:sz w:val="21"/>
                <w:szCs w:val="21"/>
              </w:rPr>
              <w:t>/</w:t>
            </w:r>
          </w:p>
        </w:tc>
        <w:tc>
          <w:tcPr>
            <w:tcW w:w="3247"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hint="eastAsia"/>
                <w:sz w:val="21"/>
                <w:szCs w:val="21"/>
              </w:rPr>
              <w:t>本项目站场</w:t>
            </w:r>
            <w:r>
              <w:rPr>
                <w:rFonts w:ascii="Times New Roman" w:cs="Times New Roman"/>
                <w:kern w:val="2"/>
                <w:sz w:val="21"/>
                <w:szCs w:val="21"/>
              </w:rPr>
              <w:t>为</w:t>
            </w:r>
            <w:r>
              <w:rPr>
                <w:rFonts w:ascii="Times New Roman" w:cs="Times New Roman" w:hint="eastAsia"/>
                <w:kern w:val="2"/>
                <w:sz w:val="21"/>
                <w:szCs w:val="21"/>
              </w:rPr>
              <w:t>无</w:t>
            </w:r>
            <w:r>
              <w:rPr>
                <w:rFonts w:ascii="Times New Roman" w:cs="Times New Roman"/>
                <w:kern w:val="2"/>
                <w:sz w:val="21"/>
                <w:szCs w:val="21"/>
              </w:rPr>
              <w:t>人值守站，</w:t>
            </w:r>
            <w:r>
              <w:rPr>
                <w:rFonts w:ascii="Times New Roman" w:cs="Times New Roman" w:hint="eastAsia"/>
                <w:kern w:val="2"/>
                <w:sz w:val="21"/>
                <w:szCs w:val="21"/>
              </w:rPr>
              <w:t>人员依托</w:t>
            </w:r>
            <w:r>
              <w:rPr>
                <w:rFonts w:ascii="Times New Roman" w:cs="Times New Roman"/>
                <w:kern w:val="2"/>
                <w:sz w:val="21"/>
                <w:szCs w:val="21"/>
              </w:rPr>
              <w:t>P102</w:t>
            </w:r>
            <w:r>
              <w:rPr>
                <w:rFonts w:ascii="Times New Roman" w:cs="Times New Roman"/>
                <w:kern w:val="2"/>
                <w:sz w:val="21"/>
                <w:szCs w:val="21"/>
              </w:rPr>
              <w:t>集气站</w:t>
            </w:r>
            <w:r>
              <w:rPr>
                <w:rFonts w:ascii="Times New Roman" w:cs="Times New Roman" w:hint="eastAsia"/>
                <w:kern w:val="2"/>
                <w:sz w:val="21"/>
                <w:szCs w:val="21"/>
              </w:rPr>
              <w:t>及净化厂，</w:t>
            </w:r>
            <w:r>
              <w:rPr>
                <w:rFonts w:ascii="Times New Roman" w:cs="Times New Roman"/>
                <w:kern w:val="2"/>
                <w:sz w:val="21"/>
                <w:szCs w:val="21"/>
              </w:rPr>
              <w:t>工作人员</w:t>
            </w:r>
            <w:r>
              <w:rPr>
                <w:rFonts w:ascii="Times New Roman" w:cs="Times New Roman" w:hint="eastAsia"/>
                <w:kern w:val="2"/>
                <w:sz w:val="21"/>
                <w:szCs w:val="21"/>
              </w:rPr>
              <w:t>10</w:t>
            </w:r>
            <w:r>
              <w:rPr>
                <w:rFonts w:ascii="Times New Roman" w:cs="Times New Roman"/>
                <w:kern w:val="2"/>
                <w:sz w:val="21"/>
                <w:szCs w:val="21"/>
              </w:rPr>
              <w:t>人</w:t>
            </w:r>
            <w:r>
              <w:rPr>
                <w:rFonts w:ascii="Times New Roman" w:cs="Times New Roman" w:hint="eastAsia"/>
                <w:kern w:val="2"/>
                <w:sz w:val="21"/>
                <w:szCs w:val="21"/>
              </w:rPr>
              <w:t>，运营期无生活垃圾产生。</w:t>
            </w:r>
          </w:p>
        </w:tc>
        <w:tc>
          <w:tcPr>
            <w:tcW w:w="241"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kern w:val="2"/>
                <w:sz w:val="21"/>
                <w:szCs w:val="21"/>
              </w:rPr>
              <w:t>/</w:t>
            </w:r>
          </w:p>
        </w:tc>
      </w:tr>
      <w:tr w:rsidR="00BD5820">
        <w:trPr>
          <w:trHeight w:val="20"/>
        </w:trPr>
        <w:tc>
          <w:tcPr>
            <w:tcW w:w="418" w:type="pct"/>
            <w:vMerge/>
            <w:vAlign w:val="center"/>
          </w:tcPr>
          <w:p w:rsidR="00BD5820" w:rsidRDefault="00BD5820">
            <w:pPr>
              <w:spacing w:line="240" w:lineRule="auto"/>
              <w:ind w:firstLineChars="0" w:firstLine="0"/>
              <w:jc w:val="center"/>
              <w:rPr>
                <w:rFonts w:ascii="Times New Roman" w:cs="Times New Roman"/>
                <w:kern w:val="2"/>
                <w:sz w:val="21"/>
                <w:szCs w:val="21"/>
              </w:rPr>
            </w:pPr>
          </w:p>
        </w:tc>
        <w:tc>
          <w:tcPr>
            <w:tcW w:w="307" w:type="pct"/>
            <w:gridSpan w:val="2"/>
            <w:vMerge/>
            <w:tcBorders>
              <w:right w:val="single" w:sz="2" w:space="0" w:color="000000"/>
            </w:tcBorders>
            <w:vAlign w:val="center"/>
          </w:tcPr>
          <w:p w:rsidR="00BD5820" w:rsidRDefault="00BD5820">
            <w:pPr>
              <w:pStyle w:val="TableParagraph"/>
              <w:kinsoku w:val="0"/>
              <w:overflowPunct w:val="0"/>
              <w:spacing w:line="240" w:lineRule="auto"/>
              <w:ind w:firstLineChars="0" w:firstLine="0"/>
              <w:rPr>
                <w:rFonts w:ascii="Times New Roman" w:cs="Times New Roman"/>
                <w:kern w:val="2"/>
                <w:sz w:val="21"/>
                <w:szCs w:val="21"/>
              </w:rPr>
            </w:pPr>
          </w:p>
        </w:tc>
        <w:tc>
          <w:tcPr>
            <w:tcW w:w="542" w:type="pct"/>
            <w:tcBorders>
              <w:left w:val="single" w:sz="2" w:space="0" w:color="000000"/>
            </w:tcBorders>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废油、污泥</w:t>
            </w:r>
          </w:p>
        </w:tc>
        <w:tc>
          <w:tcPr>
            <w:tcW w:w="243"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55</w:t>
            </w:r>
          </w:p>
        </w:tc>
        <w:tc>
          <w:tcPr>
            <w:tcW w:w="3247" w:type="pct"/>
            <w:vAlign w:val="center"/>
          </w:tcPr>
          <w:p w:rsidR="00BD5820" w:rsidRDefault="00F64314">
            <w:pPr>
              <w:pStyle w:val="TableParagraph"/>
              <w:kinsoku w:val="0"/>
              <w:overflowPunct w:val="0"/>
              <w:spacing w:line="240" w:lineRule="auto"/>
              <w:ind w:firstLineChars="0" w:firstLine="0"/>
              <w:rPr>
                <w:sz w:val="21"/>
                <w:szCs w:val="21"/>
              </w:rPr>
            </w:pPr>
            <w:r>
              <w:rPr>
                <w:rFonts w:hint="eastAsia"/>
                <w:sz w:val="21"/>
                <w:szCs w:val="21"/>
              </w:rPr>
              <w:t>废润</w:t>
            </w:r>
            <w:r>
              <w:rPr>
                <w:rFonts w:ascii="Times New Roman" w:cs="Times New Roman" w:hint="eastAsia"/>
                <w:kern w:val="2"/>
                <w:sz w:val="21"/>
                <w:szCs w:val="21"/>
              </w:rPr>
              <w:t>滑油、污泥暂存于危废暂存间，面积约</w:t>
            </w:r>
            <w:r>
              <w:rPr>
                <w:rFonts w:ascii="Times New Roman" w:cs="Times New Roman" w:hint="eastAsia"/>
                <w:kern w:val="2"/>
                <w:sz w:val="21"/>
                <w:szCs w:val="21"/>
              </w:rPr>
              <w:t>5m</w:t>
            </w:r>
            <w:r>
              <w:rPr>
                <w:rFonts w:ascii="Times New Roman" w:cs="Times New Roman" w:hint="eastAsia"/>
                <w:kern w:val="2"/>
                <w:sz w:val="21"/>
                <w:szCs w:val="21"/>
                <w:vertAlign w:val="superscript"/>
              </w:rPr>
              <w:t>2</w:t>
            </w:r>
            <w:r>
              <w:rPr>
                <w:rFonts w:ascii="Times New Roman" w:cs="Times New Roman" w:hint="eastAsia"/>
                <w:kern w:val="2"/>
                <w:sz w:val="21"/>
                <w:szCs w:val="21"/>
              </w:rPr>
              <w:t>，暂存间地面采取四防措施（防风、防雨、防晒、防渗漏），并及时清运至企业净化厂危险废物贮存仓库（与普光气田</w:t>
            </w:r>
            <w:r>
              <w:rPr>
                <w:rFonts w:ascii="Times New Roman" w:cs="Times New Roman" w:hint="eastAsia"/>
                <w:kern w:val="2"/>
                <w:sz w:val="21"/>
                <w:szCs w:val="21"/>
              </w:rPr>
              <w:t>1#</w:t>
            </w:r>
            <w:r>
              <w:rPr>
                <w:rFonts w:ascii="Times New Roman" w:cs="Times New Roman" w:hint="eastAsia"/>
                <w:kern w:val="2"/>
                <w:sz w:val="21"/>
                <w:szCs w:val="21"/>
              </w:rPr>
              <w:t>增压站、普光气田</w:t>
            </w:r>
            <w:r>
              <w:rPr>
                <w:rFonts w:ascii="Times New Roman" w:cs="Times New Roman" w:hint="eastAsia"/>
                <w:kern w:val="2"/>
                <w:sz w:val="21"/>
                <w:szCs w:val="21"/>
              </w:rPr>
              <w:t>2#</w:t>
            </w:r>
            <w:r>
              <w:rPr>
                <w:rFonts w:ascii="Times New Roman" w:cs="Times New Roman" w:hint="eastAsia"/>
                <w:kern w:val="2"/>
                <w:sz w:val="21"/>
                <w:szCs w:val="21"/>
              </w:rPr>
              <w:t>增压站运距分别为</w:t>
            </w:r>
            <w:r>
              <w:rPr>
                <w:rFonts w:ascii="Times New Roman" w:cs="Times New Roman" w:hint="eastAsia"/>
                <w:kern w:val="2"/>
                <w:sz w:val="21"/>
                <w:szCs w:val="21"/>
              </w:rPr>
              <w:t>12km</w:t>
            </w:r>
            <w:r>
              <w:rPr>
                <w:rFonts w:ascii="Times New Roman" w:cs="Times New Roman" w:hint="eastAsia"/>
                <w:kern w:val="2"/>
                <w:sz w:val="21"/>
                <w:szCs w:val="21"/>
              </w:rPr>
              <w:t>和</w:t>
            </w:r>
            <w:r>
              <w:rPr>
                <w:rFonts w:ascii="Times New Roman" w:cs="Times New Roman" w:hint="eastAsia"/>
                <w:kern w:val="2"/>
                <w:sz w:val="21"/>
                <w:szCs w:val="21"/>
              </w:rPr>
              <w:t>1.6km</w:t>
            </w:r>
            <w:r>
              <w:rPr>
                <w:rFonts w:ascii="Times New Roman" w:cs="Times New Roman" w:hint="eastAsia"/>
                <w:kern w:val="2"/>
                <w:sz w:val="21"/>
                <w:szCs w:val="21"/>
              </w:rPr>
              <w:t>），</w:t>
            </w:r>
            <w:r>
              <w:rPr>
                <w:rFonts w:hint="eastAsia"/>
                <w:sz w:val="21"/>
                <w:szCs w:val="21"/>
              </w:rPr>
              <w:t>定期委托有资质单位进行处理。</w:t>
            </w:r>
          </w:p>
        </w:tc>
        <w:tc>
          <w:tcPr>
            <w:tcW w:w="241"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kern w:val="2"/>
                <w:sz w:val="21"/>
                <w:szCs w:val="21"/>
              </w:rPr>
              <w:t>/</w:t>
            </w:r>
          </w:p>
        </w:tc>
      </w:tr>
      <w:tr w:rsidR="00BD5820">
        <w:trPr>
          <w:trHeight w:val="75"/>
        </w:trPr>
        <w:tc>
          <w:tcPr>
            <w:tcW w:w="418" w:type="pct"/>
            <w:vMerge w:val="restart"/>
            <w:vAlign w:val="center"/>
          </w:tcPr>
          <w:p w:rsidR="00BD5820" w:rsidRDefault="00F64314">
            <w:pPr>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地下水防治措施</w:t>
            </w:r>
          </w:p>
        </w:tc>
        <w:tc>
          <w:tcPr>
            <w:tcW w:w="849" w:type="pct"/>
            <w:gridSpan w:val="3"/>
            <w:vMerge w:val="restar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kern w:val="2"/>
                <w:sz w:val="21"/>
                <w:szCs w:val="21"/>
              </w:rPr>
              <w:t>施工期</w:t>
            </w:r>
          </w:p>
        </w:tc>
        <w:tc>
          <w:tcPr>
            <w:tcW w:w="243"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kern w:val="2"/>
                <w:sz w:val="21"/>
                <w:szCs w:val="21"/>
              </w:rPr>
              <w:t>/</w:t>
            </w:r>
          </w:p>
        </w:tc>
        <w:tc>
          <w:tcPr>
            <w:tcW w:w="3247"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kern w:val="2"/>
                <w:sz w:val="21"/>
                <w:szCs w:val="21"/>
              </w:rPr>
              <w:t>管沟开挖钱对沿线地质情况就行详细勘察。</w:t>
            </w:r>
          </w:p>
        </w:tc>
        <w:tc>
          <w:tcPr>
            <w:tcW w:w="241" w:type="pct"/>
            <w:vMerge w:val="restar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kern w:val="2"/>
                <w:sz w:val="21"/>
                <w:szCs w:val="21"/>
              </w:rPr>
              <w:t>计入工程设计</w:t>
            </w:r>
          </w:p>
        </w:tc>
      </w:tr>
      <w:tr w:rsidR="00BD5820">
        <w:trPr>
          <w:trHeight w:val="75"/>
        </w:trPr>
        <w:tc>
          <w:tcPr>
            <w:tcW w:w="418" w:type="pct"/>
            <w:vMerge/>
            <w:vAlign w:val="center"/>
          </w:tcPr>
          <w:p w:rsidR="00BD5820" w:rsidRDefault="00BD5820">
            <w:pPr>
              <w:spacing w:line="240" w:lineRule="auto"/>
              <w:ind w:firstLineChars="0" w:firstLine="0"/>
              <w:jc w:val="center"/>
              <w:rPr>
                <w:rFonts w:ascii="Times New Roman" w:cs="Times New Roman"/>
                <w:kern w:val="2"/>
                <w:sz w:val="21"/>
                <w:szCs w:val="21"/>
              </w:rPr>
            </w:pPr>
          </w:p>
        </w:tc>
        <w:tc>
          <w:tcPr>
            <w:tcW w:w="849" w:type="pct"/>
            <w:gridSpan w:val="3"/>
            <w:vMerge/>
            <w:vAlign w:val="center"/>
          </w:tcPr>
          <w:p w:rsidR="00BD5820" w:rsidRDefault="00BD5820">
            <w:pPr>
              <w:pStyle w:val="TableParagraph"/>
              <w:kinsoku w:val="0"/>
              <w:overflowPunct w:val="0"/>
              <w:spacing w:line="240" w:lineRule="auto"/>
              <w:ind w:firstLineChars="0" w:firstLine="0"/>
              <w:rPr>
                <w:rFonts w:ascii="Times New Roman" w:cs="Times New Roman"/>
                <w:kern w:val="2"/>
                <w:sz w:val="21"/>
                <w:szCs w:val="21"/>
              </w:rPr>
            </w:pPr>
          </w:p>
        </w:tc>
        <w:tc>
          <w:tcPr>
            <w:tcW w:w="243"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w:t>
            </w:r>
          </w:p>
        </w:tc>
        <w:tc>
          <w:tcPr>
            <w:tcW w:w="3247"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放喷池池底、池壁防渗。</w:t>
            </w:r>
          </w:p>
        </w:tc>
        <w:tc>
          <w:tcPr>
            <w:tcW w:w="241" w:type="pct"/>
            <w:vMerge/>
            <w:vAlign w:val="center"/>
          </w:tcPr>
          <w:p w:rsidR="00BD5820" w:rsidRDefault="00BD5820">
            <w:pPr>
              <w:pStyle w:val="TableParagraph"/>
              <w:kinsoku w:val="0"/>
              <w:overflowPunct w:val="0"/>
              <w:spacing w:line="240" w:lineRule="auto"/>
              <w:ind w:firstLineChars="0" w:firstLine="0"/>
              <w:rPr>
                <w:rFonts w:ascii="Times New Roman" w:cs="Times New Roman"/>
                <w:kern w:val="2"/>
                <w:sz w:val="21"/>
                <w:szCs w:val="21"/>
              </w:rPr>
            </w:pPr>
          </w:p>
        </w:tc>
      </w:tr>
      <w:tr w:rsidR="00BD5820">
        <w:trPr>
          <w:trHeight w:val="75"/>
        </w:trPr>
        <w:tc>
          <w:tcPr>
            <w:tcW w:w="418" w:type="pct"/>
            <w:vMerge/>
            <w:vAlign w:val="center"/>
          </w:tcPr>
          <w:p w:rsidR="00BD5820" w:rsidRDefault="00BD5820">
            <w:pPr>
              <w:spacing w:line="240" w:lineRule="auto"/>
              <w:ind w:firstLineChars="0" w:firstLine="0"/>
              <w:jc w:val="center"/>
              <w:rPr>
                <w:rFonts w:ascii="Times New Roman" w:cs="Times New Roman"/>
                <w:kern w:val="2"/>
                <w:sz w:val="21"/>
                <w:szCs w:val="21"/>
              </w:rPr>
            </w:pPr>
          </w:p>
        </w:tc>
        <w:tc>
          <w:tcPr>
            <w:tcW w:w="849" w:type="pct"/>
            <w:gridSpan w:val="3"/>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kern w:val="2"/>
                <w:sz w:val="21"/>
                <w:szCs w:val="21"/>
              </w:rPr>
              <w:t>运营期</w:t>
            </w:r>
          </w:p>
        </w:tc>
        <w:tc>
          <w:tcPr>
            <w:tcW w:w="243"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w:t>
            </w:r>
          </w:p>
        </w:tc>
        <w:tc>
          <w:tcPr>
            <w:tcW w:w="3247"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hint="eastAsia"/>
                <w:kern w:val="2"/>
                <w:sz w:val="21"/>
                <w:szCs w:val="21"/>
              </w:rPr>
              <w:t>润滑油储罐四周</w:t>
            </w:r>
            <w:r>
              <w:rPr>
                <w:rFonts w:ascii="Times New Roman" w:cs="Times New Roman"/>
                <w:kern w:val="2"/>
                <w:sz w:val="21"/>
                <w:szCs w:val="21"/>
              </w:rPr>
              <w:t>设置防渗围堰，污水罐四周设置防渗围堰，站场内进行分区防渗</w:t>
            </w:r>
            <w:r>
              <w:rPr>
                <w:rFonts w:ascii="Times New Roman" w:cs="Times New Roman" w:hint="eastAsia"/>
                <w:kern w:val="2"/>
                <w:sz w:val="21"/>
                <w:szCs w:val="21"/>
              </w:rPr>
              <w:t>。</w:t>
            </w:r>
          </w:p>
        </w:tc>
        <w:tc>
          <w:tcPr>
            <w:tcW w:w="241" w:type="pct"/>
            <w:vMerge/>
            <w:vAlign w:val="center"/>
          </w:tcPr>
          <w:p w:rsidR="00BD5820" w:rsidRDefault="00BD5820">
            <w:pPr>
              <w:pStyle w:val="TableParagraph"/>
              <w:kinsoku w:val="0"/>
              <w:overflowPunct w:val="0"/>
              <w:spacing w:line="240" w:lineRule="auto"/>
              <w:ind w:firstLineChars="0" w:firstLine="0"/>
              <w:rPr>
                <w:rFonts w:ascii="Times New Roman" w:cs="Times New Roman"/>
                <w:kern w:val="2"/>
                <w:sz w:val="21"/>
                <w:szCs w:val="21"/>
              </w:rPr>
            </w:pPr>
          </w:p>
        </w:tc>
      </w:tr>
      <w:tr w:rsidR="00BD5820">
        <w:trPr>
          <w:trHeight w:val="20"/>
        </w:trPr>
        <w:tc>
          <w:tcPr>
            <w:tcW w:w="418" w:type="pct"/>
            <w:vMerge w:val="restart"/>
            <w:vAlign w:val="center"/>
          </w:tcPr>
          <w:p w:rsidR="00BD5820" w:rsidRDefault="00F64314">
            <w:pPr>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环境风险措施</w:t>
            </w:r>
          </w:p>
        </w:tc>
        <w:tc>
          <w:tcPr>
            <w:tcW w:w="849" w:type="pct"/>
            <w:gridSpan w:val="3"/>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kern w:val="2"/>
                <w:sz w:val="21"/>
                <w:szCs w:val="21"/>
              </w:rPr>
              <w:t>管道施工防护措施</w:t>
            </w:r>
          </w:p>
        </w:tc>
        <w:tc>
          <w:tcPr>
            <w:tcW w:w="243"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kern w:val="2"/>
                <w:sz w:val="21"/>
                <w:szCs w:val="21"/>
              </w:rPr>
              <w:t>/</w:t>
            </w:r>
          </w:p>
        </w:tc>
        <w:tc>
          <w:tcPr>
            <w:tcW w:w="3247"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kern w:val="2"/>
                <w:sz w:val="21"/>
                <w:szCs w:val="21"/>
              </w:rPr>
              <w:t>做好管道防护加固措施、防腐工程、阴极保护等措施</w:t>
            </w:r>
            <w:r>
              <w:rPr>
                <w:rFonts w:ascii="Times New Roman" w:cs="Times New Roman" w:hint="eastAsia"/>
                <w:kern w:val="2"/>
                <w:sz w:val="21"/>
                <w:szCs w:val="21"/>
              </w:rPr>
              <w:t>。</w:t>
            </w:r>
          </w:p>
        </w:tc>
        <w:tc>
          <w:tcPr>
            <w:tcW w:w="241" w:type="pct"/>
            <w:vMerge w:val="restar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kern w:val="2"/>
                <w:sz w:val="21"/>
                <w:szCs w:val="21"/>
              </w:rPr>
              <w:t>计入主体工程</w:t>
            </w:r>
          </w:p>
        </w:tc>
      </w:tr>
      <w:tr w:rsidR="00BD5820">
        <w:trPr>
          <w:trHeight w:val="20"/>
        </w:trPr>
        <w:tc>
          <w:tcPr>
            <w:tcW w:w="418" w:type="pct"/>
            <w:vMerge/>
            <w:vAlign w:val="center"/>
          </w:tcPr>
          <w:p w:rsidR="00BD5820" w:rsidRDefault="00BD5820">
            <w:pPr>
              <w:spacing w:line="240" w:lineRule="auto"/>
              <w:ind w:firstLineChars="0" w:firstLine="0"/>
              <w:jc w:val="center"/>
              <w:rPr>
                <w:rFonts w:ascii="Times New Roman" w:cs="Times New Roman"/>
                <w:kern w:val="2"/>
                <w:sz w:val="21"/>
                <w:szCs w:val="21"/>
              </w:rPr>
            </w:pPr>
          </w:p>
        </w:tc>
        <w:tc>
          <w:tcPr>
            <w:tcW w:w="849" w:type="pct"/>
            <w:gridSpan w:val="3"/>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kern w:val="2"/>
                <w:sz w:val="21"/>
                <w:szCs w:val="21"/>
              </w:rPr>
              <w:t>消防措施</w:t>
            </w:r>
          </w:p>
        </w:tc>
        <w:tc>
          <w:tcPr>
            <w:tcW w:w="243"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kern w:val="2"/>
                <w:sz w:val="21"/>
                <w:szCs w:val="21"/>
              </w:rPr>
              <w:t>/</w:t>
            </w:r>
          </w:p>
        </w:tc>
        <w:tc>
          <w:tcPr>
            <w:tcW w:w="3247"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kern w:val="2"/>
                <w:sz w:val="21"/>
                <w:szCs w:val="21"/>
              </w:rPr>
              <w:t>按《建筑灭火器的配置设计规范》，在站</w:t>
            </w:r>
            <w:r>
              <w:rPr>
                <w:rFonts w:ascii="Times New Roman" w:cs="Times New Roman" w:hint="eastAsia"/>
                <w:kern w:val="2"/>
                <w:sz w:val="21"/>
                <w:szCs w:val="21"/>
              </w:rPr>
              <w:t>场</w:t>
            </w:r>
            <w:r>
              <w:rPr>
                <w:rFonts w:ascii="Times New Roman" w:cs="Times New Roman"/>
                <w:kern w:val="2"/>
                <w:sz w:val="21"/>
                <w:szCs w:val="21"/>
              </w:rPr>
              <w:t>装置区配置消防栓、各种手提式、推车式的</w:t>
            </w:r>
            <w:r>
              <w:rPr>
                <w:rFonts w:ascii="Times New Roman" w:cs="Times New Roman"/>
                <w:kern w:val="2"/>
                <w:sz w:val="21"/>
                <w:szCs w:val="21"/>
              </w:rPr>
              <w:t>CO</w:t>
            </w:r>
            <w:r>
              <w:rPr>
                <w:rFonts w:ascii="Times New Roman" w:cs="Times New Roman"/>
                <w:kern w:val="2"/>
                <w:sz w:val="21"/>
                <w:szCs w:val="21"/>
                <w:vertAlign w:val="subscript"/>
              </w:rPr>
              <w:t>2</w:t>
            </w:r>
            <w:r>
              <w:rPr>
                <w:rFonts w:ascii="Times New Roman" w:cs="Times New Roman"/>
                <w:kern w:val="2"/>
                <w:sz w:val="21"/>
                <w:szCs w:val="21"/>
              </w:rPr>
              <w:t>、干粉、泡</w:t>
            </w:r>
            <w:r>
              <w:rPr>
                <w:rFonts w:ascii="Times New Roman" w:cs="Times New Roman"/>
                <w:kern w:val="2"/>
                <w:sz w:val="21"/>
                <w:szCs w:val="21"/>
              </w:rPr>
              <w:lastRenderedPageBreak/>
              <w:t>沫等灭火器</w:t>
            </w:r>
            <w:r>
              <w:rPr>
                <w:rFonts w:ascii="Times New Roman" w:cs="Times New Roman" w:hint="eastAsia"/>
                <w:kern w:val="2"/>
                <w:sz w:val="21"/>
                <w:szCs w:val="21"/>
              </w:rPr>
              <w:t>。</w:t>
            </w:r>
          </w:p>
        </w:tc>
        <w:tc>
          <w:tcPr>
            <w:tcW w:w="241" w:type="pct"/>
            <w:vMerge/>
            <w:vAlign w:val="center"/>
          </w:tcPr>
          <w:p w:rsidR="00BD5820" w:rsidRDefault="00BD5820">
            <w:pPr>
              <w:pStyle w:val="TableParagraph"/>
              <w:kinsoku w:val="0"/>
              <w:overflowPunct w:val="0"/>
              <w:spacing w:line="240" w:lineRule="auto"/>
              <w:ind w:firstLineChars="0" w:firstLine="0"/>
              <w:rPr>
                <w:rFonts w:ascii="Times New Roman" w:cs="Times New Roman"/>
                <w:kern w:val="2"/>
                <w:sz w:val="21"/>
                <w:szCs w:val="21"/>
              </w:rPr>
            </w:pPr>
          </w:p>
        </w:tc>
      </w:tr>
      <w:tr w:rsidR="00BD5820">
        <w:trPr>
          <w:trHeight w:val="20"/>
        </w:trPr>
        <w:tc>
          <w:tcPr>
            <w:tcW w:w="418" w:type="pct"/>
            <w:vMerge/>
            <w:vAlign w:val="center"/>
          </w:tcPr>
          <w:p w:rsidR="00BD5820" w:rsidRDefault="00BD5820">
            <w:pPr>
              <w:spacing w:line="240" w:lineRule="auto"/>
              <w:ind w:firstLineChars="0" w:firstLine="0"/>
              <w:jc w:val="center"/>
              <w:rPr>
                <w:rFonts w:ascii="Times New Roman" w:cs="Times New Roman"/>
                <w:kern w:val="2"/>
                <w:sz w:val="21"/>
                <w:szCs w:val="21"/>
              </w:rPr>
            </w:pPr>
          </w:p>
        </w:tc>
        <w:tc>
          <w:tcPr>
            <w:tcW w:w="849" w:type="pct"/>
            <w:gridSpan w:val="3"/>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kern w:val="2"/>
                <w:sz w:val="21"/>
                <w:szCs w:val="21"/>
              </w:rPr>
              <w:t>探测仪器</w:t>
            </w:r>
          </w:p>
        </w:tc>
        <w:tc>
          <w:tcPr>
            <w:tcW w:w="243"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kern w:val="2"/>
                <w:sz w:val="21"/>
                <w:szCs w:val="21"/>
              </w:rPr>
              <w:t>/</w:t>
            </w:r>
          </w:p>
        </w:tc>
        <w:tc>
          <w:tcPr>
            <w:tcW w:w="3247"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kern w:val="2"/>
                <w:sz w:val="21"/>
                <w:szCs w:val="21"/>
              </w:rPr>
              <w:t>安装可燃气体探测仪和烟雾报警装置</w:t>
            </w:r>
          </w:p>
        </w:tc>
        <w:tc>
          <w:tcPr>
            <w:tcW w:w="241" w:type="pct"/>
            <w:vMerge/>
            <w:vAlign w:val="center"/>
          </w:tcPr>
          <w:p w:rsidR="00BD5820" w:rsidRDefault="00BD5820">
            <w:pPr>
              <w:pStyle w:val="TableParagraph"/>
              <w:kinsoku w:val="0"/>
              <w:overflowPunct w:val="0"/>
              <w:spacing w:line="240" w:lineRule="auto"/>
              <w:ind w:firstLineChars="0" w:firstLine="0"/>
              <w:rPr>
                <w:rFonts w:ascii="Times New Roman" w:cs="Times New Roman"/>
                <w:kern w:val="2"/>
                <w:sz w:val="21"/>
                <w:szCs w:val="21"/>
              </w:rPr>
            </w:pPr>
          </w:p>
        </w:tc>
      </w:tr>
      <w:tr w:rsidR="00BD5820">
        <w:trPr>
          <w:trHeight w:val="20"/>
        </w:trPr>
        <w:tc>
          <w:tcPr>
            <w:tcW w:w="418" w:type="pct"/>
            <w:vMerge w:val="restart"/>
            <w:vAlign w:val="center"/>
          </w:tcPr>
          <w:p w:rsidR="00BD5820" w:rsidRDefault="00F64314">
            <w:pPr>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环境管理</w:t>
            </w:r>
          </w:p>
        </w:tc>
        <w:tc>
          <w:tcPr>
            <w:tcW w:w="849" w:type="pct"/>
            <w:gridSpan w:val="3"/>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kern w:val="2"/>
                <w:sz w:val="21"/>
                <w:szCs w:val="21"/>
              </w:rPr>
              <w:t>环境监测</w:t>
            </w:r>
          </w:p>
        </w:tc>
        <w:tc>
          <w:tcPr>
            <w:tcW w:w="243"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kern w:val="2"/>
                <w:sz w:val="21"/>
                <w:szCs w:val="21"/>
              </w:rPr>
              <w:t>5</w:t>
            </w:r>
          </w:p>
        </w:tc>
        <w:tc>
          <w:tcPr>
            <w:tcW w:w="3247"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kern w:val="2"/>
                <w:sz w:val="21"/>
                <w:szCs w:val="21"/>
              </w:rPr>
              <w:t>开展施工期环境监测工作</w:t>
            </w:r>
            <w:r>
              <w:rPr>
                <w:rFonts w:ascii="Times New Roman" w:cs="Times New Roman" w:hint="eastAsia"/>
                <w:kern w:val="2"/>
                <w:sz w:val="21"/>
                <w:szCs w:val="21"/>
              </w:rPr>
              <w:t>。</w:t>
            </w:r>
          </w:p>
        </w:tc>
        <w:tc>
          <w:tcPr>
            <w:tcW w:w="241"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kern w:val="2"/>
                <w:sz w:val="21"/>
                <w:szCs w:val="21"/>
              </w:rPr>
              <w:t>/</w:t>
            </w:r>
          </w:p>
        </w:tc>
      </w:tr>
      <w:tr w:rsidR="00BD5820">
        <w:trPr>
          <w:trHeight w:val="20"/>
        </w:trPr>
        <w:tc>
          <w:tcPr>
            <w:tcW w:w="418" w:type="pct"/>
            <w:vMerge/>
            <w:vAlign w:val="center"/>
          </w:tcPr>
          <w:p w:rsidR="00BD5820" w:rsidRDefault="00BD5820">
            <w:pPr>
              <w:spacing w:line="240" w:lineRule="auto"/>
              <w:ind w:firstLineChars="0" w:firstLine="0"/>
              <w:jc w:val="center"/>
              <w:rPr>
                <w:rFonts w:ascii="Times New Roman" w:cs="Times New Roman"/>
                <w:kern w:val="2"/>
                <w:sz w:val="21"/>
                <w:szCs w:val="21"/>
              </w:rPr>
            </w:pPr>
          </w:p>
        </w:tc>
        <w:tc>
          <w:tcPr>
            <w:tcW w:w="849" w:type="pct"/>
            <w:gridSpan w:val="3"/>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kern w:val="2"/>
                <w:sz w:val="21"/>
                <w:szCs w:val="21"/>
              </w:rPr>
              <w:t>环境宣传、保护</w:t>
            </w:r>
          </w:p>
        </w:tc>
        <w:tc>
          <w:tcPr>
            <w:tcW w:w="243"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kern w:val="2"/>
                <w:sz w:val="21"/>
                <w:szCs w:val="21"/>
              </w:rPr>
              <w:t>2</w:t>
            </w:r>
          </w:p>
        </w:tc>
        <w:tc>
          <w:tcPr>
            <w:tcW w:w="3247"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kern w:val="2"/>
                <w:sz w:val="21"/>
                <w:szCs w:val="21"/>
              </w:rPr>
              <w:t>开展环保知识培训；宣传环境保护法律、法规；建设并设施环保</w:t>
            </w:r>
            <w:r>
              <w:rPr>
                <w:rFonts w:ascii="Times New Roman" w:cs="Times New Roman"/>
                <w:kern w:val="2"/>
                <w:sz w:val="21"/>
                <w:szCs w:val="21"/>
              </w:rPr>
              <w:t>“</w:t>
            </w:r>
            <w:r>
              <w:rPr>
                <w:rFonts w:ascii="Times New Roman" w:cs="Times New Roman"/>
                <w:kern w:val="2"/>
                <w:sz w:val="21"/>
                <w:szCs w:val="21"/>
              </w:rPr>
              <w:t>三同时</w:t>
            </w:r>
            <w:r>
              <w:rPr>
                <w:rFonts w:ascii="Times New Roman" w:cs="Times New Roman"/>
                <w:kern w:val="2"/>
                <w:sz w:val="21"/>
                <w:szCs w:val="21"/>
              </w:rPr>
              <w:t>”</w:t>
            </w:r>
            <w:r>
              <w:rPr>
                <w:rFonts w:ascii="Times New Roman" w:cs="Times New Roman"/>
                <w:kern w:val="2"/>
                <w:sz w:val="21"/>
                <w:szCs w:val="21"/>
              </w:rPr>
              <w:t>制度</w:t>
            </w:r>
            <w:r>
              <w:rPr>
                <w:rFonts w:ascii="Times New Roman" w:cs="Times New Roman" w:hint="eastAsia"/>
                <w:kern w:val="2"/>
                <w:sz w:val="21"/>
                <w:szCs w:val="21"/>
              </w:rPr>
              <w:t>。</w:t>
            </w:r>
          </w:p>
        </w:tc>
        <w:tc>
          <w:tcPr>
            <w:tcW w:w="241"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kern w:val="2"/>
                <w:sz w:val="21"/>
                <w:szCs w:val="21"/>
              </w:rPr>
              <w:t>/</w:t>
            </w:r>
          </w:p>
        </w:tc>
      </w:tr>
      <w:tr w:rsidR="00BD5820">
        <w:trPr>
          <w:trHeight w:val="20"/>
        </w:trPr>
        <w:tc>
          <w:tcPr>
            <w:tcW w:w="418" w:type="pct"/>
            <w:vMerge/>
            <w:vAlign w:val="center"/>
          </w:tcPr>
          <w:p w:rsidR="00BD5820" w:rsidRDefault="00BD5820">
            <w:pPr>
              <w:spacing w:line="240" w:lineRule="auto"/>
              <w:ind w:firstLineChars="0" w:firstLine="0"/>
              <w:jc w:val="center"/>
              <w:rPr>
                <w:rFonts w:ascii="Times New Roman" w:cs="Times New Roman"/>
                <w:kern w:val="2"/>
                <w:sz w:val="21"/>
                <w:szCs w:val="21"/>
              </w:rPr>
            </w:pPr>
          </w:p>
        </w:tc>
        <w:tc>
          <w:tcPr>
            <w:tcW w:w="849" w:type="pct"/>
            <w:gridSpan w:val="3"/>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kern w:val="2"/>
                <w:sz w:val="21"/>
                <w:szCs w:val="21"/>
              </w:rPr>
              <w:t>竣工验收</w:t>
            </w:r>
          </w:p>
        </w:tc>
        <w:tc>
          <w:tcPr>
            <w:tcW w:w="243"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kern w:val="2"/>
                <w:sz w:val="21"/>
                <w:szCs w:val="21"/>
              </w:rPr>
              <w:t>15</w:t>
            </w:r>
          </w:p>
        </w:tc>
        <w:tc>
          <w:tcPr>
            <w:tcW w:w="3247"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kern w:val="2"/>
                <w:sz w:val="21"/>
                <w:szCs w:val="21"/>
              </w:rPr>
              <w:t>开展环保竣工验收工作</w:t>
            </w:r>
            <w:r>
              <w:rPr>
                <w:rFonts w:ascii="Times New Roman" w:cs="Times New Roman" w:hint="eastAsia"/>
                <w:kern w:val="2"/>
                <w:sz w:val="21"/>
                <w:szCs w:val="21"/>
              </w:rPr>
              <w:t>。</w:t>
            </w:r>
          </w:p>
        </w:tc>
        <w:tc>
          <w:tcPr>
            <w:tcW w:w="241" w:type="pct"/>
            <w:vAlign w:val="center"/>
          </w:tcPr>
          <w:p w:rsidR="00BD5820" w:rsidRDefault="00F64314">
            <w:pPr>
              <w:pStyle w:val="TableParagraph"/>
              <w:kinsoku w:val="0"/>
              <w:overflowPunct w:val="0"/>
              <w:spacing w:line="240" w:lineRule="auto"/>
              <w:ind w:firstLineChars="0" w:firstLine="0"/>
              <w:rPr>
                <w:rFonts w:ascii="Times New Roman" w:cs="Times New Roman"/>
                <w:kern w:val="2"/>
                <w:sz w:val="21"/>
                <w:szCs w:val="21"/>
              </w:rPr>
            </w:pPr>
            <w:r>
              <w:rPr>
                <w:rFonts w:ascii="Times New Roman" w:cs="Times New Roman"/>
                <w:kern w:val="2"/>
                <w:sz w:val="21"/>
                <w:szCs w:val="21"/>
              </w:rPr>
              <w:t>/</w:t>
            </w:r>
          </w:p>
        </w:tc>
      </w:tr>
      <w:tr w:rsidR="00BD5820">
        <w:trPr>
          <w:trHeight w:val="20"/>
        </w:trPr>
        <w:tc>
          <w:tcPr>
            <w:tcW w:w="1268" w:type="pct"/>
            <w:gridSpan w:val="4"/>
            <w:tcBorders>
              <w:right w:val="single" w:sz="2" w:space="0" w:color="000000"/>
            </w:tcBorders>
            <w:vAlign w:val="center"/>
          </w:tcPr>
          <w:p w:rsidR="00BD5820" w:rsidRDefault="00F64314">
            <w:pPr>
              <w:spacing w:line="240" w:lineRule="auto"/>
              <w:ind w:firstLineChars="0" w:firstLine="0"/>
              <w:jc w:val="center"/>
              <w:rPr>
                <w:rFonts w:ascii="Times New Roman" w:cs="Times New Roman"/>
                <w:kern w:val="2"/>
                <w:sz w:val="21"/>
                <w:szCs w:val="21"/>
              </w:rPr>
            </w:pPr>
            <w:r>
              <w:rPr>
                <w:rFonts w:ascii="Times New Roman" w:cs="Times New Roman"/>
                <w:kern w:val="2"/>
                <w:sz w:val="21"/>
                <w:szCs w:val="21"/>
              </w:rPr>
              <w:t>合计</w:t>
            </w:r>
          </w:p>
        </w:tc>
        <w:tc>
          <w:tcPr>
            <w:tcW w:w="3731" w:type="pct"/>
            <w:gridSpan w:val="3"/>
            <w:tcBorders>
              <w:left w:val="single" w:sz="2" w:space="0" w:color="000000"/>
            </w:tcBorders>
            <w:vAlign w:val="center"/>
          </w:tcPr>
          <w:p w:rsidR="00BD5820" w:rsidRDefault="00F64314">
            <w:pPr>
              <w:widowControl/>
              <w:topLinePunct w:val="0"/>
              <w:adjustRightInd/>
              <w:spacing w:line="240" w:lineRule="auto"/>
              <w:ind w:firstLineChars="0" w:firstLine="0"/>
              <w:jc w:val="center"/>
              <w:rPr>
                <w:rFonts w:ascii="Times New Roman" w:cs="Times New Roman"/>
                <w:kern w:val="2"/>
                <w:sz w:val="21"/>
                <w:szCs w:val="22"/>
              </w:rPr>
            </w:pPr>
            <w:r>
              <w:rPr>
                <w:rFonts w:ascii="Times New Roman" w:cs="Times New Roman" w:hint="eastAsia"/>
                <w:kern w:val="2"/>
                <w:sz w:val="21"/>
                <w:szCs w:val="22"/>
              </w:rPr>
              <w:t>150</w:t>
            </w:r>
          </w:p>
        </w:tc>
      </w:tr>
    </w:tbl>
    <w:p w:rsidR="00BD5820" w:rsidRDefault="00BD5820">
      <w:pPr>
        <w:widowControl/>
        <w:topLinePunct w:val="0"/>
        <w:adjustRightInd/>
        <w:ind w:firstLineChars="0" w:firstLine="0"/>
        <w:jc w:val="left"/>
        <w:rPr>
          <w:rFonts w:ascii="Times New Roman" w:cs="Times New Roman"/>
          <w:b/>
          <w:bCs/>
          <w:sz w:val="32"/>
          <w:szCs w:val="32"/>
        </w:rPr>
        <w:sectPr w:rsidR="00BD5820">
          <w:pgSz w:w="16840" w:h="11910" w:orient="landscape"/>
          <w:pgMar w:top="1077" w:right="1281" w:bottom="1219" w:left="1021" w:header="885" w:footer="1026" w:gutter="0"/>
          <w:cols w:space="720"/>
          <w:docGrid w:linePitch="326"/>
        </w:sectPr>
      </w:pPr>
    </w:p>
    <w:p w:rsidR="00BD5820" w:rsidRDefault="00F64314">
      <w:pPr>
        <w:pStyle w:val="1"/>
        <w:spacing w:before="0" w:beforeAutospacing="0" w:after="0" w:afterAutospacing="0"/>
        <w:rPr>
          <w:rFonts w:eastAsia="宋体"/>
        </w:rPr>
      </w:pPr>
      <w:bookmarkStart w:id="551" w:name="bookmark77"/>
      <w:bookmarkStart w:id="552" w:name="_Toc19816137"/>
      <w:bookmarkStart w:id="553" w:name="_Toc12288818"/>
      <w:bookmarkStart w:id="554" w:name="_Toc4231"/>
      <w:bookmarkEnd w:id="551"/>
      <w:r>
        <w:rPr>
          <w:rFonts w:eastAsia="宋体"/>
        </w:rPr>
        <w:lastRenderedPageBreak/>
        <w:t xml:space="preserve">9 </w:t>
      </w:r>
      <w:r>
        <w:rPr>
          <w:rFonts w:eastAsia="宋体"/>
        </w:rPr>
        <w:t>环境影响经济损益分析</w:t>
      </w:r>
      <w:bookmarkEnd w:id="552"/>
      <w:bookmarkEnd w:id="553"/>
      <w:bookmarkEnd w:id="554"/>
    </w:p>
    <w:p w:rsidR="00BD5820" w:rsidRDefault="00F64314">
      <w:pPr>
        <w:pStyle w:val="affa"/>
        <w:ind w:firstLine="480"/>
      </w:pPr>
      <w:r>
        <w:t>环境影响经济损益分析是环境影响评价的一项主要内容，设置的目的在于衡量建设项目所需投入的环保投资和能收到的环保效果，以评价本项目的环境经济可行性。因而在环境经济损益分析中除计算用于控制污染所需投资费用外，同时还需估算可能收到的环境与经济效益，以实现扩大生产、提高经济效益的同时不致于造成区域环境污染，做到经济效益、社会效益和环境效益的协调发展。</w:t>
      </w:r>
    </w:p>
    <w:p w:rsidR="00BD5820" w:rsidRDefault="00F64314">
      <w:pPr>
        <w:pStyle w:val="affa"/>
        <w:ind w:firstLine="480"/>
      </w:pPr>
      <w:r>
        <w:t>由前述评价可见，管线建设对环境影响是多方面的，而这些影响又都难以进行经济核算，对环境影响采用的减缓措施取得的是社会和生态效益，目前这些效益也难以采用经济方法进行估价，为此下面仅从本项目的工程社会效益和环境保护措施的投资两方面进行经济损益分析。</w:t>
      </w:r>
    </w:p>
    <w:p w:rsidR="00BD5820" w:rsidRDefault="00F64314">
      <w:pPr>
        <w:pStyle w:val="2"/>
        <w:spacing w:before="120"/>
        <w:rPr>
          <w:rFonts w:cs="Times New Roman"/>
        </w:rPr>
      </w:pPr>
      <w:bookmarkStart w:id="555" w:name="bookmark78"/>
      <w:bookmarkStart w:id="556" w:name="_Toc12288819"/>
      <w:bookmarkStart w:id="557" w:name="_Toc19816138"/>
      <w:bookmarkStart w:id="558" w:name="_Toc19267"/>
      <w:bookmarkEnd w:id="555"/>
      <w:r>
        <w:rPr>
          <w:rFonts w:cs="Times New Roman"/>
        </w:rPr>
        <w:t xml:space="preserve">9.1 </w:t>
      </w:r>
      <w:r>
        <w:rPr>
          <w:rFonts w:cs="Times New Roman"/>
        </w:rPr>
        <w:t>工程经济、社会效益分析</w:t>
      </w:r>
      <w:bookmarkEnd w:id="556"/>
      <w:bookmarkEnd w:id="557"/>
      <w:bookmarkEnd w:id="558"/>
    </w:p>
    <w:p w:rsidR="00BD5820" w:rsidRDefault="00F64314">
      <w:pPr>
        <w:pStyle w:val="affa"/>
        <w:ind w:firstLine="480"/>
      </w:pPr>
      <w:r>
        <w:t>作为一种优质、高效、清洁的能源，天然气在能源竞争中的优势已逐步确立，开发利用天然气已成为当代世界的潮流。随着全球天然气探明储量和产量同步迅速增长，然气在能源构成中所占比例日益提高。有专家预计，</w:t>
      </w:r>
      <w:r>
        <w:t>2020</w:t>
      </w:r>
      <w:r>
        <w:t>年后，天然气将超过原油和煤炭，成为世界一次能源消费结构中的</w:t>
      </w:r>
      <w:r>
        <w:t>“</w:t>
      </w:r>
      <w:r>
        <w:t>首席能源</w:t>
      </w:r>
      <w:r>
        <w:t>”</w:t>
      </w:r>
      <w:r>
        <w:t>，天然气将进入一个全新的历史发展时期。</w:t>
      </w:r>
    </w:p>
    <w:p w:rsidR="00BD5820" w:rsidRDefault="00F64314">
      <w:pPr>
        <w:pStyle w:val="affa"/>
        <w:ind w:firstLine="480"/>
      </w:pPr>
      <w:r>
        <w:t>工程的建设有利于区域天然气资源的开发利用，提供了高效畅通的运输，降低了运输成本，提高了运输的连续可靠性。</w:t>
      </w:r>
      <w:r>
        <w:rPr>
          <w:rFonts w:hint="eastAsia"/>
        </w:rPr>
        <w:t>本项目</w:t>
      </w:r>
      <w:r>
        <w:t>建设需要一定数量的人力，除施工单位外，还需在当地招募民工，因而可给当地居民和农民增加收入。另外，管道工程建设需要大批钢材、建材及配套设备，可带动机械、电力、化工、冶金、建材等相关工业的发展。</w:t>
      </w:r>
    </w:p>
    <w:p w:rsidR="00BD5820" w:rsidRDefault="00F64314">
      <w:pPr>
        <w:pStyle w:val="2"/>
        <w:spacing w:before="120"/>
        <w:rPr>
          <w:rFonts w:cs="Times New Roman"/>
        </w:rPr>
      </w:pPr>
      <w:bookmarkStart w:id="559" w:name="bookmark79"/>
      <w:bookmarkStart w:id="560" w:name="_Toc12288822"/>
      <w:bookmarkStart w:id="561" w:name="_Toc19816141"/>
      <w:bookmarkStart w:id="562" w:name="_Toc31905"/>
      <w:bookmarkEnd w:id="559"/>
      <w:r>
        <w:rPr>
          <w:rFonts w:cs="Times New Roman"/>
        </w:rPr>
        <w:t xml:space="preserve">9.2 </w:t>
      </w:r>
      <w:r>
        <w:rPr>
          <w:rFonts w:cs="Times New Roman"/>
        </w:rPr>
        <w:t>环境损益分析</w:t>
      </w:r>
      <w:bookmarkEnd w:id="560"/>
      <w:bookmarkEnd w:id="561"/>
      <w:bookmarkEnd w:id="562"/>
    </w:p>
    <w:p w:rsidR="00BD5820" w:rsidRDefault="00F64314">
      <w:pPr>
        <w:pStyle w:val="3"/>
        <w:rPr>
          <w:rFonts w:eastAsia="宋体"/>
        </w:rPr>
      </w:pPr>
      <w:bookmarkStart w:id="563" w:name="_Toc12288823"/>
      <w:bookmarkStart w:id="564" w:name="_Toc19816142"/>
      <w:r>
        <w:rPr>
          <w:rFonts w:eastAsia="宋体"/>
        </w:rPr>
        <w:t xml:space="preserve">9.2.1 </w:t>
      </w:r>
      <w:r>
        <w:rPr>
          <w:rFonts w:eastAsia="宋体"/>
        </w:rPr>
        <w:t>工程造成的环境损失分析</w:t>
      </w:r>
      <w:bookmarkEnd w:id="563"/>
      <w:bookmarkEnd w:id="564"/>
    </w:p>
    <w:p w:rsidR="00BD5820" w:rsidRDefault="00F64314">
      <w:pPr>
        <w:pStyle w:val="affa"/>
        <w:ind w:firstLine="480"/>
      </w:pPr>
      <w:r>
        <w:rPr>
          <w:rFonts w:hint="eastAsia"/>
        </w:rPr>
        <w:t>本项目</w:t>
      </w:r>
      <w:r>
        <w:t>在建设过程中，需要临时占用一定数量的土地，主要占用的是旱地、水田和林地等。临时性占地只对耕作期的作物有影响，对农业带来的损失是暂时的，在施工结束后，经过一段时间皆可恢复其原有功能。一般来说，环境损失包括直接损失和间接损失，直接损失指由于项目建设对土壤、地表植被及其生境破坏所造成的环境经济损失，即土地资源破坏的经济损失，从而减少了耕地的面积；</w:t>
      </w:r>
      <w:r>
        <w:lastRenderedPageBreak/>
        <w:t>间接损失指由土地资源损失而引起的其它生态问题，如荒漠化、沙尘暴、生物多样性及生产力下降等生态灾害所造成的环境经济损失。间接损失的确定目前尚无一套完整的计算方法和参考数据，因此，仅通过计算直接农业生态和林地损失来代表环境损失。</w:t>
      </w:r>
    </w:p>
    <w:p w:rsidR="00BD5820" w:rsidRDefault="00F64314">
      <w:pPr>
        <w:pStyle w:val="3"/>
        <w:rPr>
          <w:rFonts w:eastAsia="宋体"/>
        </w:rPr>
      </w:pPr>
      <w:bookmarkStart w:id="565" w:name="_Toc19816143"/>
      <w:bookmarkStart w:id="566" w:name="_Toc12288824"/>
      <w:r>
        <w:rPr>
          <w:rFonts w:eastAsia="宋体"/>
        </w:rPr>
        <w:t xml:space="preserve">9.2.2 </w:t>
      </w:r>
      <w:r>
        <w:rPr>
          <w:rFonts w:eastAsia="宋体"/>
        </w:rPr>
        <w:t>环境效益分析</w:t>
      </w:r>
      <w:bookmarkEnd w:id="565"/>
      <w:bookmarkEnd w:id="566"/>
    </w:p>
    <w:p w:rsidR="00BD5820" w:rsidRDefault="00F64314">
      <w:pPr>
        <w:pStyle w:val="affa"/>
        <w:ind w:firstLine="480"/>
      </w:pPr>
      <w:r>
        <w:t>（</w:t>
      </w:r>
      <w:r>
        <w:t>1</w:t>
      </w:r>
      <w:r>
        <w:t>）本项目的建设，</w:t>
      </w:r>
      <w:r>
        <w:rPr>
          <w:rFonts w:hint="eastAsia"/>
        </w:rPr>
        <w:t>通过高含硫湿气增压技术，是延长稳产期，提升气田稳产能力的重要举措，是增加可采储量、提高采收率，提升气田综合开发效益的有效措施，是提高气井携液能力，实现产水井连续生产、激活气井潜能的重要手段</w:t>
      </w:r>
      <w:r>
        <w:t>，有利于区域的可持续发展。</w:t>
      </w:r>
    </w:p>
    <w:p w:rsidR="00BD5820" w:rsidRDefault="00F64314">
      <w:pPr>
        <w:pStyle w:val="affa"/>
        <w:ind w:firstLine="480"/>
      </w:pPr>
      <w:r>
        <w:t>（</w:t>
      </w:r>
      <w:r>
        <w:t>2</w:t>
      </w:r>
      <w:r>
        <w:t>）本项目完成后，通过调度控制中心进行全线监控。同时管道防腐采用加强级三层结构聚乙烯防腐层，提高了运输安全性，降低了泄漏事故发生的概率，从而减少了因泄漏事故对环境的危害和对周边人员的伤害。</w:t>
      </w:r>
    </w:p>
    <w:p w:rsidR="00BD5820" w:rsidRDefault="00F64314">
      <w:pPr>
        <w:pStyle w:val="affa"/>
        <w:ind w:firstLine="480"/>
      </w:pPr>
      <w:r>
        <w:t>（</w:t>
      </w:r>
      <w:r>
        <w:t>3</w:t>
      </w:r>
      <w:r>
        <w:t>）管道输送是一种安全、稳定、高效的运送方式，可减少由于运输带来的环境污染。由于天然气采用管道密闭输送，运输中不会对环境造成污染，而利用煤炭或者石油，需要车船运输，运输中会产生一定量的大气污染物，如汽车尾气、二次扬尘。因此，管道输送天然气避免了运输对环境的污染问题，保护了生态环境，具有较好的环境效益。</w:t>
      </w:r>
    </w:p>
    <w:p w:rsidR="00BD5820" w:rsidRDefault="00F64314">
      <w:pPr>
        <w:pStyle w:val="2"/>
        <w:spacing w:before="120"/>
        <w:rPr>
          <w:rFonts w:cs="Times New Roman"/>
        </w:rPr>
      </w:pPr>
      <w:bookmarkStart w:id="567" w:name="bookmark80"/>
      <w:bookmarkStart w:id="568" w:name="_Toc19816145"/>
      <w:bookmarkStart w:id="569" w:name="_Toc12288826"/>
      <w:bookmarkStart w:id="570" w:name="_Toc5699"/>
      <w:bookmarkEnd w:id="567"/>
      <w:r>
        <w:rPr>
          <w:rFonts w:cs="Times New Roman"/>
        </w:rPr>
        <w:t xml:space="preserve">9.3 </w:t>
      </w:r>
      <w:r>
        <w:rPr>
          <w:rFonts w:cs="Times New Roman"/>
        </w:rPr>
        <w:t>结论</w:t>
      </w:r>
      <w:bookmarkEnd w:id="568"/>
      <w:bookmarkEnd w:id="569"/>
      <w:bookmarkEnd w:id="570"/>
    </w:p>
    <w:p w:rsidR="00BD5820" w:rsidRDefault="00F64314">
      <w:pPr>
        <w:pStyle w:val="affa"/>
        <w:ind w:firstLine="480"/>
      </w:pPr>
      <w:r>
        <w:t>经上述分析可知，从长远角度考虑，本项目的建设有利于环境质量改善，区域长久稳定、安全的发展。对于工程在施工期产生的各类污染物及对生态环境的影响采取了相应的环境保护措施，减轻工程建设所带来的不利影响。由此可见，</w:t>
      </w:r>
      <w:r>
        <w:rPr>
          <w:rFonts w:hint="eastAsia"/>
        </w:rPr>
        <w:t>本项目</w:t>
      </w:r>
      <w:r>
        <w:t>实施后所带来的环境经济效益，比工程在施工中所造成的直接环境经济损失要大的多。因此，</w:t>
      </w:r>
      <w:r>
        <w:rPr>
          <w:rFonts w:hint="eastAsia"/>
        </w:rPr>
        <w:t>本项目</w:t>
      </w:r>
      <w:r>
        <w:t>实施后，产生的环境经济效益是显著的，项目建设符合社会效益、经济效益和环境效益统一的原则。</w:t>
      </w:r>
    </w:p>
    <w:p w:rsidR="00BD5820" w:rsidRDefault="00BD5820">
      <w:pPr>
        <w:widowControl/>
        <w:topLinePunct w:val="0"/>
        <w:adjustRightInd/>
        <w:ind w:firstLineChars="0" w:firstLine="0"/>
        <w:jc w:val="left"/>
        <w:rPr>
          <w:rFonts w:ascii="Times New Roman" w:cs="Times New Roman"/>
          <w:b/>
          <w:bCs/>
          <w:sz w:val="32"/>
          <w:szCs w:val="32"/>
        </w:rPr>
        <w:sectPr w:rsidR="00BD5820">
          <w:pgSz w:w="11910" w:h="16840"/>
          <w:pgMar w:top="1440" w:right="1800" w:bottom="1440" w:left="1800" w:header="885" w:footer="1025" w:gutter="0"/>
          <w:cols w:space="720"/>
          <w:docGrid w:linePitch="326"/>
        </w:sectPr>
      </w:pPr>
    </w:p>
    <w:p w:rsidR="00BD5820" w:rsidRDefault="00F64314">
      <w:pPr>
        <w:pStyle w:val="1"/>
        <w:spacing w:before="0" w:beforeAutospacing="0" w:after="0" w:afterAutospacing="0"/>
        <w:rPr>
          <w:rFonts w:eastAsia="宋体"/>
        </w:rPr>
      </w:pPr>
      <w:bookmarkStart w:id="571" w:name="bookmark81"/>
      <w:bookmarkStart w:id="572" w:name="_Toc19816146"/>
      <w:bookmarkStart w:id="573" w:name="_Toc12288827"/>
      <w:bookmarkStart w:id="574" w:name="_Toc2269"/>
      <w:bookmarkEnd w:id="571"/>
      <w:r>
        <w:rPr>
          <w:rFonts w:eastAsia="宋体"/>
        </w:rPr>
        <w:lastRenderedPageBreak/>
        <w:t xml:space="preserve">10 </w:t>
      </w:r>
      <w:r>
        <w:rPr>
          <w:rFonts w:eastAsia="宋体"/>
        </w:rPr>
        <w:t>环境管理与监测计划</w:t>
      </w:r>
      <w:bookmarkEnd w:id="572"/>
      <w:bookmarkEnd w:id="573"/>
      <w:bookmarkEnd w:id="574"/>
    </w:p>
    <w:p w:rsidR="00BD5820" w:rsidRDefault="00F64314">
      <w:pPr>
        <w:pStyle w:val="a1"/>
        <w:ind w:firstLine="480"/>
        <w:rPr>
          <w:rFonts w:ascii="Times New Roman" w:cs="Times New Roman"/>
        </w:rPr>
      </w:pPr>
      <w:r>
        <w:rPr>
          <w:rFonts w:ascii="Times New Roman" w:cs="Times New Roman"/>
        </w:rPr>
        <w:t>环境管理是企业管理的一项重要内容。加强环境监督管理力度，尽可能的减少</w:t>
      </w:r>
      <w:r>
        <w:rPr>
          <w:rFonts w:ascii="Times New Roman" w:cs="Times New Roman"/>
        </w:rPr>
        <w:t>“</w:t>
      </w:r>
      <w:r>
        <w:rPr>
          <w:rFonts w:ascii="Times New Roman" w:cs="Times New Roman"/>
        </w:rPr>
        <w:t>三废</w:t>
      </w:r>
      <w:r>
        <w:rPr>
          <w:rFonts w:ascii="Times New Roman" w:cs="Times New Roman"/>
        </w:rPr>
        <w:t>”</w:t>
      </w:r>
      <w:r>
        <w:rPr>
          <w:rFonts w:ascii="Times New Roman" w:cs="Times New Roman"/>
        </w:rPr>
        <w:t>排放数量及提高资源的合理利用率，把对环境的不良影响减小到最低限度，是企业实现环境、生产、经济协调持续发展的重要措施。环境监测是环境管理的重要组成部分，是工业污染防治的依据和环境监督管理工作的哨兵，加强环境监测是了解和掌握项目排污特征，研究污染发展趋势及防治对策的重要依据与途径。</w:t>
      </w:r>
    </w:p>
    <w:p w:rsidR="00BD5820" w:rsidRDefault="00F64314">
      <w:pPr>
        <w:pStyle w:val="a1"/>
        <w:ind w:firstLine="480"/>
        <w:rPr>
          <w:rFonts w:ascii="Times New Roman" w:cs="Times New Roman"/>
        </w:rPr>
      </w:pPr>
      <w:r>
        <w:rPr>
          <w:rFonts w:ascii="Times New Roman" w:cs="Times New Roman"/>
        </w:rPr>
        <w:t>本管道工程线路长度</w:t>
      </w:r>
      <w:r>
        <w:rPr>
          <w:rFonts w:ascii="Times New Roman" w:cs="Times New Roman" w:hint="eastAsia"/>
        </w:rPr>
        <w:t>较短</w:t>
      </w:r>
      <w:r>
        <w:rPr>
          <w:rFonts w:ascii="Times New Roman" w:cs="Times New Roman"/>
        </w:rPr>
        <w:t>，对环境的影响主要来自施工期的各种作业活动及运行期的风险事故。无论是施工期的各种作业活动还是运行期的事故，都将会给生态环境带来较大的影响。为最大限度地减轻施工作业对生态环境的影响，减少事故的发生，确保管道安全运行，建立科学有效的环境管理体制，落实各项环保和安全措施尤为重要。</w:t>
      </w:r>
    </w:p>
    <w:p w:rsidR="00BD5820" w:rsidRDefault="00F64314">
      <w:pPr>
        <w:pStyle w:val="a1"/>
        <w:ind w:firstLine="480"/>
        <w:rPr>
          <w:rFonts w:ascii="Times New Roman" w:cs="Times New Roman"/>
        </w:rPr>
      </w:pPr>
      <w:r>
        <w:rPr>
          <w:rFonts w:ascii="Times New Roman" w:cs="Times New Roman"/>
        </w:rPr>
        <w:t>本章将根据工程在施工期和运营期的环境污染特征，提出施工期和运营期的环境管理、施工环境监理和环境监测计划的具体内容。</w:t>
      </w:r>
    </w:p>
    <w:p w:rsidR="00BD5820" w:rsidRDefault="00F64314">
      <w:pPr>
        <w:pStyle w:val="2"/>
        <w:spacing w:before="120"/>
        <w:rPr>
          <w:rFonts w:cs="Times New Roman"/>
        </w:rPr>
      </w:pPr>
      <w:bookmarkStart w:id="575" w:name="bookmark82"/>
      <w:bookmarkStart w:id="576" w:name="_Toc19816147"/>
      <w:bookmarkStart w:id="577" w:name="_Toc12288828"/>
      <w:bookmarkStart w:id="578" w:name="_Toc22652"/>
      <w:bookmarkEnd w:id="575"/>
      <w:r>
        <w:rPr>
          <w:rFonts w:cs="Times New Roman"/>
        </w:rPr>
        <w:t xml:space="preserve">10.1 </w:t>
      </w:r>
      <w:r>
        <w:rPr>
          <w:rFonts w:cs="Times New Roman"/>
        </w:rPr>
        <w:t>施工期环境管理</w:t>
      </w:r>
      <w:bookmarkEnd w:id="576"/>
      <w:bookmarkEnd w:id="577"/>
      <w:bookmarkEnd w:id="578"/>
    </w:p>
    <w:p w:rsidR="00BD5820" w:rsidRDefault="00F64314">
      <w:pPr>
        <w:pStyle w:val="a1"/>
        <w:ind w:firstLine="480"/>
        <w:rPr>
          <w:rFonts w:ascii="Times New Roman" w:cs="Times New Roman"/>
        </w:rPr>
      </w:pPr>
      <w:r>
        <w:rPr>
          <w:rFonts w:ascii="Times New Roman" w:cs="Times New Roman"/>
        </w:rPr>
        <w:t>项目施工对环境的影响主要是在建设施工期，为确保各项环保措施的落实，最大限度地减轻施工作业对环境的影响，建立环境管理体系和监督机制尤为重要。本项目施工期环境管理由中国石油化工股份有限公司中原油田普光分公司负责。</w:t>
      </w:r>
    </w:p>
    <w:p w:rsidR="00BD5820" w:rsidRDefault="00F64314">
      <w:pPr>
        <w:pStyle w:val="3"/>
        <w:rPr>
          <w:rFonts w:eastAsia="宋体"/>
        </w:rPr>
      </w:pPr>
      <w:bookmarkStart w:id="579" w:name="_Toc19816148"/>
      <w:bookmarkStart w:id="580" w:name="_Toc12288829"/>
      <w:r>
        <w:rPr>
          <w:rFonts w:eastAsia="宋体"/>
        </w:rPr>
        <w:t xml:space="preserve">10.1.1 </w:t>
      </w:r>
      <w:r>
        <w:rPr>
          <w:rFonts w:eastAsia="宋体"/>
        </w:rPr>
        <w:t>施工期的环境管理</w:t>
      </w:r>
      <w:bookmarkEnd w:id="579"/>
      <w:bookmarkEnd w:id="580"/>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1</w:t>
      </w:r>
      <w:r>
        <w:rPr>
          <w:rFonts w:ascii="Times New Roman" w:cs="Times New Roman"/>
        </w:rPr>
        <w:t>）贯彻执行国家环境保护的方针、政策、法律和法规。</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2</w:t>
      </w:r>
      <w:r>
        <w:rPr>
          <w:rFonts w:ascii="Times New Roman" w:cs="Times New Roman"/>
        </w:rPr>
        <w:t>）组织制定本部门环境保护的规章制度和标准，并督促检查其执行。</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3</w:t>
      </w:r>
      <w:r>
        <w:rPr>
          <w:rFonts w:ascii="Times New Roman" w:cs="Times New Roman"/>
        </w:rPr>
        <w:t>）选择环保业绩优秀的施工承包方。施工期对环境的破坏程度与施工承包方的素质和管理水平有很大关系。在承包方的选择上，除实力、人员素质和装备技术等方面外，还要考虑施工承包方的</w:t>
      </w:r>
      <w:r>
        <w:rPr>
          <w:rFonts w:ascii="Times New Roman" w:cs="Times New Roman"/>
        </w:rPr>
        <w:t>HSE</w:t>
      </w:r>
      <w:r>
        <w:rPr>
          <w:rFonts w:ascii="Times New Roman" w:cs="Times New Roman"/>
        </w:rPr>
        <w:t>表现，应优先那些</w:t>
      </w:r>
      <w:r>
        <w:rPr>
          <w:rFonts w:ascii="Times New Roman" w:cs="Times New Roman"/>
        </w:rPr>
        <w:t>HSE</w:t>
      </w:r>
      <w:r>
        <w:rPr>
          <w:rFonts w:ascii="Times New Roman" w:cs="Times New Roman"/>
        </w:rPr>
        <w:t>管理水平高、业绩好的单位。</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4</w:t>
      </w:r>
      <w:r>
        <w:rPr>
          <w:rFonts w:ascii="Times New Roman" w:cs="Times New Roman"/>
        </w:rPr>
        <w:t>）对施工承包方提出明确的环保要求。在承包合同中应明确规定有关环境保护条款，如承包施工段的主要环境保护目标应采取的水、气、声、生态保护及水土保持等，将环保工作的执行情况作为工程验收的标准之一。要求承包方按照中国石油化工股份有限公司中原油田普光分公司</w:t>
      </w:r>
      <w:r>
        <w:rPr>
          <w:rFonts w:ascii="Times New Roman" w:cs="Times New Roman"/>
        </w:rPr>
        <w:t>HSE</w:t>
      </w:r>
      <w:r>
        <w:rPr>
          <w:rFonts w:ascii="Times New Roman" w:cs="Times New Roman"/>
        </w:rPr>
        <w:t>体系要求，建立相应的</w:t>
      </w:r>
      <w:r>
        <w:rPr>
          <w:rFonts w:ascii="Times New Roman" w:cs="Times New Roman"/>
        </w:rPr>
        <w:lastRenderedPageBreak/>
        <w:t>HSE</w:t>
      </w:r>
      <w:r>
        <w:rPr>
          <w:rFonts w:ascii="Times New Roman" w:cs="Times New Roman"/>
        </w:rPr>
        <w:t>管理机构，明确人员、职责等。要求施工承包方在施工前，按照其施工段的环保要求，编制详细的</w:t>
      </w:r>
      <w:r>
        <w:rPr>
          <w:rFonts w:ascii="Times New Roman" w:cs="Times New Roman"/>
        </w:rPr>
        <w:t>“</w:t>
      </w:r>
      <w:r>
        <w:rPr>
          <w:rFonts w:ascii="Times New Roman" w:cs="Times New Roman"/>
        </w:rPr>
        <w:t>环境管理方案</w:t>
      </w:r>
      <w:r>
        <w:rPr>
          <w:rFonts w:ascii="Times New Roman" w:cs="Times New Roman"/>
        </w:rPr>
        <w:t>”</w:t>
      </w:r>
      <w:r>
        <w:rPr>
          <w:rFonts w:ascii="Times New Roman" w:cs="Times New Roman"/>
        </w:rPr>
        <w:t>，并连同施工计划一起呈报中国石油化工股份有限公司中原油田普光分公司</w:t>
      </w:r>
      <w:r>
        <w:rPr>
          <w:rFonts w:ascii="Times New Roman" w:cs="Times New Roman"/>
        </w:rPr>
        <w:t>HSE</w:t>
      </w:r>
      <w:r>
        <w:rPr>
          <w:rFonts w:ascii="Times New Roman" w:cs="Times New Roman"/>
        </w:rPr>
        <w:t>管理部门，批准后方可开工。</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5</w:t>
      </w:r>
      <w:r>
        <w:rPr>
          <w:rFonts w:ascii="Times New Roman" w:cs="Times New Roman"/>
        </w:rPr>
        <w:t>）根据管线各区段不同的环境保护目标，负责制定或审核各区段施工作业的监督计划，根据施工中各工种的作业特点和各施工区段的敏感目标，分别提出不同的环境保护要求，制定发生环境事故的应急计划和措施。</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6</w:t>
      </w:r>
      <w:r>
        <w:rPr>
          <w:rFonts w:ascii="Times New Roman" w:cs="Times New Roman"/>
        </w:rPr>
        <w:t>）监督施工期各项环保措施的落实情况，负责环保工程的检查和预验收，负责协调与县环保、水利、土地等部门的关系，以及群众团体的生态环境保护问题，调查处理管道施工中的环境破坏和污染事故。</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7</w:t>
      </w:r>
      <w:r>
        <w:rPr>
          <w:rFonts w:ascii="Times New Roman" w:cs="Times New Roman"/>
        </w:rPr>
        <w:t>）审定、落实并督促实施生态恢复和污染治理方案，监督恢复治理资金和物质的使用；负责有关环保文件、技术资料和施工期现场环境监测资料的收集建档。</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8</w:t>
      </w:r>
      <w:r>
        <w:rPr>
          <w:rFonts w:ascii="Times New Roman" w:cs="Times New Roman"/>
        </w:rPr>
        <w:t>）监督检查保护生态环境和防止污染设施与管道主体工程同时设计、同时施工、同时投入使用的执行情况。</w:t>
      </w:r>
    </w:p>
    <w:p w:rsidR="00BD5820" w:rsidRDefault="00F64314">
      <w:pPr>
        <w:pStyle w:val="a1"/>
        <w:ind w:firstLine="480"/>
        <w:rPr>
          <w:rFonts w:ascii="Times New Roman" w:cs="Times New Roman"/>
        </w:rPr>
      </w:pPr>
      <w:r>
        <w:rPr>
          <w:rFonts w:ascii="Times New Roman" w:cs="Times New Roman"/>
        </w:rPr>
        <w:t>（</w:t>
      </w:r>
      <w:r>
        <w:rPr>
          <w:rFonts w:ascii="Times New Roman" w:cs="Times New Roman"/>
        </w:rPr>
        <w:t>9</w:t>
      </w:r>
      <w:r>
        <w:rPr>
          <w:rFonts w:ascii="Times New Roman" w:cs="Times New Roman"/>
        </w:rPr>
        <w:t>）组织开展管道环境保护的科研、宣传教育、培训工作。</w:t>
      </w:r>
    </w:p>
    <w:p w:rsidR="00BD5820" w:rsidRDefault="00F64314">
      <w:pPr>
        <w:pStyle w:val="10"/>
        <w:rPr>
          <w:rFonts w:cs="Times New Roman"/>
        </w:rPr>
      </w:pPr>
      <w:r>
        <w:rPr>
          <w:rFonts w:cs="Times New Roman"/>
        </w:rPr>
        <w:t>表</w:t>
      </w:r>
      <w:r>
        <w:rPr>
          <w:rFonts w:cs="Times New Roman"/>
        </w:rPr>
        <w:t xml:space="preserve">10.1-1  </w:t>
      </w:r>
      <w:r>
        <w:rPr>
          <w:rFonts w:cs="Times New Roman"/>
        </w:rPr>
        <w:t>施工期</w:t>
      </w:r>
      <w:r>
        <w:rPr>
          <w:rFonts w:cs="Times New Roman"/>
        </w:rPr>
        <w:t>HSE</w:t>
      </w:r>
      <w:r>
        <w:rPr>
          <w:rFonts w:cs="Times New Roman"/>
        </w:rPr>
        <w:t>管理方案的重点监控内容</w:t>
      </w:r>
    </w:p>
    <w:tbl>
      <w:tblPr>
        <w:tblW w:w="5087" w:type="pct"/>
        <w:jc w:val="center"/>
        <w:tblBorders>
          <w:top w:val="single" w:sz="12" w:space="0" w:color="000000"/>
          <w:bottom w:val="single" w:sz="12" w:space="0" w:color="000000"/>
          <w:insideH w:val="single" w:sz="4" w:space="0" w:color="000000"/>
          <w:insideV w:val="single" w:sz="4" w:space="0" w:color="000000"/>
        </w:tblBorders>
        <w:tblCellMar>
          <w:left w:w="0" w:type="dxa"/>
          <w:right w:w="0" w:type="dxa"/>
        </w:tblCellMar>
        <w:tblLook w:val="04A0"/>
      </w:tblPr>
      <w:tblGrid>
        <w:gridCol w:w="1298"/>
        <w:gridCol w:w="5049"/>
        <w:gridCol w:w="2104"/>
      </w:tblGrid>
      <w:tr w:rsidR="00BD5820">
        <w:trPr>
          <w:trHeight w:val="19"/>
          <w:jc w:val="center"/>
        </w:trPr>
        <w:tc>
          <w:tcPr>
            <w:tcW w:w="768" w:type="pct"/>
            <w:tcBorders>
              <w:top w:val="single" w:sz="12" w:space="0" w:color="000000"/>
              <w:left w:val="nil"/>
              <w:bottom w:val="single" w:sz="4" w:space="0" w:color="000000"/>
              <w:right w:val="single" w:sz="4" w:space="0" w:color="000000"/>
            </w:tcBorders>
            <w:vAlign w:val="center"/>
          </w:tcPr>
          <w:p w:rsidR="00BD5820" w:rsidRDefault="00F64314">
            <w:pPr>
              <w:pStyle w:val="afff1"/>
              <w:rPr>
                <w:b/>
                <w:bCs/>
              </w:rPr>
            </w:pPr>
            <w:r>
              <w:rPr>
                <w:b/>
                <w:bCs/>
              </w:rPr>
              <w:t>重点地段</w:t>
            </w:r>
          </w:p>
        </w:tc>
        <w:tc>
          <w:tcPr>
            <w:tcW w:w="2987" w:type="pct"/>
            <w:tcBorders>
              <w:top w:val="single" w:sz="12" w:space="0" w:color="000000"/>
              <w:left w:val="single" w:sz="4" w:space="0" w:color="000000"/>
              <w:bottom w:val="single" w:sz="4" w:space="0" w:color="000000"/>
              <w:right w:val="single" w:sz="4" w:space="0" w:color="000000"/>
            </w:tcBorders>
            <w:vAlign w:val="center"/>
          </w:tcPr>
          <w:p w:rsidR="00BD5820" w:rsidRDefault="00F64314">
            <w:pPr>
              <w:pStyle w:val="afff1"/>
              <w:rPr>
                <w:b/>
                <w:bCs/>
              </w:rPr>
            </w:pPr>
            <w:r>
              <w:rPr>
                <w:b/>
                <w:bCs/>
              </w:rPr>
              <w:t>重点监理内容</w:t>
            </w:r>
          </w:p>
        </w:tc>
        <w:tc>
          <w:tcPr>
            <w:tcW w:w="1245" w:type="pct"/>
            <w:tcBorders>
              <w:top w:val="single" w:sz="12" w:space="0" w:color="000000"/>
              <w:left w:val="single" w:sz="4" w:space="0" w:color="000000"/>
              <w:bottom w:val="single" w:sz="4" w:space="0" w:color="000000"/>
              <w:right w:val="nil"/>
            </w:tcBorders>
            <w:vAlign w:val="center"/>
          </w:tcPr>
          <w:p w:rsidR="00BD5820" w:rsidRDefault="00F64314">
            <w:pPr>
              <w:pStyle w:val="afff1"/>
              <w:rPr>
                <w:b/>
                <w:bCs/>
              </w:rPr>
            </w:pPr>
            <w:r>
              <w:rPr>
                <w:b/>
                <w:bCs/>
              </w:rPr>
              <w:t>目的</w:t>
            </w:r>
          </w:p>
        </w:tc>
      </w:tr>
      <w:tr w:rsidR="00BD5820">
        <w:trPr>
          <w:trHeight w:val="19"/>
          <w:jc w:val="center"/>
        </w:trPr>
        <w:tc>
          <w:tcPr>
            <w:tcW w:w="768" w:type="pct"/>
            <w:tcBorders>
              <w:top w:val="single" w:sz="4" w:space="0" w:color="000000"/>
              <w:left w:val="nil"/>
              <w:bottom w:val="single" w:sz="4" w:space="0" w:color="000000"/>
              <w:right w:val="single" w:sz="4" w:space="0" w:color="000000"/>
            </w:tcBorders>
            <w:vAlign w:val="center"/>
          </w:tcPr>
          <w:p w:rsidR="00BD5820" w:rsidRDefault="00F64314">
            <w:pPr>
              <w:pStyle w:val="afff1"/>
            </w:pPr>
            <w:r>
              <w:t>沿线农田</w:t>
            </w:r>
          </w:p>
        </w:tc>
        <w:tc>
          <w:tcPr>
            <w:tcW w:w="2987" w:type="pct"/>
            <w:tcBorders>
              <w:top w:val="single" w:sz="4" w:space="0" w:color="000000"/>
              <w:left w:val="single" w:sz="4" w:space="0" w:color="000000"/>
              <w:bottom w:val="single" w:sz="4" w:space="0" w:color="000000"/>
              <w:right w:val="single" w:sz="4" w:space="0" w:color="000000"/>
            </w:tcBorders>
            <w:vAlign w:val="center"/>
          </w:tcPr>
          <w:p w:rsidR="00BD5820" w:rsidRDefault="00F64314">
            <w:pPr>
              <w:pStyle w:val="afff1"/>
              <w:jc w:val="left"/>
            </w:pPr>
            <w:r>
              <w:t>1</w:t>
            </w:r>
            <w:r>
              <w:t>．是否严格执行了</w:t>
            </w:r>
            <w:r>
              <w:t>“</w:t>
            </w:r>
            <w:r>
              <w:t>分层开挖、分层堆放、分层回填</w:t>
            </w:r>
            <w:r>
              <w:t>”</w:t>
            </w:r>
            <w:r>
              <w:t>；</w:t>
            </w:r>
          </w:p>
          <w:p w:rsidR="00BD5820" w:rsidRDefault="00F64314">
            <w:pPr>
              <w:pStyle w:val="afff1"/>
              <w:jc w:val="left"/>
            </w:pPr>
            <w:r>
              <w:t>2</w:t>
            </w:r>
            <w:r>
              <w:t>．施工作业场地设置是否合理，施工、运输车辆是否按指定路线行驶；</w:t>
            </w:r>
          </w:p>
          <w:p w:rsidR="00BD5820" w:rsidRDefault="00F64314">
            <w:pPr>
              <w:pStyle w:val="afff1"/>
              <w:jc w:val="left"/>
            </w:pPr>
            <w:r>
              <w:t>3</w:t>
            </w:r>
            <w:r>
              <w:t>．施工人员是否超越施工作业带施工；</w:t>
            </w:r>
          </w:p>
          <w:p w:rsidR="00BD5820" w:rsidRDefault="00F64314">
            <w:pPr>
              <w:pStyle w:val="afff1"/>
              <w:jc w:val="left"/>
            </w:pPr>
            <w:r>
              <w:t>4</w:t>
            </w:r>
            <w:r>
              <w:t>．施工人员是否超越施工活动范围；</w:t>
            </w:r>
          </w:p>
          <w:p w:rsidR="00BD5820" w:rsidRDefault="00F64314">
            <w:pPr>
              <w:pStyle w:val="afff1"/>
              <w:jc w:val="left"/>
            </w:pPr>
            <w:r>
              <w:t>5</w:t>
            </w:r>
            <w:r>
              <w:t>．垃圾、废物是否有指定地点堆放，是否及时清理；</w:t>
            </w:r>
          </w:p>
          <w:p w:rsidR="00BD5820" w:rsidRDefault="00F64314">
            <w:pPr>
              <w:pStyle w:val="afff1"/>
              <w:jc w:val="left"/>
            </w:pPr>
            <w:r>
              <w:t>6</w:t>
            </w:r>
            <w:r>
              <w:t>．施工结束后临时用地是否彻底恢复。</w:t>
            </w:r>
          </w:p>
        </w:tc>
        <w:tc>
          <w:tcPr>
            <w:tcW w:w="1245" w:type="pct"/>
            <w:tcBorders>
              <w:top w:val="single" w:sz="4" w:space="0" w:color="000000"/>
              <w:left w:val="single" w:sz="4" w:space="0" w:color="000000"/>
              <w:bottom w:val="single" w:sz="4" w:space="0" w:color="000000"/>
              <w:right w:val="nil"/>
            </w:tcBorders>
            <w:vAlign w:val="center"/>
          </w:tcPr>
          <w:p w:rsidR="00BD5820" w:rsidRDefault="00F64314">
            <w:pPr>
              <w:pStyle w:val="afff1"/>
            </w:pPr>
            <w:r>
              <w:t>减少土壤和农作物的破坏</w:t>
            </w:r>
          </w:p>
        </w:tc>
      </w:tr>
      <w:tr w:rsidR="00BD5820">
        <w:trPr>
          <w:trHeight w:val="19"/>
          <w:jc w:val="center"/>
        </w:trPr>
        <w:tc>
          <w:tcPr>
            <w:tcW w:w="768" w:type="pct"/>
            <w:tcBorders>
              <w:top w:val="single" w:sz="4" w:space="0" w:color="000000"/>
              <w:left w:val="nil"/>
              <w:bottom w:val="single" w:sz="4" w:space="0" w:color="000000"/>
              <w:right w:val="single" w:sz="4" w:space="0" w:color="000000"/>
            </w:tcBorders>
            <w:vAlign w:val="center"/>
          </w:tcPr>
          <w:p w:rsidR="00BD5820" w:rsidRDefault="00F64314">
            <w:pPr>
              <w:pStyle w:val="afff1"/>
            </w:pPr>
            <w:r>
              <w:t>沿线林地等</w:t>
            </w:r>
          </w:p>
        </w:tc>
        <w:tc>
          <w:tcPr>
            <w:tcW w:w="2987" w:type="pct"/>
            <w:tcBorders>
              <w:top w:val="single" w:sz="4" w:space="0" w:color="000000"/>
              <w:left w:val="single" w:sz="4" w:space="0" w:color="000000"/>
              <w:bottom w:val="single" w:sz="4" w:space="0" w:color="000000"/>
              <w:right w:val="single" w:sz="4" w:space="0" w:color="000000"/>
            </w:tcBorders>
            <w:vAlign w:val="center"/>
          </w:tcPr>
          <w:p w:rsidR="00BD5820" w:rsidRDefault="00F64314">
            <w:pPr>
              <w:pStyle w:val="afff1"/>
              <w:numPr>
                <w:ilvl w:val="0"/>
                <w:numId w:val="4"/>
              </w:numPr>
              <w:jc w:val="left"/>
            </w:pPr>
            <w:r>
              <w:rPr>
                <w:rFonts w:hint="eastAsia"/>
              </w:rPr>
              <w:t>对临时占地范围内的二级公益林进行移栽，施工完成后回栽。</w:t>
            </w:r>
          </w:p>
          <w:p w:rsidR="00BD5820" w:rsidRDefault="00F64314">
            <w:pPr>
              <w:pStyle w:val="afff1"/>
              <w:jc w:val="left"/>
            </w:pPr>
            <w:r>
              <w:rPr>
                <w:rFonts w:hint="eastAsia"/>
              </w:rPr>
              <w:t>2</w:t>
            </w:r>
            <w:r>
              <w:t>．减少管道穿越对林地造成的损坏；</w:t>
            </w:r>
          </w:p>
          <w:p w:rsidR="00BD5820" w:rsidRDefault="00F64314">
            <w:pPr>
              <w:pStyle w:val="afff1"/>
              <w:jc w:val="left"/>
            </w:pPr>
            <w:r>
              <w:rPr>
                <w:rFonts w:hint="eastAsia"/>
              </w:rPr>
              <w:t>3</w:t>
            </w:r>
            <w:r>
              <w:t>．是否超越施工作业带施工；</w:t>
            </w:r>
          </w:p>
          <w:p w:rsidR="00BD5820" w:rsidRDefault="00F64314">
            <w:pPr>
              <w:pStyle w:val="afff1"/>
              <w:jc w:val="left"/>
            </w:pPr>
            <w:r>
              <w:rPr>
                <w:rFonts w:hint="eastAsia"/>
              </w:rPr>
              <w:t>4</w:t>
            </w:r>
            <w:r>
              <w:t>．施工是否利用现有便道；</w:t>
            </w:r>
          </w:p>
          <w:p w:rsidR="00BD5820" w:rsidRDefault="00F64314">
            <w:pPr>
              <w:pStyle w:val="afff1"/>
              <w:jc w:val="left"/>
            </w:pPr>
            <w:r>
              <w:rPr>
                <w:rFonts w:hint="eastAsia"/>
              </w:rPr>
              <w:t>5</w:t>
            </w:r>
            <w:r>
              <w:t>．施工人员是否有捕食野生动物的行为；</w:t>
            </w:r>
          </w:p>
          <w:p w:rsidR="00BD5820" w:rsidRDefault="00F64314">
            <w:pPr>
              <w:pStyle w:val="afff1"/>
              <w:jc w:val="left"/>
            </w:pPr>
            <w:r>
              <w:rPr>
                <w:rFonts w:hint="eastAsia"/>
              </w:rPr>
              <w:t>6</w:t>
            </w:r>
            <w:r>
              <w:t>．施工是否按要求进行施工。</w:t>
            </w:r>
          </w:p>
        </w:tc>
        <w:tc>
          <w:tcPr>
            <w:tcW w:w="1245" w:type="pct"/>
            <w:tcBorders>
              <w:top w:val="single" w:sz="4" w:space="0" w:color="000000"/>
              <w:left w:val="single" w:sz="4" w:space="0" w:color="000000"/>
              <w:bottom w:val="single" w:sz="4" w:space="0" w:color="000000"/>
              <w:right w:val="nil"/>
            </w:tcBorders>
            <w:vAlign w:val="center"/>
          </w:tcPr>
          <w:p w:rsidR="00BD5820" w:rsidRDefault="00F64314">
            <w:pPr>
              <w:pStyle w:val="afff1"/>
            </w:pPr>
            <w:r>
              <w:t>保护林地，减少损失</w:t>
            </w:r>
          </w:p>
        </w:tc>
      </w:tr>
      <w:tr w:rsidR="00BD5820">
        <w:trPr>
          <w:trHeight w:val="19"/>
          <w:jc w:val="center"/>
        </w:trPr>
        <w:tc>
          <w:tcPr>
            <w:tcW w:w="768" w:type="pct"/>
            <w:tcBorders>
              <w:top w:val="single" w:sz="4" w:space="0" w:color="000000"/>
              <w:left w:val="nil"/>
              <w:bottom w:val="single" w:sz="12" w:space="0" w:color="000000"/>
              <w:right w:val="single" w:sz="4" w:space="0" w:color="000000"/>
            </w:tcBorders>
            <w:vAlign w:val="center"/>
          </w:tcPr>
          <w:p w:rsidR="00BD5820" w:rsidRDefault="00F64314">
            <w:pPr>
              <w:pStyle w:val="afff1"/>
            </w:pPr>
            <w:r>
              <w:t>参见所列的村庄敏感点</w:t>
            </w:r>
          </w:p>
        </w:tc>
        <w:tc>
          <w:tcPr>
            <w:tcW w:w="2987" w:type="pct"/>
            <w:tcBorders>
              <w:top w:val="single" w:sz="4" w:space="0" w:color="000000"/>
              <w:left w:val="single" w:sz="4" w:space="0" w:color="000000"/>
              <w:bottom w:val="single" w:sz="12" w:space="0" w:color="000000"/>
              <w:right w:val="single" w:sz="4" w:space="0" w:color="000000"/>
            </w:tcBorders>
            <w:vAlign w:val="center"/>
          </w:tcPr>
          <w:p w:rsidR="00BD5820" w:rsidRDefault="00F64314">
            <w:pPr>
              <w:pStyle w:val="afff1"/>
              <w:jc w:val="left"/>
            </w:pPr>
            <w:r>
              <w:t>1</w:t>
            </w:r>
            <w:r>
              <w:t>．施工噪声对居民的影响；</w:t>
            </w:r>
          </w:p>
          <w:p w:rsidR="00BD5820" w:rsidRDefault="00F64314">
            <w:pPr>
              <w:pStyle w:val="afff1"/>
              <w:jc w:val="left"/>
            </w:pPr>
            <w:r>
              <w:t>2</w:t>
            </w:r>
            <w:r>
              <w:t>．施工路段、灰土拌和场地是否定时洒水；</w:t>
            </w:r>
          </w:p>
          <w:p w:rsidR="00BD5820" w:rsidRDefault="00F64314">
            <w:pPr>
              <w:pStyle w:val="afff1"/>
              <w:jc w:val="left"/>
            </w:pPr>
            <w:r>
              <w:t>3</w:t>
            </w:r>
            <w:r>
              <w:t>．粉状材料（主要为临时堆放弃土）堆放时是否覆盖。</w:t>
            </w:r>
          </w:p>
        </w:tc>
        <w:tc>
          <w:tcPr>
            <w:tcW w:w="1245" w:type="pct"/>
            <w:tcBorders>
              <w:top w:val="single" w:sz="4" w:space="0" w:color="000000"/>
              <w:left w:val="single" w:sz="4" w:space="0" w:color="000000"/>
              <w:bottom w:val="single" w:sz="12" w:space="0" w:color="000000"/>
              <w:right w:val="nil"/>
            </w:tcBorders>
            <w:vAlign w:val="center"/>
          </w:tcPr>
          <w:p w:rsidR="00BD5820" w:rsidRDefault="00F64314">
            <w:pPr>
              <w:pStyle w:val="afff1"/>
            </w:pPr>
            <w:r>
              <w:t>防止施工噪声影响居民的正常生活；减少施工扬尘对居民的影响</w:t>
            </w:r>
          </w:p>
        </w:tc>
      </w:tr>
    </w:tbl>
    <w:p w:rsidR="00BD5820" w:rsidRDefault="00F64314">
      <w:pPr>
        <w:pStyle w:val="3"/>
        <w:rPr>
          <w:rFonts w:eastAsia="宋体"/>
        </w:rPr>
      </w:pPr>
      <w:bookmarkStart w:id="581" w:name="_Toc12288830"/>
      <w:bookmarkStart w:id="582" w:name="_Toc19816149"/>
      <w:r>
        <w:rPr>
          <w:rFonts w:eastAsia="宋体"/>
        </w:rPr>
        <w:t xml:space="preserve">10.1.2 </w:t>
      </w:r>
      <w:r>
        <w:rPr>
          <w:rFonts w:eastAsia="宋体"/>
        </w:rPr>
        <w:t>施工期的环境监测</w:t>
      </w:r>
      <w:bookmarkEnd w:id="581"/>
      <w:bookmarkEnd w:id="582"/>
    </w:p>
    <w:p w:rsidR="00BD5820" w:rsidRDefault="00F64314">
      <w:pPr>
        <w:pStyle w:val="a1"/>
        <w:ind w:firstLine="480"/>
        <w:rPr>
          <w:rFonts w:ascii="Times New Roman" w:cs="Times New Roman"/>
        </w:rPr>
      </w:pPr>
      <w:r>
        <w:rPr>
          <w:rFonts w:ascii="Times New Roman" w:cs="Times New Roman"/>
        </w:rPr>
        <w:t>施工期的环境监测主要是对作业场所的控制监测和事故发生后的影响监测，主要监测对象有土壤、植被、施工作业废气、废水和噪声等。对作业场所的控制</w:t>
      </w:r>
      <w:r>
        <w:rPr>
          <w:rFonts w:ascii="Times New Roman" w:cs="Times New Roman"/>
        </w:rPr>
        <w:lastRenderedPageBreak/>
        <w:t>监测可视当地具体情况及当地环保部门要求等情况而定，诸如：在人群密集区施工可进行适当噪声监测等。对事故监测可根据事故性质、事故影响的大小等，视具体情况监测大气、土壤、水等。本项目监督、监测计划见下表。</w:t>
      </w:r>
    </w:p>
    <w:p w:rsidR="00BD5820" w:rsidRDefault="00F64314">
      <w:pPr>
        <w:pStyle w:val="10"/>
        <w:rPr>
          <w:rFonts w:cs="Times New Roman"/>
        </w:rPr>
      </w:pPr>
      <w:r>
        <w:rPr>
          <w:rFonts w:cs="Times New Roman"/>
        </w:rPr>
        <w:t>表</w:t>
      </w:r>
      <w:r>
        <w:rPr>
          <w:rFonts w:cs="Times New Roman"/>
        </w:rPr>
        <w:t xml:space="preserve">10.1-2  </w:t>
      </w:r>
      <w:r>
        <w:rPr>
          <w:rFonts w:cs="Times New Roman"/>
        </w:rPr>
        <w:t>施工期环境监督、监测计划</w:t>
      </w:r>
    </w:p>
    <w:tbl>
      <w:tblPr>
        <w:tblW w:w="5164" w:type="pct"/>
        <w:jc w:val="center"/>
        <w:tblCellMar>
          <w:left w:w="0" w:type="dxa"/>
          <w:right w:w="0" w:type="dxa"/>
        </w:tblCellMar>
        <w:tblLook w:val="04A0"/>
      </w:tblPr>
      <w:tblGrid>
        <w:gridCol w:w="1011"/>
        <w:gridCol w:w="3927"/>
        <w:gridCol w:w="1525"/>
        <w:gridCol w:w="2115"/>
      </w:tblGrid>
      <w:tr w:rsidR="00BD5820">
        <w:trPr>
          <w:trHeight w:val="18"/>
          <w:jc w:val="center"/>
        </w:trPr>
        <w:tc>
          <w:tcPr>
            <w:tcW w:w="589" w:type="pct"/>
            <w:tcBorders>
              <w:top w:val="single" w:sz="12" w:space="0" w:color="000000"/>
              <w:left w:val="nil"/>
              <w:bottom w:val="single" w:sz="4" w:space="0" w:color="000000"/>
              <w:right w:val="single" w:sz="4" w:space="0" w:color="000000"/>
            </w:tcBorders>
            <w:vAlign w:val="center"/>
          </w:tcPr>
          <w:p w:rsidR="00BD5820" w:rsidRDefault="00F64314">
            <w:pPr>
              <w:pStyle w:val="afff1"/>
              <w:rPr>
                <w:b/>
                <w:bCs/>
              </w:rPr>
            </w:pPr>
            <w:r>
              <w:rPr>
                <w:b/>
                <w:bCs/>
              </w:rPr>
              <w:t>监测项目</w:t>
            </w:r>
          </w:p>
        </w:tc>
        <w:tc>
          <w:tcPr>
            <w:tcW w:w="2289" w:type="pct"/>
            <w:tcBorders>
              <w:top w:val="single" w:sz="12" w:space="0" w:color="000000"/>
              <w:left w:val="single" w:sz="4" w:space="0" w:color="000000"/>
              <w:bottom w:val="single" w:sz="4" w:space="0" w:color="000000"/>
              <w:right w:val="single" w:sz="4" w:space="0" w:color="000000"/>
            </w:tcBorders>
            <w:vAlign w:val="center"/>
          </w:tcPr>
          <w:p w:rsidR="00BD5820" w:rsidRDefault="00F64314">
            <w:pPr>
              <w:pStyle w:val="afff1"/>
              <w:rPr>
                <w:b/>
                <w:bCs/>
              </w:rPr>
            </w:pPr>
            <w:r>
              <w:rPr>
                <w:b/>
                <w:bCs/>
              </w:rPr>
              <w:t>监督、监测内容</w:t>
            </w:r>
          </w:p>
        </w:tc>
        <w:tc>
          <w:tcPr>
            <w:tcW w:w="889" w:type="pct"/>
            <w:tcBorders>
              <w:top w:val="single" w:sz="12" w:space="0" w:color="000000"/>
              <w:left w:val="single" w:sz="4" w:space="0" w:color="000000"/>
              <w:bottom w:val="single" w:sz="4" w:space="0" w:color="000000"/>
              <w:right w:val="single" w:sz="4" w:space="0" w:color="000000"/>
            </w:tcBorders>
            <w:vAlign w:val="center"/>
          </w:tcPr>
          <w:p w:rsidR="00BD5820" w:rsidRDefault="00F64314">
            <w:pPr>
              <w:pStyle w:val="afff1"/>
              <w:rPr>
                <w:b/>
                <w:bCs/>
              </w:rPr>
            </w:pPr>
            <w:r>
              <w:rPr>
                <w:b/>
                <w:bCs/>
              </w:rPr>
              <w:t>报告制度</w:t>
            </w:r>
          </w:p>
        </w:tc>
        <w:tc>
          <w:tcPr>
            <w:tcW w:w="1233" w:type="pct"/>
            <w:tcBorders>
              <w:top w:val="single" w:sz="12" w:space="0" w:color="000000"/>
              <w:left w:val="single" w:sz="4" w:space="0" w:color="000000"/>
              <w:bottom w:val="single" w:sz="4" w:space="0" w:color="000000"/>
              <w:right w:val="nil"/>
            </w:tcBorders>
            <w:vAlign w:val="center"/>
          </w:tcPr>
          <w:p w:rsidR="00BD5820" w:rsidRDefault="00F64314">
            <w:pPr>
              <w:pStyle w:val="afff1"/>
              <w:rPr>
                <w:b/>
                <w:bCs/>
              </w:rPr>
            </w:pPr>
            <w:r>
              <w:rPr>
                <w:b/>
                <w:bCs/>
              </w:rPr>
              <w:t>实施单位</w:t>
            </w:r>
          </w:p>
        </w:tc>
      </w:tr>
      <w:tr w:rsidR="00BD5820">
        <w:trPr>
          <w:trHeight w:val="18"/>
          <w:jc w:val="center"/>
        </w:trPr>
        <w:tc>
          <w:tcPr>
            <w:tcW w:w="589" w:type="pct"/>
            <w:tcBorders>
              <w:top w:val="single" w:sz="4" w:space="0" w:color="000000"/>
              <w:left w:val="nil"/>
              <w:bottom w:val="single" w:sz="4" w:space="0" w:color="000000"/>
              <w:right w:val="single" w:sz="4" w:space="0" w:color="000000"/>
            </w:tcBorders>
            <w:vAlign w:val="center"/>
          </w:tcPr>
          <w:p w:rsidR="00BD5820" w:rsidRDefault="00F64314">
            <w:pPr>
              <w:pStyle w:val="afff1"/>
            </w:pPr>
            <w:r>
              <w:t>施工现场清理</w:t>
            </w:r>
          </w:p>
        </w:tc>
        <w:tc>
          <w:tcPr>
            <w:tcW w:w="2289" w:type="pct"/>
            <w:tcBorders>
              <w:top w:val="single" w:sz="4" w:space="0" w:color="000000"/>
              <w:left w:val="single" w:sz="4" w:space="0" w:color="000000"/>
              <w:bottom w:val="single" w:sz="4" w:space="0" w:color="000000"/>
              <w:right w:val="single" w:sz="4" w:space="0" w:color="000000"/>
            </w:tcBorders>
            <w:vAlign w:val="center"/>
          </w:tcPr>
          <w:p w:rsidR="00BD5820" w:rsidRDefault="00F64314">
            <w:pPr>
              <w:pStyle w:val="afff1"/>
            </w:pPr>
            <w:r>
              <w:t>施工结束后，施工现场的弃土、石、渣等垃圾和生态环境恢复情况；监督频率：施工结束后</w:t>
            </w:r>
            <w:r>
              <w:t>1</w:t>
            </w:r>
            <w:r>
              <w:t>次；监督点：各施工区段。</w:t>
            </w:r>
          </w:p>
        </w:tc>
        <w:tc>
          <w:tcPr>
            <w:tcW w:w="889" w:type="pct"/>
            <w:tcBorders>
              <w:top w:val="single" w:sz="4" w:space="0" w:color="000000"/>
              <w:left w:val="single" w:sz="4" w:space="0" w:color="000000"/>
              <w:bottom w:val="single" w:sz="4" w:space="0" w:color="000000"/>
              <w:right w:val="single" w:sz="4" w:space="0" w:color="000000"/>
            </w:tcBorders>
            <w:vAlign w:val="center"/>
          </w:tcPr>
          <w:p w:rsidR="00BD5820" w:rsidRDefault="00F64314">
            <w:pPr>
              <w:pStyle w:val="afff1"/>
            </w:pPr>
            <w:r>
              <w:t>报建设单位</w:t>
            </w:r>
          </w:p>
        </w:tc>
        <w:tc>
          <w:tcPr>
            <w:tcW w:w="1233" w:type="pct"/>
            <w:tcBorders>
              <w:top w:val="single" w:sz="4" w:space="0" w:color="000000"/>
              <w:left w:val="single" w:sz="4" w:space="0" w:color="000000"/>
              <w:bottom w:val="single" w:sz="4" w:space="0" w:color="000000"/>
              <w:right w:val="nil"/>
            </w:tcBorders>
            <w:vAlign w:val="center"/>
          </w:tcPr>
          <w:p w:rsidR="00BD5820" w:rsidRDefault="00F64314">
            <w:pPr>
              <w:pStyle w:val="afff1"/>
            </w:pPr>
            <w:r>
              <w:t>建设单位和施工单位专、兼职环保人员。</w:t>
            </w:r>
          </w:p>
        </w:tc>
      </w:tr>
      <w:tr w:rsidR="00BD5820">
        <w:trPr>
          <w:trHeight w:val="18"/>
          <w:jc w:val="center"/>
        </w:trPr>
        <w:tc>
          <w:tcPr>
            <w:tcW w:w="589" w:type="pct"/>
            <w:tcBorders>
              <w:top w:val="single" w:sz="4" w:space="0" w:color="000000"/>
              <w:left w:val="nil"/>
              <w:bottom w:val="single" w:sz="4" w:space="0" w:color="000000"/>
              <w:right w:val="single" w:sz="4" w:space="0" w:color="000000"/>
            </w:tcBorders>
            <w:vAlign w:val="center"/>
          </w:tcPr>
          <w:p w:rsidR="00BD5820" w:rsidRDefault="00F64314">
            <w:pPr>
              <w:pStyle w:val="afff1"/>
            </w:pPr>
            <w:r>
              <w:t>施工噪声</w:t>
            </w:r>
          </w:p>
        </w:tc>
        <w:tc>
          <w:tcPr>
            <w:tcW w:w="2289" w:type="pct"/>
            <w:tcBorders>
              <w:top w:val="single" w:sz="4" w:space="0" w:color="000000"/>
              <w:left w:val="single" w:sz="4" w:space="0" w:color="000000"/>
              <w:bottom w:val="single" w:sz="4" w:space="0" w:color="000000"/>
              <w:right w:val="single" w:sz="4" w:space="0" w:color="000000"/>
            </w:tcBorders>
            <w:vAlign w:val="center"/>
          </w:tcPr>
          <w:p w:rsidR="00BD5820" w:rsidRDefault="00F64314">
            <w:pPr>
              <w:pStyle w:val="afff1"/>
            </w:pPr>
            <w:r>
              <w:t>居民密集区厂界噪声；监测频率：施工中视情况而定；监测点：各环境敏感点段。</w:t>
            </w:r>
          </w:p>
        </w:tc>
        <w:tc>
          <w:tcPr>
            <w:tcW w:w="889" w:type="pct"/>
            <w:tcBorders>
              <w:top w:val="single" w:sz="4" w:space="0" w:color="000000"/>
              <w:left w:val="single" w:sz="4" w:space="0" w:color="000000"/>
              <w:bottom w:val="single" w:sz="4" w:space="0" w:color="000000"/>
              <w:right w:val="single" w:sz="4" w:space="0" w:color="000000"/>
            </w:tcBorders>
            <w:vAlign w:val="center"/>
          </w:tcPr>
          <w:p w:rsidR="00BD5820" w:rsidRDefault="00F64314">
            <w:pPr>
              <w:pStyle w:val="afff1"/>
            </w:pPr>
            <w:r>
              <w:t>报建设单位</w:t>
            </w:r>
          </w:p>
        </w:tc>
        <w:tc>
          <w:tcPr>
            <w:tcW w:w="1233" w:type="pct"/>
            <w:tcBorders>
              <w:top w:val="single" w:sz="4" w:space="0" w:color="000000"/>
              <w:left w:val="single" w:sz="4" w:space="0" w:color="000000"/>
              <w:bottom w:val="single" w:sz="4" w:space="0" w:color="000000"/>
              <w:right w:val="nil"/>
            </w:tcBorders>
            <w:vAlign w:val="center"/>
          </w:tcPr>
          <w:p w:rsidR="00BD5820" w:rsidRDefault="00F64314">
            <w:pPr>
              <w:pStyle w:val="afff1"/>
            </w:pPr>
            <w:r>
              <w:t>业主和施工单位专、兼职环保人员。</w:t>
            </w:r>
          </w:p>
        </w:tc>
      </w:tr>
      <w:tr w:rsidR="00BD5820">
        <w:trPr>
          <w:trHeight w:val="18"/>
          <w:jc w:val="center"/>
        </w:trPr>
        <w:tc>
          <w:tcPr>
            <w:tcW w:w="589" w:type="pct"/>
            <w:tcBorders>
              <w:top w:val="single" w:sz="4" w:space="0" w:color="000000"/>
              <w:left w:val="nil"/>
              <w:bottom w:val="single" w:sz="4" w:space="0" w:color="000000"/>
              <w:right w:val="single" w:sz="4" w:space="0" w:color="000000"/>
            </w:tcBorders>
            <w:vAlign w:val="center"/>
          </w:tcPr>
          <w:p w:rsidR="00BD5820" w:rsidRDefault="00F64314">
            <w:pPr>
              <w:pStyle w:val="afff1"/>
            </w:pPr>
            <w:r>
              <w:t>事故监测</w:t>
            </w:r>
          </w:p>
        </w:tc>
        <w:tc>
          <w:tcPr>
            <w:tcW w:w="2289" w:type="pct"/>
            <w:tcBorders>
              <w:top w:val="single" w:sz="4" w:space="0" w:color="000000"/>
              <w:left w:val="single" w:sz="4" w:space="0" w:color="000000"/>
              <w:bottom w:val="single" w:sz="4" w:space="0" w:color="000000"/>
              <w:right w:val="single" w:sz="4" w:space="0" w:color="000000"/>
            </w:tcBorders>
            <w:vAlign w:val="center"/>
          </w:tcPr>
          <w:p w:rsidR="00BD5820" w:rsidRDefault="00F64314">
            <w:pPr>
              <w:pStyle w:val="afff1"/>
            </w:pPr>
            <w:r>
              <w:t>根据事故性质、事故影响的大小，视具体情况监测大气、土壤、水等。</w:t>
            </w:r>
          </w:p>
        </w:tc>
        <w:tc>
          <w:tcPr>
            <w:tcW w:w="889" w:type="pct"/>
            <w:tcBorders>
              <w:top w:val="single" w:sz="4" w:space="0" w:color="000000"/>
              <w:left w:val="single" w:sz="4" w:space="0" w:color="000000"/>
              <w:bottom w:val="single" w:sz="4" w:space="0" w:color="000000"/>
              <w:right w:val="single" w:sz="4" w:space="0" w:color="000000"/>
            </w:tcBorders>
            <w:vAlign w:val="center"/>
          </w:tcPr>
          <w:p w:rsidR="00BD5820" w:rsidRDefault="00F64314">
            <w:pPr>
              <w:pStyle w:val="afff1"/>
            </w:pPr>
            <w:r>
              <w:t>报建设单位和市生态环境部门</w:t>
            </w:r>
          </w:p>
        </w:tc>
        <w:tc>
          <w:tcPr>
            <w:tcW w:w="1233" w:type="pct"/>
            <w:tcBorders>
              <w:top w:val="single" w:sz="4" w:space="0" w:color="000000"/>
              <w:left w:val="single" w:sz="4" w:space="0" w:color="000000"/>
              <w:bottom w:val="single" w:sz="4" w:space="0" w:color="000000"/>
              <w:right w:val="nil"/>
            </w:tcBorders>
            <w:vAlign w:val="center"/>
          </w:tcPr>
          <w:p w:rsidR="00BD5820" w:rsidRDefault="00F64314">
            <w:pPr>
              <w:pStyle w:val="afff1"/>
            </w:pPr>
            <w:r>
              <w:t>当地环境监测站。</w:t>
            </w:r>
          </w:p>
        </w:tc>
      </w:tr>
      <w:tr w:rsidR="00BD5820">
        <w:trPr>
          <w:trHeight w:val="18"/>
          <w:jc w:val="center"/>
        </w:trPr>
        <w:tc>
          <w:tcPr>
            <w:tcW w:w="589" w:type="pct"/>
            <w:tcBorders>
              <w:top w:val="single" w:sz="4" w:space="0" w:color="000000"/>
              <w:left w:val="nil"/>
              <w:bottom w:val="single" w:sz="12" w:space="0" w:color="000000"/>
              <w:right w:val="single" w:sz="4" w:space="0" w:color="000000"/>
            </w:tcBorders>
            <w:vAlign w:val="center"/>
          </w:tcPr>
          <w:p w:rsidR="00BD5820" w:rsidRDefault="00F64314">
            <w:pPr>
              <w:pStyle w:val="afff1"/>
            </w:pPr>
            <w:r>
              <w:t>水土保持</w:t>
            </w:r>
          </w:p>
        </w:tc>
        <w:tc>
          <w:tcPr>
            <w:tcW w:w="2289" w:type="pct"/>
            <w:tcBorders>
              <w:top w:val="single" w:sz="4" w:space="0" w:color="000000"/>
              <w:left w:val="single" w:sz="4" w:space="0" w:color="000000"/>
              <w:bottom w:val="single" w:sz="12" w:space="0" w:color="000000"/>
              <w:right w:val="single" w:sz="4" w:space="0" w:color="000000"/>
            </w:tcBorders>
            <w:vAlign w:val="center"/>
          </w:tcPr>
          <w:p w:rsidR="00BD5820" w:rsidRDefault="00F64314">
            <w:pPr>
              <w:pStyle w:val="afff1"/>
            </w:pPr>
            <w:r>
              <w:t>影响水土流失的因子；水土流失量；水土流失灾害；水土保持设施效益。</w:t>
            </w:r>
          </w:p>
        </w:tc>
        <w:tc>
          <w:tcPr>
            <w:tcW w:w="889" w:type="pct"/>
            <w:tcBorders>
              <w:top w:val="single" w:sz="4" w:space="0" w:color="000000"/>
              <w:left w:val="single" w:sz="4" w:space="0" w:color="000000"/>
              <w:bottom w:val="single" w:sz="12" w:space="0" w:color="000000"/>
              <w:right w:val="single" w:sz="4" w:space="0" w:color="000000"/>
            </w:tcBorders>
            <w:vAlign w:val="center"/>
          </w:tcPr>
          <w:p w:rsidR="00BD5820" w:rsidRDefault="00F64314">
            <w:pPr>
              <w:pStyle w:val="afff1"/>
            </w:pPr>
            <w:r>
              <w:t>报建设单位</w:t>
            </w:r>
          </w:p>
        </w:tc>
        <w:tc>
          <w:tcPr>
            <w:tcW w:w="1233" w:type="pct"/>
            <w:tcBorders>
              <w:top w:val="single" w:sz="4" w:space="0" w:color="000000"/>
              <w:left w:val="single" w:sz="4" w:space="0" w:color="000000"/>
              <w:bottom w:val="single" w:sz="12" w:space="0" w:color="000000"/>
              <w:right w:val="nil"/>
            </w:tcBorders>
            <w:vAlign w:val="center"/>
          </w:tcPr>
          <w:p w:rsidR="00BD5820" w:rsidRDefault="00F64314">
            <w:pPr>
              <w:pStyle w:val="afff1"/>
            </w:pPr>
            <w:r>
              <w:t>在有关行政主管部门的协调指导下，委托当地水保监测单位完成。</w:t>
            </w:r>
          </w:p>
        </w:tc>
      </w:tr>
    </w:tbl>
    <w:p w:rsidR="00BD5820" w:rsidRDefault="00F64314">
      <w:pPr>
        <w:pStyle w:val="2"/>
        <w:spacing w:before="120"/>
        <w:rPr>
          <w:rFonts w:cs="Times New Roman"/>
        </w:rPr>
      </w:pPr>
      <w:bookmarkStart w:id="583" w:name="bookmark83"/>
      <w:bookmarkStart w:id="584" w:name="_Toc12288837"/>
      <w:bookmarkStart w:id="585" w:name="_Toc19816151"/>
      <w:bookmarkStart w:id="586" w:name="_Toc392"/>
      <w:bookmarkEnd w:id="583"/>
      <w:r>
        <w:rPr>
          <w:rFonts w:cs="Times New Roman"/>
        </w:rPr>
        <w:t xml:space="preserve">10.2 </w:t>
      </w:r>
      <w:r>
        <w:rPr>
          <w:rFonts w:cs="Times New Roman"/>
        </w:rPr>
        <w:t>运营期环境管理</w:t>
      </w:r>
      <w:bookmarkEnd w:id="584"/>
      <w:bookmarkEnd w:id="585"/>
      <w:bookmarkEnd w:id="586"/>
    </w:p>
    <w:p w:rsidR="00BD5820" w:rsidRDefault="00F64314">
      <w:pPr>
        <w:pStyle w:val="3"/>
        <w:rPr>
          <w:rFonts w:eastAsia="宋体"/>
        </w:rPr>
      </w:pPr>
      <w:r>
        <w:rPr>
          <w:rFonts w:eastAsia="宋体"/>
        </w:rPr>
        <w:t xml:space="preserve">10.2.1 </w:t>
      </w:r>
      <w:r>
        <w:rPr>
          <w:rFonts w:eastAsia="宋体"/>
        </w:rPr>
        <w:t>营运期环境监测计划</w:t>
      </w:r>
    </w:p>
    <w:p w:rsidR="00BD5820" w:rsidRDefault="00F64314">
      <w:pPr>
        <w:pStyle w:val="affa"/>
        <w:ind w:firstLine="480"/>
      </w:pPr>
      <w:r>
        <w:t>排污单位应查清本单位污染源、污染物指标及潜在的环境影响，制定监测方案，设置和维护监测设施，按照监测方案开展自行监测，做好质量保证和质量控制，记录和保存监测数据，并依法向社会公开监测结果。</w:t>
      </w:r>
    </w:p>
    <w:p w:rsidR="00BD5820" w:rsidRDefault="00F64314">
      <w:pPr>
        <w:pStyle w:val="affa"/>
        <w:ind w:firstLine="480"/>
        <w:rPr>
          <w:b/>
          <w:bCs/>
        </w:rPr>
      </w:pPr>
      <w:r>
        <w:t>本次评价根据或者参照《排污单位自</w:t>
      </w:r>
      <w:r>
        <w:rPr>
          <w:rFonts w:hint="eastAsia"/>
        </w:rPr>
        <w:t>行</w:t>
      </w:r>
      <w:r>
        <w:t>监测技术指南</w:t>
      </w:r>
      <w:r>
        <w:rPr>
          <w:rFonts w:hint="eastAsia"/>
        </w:rPr>
        <w:t xml:space="preserve"> </w:t>
      </w:r>
      <w:r>
        <w:t>总则》（</w:t>
      </w:r>
      <w:r>
        <w:rPr>
          <w:rFonts w:hint="eastAsia"/>
        </w:rPr>
        <w:t>HJ</w:t>
      </w:r>
      <w:r>
        <w:t xml:space="preserve">819-2017 </w:t>
      </w:r>
      <w:r>
        <w:t>）、《环境影响评价技术导则</w:t>
      </w:r>
      <w:r>
        <w:rPr>
          <w:rFonts w:hint="eastAsia"/>
        </w:rPr>
        <w:t xml:space="preserve"> </w:t>
      </w:r>
      <w:r>
        <w:t>大气环境》（</w:t>
      </w:r>
      <w:r>
        <w:t>HJ2.2-2018</w:t>
      </w:r>
      <w:r>
        <w:t>）等制定本监测计划，供建设单位参考。</w:t>
      </w:r>
    </w:p>
    <w:p w:rsidR="00BD5820" w:rsidRDefault="00F64314">
      <w:pPr>
        <w:pStyle w:val="10"/>
        <w:rPr>
          <w:rFonts w:cs="Times New Roman"/>
        </w:rPr>
      </w:pPr>
      <w:r>
        <w:rPr>
          <w:rFonts w:cs="Times New Roman"/>
        </w:rPr>
        <w:t>表</w:t>
      </w:r>
      <w:r>
        <w:rPr>
          <w:rFonts w:cs="Times New Roman"/>
        </w:rPr>
        <w:t xml:space="preserve">10.2-1  </w:t>
      </w:r>
      <w:r>
        <w:rPr>
          <w:rFonts w:cs="Times New Roman"/>
        </w:rPr>
        <w:t>运营期环境监测计划</w:t>
      </w:r>
    </w:p>
    <w:tbl>
      <w:tblPr>
        <w:tblW w:w="5228" w:type="pct"/>
        <w:jc w:val="center"/>
        <w:tblCellMar>
          <w:left w:w="0" w:type="dxa"/>
          <w:right w:w="0" w:type="dxa"/>
        </w:tblCellMar>
        <w:tblLook w:val="04A0"/>
      </w:tblPr>
      <w:tblGrid>
        <w:gridCol w:w="676"/>
        <w:gridCol w:w="1315"/>
        <w:gridCol w:w="2057"/>
        <w:gridCol w:w="2903"/>
        <w:gridCol w:w="1734"/>
      </w:tblGrid>
      <w:tr w:rsidR="00BD5820">
        <w:trPr>
          <w:trHeight w:val="19"/>
          <w:jc w:val="center"/>
        </w:trPr>
        <w:tc>
          <w:tcPr>
            <w:tcW w:w="390" w:type="pct"/>
            <w:tcBorders>
              <w:top w:val="single" w:sz="12" w:space="0" w:color="000000"/>
              <w:left w:val="nil"/>
              <w:bottom w:val="single" w:sz="4" w:space="0" w:color="000000"/>
              <w:right w:val="single" w:sz="4" w:space="0" w:color="000000"/>
            </w:tcBorders>
            <w:vAlign w:val="center"/>
          </w:tcPr>
          <w:p w:rsidR="00BD5820" w:rsidRDefault="00F64314">
            <w:pPr>
              <w:pStyle w:val="TableParagraph"/>
              <w:spacing w:line="240" w:lineRule="auto"/>
              <w:ind w:firstLineChars="0" w:firstLine="0"/>
              <w:rPr>
                <w:rFonts w:ascii="Times New Roman" w:cs="Times New Roman"/>
                <w:b/>
                <w:kern w:val="2"/>
                <w:sz w:val="21"/>
                <w:szCs w:val="21"/>
              </w:rPr>
            </w:pPr>
            <w:r>
              <w:rPr>
                <w:rFonts w:ascii="Times New Roman" w:cs="Times New Roman"/>
                <w:b/>
                <w:kern w:val="2"/>
                <w:sz w:val="21"/>
                <w:szCs w:val="21"/>
              </w:rPr>
              <w:t>序号</w:t>
            </w:r>
          </w:p>
        </w:tc>
        <w:tc>
          <w:tcPr>
            <w:tcW w:w="757" w:type="pct"/>
            <w:tcBorders>
              <w:top w:val="single" w:sz="12" w:space="0" w:color="000000"/>
              <w:left w:val="single" w:sz="4" w:space="0" w:color="000000"/>
              <w:bottom w:val="single" w:sz="4" w:space="0" w:color="000000"/>
              <w:right w:val="single" w:sz="4" w:space="0" w:color="000000"/>
            </w:tcBorders>
            <w:vAlign w:val="center"/>
          </w:tcPr>
          <w:p w:rsidR="00BD5820" w:rsidRDefault="00F64314">
            <w:pPr>
              <w:pStyle w:val="TableParagraph"/>
              <w:spacing w:line="240" w:lineRule="auto"/>
              <w:ind w:firstLineChars="0" w:firstLine="0"/>
              <w:rPr>
                <w:rFonts w:ascii="Times New Roman" w:cs="Times New Roman"/>
                <w:b/>
                <w:kern w:val="2"/>
                <w:sz w:val="21"/>
                <w:szCs w:val="21"/>
              </w:rPr>
            </w:pPr>
            <w:r>
              <w:rPr>
                <w:rFonts w:ascii="Times New Roman" w:cs="Times New Roman"/>
                <w:b/>
                <w:kern w:val="2"/>
                <w:sz w:val="21"/>
                <w:szCs w:val="21"/>
              </w:rPr>
              <w:t>监测内容</w:t>
            </w:r>
          </w:p>
        </w:tc>
        <w:tc>
          <w:tcPr>
            <w:tcW w:w="1184" w:type="pct"/>
            <w:tcBorders>
              <w:top w:val="single" w:sz="12" w:space="0" w:color="000000"/>
              <w:left w:val="single" w:sz="4" w:space="0" w:color="000000"/>
              <w:bottom w:val="single" w:sz="4" w:space="0" w:color="000000"/>
              <w:right w:val="single" w:sz="4" w:space="0" w:color="000000"/>
            </w:tcBorders>
            <w:vAlign w:val="center"/>
          </w:tcPr>
          <w:p w:rsidR="00BD5820" w:rsidRDefault="00F64314">
            <w:pPr>
              <w:pStyle w:val="TableParagraph"/>
              <w:spacing w:line="240" w:lineRule="auto"/>
              <w:ind w:firstLineChars="0" w:firstLine="0"/>
              <w:rPr>
                <w:rFonts w:ascii="Times New Roman" w:cs="Times New Roman"/>
                <w:b/>
                <w:kern w:val="2"/>
                <w:sz w:val="21"/>
                <w:szCs w:val="21"/>
              </w:rPr>
            </w:pPr>
            <w:r>
              <w:rPr>
                <w:rFonts w:ascii="Times New Roman" w:cs="Times New Roman"/>
                <w:b/>
                <w:kern w:val="2"/>
                <w:sz w:val="21"/>
                <w:szCs w:val="21"/>
              </w:rPr>
              <w:t>监测项目</w:t>
            </w:r>
          </w:p>
        </w:tc>
        <w:tc>
          <w:tcPr>
            <w:tcW w:w="1671" w:type="pct"/>
            <w:tcBorders>
              <w:top w:val="single" w:sz="12" w:space="0" w:color="000000"/>
              <w:left w:val="single" w:sz="4" w:space="0" w:color="000000"/>
              <w:bottom w:val="single" w:sz="4" w:space="0" w:color="000000"/>
              <w:right w:val="single" w:sz="4" w:space="0" w:color="000000"/>
            </w:tcBorders>
            <w:vAlign w:val="center"/>
          </w:tcPr>
          <w:p w:rsidR="00BD5820" w:rsidRDefault="00F64314">
            <w:pPr>
              <w:pStyle w:val="TableParagraph"/>
              <w:spacing w:line="240" w:lineRule="auto"/>
              <w:ind w:firstLineChars="0" w:firstLine="0"/>
              <w:rPr>
                <w:rFonts w:ascii="Times New Roman" w:cs="Times New Roman"/>
                <w:b/>
                <w:kern w:val="2"/>
                <w:sz w:val="21"/>
                <w:szCs w:val="21"/>
              </w:rPr>
            </w:pPr>
            <w:r>
              <w:rPr>
                <w:rFonts w:ascii="Times New Roman" w:cs="Times New Roman"/>
                <w:b/>
                <w:kern w:val="2"/>
                <w:sz w:val="21"/>
                <w:szCs w:val="21"/>
              </w:rPr>
              <w:t>监测点位</w:t>
            </w:r>
          </w:p>
        </w:tc>
        <w:tc>
          <w:tcPr>
            <w:tcW w:w="997" w:type="pct"/>
            <w:tcBorders>
              <w:top w:val="single" w:sz="12" w:space="0" w:color="000000"/>
              <w:left w:val="single" w:sz="4" w:space="0" w:color="000000"/>
              <w:bottom w:val="single" w:sz="4" w:space="0" w:color="000000"/>
              <w:right w:val="nil"/>
            </w:tcBorders>
            <w:vAlign w:val="center"/>
          </w:tcPr>
          <w:p w:rsidR="00BD5820" w:rsidRDefault="00F64314">
            <w:pPr>
              <w:pStyle w:val="TableParagraph"/>
              <w:spacing w:line="240" w:lineRule="auto"/>
              <w:ind w:firstLineChars="0" w:firstLine="0"/>
              <w:rPr>
                <w:rFonts w:ascii="Times New Roman" w:cs="Times New Roman"/>
                <w:b/>
                <w:kern w:val="2"/>
                <w:sz w:val="21"/>
                <w:szCs w:val="21"/>
              </w:rPr>
            </w:pPr>
            <w:r>
              <w:rPr>
                <w:rFonts w:ascii="Times New Roman" w:cs="Times New Roman"/>
                <w:b/>
                <w:kern w:val="2"/>
                <w:sz w:val="21"/>
                <w:szCs w:val="21"/>
              </w:rPr>
              <w:t>监测时间及频率</w:t>
            </w:r>
          </w:p>
        </w:tc>
      </w:tr>
      <w:tr w:rsidR="00BD5820">
        <w:trPr>
          <w:trHeight w:val="19"/>
          <w:jc w:val="center"/>
        </w:trPr>
        <w:tc>
          <w:tcPr>
            <w:tcW w:w="390" w:type="pct"/>
            <w:tcBorders>
              <w:top w:val="single" w:sz="12" w:space="0" w:color="000000"/>
              <w:left w:val="nil"/>
              <w:right w:val="single" w:sz="4" w:space="0" w:color="000000"/>
            </w:tcBorders>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1</w:t>
            </w:r>
          </w:p>
        </w:tc>
        <w:tc>
          <w:tcPr>
            <w:tcW w:w="757" w:type="pct"/>
            <w:tcBorders>
              <w:top w:val="single" w:sz="12" w:space="0" w:color="000000"/>
              <w:left w:val="single" w:sz="4" w:space="0" w:color="000000"/>
              <w:right w:val="single" w:sz="4" w:space="0" w:color="000000"/>
            </w:tcBorders>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设备噪声</w:t>
            </w:r>
          </w:p>
        </w:tc>
        <w:tc>
          <w:tcPr>
            <w:tcW w:w="1184" w:type="pct"/>
            <w:tcBorders>
              <w:top w:val="single" w:sz="12" w:space="0" w:color="000000"/>
              <w:left w:val="single" w:sz="4" w:space="0" w:color="000000"/>
              <w:bottom w:val="single" w:sz="4" w:space="0" w:color="000000"/>
              <w:right w:val="single" w:sz="4" w:space="0" w:color="000000"/>
            </w:tcBorders>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厂界噪声</w:t>
            </w:r>
          </w:p>
        </w:tc>
        <w:tc>
          <w:tcPr>
            <w:tcW w:w="1671" w:type="pct"/>
            <w:tcBorders>
              <w:top w:val="single" w:sz="12" w:space="0" w:color="000000"/>
              <w:left w:val="single" w:sz="4" w:space="0" w:color="000000"/>
              <w:bottom w:val="single" w:sz="4" w:space="0" w:color="000000"/>
              <w:right w:val="single" w:sz="4" w:space="0" w:color="000000"/>
            </w:tcBorders>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hint="eastAsia"/>
                <w:sz w:val="21"/>
                <w:szCs w:val="21"/>
              </w:rPr>
              <w:t>本项目普光气田</w:t>
            </w:r>
            <w:r>
              <w:rPr>
                <w:rFonts w:ascii="Times New Roman" w:cs="Times New Roman"/>
                <w:sz w:val="21"/>
                <w:szCs w:val="21"/>
              </w:rPr>
              <w:t>1#</w:t>
            </w:r>
            <w:r>
              <w:rPr>
                <w:rFonts w:hint="eastAsia"/>
                <w:sz w:val="21"/>
                <w:szCs w:val="21"/>
              </w:rPr>
              <w:t>增压站</w:t>
            </w:r>
            <w:r>
              <w:rPr>
                <w:rFonts w:ascii="Times New Roman" w:cs="Times New Roman"/>
                <w:kern w:val="2"/>
                <w:sz w:val="21"/>
                <w:szCs w:val="21"/>
              </w:rPr>
              <w:t>厂界外</w:t>
            </w:r>
            <w:r>
              <w:rPr>
                <w:rFonts w:ascii="Times New Roman" w:cs="Times New Roman"/>
                <w:kern w:val="2"/>
                <w:sz w:val="21"/>
                <w:szCs w:val="21"/>
              </w:rPr>
              <w:t>4</w:t>
            </w:r>
            <w:r>
              <w:rPr>
                <w:rFonts w:ascii="Times New Roman" w:cs="Times New Roman"/>
                <w:kern w:val="2"/>
                <w:sz w:val="21"/>
                <w:szCs w:val="21"/>
              </w:rPr>
              <w:t>个点</w:t>
            </w:r>
            <w:r>
              <w:rPr>
                <w:rFonts w:ascii="Times New Roman" w:cs="Times New Roman" w:hint="eastAsia"/>
                <w:kern w:val="2"/>
                <w:sz w:val="21"/>
                <w:szCs w:val="21"/>
              </w:rPr>
              <w:t>、</w:t>
            </w:r>
            <w:r>
              <w:rPr>
                <w:rFonts w:hint="eastAsia"/>
                <w:sz w:val="21"/>
                <w:szCs w:val="21"/>
              </w:rPr>
              <w:t>普光气田</w:t>
            </w:r>
            <w:r>
              <w:rPr>
                <w:rFonts w:ascii="Times New Roman" w:cs="Times New Roman" w:hint="eastAsia"/>
                <w:sz w:val="21"/>
                <w:szCs w:val="21"/>
              </w:rPr>
              <w:t>2</w:t>
            </w:r>
            <w:r>
              <w:rPr>
                <w:rFonts w:ascii="Times New Roman" w:cs="Times New Roman"/>
                <w:sz w:val="21"/>
                <w:szCs w:val="21"/>
              </w:rPr>
              <w:t>#</w:t>
            </w:r>
            <w:r>
              <w:rPr>
                <w:rFonts w:hint="eastAsia"/>
                <w:sz w:val="21"/>
                <w:szCs w:val="21"/>
              </w:rPr>
              <w:t>增压站</w:t>
            </w:r>
            <w:r>
              <w:rPr>
                <w:rFonts w:ascii="Times New Roman" w:cs="Times New Roman"/>
                <w:kern w:val="2"/>
                <w:sz w:val="21"/>
                <w:szCs w:val="21"/>
              </w:rPr>
              <w:t>厂界外</w:t>
            </w:r>
            <w:r>
              <w:rPr>
                <w:rFonts w:ascii="Times New Roman" w:cs="Times New Roman"/>
                <w:kern w:val="2"/>
                <w:sz w:val="21"/>
                <w:szCs w:val="21"/>
              </w:rPr>
              <w:t>4</w:t>
            </w:r>
            <w:r>
              <w:rPr>
                <w:rFonts w:ascii="Times New Roman" w:cs="Times New Roman"/>
                <w:kern w:val="2"/>
                <w:sz w:val="21"/>
                <w:szCs w:val="21"/>
              </w:rPr>
              <w:t>个点</w:t>
            </w:r>
          </w:p>
        </w:tc>
        <w:tc>
          <w:tcPr>
            <w:tcW w:w="997" w:type="pct"/>
            <w:tcBorders>
              <w:top w:val="single" w:sz="12" w:space="0" w:color="000000"/>
              <w:left w:val="single" w:sz="4" w:space="0" w:color="000000"/>
              <w:bottom w:val="single" w:sz="4" w:space="0" w:color="000000"/>
              <w:right w:val="nil"/>
            </w:tcBorders>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1</w:t>
            </w:r>
            <w:r>
              <w:rPr>
                <w:rFonts w:ascii="Times New Roman" w:cs="Times New Roman"/>
                <w:kern w:val="2"/>
                <w:sz w:val="21"/>
                <w:szCs w:val="21"/>
              </w:rPr>
              <w:t>次</w:t>
            </w:r>
            <w:r>
              <w:rPr>
                <w:rFonts w:ascii="Times New Roman" w:cs="Times New Roman"/>
                <w:kern w:val="2"/>
                <w:sz w:val="21"/>
                <w:szCs w:val="21"/>
              </w:rPr>
              <w:t>/</w:t>
            </w:r>
            <w:r>
              <w:rPr>
                <w:rFonts w:ascii="Times New Roman" w:cs="Times New Roman"/>
                <w:kern w:val="2"/>
                <w:sz w:val="21"/>
                <w:szCs w:val="21"/>
              </w:rPr>
              <w:t>年</w:t>
            </w:r>
          </w:p>
        </w:tc>
      </w:tr>
      <w:tr w:rsidR="00BD5820">
        <w:trPr>
          <w:trHeight w:val="19"/>
          <w:jc w:val="center"/>
        </w:trPr>
        <w:tc>
          <w:tcPr>
            <w:tcW w:w="390" w:type="pct"/>
            <w:vMerge w:val="restart"/>
            <w:tcBorders>
              <w:top w:val="single" w:sz="4" w:space="0" w:color="000000"/>
              <w:left w:val="nil"/>
              <w:right w:val="single" w:sz="4" w:space="0" w:color="000000"/>
            </w:tcBorders>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2</w:t>
            </w:r>
          </w:p>
        </w:tc>
        <w:tc>
          <w:tcPr>
            <w:tcW w:w="757" w:type="pct"/>
            <w:vMerge w:val="restart"/>
            <w:tcBorders>
              <w:top w:val="single" w:sz="4" w:space="0" w:color="000000"/>
              <w:left w:val="single" w:sz="4" w:space="0" w:color="000000"/>
              <w:right w:val="single" w:sz="4" w:space="0" w:color="000000"/>
            </w:tcBorders>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地下水</w:t>
            </w:r>
          </w:p>
        </w:tc>
        <w:tc>
          <w:tcPr>
            <w:tcW w:w="1184" w:type="pct"/>
            <w:vMerge w:val="restart"/>
            <w:tcBorders>
              <w:top w:val="single" w:sz="4" w:space="0" w:color="000000"/>
              <w:left w:val="single" w:sz="4" w:space="0" w:color="000000"/>
              <w:right w:val="single" w:sz="4" w:space="0" w:color="000000"/>
            </w:tcBorders>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石油类</w:t>
            </w:r>
          </w:p>
        </w:tc>
        <w:tc>
          <w:tcPr>
            <w:tcW w:w="1671" w:type="pct"/>
            <w:tcBorders>
              <w:top w:val="single" w:sz="4" w:space="0" w:color="000000"/>
              <w:left w:val="single" w:sz="4" w:space="0" w:color="000000"/>
              <w:bottom w:val="single" w:sz="4" w:space="0" w:color="000000"/>
              <w:right w:val="single" w:sz="4" w:space="0" w:color="000000"/>
            </w:tcBorders>
            <w:vAlign w:val="center"/>
          </w:tcPr>
          <w:p w:rsidR="00BD5820" w:rsidRDefault="00F64314">
            <w:pPr>
              <w:pStyle w:val="Default"/>
              <w:jc w:val="center"/>
              <w:rPr>
                <w:rFonts w:ascii="Times New Roman" w:hAnsi="Times New Roman" w:cs="Times New Roman"/>
                <w:color w:val="auto"/>
                <w:sz w:val="21"/>
                <w:szCs w:val="21"/>
              </w:rPr>
            </w:pPr>
            <w:r>
              <w:rPr>
                <w:rFonts w:ascii="Times New Roman" w:cs="Times New Roman" w:hint="eastAsia"/>
                <w:color w:val="auto"/>
                <w:kern w:val="2"/>
                <w:sz w:val="21"/>
                <w:szCs w:val="21"/>
              </w:rPr>
              <w:t>普光气田</w:t>
            </w:r>
            <w:r>
              <w:rPr>
                <w:rFonts w:ascii="Times New Roman" w:cs="Times New Roman" w:hint="eastAsia"/>
                <w:color w:val="auto"/>
                <w:kern w:val="2"/>
                <w:sz w:val="21"/>
                <w:szCs w:val="21"/>
              </w:rPr>
              <w:t>1#</w:t>
            </w:r>
            <w:r>
              <w:rPr>
                <w:rFonts w:ascii="Times New Roman" w:cs="Times New Roman" w:hint="eastAsia"/>
                <w:color w:val="auto"/>
                <w:kern w:val="2"/>
                <w:sz w:val="21"/>
                <w:szCs w:val="21"/>
              </w:rPr>
              <w:t>增压站侧向</w:t>
            </w:r>
            <w:r>
              <w:rPr>
                <w:rFonts w:ascii="Times New Roman" w:cs="Times New Roman"/>
                <w:color w:val="auto"/>
                <w:kern w:val="2"/>
                <w:sz w:val="21"/>
                <w:szCs w:val="21"/>
              </w:rPr>
              <w:t>水井</w:t>
            </w:r>
            <w:r>
              <w:rPr>
                <w:rFonts w:ascii="Times New Roman" w:cs="Times New Roman" w:hint="eastAsia"/>
                <w:color w:val="auto"/>
                <w:kern w:val="2"/>
                <w:sz w:val="21"/>
                <w:szCs w:val="21"/>
              </w:rPr>
              <w:t>（</w:t>
            </w:r>
            <w:r>
              <w:rPr>
                <w:rFonts w:ascii="Times New Roman" w:cs="Times New Roman" w:hint="eastAsia"/>
                <w:color w:val="auto"/>
                <w:kern w:val="2"/>
                <w:sz w:val="21"/>
                <w:szCs w:val="21"/>
              </w:rPr>
              <w:t>E</w:t>
            </w:r>
            <w:r>
              <w:rPr>
                <w:rFonts w:ascii="Times New Roman" w:cs="Times New Roman" w:hint="eastAsia"/>
                <w:color w:val="auto"/>
                <w:kern w:val="2"/>
                <w:sz w:val="21"/>
                <w:szCs w:val="21"/>
              </w:rPr>
              <w:t>：</w:t>
            </w:r>
            <w:r>
              <w:rPr>
                <w:rFonts w:ascii="Times New Roman" w:cs="Times New Roman" w:hint="eastAsia"/>
                <w:color w:val="auto"/>
                <w:sz w:val="21"/>
                <w:szCs w:val="21"/>
              </w:rPr>
              <w:t>107.806821</w:t>
            </w:r>
            <w:r>
              <w:rPr>
                <w:rFonts w:ascii="Times New Roman" w:cs="Times New Roman" w:hint="eastAsia"/>
                <w:color w:val="auto"/>
                <w:kern w:val="2"/>
                <w:sz w:val="21"/>
                <w:szCs w:val="21"/>
              </w:rPr>
              <w:t>N</w:t>
            </w:r>
            <w:r>
              <w:rPr>
                <w:rFonts w:ascii="Times New Roman" w:cs="Times New Roman" w:hint="eastAsia"/>
                <w:color w:val="auto"/>
                <w:kern w:val="2"/>
                <w:sz w:val="21"/>
                <w:szCs w:val="21"/>
              </w:rPr>
              <w:t>：</w:t>
            </w:r>
            <w:r>
              <w:rPr>
                <w:rFonts w:ascii="Times New Roman" w:cs="Times New Roman" w:hint="eastAsia"/>
                <w:color w:val="auto"/>
                <w:sz w:val="21"/>
                <w:szCs w:val="21"/>
              </w:rPr>
              <w:t>31.536993</w:t>
            </w:r>
            <w:r>
              <w:rPr>
                <w:rFonts w:ascii="Times New Roman" w:cs="Times New Roman" w:hint="eastAsia"/>
                <w:color w:val="auto"/>
                <w:kern w:val="2"/>
                <w:sz w:val="21"/>
                <w:szCs w:val="21"/>
              </w:rPr>
              <w:t>）</w:t>
            </w:r>
            <w:r>
              <w:rPr>
                <w:rFonts w:ascii="Times New Roman" w:cs="Times New Roman"/>
                <w:color w:val="auto"/>
                <w:kern w:val="2"/>
                <w:sz w:val="21"/>
                <w:szCs w:val="21"/>
              </w:rPr>
              <w:t>、</w:t>
            </w:r>
            <w:r>
              <w:rPr>
                <w:rFonts w:ascii="Times New Roman" w:cs="Times New Roman" w:hint="eastAsia"/>
                <w:color w:val="auto"/>
                <w:kern w:val="2"/>
                <w:sz w:val="21"/>
                <w:szCs w:val="21"/>
              </w:rPr>
              <w:t>下游</w:t>
            </w:r>
            <w:r>
              <w:rPr>
                <w:rFonts w:ascii="Times New Roman" w:cs="Times New Roman"/>
                <w:color w:val="auto"/>
                <w:kern w:val="2"/>
                <w:sz w:val="21"/>
                <w:szCs w:val="21"/>
              </w:rPr>
              <w:t>水井</w:t>
            </w:r>
            <w:r>
              <w:rPr>
                <w:rFonts w:ascii="Times New Roman" w:cs="Times New Roman" w:hint="eastAsia"/>
                <w:color w:val="auto"/>
                <w:kern w:val="2"/>
                <w:sz w:val="21"/>
                <w:szCs w:val="21"/>
              </w:rPr>
              <w:t>（</w:t>
            </w:r>
            <w:r>
              <w:rPr>
                <w:rFonts w:ascii="Times New Roman" w:cs="Times New Roman" w:hint="eastAsia"/>
                <w:color w:val="auto"/>
                <w:kern w:val="2"/>
                <w:sz w:val="21"/>
                <w:szCs w:val="21"/>
              </w:rPr>
              <w:t>E</w:t>
            </w:r>
            <w:r>
              <w:rPr>
                <w:rFonts w:ascii="Times New Roman" w:cs="Times New Roman" w:hint="eastAsia"/>
                <w:color w:val="auto"/>
                <w:kern w:val="2"/>
                <w:sz w:val="21"/>
                <w:szCs w:val="21"/>
              </w:rPr>
              <w:t>：</w:t>
            </w:r>
            <w:r>
              <w:rPr>
                <w:rFonts w:ascii="Times New Roman" w:cs="Times New Roman" w:hint="eastAsia"/>
                <w:color w:val="auto"/>
                <w:sz w:val="21"/>
                <w:szCs w:val="21"/>
              </w:rPr>
              <w:t>107.789483</w:t>
            </w:r>
            <w:r>
              <w:rPr>
                <w:rFonts w:ascii="Times New Roman" w:cs="Times New Roman" w:hint="eastAsia"/>
                <w:color w:val="auto"/>
                <w:kern w:val="2"/>
                <w:sz w:val="21"/>
                <w:szCs w:val="21"/>
              </w:rPr>
              <w:t>N</w:t>
            </w:r>
            <w:r>
              <w:rPr>
                <w:rFonts w:ascii="Times New Roman" w:cs="Times New Roman" w:hint="eastAsia"/>
                <w:color w:val="auto"/>
                <w:kern w:val="2"/>
                <w:sz w:val="21"/>
                <w:szCs w:val="21"/>
              </w:rPr>
              <w:t>：</w:t>
            </w:r>
            <w:r>
              <w:rPr>
                <w:rFonts w:ascii="Times New Roman" w:cs="Times New Roman" w:hint="eastAsia"/>
                <w:color w:val="auto"/>
                <w:sz w:val="21"/>
                <w:szCs w:val="21"/>
              </w:rPr>
              <w:t>31.533335</w:t>
            </w:r>
            <w:r>
              <w:rPr>
                <w:rFonts w:ascii="Times New Roman" w:cs="Times New Roman" w:hint="eastAsia"/>
                <w:color w:val="auto"/>
                <w:kern w:val="2"/>
                <w:sz w:val="21"/>
                <w:szCs w:val="21"/>
              </w:rPr>
              <w:t>）</w:t>
            </w:r>
            <w:r>
              <w:rPr>
                <w:rFonts w:ascii="Times New Roman" w:cs="Times New Roman"/>
                <w:color w:val="auto"/>
                <w:kern w:val="2"/>
                <w:sz w:val="21"/>
                <w:szCs w:val="21"/>
              </w:rPr>
              <w:t>、下游水井</w:t>
            </w:r>
            <w:r>
              <w:rPr>
                <w:rFonts w:ascii="Times New Roman" w:cs="Times New Roman" w:hint="eastAsia"/>
                <w:color w:val="auto"/>
                <w:kern w:val="2"/>
                <w:sz w:val="21"/>
                <w:szCs w:val="21"/>
              </w:rPr>
              <w:t>（</w:t>
            </w:r>
            <w:r>
              <w:rPr>
                <w:rFonts w:ascii="Times New Roman" w:cs="Times New Roman" w:hint="eastAsia"/>
                <w:color w:val="auto"/>
                <w:kern w:val="2"/>
                <w:sz w:val="21"/>
                <w:szCs w:val="21"/>
              </w:rPr>
              <w:t>E</w:t>
            </w:r>
            <w:r>
              <w:rPr>
                <w:rFonts w:ascii="Times New Roman" w:cs="Times New Roman" w:hint="eastAsia"/>
                <w:color w:val="auto"/>
                <w:kern w:val="2"/>
                <w:sz w:val="21"/>
                <w:szCs w:val="21"/>
              </w:rPr>
              <w:t>：</w:t>
            </w:r>
            <w:r>
              <w:rPr>
                <w:rFonts w:ascii="Times New Roman" w:cs="Times New Roman" w:hint="eastAsia"/>
                <w:color w:val="auto"/>
                <w:sz w:val="21"/>
                <w:szCs w:val="21"/>
              </w:rPr>
              <w:t>107.777424</w:t>
            </w:r>
            <w:r>
              <w:rPr>
                <w:rFonts w:ascii="Times New Roman" w:cs="Times New Roman" w:hint="eastAsia"/>
                <w:color w:val="auto"/>
                <w:kern w:val="2"/>
                <w:sz w:val="21"/>
                <w:szCs w:val="21"/>
              </w:rPr>
              <w:t>N</w:t>
            </w:r>
            <w:r>
              <w:rPr>
                <w:rFonts w:ascii="Times New Roman" w:cs="Times New Roman" w:hint="eastAsia"/>
                <w:color w:val="auto"/>
                <w:kern w:val="2"/>
                <w:sz w:val="21"/>
                <w:szCs w:val="21"/>
              </w:rPr>
              <w:t>：</w:t>
            </w:r>
            <w:r>
              <w:rPr>
                <w:rFonts w:ascii="Times New Roman" w:cs="Times New Roman" w:hint="eastAsia"/>
                <w:color w:val="auto"/>
                <w:sz w:val="21"/>
                <w:szCs w:val="21"/>
              </w:rPr>
              <w:t>31.536902</w:t>
            </w:r>
            <w:r>
              <w:rPr>
                <w:rFonts w:ascii="Times New Roman" w:cs="Times New Roman" w:hint="eastAsia"/>
                <w:color w:val="auto"/>
                <w:kern w:val="2"/>
                <w:sz w:val="21"/>
                <w:szCs w:val="21"/>
              </w:rPr>
              <w:t>）</w:t>
            </w:r>
          </w:p>
        </w:tc>
        <w:tc>
          <w:tcPr>
            <w:tcW w:w="997" w:type="pct"/>
            <w:tcBorders>
              <w:top w:val="single" w:sz="4" w:space="0" w:color="000000"/>
              <w:left w:val="single" w:sz="4" w:space="0" w:color="000000"/>
              <w:bottom w:val="single" w:sz="4" w:space="0" w:color="000000"/>
              <w:right w:val="nil"/>
            </w:tcBorders>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1</w:t>
            </w:r>
            <w:r>
              <w:rPr>
                <w:rFonts w:ascii="Times New Roman" w:cs="Times New Roman"/>
                <w:kern w:val="2"/>
                <w:sz w:val="21"/>
                <w:szCs w:val="21"/>
              </w:rPr>
              <w:t>次</w:t>
            </w:r>
            <w:r>
              <w:rPr>
                <w:rFonts w:ascii="Times New Roman" w:cs="Times New Roman"/>
                <w:kern w:val="2"/>
                <w:sz w:val="21"/>
                <w:szCs w:val="21"/>
              </w:rPr>
              <w:t>/</w:t>
            </w:r>
            <w:r>
              <w:rPr>
                <w:rFonts w:ascii="Times New Roman" w:cs="Times New Roman"/>
                <w:kern w:val="2"/>
                <w:sz w:val="21"/>
                <w:szCs w:val="21"/>
              </w:rPr>
              <w:t>年</w:t>
            </w:r>
          </w:p>
        </w:tc>
      </w:tr>
      <w:tr w:rsidR="00BD5820">
        <w:trPr>
          <w:trHeight w:val="19"/>
          <w:jc w:val="center"/>
        </w:trPr>
        <w:tc>
          <w:tcPr>
            <w:tcW w:w="390" w:type="pct"/>
            <w:vMerge/>
            <w:tcBorders>
              <w:left w:val="nil"/>
              <w:bottom w:val="single" w:sz="4" w:space="0" w:color="000000"/>
              <w:right w:val="single" w:sz="4" w:space="0" w:color="000000"/>
            </w:tcBorders>
            <w:vAlign w:val="center"/>
          </w:tcPr>
          <w:p w:rsidR="00BD5820" w:rsidRDefault="00BD5820">
            <w:pPr>
              <w:pStyle w:val="TableParagraph"/>
              <w:spacing w:line="240" w:lineRule="auto"/>
              <w:ind w:firstLineChars="0" w:firstLine="0"/>
              <w:rPr>
                <w:rFonts w:ascii="Times New Roman" w:cs="Times New Roman"/>
                <w:kern w:val="2"/>
                <w:sz w:val="21"/>
                <w:szCs w:val="21"/>
              </w:rPr>
            </w:pPr>
          </w:p>
        </w:tc>
        <w:tc>
          <w:tcPr>
            <w:tcW w:w="757" w:type="pct"/>
            <w:vMerge/>
            <w:tcBorders>
              <w:left w:val="single" w:sz="4" w:space="0" w:color="000000"/>
              <w:bottom w:val="single" w:sz="4" w:space="0" w:color="000000"/>
              <w:right w:val="single" w:sz="4" w:space="0" w:color="000000"/>
            </w:tcBorders>
            <w:vAlign w:val="center"/>
          </w:tcPr>
          <w:p w:rsidR="00BD5820" w:rsidRDefault="00BD5820">
            <w:pPr>
              <w:pStyle w:val="TableParagraph"/>
              <w:spacing w:line="240" w:lineRule="auto"/>
              <w:ind w:firstLineChars="0" w:firstLine="0"/>
              <w:rPr>
                <w:rFonts w:ascii="Times New Roman" w:cs="Times New Roman"/>
                <w:kern w:val="2"/>
                <w:sz w:val="21"/>
                <w:szCs w:val="21"/>
              </w:rPr>
            </w:pPr>
          </w:p>
        </w:tc>
        <w:tc>
          <w:tcPr>
            <w:tcW w:w="1184" w:type="pct"/>
            <w:vMerge/>
            <w:tcBorders>
              <w:left w:val="single" w:sz="4" w:space="0" w:color="000000"/>
              <w:bottom w:val="single" w:sz="4" w:space="0" w:color="000000"/>
              <w:right w:val="single" w:sz="4" w:space="0" w:color="000000"/>
            </w:tcBorders>
            <w:vAlign w:val="center"/>
          </w:tcPr>
          <w:p w:rsidR="00BD5820" w:rsidRDefault="00BD5820">
            <w:pPr>
              <w:pStyle w:val="TableParagraph"/>
              <w:spacing w:line="240" w:lineRule="auto"/>
              <w:ind w:firstLineChars="0" w:firstLine="0"/>
              <w:rPr>
                <w:rFonts w:ascii="Times New Roman" w:cs="Times New Roman"/>
                <w:kern w:val="2"/>
                <w:sz w:val="21"/>
                <w:szCs w:val="21"/>
              </w:rPr>
            </w:pPr>
          </w:p>
        </w:tc>
        <w:tc>
          <w:tcPr>
            <w:tcW w:w="1671" w:type="pct"/>
            <w:tcBorders>
              <w:top w:val="single" w:sz="4" w:space="0" w:color="000000"/>
              <w:left w:val="single" w:sz="4" w:space="0" w:color="000000"/>
              <w:bottom w:val="single" w:sz="4" w:space="0" w:color="000000"/>
              <w:right w:val="single" w:sz="4" w:space="0" w:color="000000"/>
            </w:tcBorders>
            <w:vAlign w:val="center"/>
          </w:tcPr>
          <w:p w:rsidR="00BD5820" w:rsidRDefault="00F64314">
            <w:pPr>
              <w:pStyle w:val="Default"/>
              <w:jc w:val="center"/>
              <w:rPr>
                <w:rFonts w:ascii="Times New Roman" w:hAnsi="Times New Roman" w:cs="Times New Roman"/>
                <w:color w:val="auto"/>
                <w:sz w:val="21"/>
                <w:szCs w:val="21"/>
              </w:rPr>
            </w:pPr>
            <w:r>
              <w:rPr>
                <w:rFonts w:ascii="Times New Roman" w:cs="Times New Roman" w:hint="eastAsia"/>
                <w:color w:val="auto"/>
                <w:kern w:val="2"/>
                <w:sz w:val="21"/>
                <w:szCs w:val="21"/>
              </w:rPr>
              <w:t>普光气田</w:t>
            </w:r>
            <w:r>
              <w:rPr>
                <w:rFonts w:ascii="Times New Roman" w:cs="Times New Roman" w:hint="eastAsia"/>
                <w:color w:val="auto"/>
                <w:kern w:val="2"/>
                <w:sz w:val="21"/>
                <w:szCs w:val="21"/>
              </w:rPr>
              <w:t>2#</w:t>
            </w:r>
            <w:r>
              <w:rPr>
                <w:rFonts w:ascii="Times New Roman" w:cs="Times New Roman" w:hint="eastAsia"/>
                <w:color w:val="auto"/>
                <w:kern w:val="2"/>
                <w:sz w:val="21"/>
                <w:szCs w:val="21"/>
              </w:rPr>
              <w:t>增压站侧向</w:t>
            </w:r>
            <w:r>
              <w:rPr>
                <w:rFonts w:ascii="Times New Roman" w:cs="Times New Roman"/>
                <w:color w:val="auto"/>
                <w:kern w:val="2"/>
                <w:sz w:val="21"/>
                <w:szCs w:val="21"/>
              </w:rPr>
              <w:t>水井</w:t>
            </w:r>
            <w:r>
              <w:rPr>
                <w:rFonts w:ascii="Times New Roman" w:cs="Times New Roman" w:hint="eastAsia"/>
                <w:color w:val="auto"/>
                <w:kern w:val="2"/>
                <w:sz w:val="21"/>
                <w:szCs w:val="21"/>
              </w:rPr>
              <w:t>（</w:t>
            </w:r>
            <w:r>
              <w:rPr>
                <w:rFonts w:ascii="Times New Roman" w:cs="Times New Roman" w:hint="eastAsia"/>
                <w:color w:val="auto"/>
                <w:kern w:val="2"/>
                <w:sz w:val="21"/>
                <w:szCs w:val="21"/>
              </w:rPr>
              <w:t>E</w:t>
            </w:r>
            <w:r>
              <w:rPr>
                <w:rFonts w:ascii="Times New Roman" w:cs="Times New Roman" w:hint="eastAsia"/>
                <w:color w:val="auto"/>
                <w:kern w:val="2"/>
                <w:sz w:val="21"/>
                <w:szCs w:val="21"/>
              </w:rPr>
              <w:t>：</w:t>
            </w:r>
            <w:r>
              <w:rPr>
                <w:rFonts w:ascii="Times New Roman" w:cs="Times New Roman" w:hint="eastAsia"/>
                <w:color w:val="auto"/>
                <w:sz w:val="21"/>
                <w:szCs w:val="21"/>
              </w:rPr>
              <w:t>107.718887</w:t>
            </w:r>
            <w:r>
              <w:rPr>
                <w:rFonts w:ascii="Times New Roman" w:cs="Times New Roman" w:hint="eastAsia"/>
                <w:color w:val="auto"/>
                <w:kern w:val="2"/>
                <w:sz w:val="21"/>
                <w:szCs w:val="21"/>
              </w:rPr>
              <w:t>N</w:t>
            </w:r>
            <w:r>
              <w:rPr>
                <w:rFonts w:ascii="Times New Roman" w:cs="Times New Roman" w:hint="eastAsia"/>
                <w:color w:val="auto"/>
                <w:kern w:val="2"/>
                <w:sz w:val="21"/>
                <w:szCs w:val="21"/>
              </w:rPr>
              <w:t>：</w:t>
            </w:r>
            <w:r>
              <w:rPr>
                <w:rFonts w:ascii="Times New Roman" w:cs="Times New Roman" w:hint="eastAsia"/>
                <w:color w:val="auto"/>
                <w:sz w:val="21"/>
                <w:szCs w:val="21"/>
              </w:rPr>
              <w:t>31.546539</w:t>
            </w:r>
            <w:r>
              <w:rPr>
                <w:rFonts w:ascii="Times New Roman" w:cs="Times New Roman" w:hint="eastAsia"/>
                <w:color w:val="auto"/>
                <w:kern w:val="2"/>
                <w:sz w:val="21"/>
                <w:szCs w:val="21"/>
              </w:rPr>
              <w:t>）</w:t>
            </w:r>
            <w:r>
              <w:rPr>
                <w:rFonts w:ascii="Times New Roman" w:cs="Times New Roman"/>
                <w:color w:val="auto"/>
                <w:kern w:val="2"/>
                <w:sz w:val="21"/>
                <w:szCs w:val="21"/>
              </w:rPr>
              <w:t>、</w:t>
            </w:r>
            <w:r>
              <w:rPr>
                <w:rFonts w:ascii="Times New Roman" w:cs="Times New Roman" w:hint="eastAsia"/>
                <w:color w:val="auto"/>
                <w:kern w:val="2"/>
                <w:sz w:val="21"/>
                <w:szCs w:val="21"/>
              </w:rPr>
              <w:t>下游</w:t>
            </w:r>
            <w:r>
              <w:rPr>
                <w:rFonts w:ascii="Times New Roman" w:cs="Times New Roman"/>
                <w:color w:val="auto"/>
                <w:kern w:val="2"/>
                <w:sz w:val="21"/>
                <w:szCs w:val="21"/>
              </w:rPr>
              <w:t>水井</w:t>
            </w:r>
            <w:r>
              <w:rPr>
                <w:rFonts w:ascii="Times New Roman" w:cs="Times New Roman" w:hint="eastAsia"/>
                <w:color w:val="auto"/>
                <w:kern w:val="2"/>
                <w:sz w:val="21"/>
                <w:szCs w:val="21"/>
              </w:rPr>
              <w:t>（</w:t>
            </w:r>
            <w:r>
              <w:rPr>
                <w:rFonts w:ascii="Times New Roman" w:cs="Times New Roman" w:hint="eastAsia"/>
                <w:color w:val="auto"/>
                <w:kern w:val="2"/>
                <w:sz w:val="21"/>
                <w:szCs w:val="21"/>
              </w:rPr>
              <w:t>E</w:t>
            </w:r>
            <w:r>
              <w:rPr>
                <w:rFonts w:ascii="Times New Roman" w:cs="Times New Roman" w:hint="eastAsia"/>
                <w:color w:val="auto"/>
                <w:kern w:val="2"/>
                <w:sz w:val="21"/>
                <w:szCs w:val="21"/>
              </w:rPr>
              <w:t>：</w:t>
            </w:r>
            <w:r>
              <w:rPr>
                <w:rFonts w:ascii="Times New Roman" w:cs="Times New Roman" w:hint="eastAsia"/>
                <w:color w:val="auto"/>
                <w:sz w:val="21"/>
                <w:szCs w:val="21"/>
              </w:rPr>
              <w:t>107.728372</w:t>
            </w:r>
            <w:r>
              <w:rPr>
                <w:rFonts w:ascii="Times New Roman" w:cs="Times New Roman" w:hint="eastAsia"/>
                <w:color w:val="auto"/>
                <w:kern w:val="2"/>
                <w:sz w:val="21"/>
                <w:szCs w:val="21"/>
              </w:rPr>
              <w:t>N</w:t>
            </w:r>
            <w:r>
              <w:rPr>
                <w:rFonts w:ascii="Times New Roman" w:cs="Times New Roman" w:hint="eastAsia"/>
                <w:color w:val="auto"/>
                <w:kern w:val="2"/>
                <w:sz w:val="21"/>
                <w:szCs w:val="21"/>
              </w:rPr>
              <w:t>：</w:t>
            </w:r>
            <w:r>
              <w:rPr>
                <w:rFonts w:ascii="Times New Roman" w:cs="Times New Roman" w:hint="eastAsia"/>
                <w:color w:val="auto"/>
                <w:sz w:val="21"/>
                <w:szCs w:val="21"/>
              </w:rPr>
              <w:t>31.549346</w:t>
            </w:r>
            <w:r>
              <w:rPr>
                <w:rFonts w:ascii="Times New Roman" w:cs="Times New Roman" w:hint="eastAsia"/>
                <w:color w:val="auto"/>
                <w:kern w:val="2"/>
                <w:sz w:val="21"/>
                <w:szCs w:val="21"/>
              </w:rPr>
              <w:t>）</w:t>
            </w:r>
            <w:r>
              <w:rPr>
                <w:rFonts w:ascii="Times New Roman" w:cs="Times New Roman"/>
                <w:color w:val="auto"/>
                <w:kern w:val="2"/>
                <w:sz w:val="21"/>
                <w:szCs w:val="21"/>
              </w:rPr>
              <w:t>、下游水井</w:t>
            </w:r>
            <w:r>
              <w:rPr>
                <w:rFonts w:ascii="Times New Roman" w:cs="Times New Roman" w:hint="eastAsia"/>
                <w:color w:val="auto"/>
                <w:kern w:val="2"/>
                <w:sz w:val="21"/>
                <w:szCs w:val="21"/>
              </w:rPr>
              <w:t>（</w:t>
            </w:r>
            <w:r>
              <w:rPr>
                <w:rFonts w:ascii="Times New Roman" w:cs="Times New Roman" w:hint="eastAsia"/>
                <w:color w:val="auto"/>
                <w:kern w:val="2"/>
                <w:sz w:val="21"/>
                <w:szCs w:val="21"/>
              </w:rPr>
              <w:t>E</w:t>
            </w:r>
            <w:r>
              <w:rPr>
                <w:rFonts w:ascii="Times New Roman" w:cs="Times New Roman" w:hint="eastAsia"/>
                <w:color w:val="auto"/>
                <w:kern w:val="2"/>
                <w:sz w:val="21"/>
                <w:szCs w:val="21"/>
              </w:rPr>
              <w:t>：</w:t>
            </w:r>
            <w:r>
              <w:rPr>
                <w:rFonts w:ascii="Times New Roman" w:cs="Times New Roman" w:hint="eastAsia"/>
                <w:color w:val="auto"/>
                <w:sz w:val="21"/>
                <w:szCs w:val="21"/>
              </w:rPr>
              <w:t>107.746224</w:t>
            </w:r>
            <w:r>
              <w:rPr>
                <w:rFonts w:ascii="Times New Roman" w:cs="Times New Roman" w:hint="eastAsia"/>
                <w:color w:val="auto"/>
                <w:kern w:val="2"/>
                <w:sz w:val="21"/>
                <w:szCs w:val="21"/>
              </w:rPr>
              <w:t>N</w:t>
            </w:r>
            <w:r>
              <w:rPr>
                <w:rFonts w:ascii="Times New Roman" w:cs="Times New Roman" w:hint="eastAsia"/>
                <w:color w:val="auto"/>
                <w:kern w:val="2"/>
                <w:sz w:val="21"/>
                <w:szCs w:val="21"/>
              </w:rPr>
              <w:t>：</w:t>
            </w:r>
            <w:r>
              <w:rPr>
                <w:rFonts w:ascii="Times New Roman" w:cs="Times New Roman" w:hint="eastAsia"/>
                <w:color w:val="auto"/>
                <w:sz w:val="21"/>
                <w:szCs w:val="21"/>
              </w:rPr>
              <w:t>31.530665</w:t>
            </w:r>
            <w:r>
              <w:rPr>
                <w:rFonts w:ascii="Times New Roman" w:cs="Times New Roman" w:hint="eastAsia"/>
                <w:color w:val="auto"/>
                <w:kern w:val="2"/>
                <w:sz w:val="21"/>
                <w:szCs w:val="21"/>
              </w:rPr>
              <w:t>）</w:t>
            </w:r>
          </w:p>
        </w:tc>
        <w:tc>
          <w:tcPr>
            <w:tcW w:w="997" w:type="pct"/>
            <w:tcBorders>
              <w:top w:val="single" w:sz="4" w:space="0" w:color="000000"/>
              <w:left w:val="single" w:sz="4" w:space="0" w:color="000000"/>
              <w:bottom w:val="single" w:sz="4" w:space="0" w:color="000000"/>
              <w:right w:val="nil"/>
            </w:tcBorders>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1</w:t>
            </w:r>
            <w:r>
              <w:rPr>
                <w:rFonts w:ascii="Times New Roman" w:cs="Times New Roman"/>
                <w:kern w:val="2"/>
                <w:sz w:val="21"/>
                <w:szCs w:val="21"/>
              </w:rPr>
              <w:t>次</w:t>
            </w:r>
            <w:r>
              <w:rPr>
                <w:rFonts w:ascii="Times New Roman" w:cs="Times New Roman"/>
                <w:kern w:val="2"/>
                <w:sz w:val="21"/>
                <w:szCs w:val="21"/>
              </w:rPr>
              <w:t>/</w:t>
            </w:r>
            <w:r>
              <w:rPr>
                <w:rFonts w:ascii="Times New Roman" w:cs="Times New Roman"/>
                <w:kern w:val="2"/>
                <w:sz w:val="21"/>
                <w:szCs w:val="21"/>
              </w:rPr>
              <w:t>年</w:t>
            </w:r>
          </w:p>
        </w:tc>
      </w:tr>
      <w:tr w:rsidR="00BD5820">
        <w:trPr>
          <w:trHeight w:val="19"/>
          <w:jc w:val="center"/>
        </w:trPr>
        <w:tc>
          <w:tcPr>
            <w:tcW w:w="390" w:type="pct"/>
            <w:tcBorders>
              <w:top w:val="single" w:sz="4" w:space="0" w:color="000000"/>
              <w:left w:val="nil"/>
              <w:bottom w:val="single" w:sz="4" w:space="0" w:color="000000"/>
              <w:right w:val="single" w:sz="4" w:space="0" w:color="000000"/>
            </w:tcBorders>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lastRenderedPageBreak/>
              <w:t>3</w:t>
            </w:r>
          </w:p>
        </w:tc>
        <w:tc>
          <w:tcPr>
            <w:tcW w:w="757" w:type="pct"/>
            <w:tcBorders>
              <w:top w:val="single" w:sz="4" w:space="0" w:color="000000"/>
              <w:left w:val="single" w:sz="4" w:space="0" w:color="000000"/>
              <w:bottom w:val="single" w:sz="4" w:space="0" w:color="000000"/>
              <w:right w:val="single" w:sz="4" w:space="0" w:color="000000"/>
            </w:tcBorders>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土壤</w:t>
            </w:r>
          </w:p>
        </w:tc>
        <w:tc>
          <w:tcPr>
            <w:tcW w:w="1184" w:type="pct"/>
            <w:tcBorders>
              <w:top w:val="single" w:sz="4" w:space="0" w:color="000000"/>
              <w:left w:val="single" w:sz="4" w:space="0" w:color="000000"/>
              <w:bottom w:val="single" w:sz="4" w:space="0" w:color="000000"/>
              <w:right w:val="single" w:sz="4" w:space="0" w:color="000000"/>
            </w:tcBorders>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石油类</w:t>
            </w:r>
          </w:p>
        </w:tc>
        <w:tc>
          <w:tcPr>
            <w:tcW w:w="1671" w:type="pct"/>
            <w:tcBorders>
              <w:top w:val="single" w:sz="4" w:space="0" w:color="000000"/>
              <w:left w:val="single" w:sz="4" w:space="0" w:color="000000"/>
              <w:bottom w:val="single" w:sz="4" w:space="0" w:color="000000"/>
              <w:right w:val="single" w:sz="4" w:space="0" w:color="000000"/>
            </w:tcBorders>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hint="eastAsia"/>
                <w:sz w:val="21"/>
                <w:szCs w:val="21"/>
              </w:rPr>
              <w:t>本项目普光气田</w:t>
            </w:r>
            <w:r>
              <w:rPr>
                <w:rFonts w:ascii="Times New Roman" w:cs="Times New Roman"/>
                <w:sz w:val="21"/>
                <w:szCs w:val="21"/>
              </w:rPr>
              <w:t>1#</w:t>
            </w:r>
            <w:r>
              <w:rPr>
                <w:rFonts w:hint="eastAsia"/>
                <w:sz w:val="21"/>
                <w:szCs w:val="21"/>
              </w:rPr>
              <w:t>增压站</w:t>
            </w:r>
            <w:r>
              <w:rPr>
                <w:rFonts w:ascii="Times New Roman" w:cs="Times New Roman"/>
                <w:kern w:val="2"/>
                <w:sz w:val="21"/>
                <w:szCs w:val="21"/>
              </w:rPr>
              <w:t>周围耕地</w:t>
            </w:r>
            <w:r>
              <w:rPr>
                <w:rFonts w:ascii="Times New Roman" w:cs="Times New Roman" w:hint="eastAsia"/>
                <w:kern w:val="2"/>
                <w:sz w:val="21"/>
                <w:szCs w:val="21"/>
              </w:rPr>
              <w:t>、</w:t>
            </w:r>
            <w:r>
              <w:rPr>
                <w:rFonts w:hint="eastAsia"/>
                <w:sz w:val="21"/>
                <w:szCs w:val="21"/>
              </w:rPr>
              <w:t>普光气田</w:t>
            </w:r>
            <w:r>
              <w:rPr>
                <w:rFonts w:ascii="Times New Roman" w:cs="Times New Roman" w:hint="eastAsia"/>
                <w:sz w:val="21"/>
                <w:szCs w:val="21"/>
              </w:rPr>
              <w:t>2</w:t>
            </w:r>
            <w:r>
              <w:rPr>
                <w:rFonts w:ascii="Times New Roman" w:cs="Times New Roman"/>
                <w:sz w:val="21"/>
                <w:szCs w:val="21"/>
              </w:rPr>
              <w:t>#</w:t>
            </w:r>
            <w:r>
              <w:rPr>
                <w:rFonts w:hint="eastAsia"/>
                <w:sz w:val="21"/>
                <w:szCs w:val="21"/>
              </w:rPr>
              <w:t>增压站</w:t>
            </w:r>
            <w:r>
              <w:rPr>
                <w:rFonts w:ascii="Times New Roman" w:cs="Times New Roman"/>
                <w:kern w:val="2"/>
                <w:sz w:val="21"/>
                <w:szCs w:val="21"/>
              </w:rPr>
              <w:t>周围耕地</w:t>
            </w:r>
          </w:p>
        </w:tc>
        <w:tc>
          <w:tcPr>
            <w:tcW w:w="997" w:type="pct"/>
            <w:tcBorders>
              <w:top w:val="single" w:sz="4" w:space="0" w:color="000000"/>
              <w:left w:val="single" w:sz="4" w:space="0" w:color="000000"/>
              <w:bottom w:val="single" w:sz="4" w:space="0" w:color="000000"/>
              <w:right w:val="nil"/>
            </w:tcBorders>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1</w:t>
            </w:r>
            <w:r>
              <w:rPr>
                <w:rFonts w:ascii="Times New Roman" w:cs="Times New Roman"/>
                <w:kern w:val="2"/>
                <w:sz w:val="21"/>
                <w:szCs w:val="21"/>
              </w:rPr>
              <w:t>次</w:t>
            </w:r>
            <w:r>
              <w:rPr>
                <w:rFonts w:ascii="Times New Roman" w:cs="Times New Roman"/>
                <w:kern w:val="2"/>
                <w:sz w:val="21"/>
                <w:szCs w:val="21"/>
              </w:rPr>
              <w:t>/5</w:t>
            </w:r>
            <w:r>
              <w:rPr>
                <w:rFonts w:ascii="Times New Roman" w:cs="Times New Roman"/>
                <w:kern w:val="2"/>
                <w:sz w:val="21"/>
                <w:szCs w:val="21"/>
              </w:rPr>
              <w:t>年</w:t>
            </w:r>
          </w:p>
        </w:tc>
      </w:tr>
      <w:tr w:rsidR="00BD5820">
        <w:trPr>
          <w:trHeight w:val="19"/>
          <w:jc w:val="center"/>
        </w:trPr>
        <w:tc>
          <w:tcPr>
            <w:tcW w:w="390" w:type="pct"/>
            <w:tcBorders>
              <w:top w:val="single" w:sz="4" w:space="0" w:color="000000"/>
              <w:left w:val="nil"/>
              <w:bottom w:val="single" w:sz="4" w:space="0" w:color="000000"/>
              <w:right w:val="single" w:sz="4" w:space="0" w:color="000000"/>
            </w:tcBorders>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4</w:t>
            </w:r>
          </w:p>
        </w:tc>
        <w:tc>
          <w:tcPr>
            <w:tcW w:w="757" w:type="pct"/>
            <w:tcBorders>
              <w:top w:val="single" w:sz="4" w:space="0" w:color="000000"/>
              <w:left w:val="single" w:sz="4" w:space="0" w:color="000000"/>
              <w:bottom w:val="single" w:sz="4" w:space="0" w:color="000000"/>
              <w:right w:val="single" w:sz="4" w:space="0" w:color="000000"/>
            </w:tcBorders>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事故监测</w:t>
            </w:r>
            <w:r>
              <w:rPr>
                <w:rFonts w:hAnsi="宋体" w:hint="eastAsia"/>
                <w:kern w:val="2"/>
                <w:sz w:val="21"/>
                <w:szCs w:val="21"/>
                <w:vertAlign w:val="superscript"/>
              </w:rPr>
              <w:t>①</w:t>
            </w:r>
          </w:p>
        </w:tc>
        <w:tc>
          <w:tcPr>
            <w:tcW w:w="1184" w:type="pct"/>
            <w:tcBorders>
              <w:top w:val="single" w:sz="4" w:space="0" w:color="000000"/>
              <w:left w:val="single" w:sz="4" w:space="0" w:color="000000"/>
              <w:bottom w:val="single" w:sz="4" w:space="0" w:color="000000"/>
              <w:right w:val="single" w:sz="4" w:space="0" w:color="000000"/>
            </w:tcBorders>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非甲烷总烃、硫化氢</w:t>
            </w:r>
          </w:p>
        </w:tc>
        <w:tc>
          <w:tcPr>
            <w:tcW w:w="1671" w:type="pct"/>
            <w:tcBorders>
              <w:top w:val="single" w:sz="4" w:space="0" w:color="000000"/>
              <w:left w:val="single" w:sz="4" w:space="0" w:color="000000"/>
              <w:bottom w:val="single" w:sz="4" w:space="0" w:color="000000"/>
              <w:right w:val="single" w:sz="4" w:space="0" w:color="000000"/>
            </w:tcBorders>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事故地段</w:t>
            </w:r>
          </w:p>
        </w:tc>
        <w:tc>
          <w:tcPr>
            <w:tcW w:w="997" w:type="pct"/>
            <w:tcBorders>
              <w:top w:val="single" w:sz="4" w:space="0" w:color="000000"/>
              <w:left w:val="single" w:sz="4" w:space="0" w:color="000000"/>
              <w:bottom w:val="single" w:sz="4" w:space="0" w:color="000000"/>
              <w:right w:val="nil"/>
            </w:tcBorders>
            <w:vAlign w:val="center"/>
          </w:tcPr>
          <w:p w:rsidR="00BD5820" w:rsidRDefault="00F64314">
            <w:pPr>
              <w:pStyle w:val="TableParagraph"/>
              <w:spacing w:line="240" w:lineRule="auto"/>
              <w:ind w:firstLineChars="0" w:firstLine="0"/>
              <w:rPr>
                <w:rFonts w:ascii="Times New Roman" w:cs="Times New Roman"/>
                <w:kern w:val="2"/>
                <w:sz w:val="21"/>
                <w:szCs w:val="21"/>
              </w:rPr>
            </w:pPr>
            <w:r>
              <w:rPr>
                <w:rFonts w:ascii="Times New Roman" w:cs="Times New Roman"/>
                <w:kern w:val="2"/>
                <w:sz w:val="21"/>
                <w:szCs w:val="21"/>
              </w:rPr>
              <w:t>立即进行</w:t>
            </w:r>
          </w:p>
        </w:tc>
      </w:tr>
      <w:tr w:rsidR="00BD5820">
        <w:trPr>
          <w:trHeight w:val="19"/>
          <w:jc w:val="center"/>
        </w:trPr>
        <w:tc>
          <w:tcPr>
            <w:tcW w:w="5000" w:type="pct"/>
            <w:gridSpan w:val="5"/>
            <w:tcBorders>
              <w:top w:val="single" w:sz="4" w:space="0" w:color="000000"/>
              <w:left w:val="nil"/>
              <w:bottom w:val="single" w:sz="12" w:space="0" w:color="000000"/>
            </w:tcBorders>
            <w:vAlign w:val="center"/>
          </w:tcPr>
          <w:p w:rsidR="00BD5820" w:rsidRDefault="00F64314">
            <w:pPr>
              <w:pStyle w:val="Default"/>
              <w:rPr>
                <w:rFonts w:ascii="Times New Roman" w:hAnsi="Times New Roman" w:cs="Times New Roman"/>
                <w:color w:val="auto"/>
                <w:kern w:val="2"/>
                <w:sz w:val="21"/>
                <w:szCs w:val="21"/>
              </w:rPr>
            </w:pPr>
            <w:r>
              <w:rPr>
                <w:rFonts w:ascii="Times New Roman" w:hAnsi="Times New Roman" w:cs="Times New Roman"/>
                <w:color w:val="auto"/>
                <w:sz w:val="20"/>
                <w:szCs w:val="20"/>
              </w:rPr>
              <w:t>注：</w:t>
            </w:r>
            <w:r>
              <w:rPr>
                <w:rFonts w:hAnsi="宋体" w:hint="eastAsia"/>
                <w:color w:val="auto"/>
                <w:sz w:val="20"/>
                <w:szCs w:val="20"/>
              </w:rPr>
              <w:t>①</w:t>
            </w:r>
            <w:r>
              <w:rPr>
                <w:rFonts w:ascii="Times New Roman" w:hAnsi="Times New Roman" w:cs="Times New Roman"/>
                <w:color w:val="auto"/>
                <w:sz w:val="20"/>
                <w:szCs w:val="20"/>
              </w:rPr>
              <w:t>事故发生时的环境监测：因管线发生泄漏</w:t>
            </w:r>
          </w:p>
        </w:tc>
      </w:tr>
    </w:tbl>
    <w:p w:rsidR="00BD5820" w:rsidRDefault="00F64314">
      <w:pPr>
        <w:pStyle w:val="3"/>
        <w:rPr>
          <w:rFonts w:eastAsia="宋体"/>
        </w:rPr>
      </w:pPr>
      <w:r>
        <w:rPr>
          <w:rFonts w:eastAsia="宋体"/>
        </w:rPr>
        <w:t xml:space="preserve">10.2.2 </w:t>
      </w:r>
      <w:r>
        <w:rPr>
          <w:rFonts w:eastAsia="宋体"/>
        </w:rPr>
        <w:t>营运期环境管理</w:t>
      </w:r>
    </w:p>
    <w:p w:rsidR="00BD5820" w:rsidRDefault="00F64314">
      <w:pPr>
        <w:pStyle w:val="a1"/>
        <w:ind w:firstLine="482"/>
        <w:rPr>
          <w:rFonts w:ascii="Times New Roman" w:cs="Times New Roman"/>
          <w:b/>
          <w:bCs/>
        </w:rPr>
      </w:pPr>
      <w:r>
        <w:rPr>
          <w:rFonts w:ascii="Times New Roman" w:cs="Times New Roman"/>
          <w:b/>
          <w:bCs/>
        </w:rPr>
        <w:t>1</w:t>
      </w:r>
      <w:r>
        <w:rPr>
          <w:rFonts w:ascii="Times New Roman" w:cs="Times New Roman"/>
          <w:b/>
          <w:bCs/>
        </w:rPr>
        <w:t>、加强环保设备的管理</w:t>
      </w:r>
    </w:p>
    <w:p w:rsidR="00BD5820" w:rsidRDefault="00F64314">
      <w:pPr>
        <w:pStyle w:val="a1"/>
        <w:ind w:firstLine="480"/>
        <w:rPr>
          <w:rFonts w:ascii="Times New Roman" w:cs="Times New Roman"/>
        </w:rPr>
      </w:pPr>
      <w:r>
        <w:rPr>
          <w:rFonts w:ascii="Times New Roman" w:cs="Times New Roman"/>
        </w:rPr>
        <w:t>建立环保设备台帐，制定主要环保设备的操作规程及安排专门操作人员，建立重点处理设备的</w:t>
      </w:r>
      <w:r>
        <w:rPr>
          <w:rFonts w:ascii="Times New Roman" w:cs="Times New Roman"/>
        </w:rPr>
        <w:t>“</w:t>
      </w:r>
      <w:r>
        <w:rPr>
          <w:rFonts w:ascii="Times New Roman" w:cs="Times New Roman"/>
        </w:rPr>
        <w:t>环保运行记录</w:t>
      </w:r>
      <w:r>
        <w:rPr>
          <w:rFonts w:ascii="Times New Roman" w:cs="Times New Roman"/>
        </w:rPr>
        <w:t>”</w:t>
      </w:r>
      <w:r>
        <w:rPr>
          <w:rFonts w:ascii="Times New Roman" w:cs="Times New Roman"/>
        </w:rPr>
        <w:t>等。</w:t>
      </w:r>
    </w:p>
    <w:p w:rsidR="00BD5820" w:rsidRDefault="00F64314">
      <w:pPr>
        <w:pStyle w:val="a1"/>
        <w:ind w:firstLine="482"/>
        <w:rPr>
          <w:rFonts w:ascii="Times New Roman" w:cs="Times New Roman"/>
          <w:b/>
          <w:bCs/>
        </w:rPr>
      </w:pPr>
      <w:r>
        <w:rPr>
          <w:rFonts w:ascii="Times New Roman" w:cs="Times New Roman"/>
          <w:b/>
          <w:bCs/>
        </w:rPr>
        <w:t>2</w:t>
      </w:r>
      <w:r>
        <w:rPr>
          <w:rFonts w:ascii="Times New Roman" w:cs="Times New Roman"/>
          <w:b/>
          <w:bCs/>
        </w:rPr>
        <w:t>、落实管理制度</w:t>
      </w:r>
    </w:p>
    <w:p w:rsidR="00BD5820" w:rsidRDefault="00F64314">
      <w:pPr>
        <w:pStyle w:val="a1"/>
        <w:ind w:firstLine="480"/>
        <w:rPr>
          <w:rFonts w:ascii="Times New Roman" w:cs="Times New Roman"/>
        </w:rPr>
      </w:pPr>
      <w:r>
        <w:rPr>
          <w:rFonts w:ascii="Times New Roman" w:cs="Times New Roman"/>
        </w:rPr>
        <w:t>除加强环保设备的基础管理外，尚需狠抓制度的落实，制定环保经济责任制考核制度，以提高各部门对环境保护的责任感。</w:t>
      </w:r>
    </w:p>
    <w:p w:rsidR="00BD5820" w:rsidRDefault="00F64314">
      <w:pPr>
        <w:ind w:firstLine="480"/>
        <w:rPr>
          <w:rFonts w:ascii="Times New Roman" w:cs="Times New Roman"/>
        </w:rPr>
      </w:pPr>
      <w:r>
        <w:rPr>
          <w:rFonts w:ascii="Times New Roman" w:cs="Times New Roman"/>
        </w:rPr>
        <w:t>在管道运行期，环境管理除做好监督与检查站场各项环保设施的运行和维护等工作外，工作重点应针对管线破裂后天然气泄漏着火爆炸、着火爆炸等重大事故的预防和处理上。重大环境污染事故不同于一般的环境污染，它没有固定的排放方式和排放途径，具有发生突然、危害严重、污染影响长远且难于完全消除等特点。为此，必须制定相应的事故预防措施、事故应急措施以及恢复补偿措施等。</w:t>
      </w:r>
    </w:p>
    <w:p w:rsidR="00BD5820" w:rsidRDefault="00BD5820">
      <w:pPr>
        <w:ind w:firstLine="480"/>
        <w:rPr>
          <w:rFonts w:ascii="Times New Roman" w:cs="Times New Roman"/>
        </w:rPr>
        <w:sectPr w:rsidR="00BD5820">
          <w:pgSz w:w="11906" w:h="16838"/>
          <w:pgMar w:top="1440" w:right="1800" w:bottom="1440" w:left="1800" w:header="851" w:footer="992" w:gutter="0"/>
          <w:cols w:space="425"/>
          <w:docGrid w:type="lines" w:linePitch="312"/>
        </w:sectPr>
      </w:pPr>
    </w:p>
    <w:p w:rsidR="00BD5820" w:rsidRDefault="00F64314">
      <w:pPr>
        <w:pStyle w:val="1"/>
        <w:spacing w:before="0" w:beforeAutospacing="0" w:after="0" w:afterAutospacing="0"/>
        <w:rPr>
          <w:rFonts w:eastAsia="宋体"/>
          <w:kern w:val="0"/>
        </w:rPr>
      </w:pPr>
      <w:bookmarkStart w:id="587" w:name="_Toc19816152"/>
      <w:bookmarkStart w:id="588" w:name="_Toc21536"/>
      <w:bookmarkStart w:id="589" w:name="_Toc12288838"/>
      <w:r>
        <w:rPr>
          <w:rFonts w:eastAsia="宋体"/>
          <w:kern w:val="0"/>
        </w:rPr>
        <w:lastRenderedPageBreak/>
        <w:t xml:space="preserve">11 </w:t>
      </w:r>
      <w:r>
        <w:rPr>
          <w:rFonts w:eastAsia="宋体"/>
          <w:kern w:val="0"/>
        </w:rPr>
        <w:t>结论与建议</w:t>
      </w:r>
      <w:bookmarkEnd w:id="587"/>
      <w:bookmarkEnd w:id="588"/>
    </w:p>
    <w:p w:rsidR="00BD5820" w:rsidRDefault="00F64314">
      <w:pPr>
        <w:pStyle w:val="2"/>
        <w:spacing w:before="120"/>
        <w:rPr>
          <w:rFonts w:cs="Times New Roman"/>
        </w:rPr>
      </w:pPr>
      <w:bookmarkStart w:id="590" w:name="_Toc19816153"/>
      <w:bookmarkStart w:id="591" w:name="_Toc29395"/>
      <w:r>
        <w:rPr>
          <w:rFonts w:cs="Times New Roman"/>
        </w:rPr>
        <w:t xml:space="preserve">11.1 </w:t>
      </w:r>
      <w:r>
        <w:rPr>
          <w:rFonts w:cs="Times New Roman"/>
        </w:rPr>
        <w:t>项目基本情况</w:t>
      </w:r>
      <w:bookmarkEnd w:id="589"/>
      <w:bookmarkEnd w:id="590"/>
      <w:bookmarkEnd w:id="591"/>
    </w:p>
    <w:p w:rsidR="00BD5820" w:rsidRDefault="00F64314">
      <w:pPr>
        <w:pStyle w:val="3"/>
        <w:rPr>
          <w:rFonts w:eastAsia="宋体"/>
        </w:rPr>
      </w:pPr>
      <w:bookmarkStart w:id="592" w:name="_Toc19816155"/>
      <w:r>
        <w:rPr>
          <w:rFonts w:eastAsia="宋体"/>
        </w:rPr>
        <w:t xml:space="preserve">11.1.1 </w:t>
      </w:r>
      <w:r>
        <w:rPr>
          <w:rFonts w:eastAsia="宋体"/>
        </w:rPr>
        <w:t>项目规模</w:t>
      </w:r>
      <w:bookmarkEnd w:id="592"/>
    </w:p>
    <w:p w:rsidR="00BD5820" w:rsidRDefault="00F64314">
      <w:pPr>
        <w:pStyle w:val="affa"/>
        <w:ind w:firstLine="480"/>
        <w:rPr>
          <w:bCs/>
        </w:rPr>
      </w:pPr>
      <w:r>
        <w:t>中国石油化工股份有限公司中原油田普光分公司</w:t>
      </w:r>
      <w:r>
        <w:rPr>
          <w:rFonts w:hint="eastAsia"/>
        </w:rPr>
        <w:t>拟</w:t>
      </w:r>
      <w:r>
        <w:t>实施普光气田主体湿气增压工程</w:t>
      </w:r>
      <w:r>
        <w:rPr>
          <w:rFonts w:hint="eastAsia"/>
        </w:rPr>
        <w:t>，通过高含硫湿气增压技术，</w:t>
      </w:r>
      <w:r>
        <w:rPr>
          <w:rFonts w:hint="eastAsia"/>
          <w:bCs/>
        </w:rPr>
        <w:t>是延长稳产期，提升气田稳产能力的重要举措，是增加可采储量、提高采收率，提升气田综合开发效益的有效措施，是提高气井携液能力，实现产水井连续生产、激活气井潜能的重要手段。</w:t>
      </w:r>
    </w:p>
    <w:p w:rsidR="00BD5820" w:rsidRDefault="00F64314">
      <w:pPr>
        <w:pStyle w:val="affa"/>
        <w:ind w:firstLine="480"/>
      </w:pPr>
      <w:r>
        <w:rPr>
          <w:rFonts w:hint="eastAsia"/>
        </w:rPr>
        <w:t>本项目依托普光气田主体现有集输系统，新建</w:t>
      </w:r>
      <w:r>
        <w:t>2</w:t>
      </w:r>
      <w:r>
        <w:rPr>
          <w:rFonts w:hint="eastAsia"/>
        </w:rPr>
        <w:t>座增压站，其中：</w:t>
      </w:r>
      <w:r>
        <w:t>1#</w:t>
      </w:r>
      <w:r>
        <w:rPr>
          <w:rFonts w:hint="eastAsia"/>
        </w:rPr>
        <w:t>增压站依托</w:t>
      </w:r>
      <w:r>
        <w:t>P102</w:t>
      </w:r>
      <w:r>
        <w:rPr>
          <w:rFonts w:hint="eastAsia"/>
        </w:rPr>
        <w:t>集气站改造扩建，站内建设高含硫压缩机组</w:t>
      </w:r>
      <w:r>
        <w:t>3</w:t>
      </w:r>
      <w:r>
        <w:rPr>
          <w:rFonts w:hint="eastAsia"/>
        </w:rPr>
        <w:t>套（每套</w:t>
      </w:r>
      <w:r>
        <w:t>50</w:t>
      </w:r>
      <w:r>
        <w:rPr>
          <w:rFonts w:hint="eastAsia"/>
        </w:rPr>
        <w:t>万方</w:t>
      </w:r>
      <w:r>
        <w:t>/</w:t>
      </w:r>
      <w:r>
        <w:rPr>
          <w:rFonts w:hint="eastAsia"/>
        </w:rPr>
        <w:t>天），主要对</w:t>
      </w:r>
      <w:r>
        <w:t>1#</w:t>
      </w:r>
      <w:r>
        <w:rPr>
          <w:rFonts w:hint="eastAsia"/>
        </w:rPr>
        <w:t>线集气站所辖气井来气增压，站外配套新建集输管线</w:t>
      </w:r>
      <w:r>
        <w:t>4.1</w:t>
      </w:r>
      <w:r>
        <w:rPr>
          <w:rFonts w:hint="eastAsia"/>
        </w:rPr>
        <w:t>千米；</w:t>
      </w:r>
      <w:r>
        <w:t>2#</w:t>
      </w:r>
      <w:r>
        <w:rPr>
          <w:rFonts w:hint="eastAsia"/>
        </w:rPr>
        <w:t>增压站依托净化厂东侧料仓改造扩建，站内建设高含硫压缩机组</w:t>
      </w:r>
      <w:r>
        <w:t xml:space="preserve">4 </w:t>
      </w:r>
      <w:r>
        <w:rPr>
          <w:rFonts w:hint="eastAsia"/>
        </w:rPr>
        <w:t>套（每套</w:t>
      </w:r>
      <w:r>
        <w:t xml:space="preserve">150 </w:t>
      </w:r>
      <w:r>
        <w:rPr>
          <w:rFonts w:hint="eastAsia"/>
        </w:rPr>
        <w:t>万方</w:t>
      </w:r>
      <w:r>
        <w:t>/</w:t>
      </w:r>
      <w:r>
        <w:rPr>
          <w:rFonts w:hint="eastAsia"/>
        </w:rPr>
        <w:t>天），主要对</w:t>
      </w:r>
      <w:r>
        <w:t>2#</w:t>
      </w:r>
      <w:r>
        <w:rPr>
          <w:rFonts w:hint="eastAsia"/>
        </w:rPr>
        <w:t>线和</w:t>
      </w:r>
      <w:r>
        <w:t>3#</w:t>
      </w:r>
      <w:r>
        <w:rPr>
          <w:rFonts w:hint="eastAsia"/>
        </w:rPr>
        <w:t>线集气站所辖气井来气增压。</w:t>
      </w:r>
    </w:p>
    <w:p w:rsidR="00BD5820" w:rsidRDefault="00F64314">
      <w:pPr>
        <w:pStyle w:val="a1"/>
        <w:ind w:firstLine="480"/>
        <w:rPr>
          <w:rFonts w:ascii="Times New Roman" w:cs="Times New Roman"/>
        </w:rPr>
      </w:pPr>
      <w:r>
        <w:rPr>
          <w:rFonts w:ascii="Times New Roman" w:cs="Times New Roman" w:hint="eastAsia"/>
        </w:rPr>
        <w:t>项目投资：本项目总投资</w:t>
      </w:r>
      <w:r>
        <w:rPr>
          <w:rFonts w:ascii="Times New Roman" w:cs="Times New Roman" w:hint="eastAsia"/>
        </w:rPr>
        <w:t>85368</w:t>
      </w:r>
      <w:r>
        <w:rPr>
          <w:rFonts w:ascii="Times New Roman" w:cs="Times New Roman" w:hint="eastAsia"/>
        </w:rPr>
        <w:t>万元，其中环保投资</w:t>
      </w:r>
      <w:r>
        <w:rPr>
          <w:rFonts w:ascii="Times New Roman" w:cs="Times New Roman" w:hint="eastAsia"/>
        </w:rPr>
        <w:t>150</w:t>
      </w:r>
      <w:r>
        <w:rPr>
          <w:rFonts w:ascii="Times New Roman" w:cs="Times New Roman" w:hint="eastAsia"/>
        </w:rPr>
        <w:t>万元，占项目总投资的</w:t>
      </w:r>
      <w:r>
        <w:rPr>
          <w:rFonts w:ascii="Times New Roman" w:cs="Times New Roman" w:hint="eastAsia"/>
        </w:rPr>
        <w:t>0.18%</w:t>
      </w:r>
      <w:r>
        <w:rPr>
          <w:rFonts w:ascii="Times New Roman" w:cs="Times New Roman" w:hint="eastAsia"/>
        </w:rPr>
        <w:t>。</w:t>
      </w:r>
    </w:p>
    <w:p w:rsidR="00BD5820" w:rsidRDefault="00F64314">
      <w:pPr>
        <w:pStyle w:val="2"/>
        <w:spacing w:before="120"/>
        <w:rPr>
          <w:rFonts w:cs="Times New Roman"/>
        </w:rPr>
      </w:pPr>
      <w:bookmarkStart w:id="593" w:name="bookmark86"/>
      <w:bookmarkStart w:id="594" w:name="_Toc12288839"/>
      <w:bookmarkStart w:id="595" w:name="_Toc19816157"/>
      <w:bookmarkStart w:id="596" w:name="_Toc5175"/>
      <w:bookmarkEnd w:id="593"/>
      <w:r>
        <w:rPr>
          <w:rFonts w:cs="Times New Roman"/>
        </w:rPr>
        <w:t xml:space="preserve">11.2 </w:t>
      </w:r>
      <w:bookmarkEnd w:id="594"/>
      <w:bookmarkEnd w:id="595"/>
      <w:r>
        <w:rPr>
          <w:rFonts w:cs="Times New Roman"/>
        </w:rPr>
        <w:t>产业政策符合性分析</w:t>
      </w:r>
      <w:bookmarkEnd w:id="596"/>
    </w:p>
    <w:p w:rsidR="00BD5820" w:rsidRDefault="00F64314">
      <w:pPr>
        <w:ind w:firstLine="480"/>
        <w:rPr>
          <w:rFonts w:ascii="Times New Roman" w:cs="Times New Roman"/>
        </w:rPr>
      </w:pPr>
      <w:r>
        <w:rPr>
          <w:rFonts w:ascii="Times New Roman" w:cs="Times New Roman"/>
        </w:rPr>
        <w:t>根据《产业结构调整指导目录》（</w:t>
      </w:r>
      <w:r>
        <w:rPr>
          <w:rFonts w:ascii="Times New Roman" w:cs="Times New Roman"/>
        </w:rPr>
        <w:t>20</w:t>
      </w:r>
      <w:r>
        <w:rPr>
          <w:rFonts w:ascii="Times New Roman" w:cs="Times New Roman" w:hint="eastAsia"/>
        </w:rPr>
        <w:t>19</w:t>
      </w:r>
      <w:r>
        <w:rPr>
          <w:rFonts w:ascii="Times New Roman" w:cs="Times New Roman"/>
        </w:rPr>
        <w:t>年），本项目属于《产业结构调整指导目录》（</w:t>
      </w:r>
      <w:r>
        <w:rPr>
          <w:rFonts w:ascii="Times New Roman" w:cs="Times New Roman"/>
        </w:rPr>
        <w:t>20</w:t>
      </w:r>
      <w:r>
        <w:rPr>
          <w:rFonts w:ascii="Times New Roman" w:cs="Times New Roman" w:hint="eastAsia"/>
        </w:rPr>
        <w:t>19</w:t>
      </w:r>
      <w:r>
        <w:rPr>
          <w:rFonts w:ascii="Times New Roman" w:cs="Times New Roman"/>
        </w:rPr>
        <w:t>年本）鼓励类中第七条</w:t>
      </w:r>
      <w:r>
        <w:rPr>
          <w:rFonts w:ascii="Times New Roman" w:cs="Times New Roman"/>
        </w:rPr>
        <w:t>“</w:t>
      </w:r>
      <w:r>
        <w:rPr>
          <w:rFonts w:ascii="Times New Roman" w:cs="Times New Roman"/>
        </w:rPr>
        <w:t>石油、天然气</w:t>
      </w:r>
      <w:r>
        <w:rPr>
          <w:rFonts w:ascii="Times New Roman" w:cs="Times New Roman"/>
        </w:rPr>
        <w:t>”</w:t>
      </w:r>
      <w:r>
        <w:rPr>
          <w:rFonts w:ascii="Times New Roman" w:cs="Times New Roman"/>
        </w:rPr>
        <w:t>中的第三款：</w:t>
      </w:r>
      <w:r>
        <w:rPr>
          <w:rFonts w:ascii="Times New Roman" w:cs="Times New Roman"/>
        </w:rPr>
        <w:t>“</w:t>
      </w:r>
      <w:r>
        <w:rPr>
          <w:rFonts w:ascii="Times New Roman" w:cs="Times New Roman"/>
        </w:rPr>
        <w:t>原油、天然气、液化天然气、成品油的储运和管道输送设施、网络和液化天然气加注设施建设</w:t>
      </w:r>
      <w:r>
        <w:rPr>
          <w:rFonts w:ascii="Times New Roman" w:cs="Times New Roman"/>
        </w:rPr>
        <w:t>”</w:t>
      </w:r>
      <w:r>
        <w:rPr>
          <w:rFonts w:ascii="Times New Roman" w:cs="Times New Roman"/>
        </w:rPr>
        <w:t>。</w:t>
      </w:r>
    </w:p>
    <w:p w:rsidR="00BD5820" w:rsidRDefault="00F64314">
      <w:pPr>
        <w:ind w:firstLine="480"/>
        <w:rPr>
          <w:rFonts w:ascii="Times New Roman" w:cs="Times New Roman"/>
        </w:rPr>
      </w:pPr>
      <w:r>
        <w:rPr>
          <w:rFonts w:ascii="Times New Roman" w:cs="Times New Roman"/>
        </w:rPr>
        <w:t>因此本项目建设符合国家产业政策。</w:t>
      </w:r>
    </w:p>
    <w:p w:rsidR="00BD5820" w:rsidRDefault="00F64314">
      <w:pPr>
        <w:pStyle w:val="2"/>
        <w:spacing w:before="120"/>
        <w:rPr>
          <w:rFonts w:cs="Times New Roman"/>
        </w:rPr>
      </w:pPr>
      <w:bookmarkStart w:id="597" w:name="bookmark87"/>
      <w:bookmarkStart w:id="598" w:name="_Toc12288840"/>
      <w:bookmarkStart w:id="599" w:name="_Toc19816160"/>
      <w:bookmarkStart w:id="600" w:name="_Toc13507"/>
      <w:bookmarkEnd w:id="597"/>
      <w:r>
        <w:rPr>
          <w:rFonts w:cs="Times New Roman"/>
        </w:rPr>
        <w:t xml:space="preserve">11.3 </w:t>
      </w:r>
      <w:r>
        <w:rPr>
          <w:rFonts w:cs="Times New Roman"/>
        </w:rPr>
        <w:t>清洁生产</w:t>
      </w:r>
      <w:bookmarkEnd w:id="598"/>
      <w:bookmarkEnd w:id="599"/>
      <w:bookmarkEnd w:id="600"/>
    </w:p>
    <w:p w:rsidR="00BD5820" w:rsidRDefault="00F64314">
      <w:pPr>
        <w:pStyle w:val="affa"/>
        <w:ind w:firstLine="480"/>
      </w:pPr>
      <w:r>
        <w:t>本项目输送介质为天然气，属清洁能源；通过采用先进的输送工艺，减少了</w:t>
      </w:r>
      <w:r>
        <w:t>“</w:t>
      </w:r>
      <w:r>
        <w:t>三废</w:t>
      </w:r>
      <w:r>
        <w:t>”</w:t>
      </w:r>
      <w:r>
        <w:t>排放源，从工艺技术、能耗、防腐、节水、施工管理、污染物的排放、运营管理等方面均符合清洁生产原则。工程从输气工艺及施工工艺来看，均最大限度的减少了生态破坏、污染物排放及能源消耗，最大限度的保证了管道的安全运行及管输能力，降低事故的发生和对环境的危害，达到了国内先进的清洁生产水平。因此，本次评价认为，本项目贯彻了清洁生产的原则。</w:t>
      </w:r>
    </w:p>
    <w:p w:rsidR="00BD5820" w:rsidRDefault="00F64314">
      <w:pPr>
        <w:pStyle w:val="2"/>
        <w:spacing w:before="120"/>
        <w:rPr>
          <w:rFonts w:cs="Times New Roman"/>
        </w:rPr>
      </w:pPr>
      <w:bookmarkStart w:id="601" w:name="bookmark88"/>
      <w:bookmarkStart w:id="602" w:name="_Toc19816161"/>
      <w:bookmarkStart w:id="603" w:name="_Toc12288841"/>
      <w:bookmarkStart w:id="604" w:name="_Toc3432"/>
      <w:bookmarkEnd w:id="601"/>
      <w:r>
        <w:rPr>
          <w:rFonts w:cs="Times New Roman"/>
        </w:rPr>
        <w:lastRenderedPageBreak/>
        <w:t xml:space="preserve">11.4 </w:t>
      </w:r>
      <w:r>
        <w:rPr>
          <w:rFonts w:cs="Times New Roman"/>
        </w:rPr>
        <w:t>总量控制</w:t>
      </w:r>
      <w:bookmarkEnd w:id="602"/>
      <w:bookmarkEnd w:id="603"/>
      <w:bookmarkEnd w:id="604"/>
    </w:p>
    <w:p w:rsidR="00BD5820" w:rsidRDefault="00F64314">
      <w:pPr>
        <w:pStyle w:val="affa"/>
        <w:ind w:firstLine="480"/>
      </w:pPr>
      <w:r>
        <w:rPr>
          <w:rFonts w:hint="eastAsia"/>
        </w:rPr>
        <w:t>本项目</w:t>
      </w:r>
      <w:r>
        <w:t>正常运行时天然气处于密闭输送状态，一般无气体污染物外排；</w:t>
      </w:r>
      <w:r>
        <w:rPr>
          <w:rFonts w:hint="eastAsia"/>
        </w:rPr>
        <w:t>本项目</w:t>
      </w:r>
      <w:r>
        <w:t>正常工况条件下，无废气排放；营运期不产生生产废水和生活污水。因此本次评价建议不设总量控制指标。</w:t>
      </w:r>
    </w:p>
    <w:p w:rsidR="00BD5820" w:rsidRDefault="00F64314">
      <w:pPr>
        <w:pStyle w:val="2"/>
        <w:spacing w:before="120"/>
        <w:rPr>
          <w:rFonts w:cs="Times New Roman"/>
        </w:rPr>
      </w:pPr>
      <w:bookmarkStart w:id="605" w:name="bookmark89"/>
      <w:bookmarkStart w:id="606" w:name="_Toc12288842"/>
      <w:bookmarkStart w:id="607" w:name="_Toc19816162"/>
      <w:bookmarkStart w:id="608" w:name="_Toc15179"/>
      <w:bookmarkEnd w:id="605"/>
      <w:r>
        <w:rPr>
          <w:rFonts w:cs="Times New Roman"/>
        </w:rPr>
        <w:t xml:space="preserve">11.5 </w:t>
      </w:r>
      <w:r>
        <w:rPr>
          <w:rFonts w:cs="Times New Roman"/>
        </w:rPr>
        <w:t>环境现状评价结论</w:t>
      </w:r>
      <w:bookmarkEnd w:id="606"/>
      <w:bookmarkEnd w:id="607"/>
      <w:bookmarkEnd w:id="608"/>
    </w:p>
    <w:p w:rsidR="00BD5820" w:rsidRDefault="00F64314">
      <w:pPr>
        <w:pStyle w:val="3"/>
        <w:rPr>
          <w:rFonts w:eastAsia="宋体"/>
        </w:rPr>
      </w:pPr>
      <w:bookmarkStart w:id="609" w:name="_Toc12288844"/>
      <w:bookmarkStart w:id="610" w:name="_Toc19816164"/>
      <w:r>
        <w:rPr>
          <w:rFonts w:eastAsia="宋体"/>
        </w:rPr>
        <w:t xml:space="preserve">11.5.1 </w:t>
      </w:r>
      <w:r>
        <w:rPr>
          <w:rFonts w:eastAsia="宋体"/>
        </w:rPr>
        <w:t>环境空气</w:t>
      </w:r>
      <w:bookmarkEnd w:id="609"/>
      <w:bookmarkEnd w:id="610"/>
    </w:p>
    <w:p w:rsidR="00BD5820" w:rsidRDefault="00F64314">
      <w:pPr>
        <w:pStyle w:val="affa"/>
        <w:ind w:firstLine="480"/>
      </w:pPr>
      <w:r>
        <w:t>根据</w:t>
      </w:r>
      <w:r w:rsidR="002238C6">
        <w:t>达州市</w:t>
      </w:r>
      <w:r w:rsidR="002238C6">
        <w:rPr>
          <w:rFonts w:hint="eastAsia"/>
        </w:rPr>
        <w:t>生态环境</w:t>
      </w:r>
      <w:r w:rsidR="002238C6">
        <w:t>局</w:t>
      </w:r>
      <w:r w:rsidR="002238C6" w:rsidRPr="002238C6">
        <w:rPr>
          <w:rFonts w:hint="eastAsia"/>
          <w:color w:val="FF0000"/>
        </w:rPr>
        <w:t>（</w:t>
      </w:r>
      <w:r w:rsidR="002238C6" w:rsidRPr="002238C6">
        <w:rPr>
          <w:color w:val="FF0000"/>
        </w:rPr>
        <w:t>http://sthjj.dazhou.gov.cn/</w:t>
      </w:r>
      <w:r w:rsidR="002238C6" w:rsidRPr="002238C6">
        <w:rPr>
          <w:rFonts w:hint="eastAsia"/>
          <w:color w:val="FF0000"/>
        </w:rPr>
        <w:t>）</w:t>
      </w:r>
      <w:r w:rsidR="002238C6" w:rsidRPr="002238C6">
        <w:rPr>
          <w:color w:val="FF0000"/>
        </w:rPr>
        <w:t>发布《</w:t>
      </w:r>
      <w:r w:rsidR="002238C6" w:rsidRPr="002238C6">
        <w:rPr>
          <w:color w:val="FF0000"/>
          <w:shd w:val="clear" w:color="auto" w:fill="FFFFFF"/>
        </w:rPr>
        <w:t>202</w:t>
      </w:r>
      <w:r w:rsidR="002238C6" w:rsidRPr="002238C6">
        <w:rPr>
          <w:rFonts w:hint="eastAsia"/>
          <w:color w:val="FF0000"/>
          <w:shd w:val="clear" w:color="auto" w:fill="FFFFFF"/>
        </w:rPr>
        <w:t>2</w:t>
      </w:r>
      <w:r w:rsidR="002238C6" w:rsidRPr="002238C6">
        <w:rPr>
          <w:color w:val="FF0000"/>
          <w:shd w:val="clear" w:color="auto" w:fill="FFFFFF"/>
        </w:rPr>
        <w:t>年</w:t>
      </w:r>
      <w:r w:rsidR="002238C6" w:rsidRPr="002238C6">
        <w:rPr>
          <w:rFonts w:hint="eastAsia"/>
          <w:color w:val="FF0000"/>
          <w:shd w:val="clear" w:color="auto" w:fill="FFFFFF"/>
        </w:rPr>
        <w:t>1~12</w:t>
      </w:r>
      <w:r w:rsidR="002238C6" w:rsidRPr="002238C6">
        <w:rPr>
          <w:rFonts w:hint="eastAsia"/>
          <w:color w:val="FF0000"/>
          <w:shd w:val="clear" w:color="auto" w:fill="FFFFFF"/>
        </w:rPr>
        <w:t>月</w:t>
      </w:r>
      <w:r w:rsidR="002238C6" w:rsidRPr="002238C6">
        <w:rPr>
          <w:color w:val="FF0000"/>
          <w:shd w:val="clear" w:color="auto" w:fill="FFFFFF"/>
        </w:rPr>
        <w:t>达州市</w:t>
      </w:r>
      <w:r w:rsidR="002238C6" w:rsidRPr="002238C6">
        <w:rPr>
          <w:rFonts w:hint="eastAsia"/>
          <w:color w:val="FF0000"/>
          <w:shd w:val="clear" w:color="auto" w:fill="FFFFFF"/>
        </w:rPr>
        <w:t>各县（市、区）环境空气质量月报</w:t>
      </w:r>
      <w:r w:rsidR="002238C6" w:rsidRPr="002238C6">
        <w:rPr>
          <w:color w:val="FF0000"/>
        </w:rPr>
        <w:t>》</w:t>
      </w:r>
      <w:r>
        <w:t>，项目所在区</w:t>
      </w:r>
      <w:r>
        <w:rPr>
          <w:szCs w:val="24"/>
        </w:rPr>
        <w:t>SO</w:t>
      </w:r>
      <w:r>
        <w:rPr>
          <w:szCs w:val="24"/>
          <w:vertAlign w:val="subscript"/>
        </w:rPr>
        <w:t>2</w:t>
      </w:r>
      <w:r>
        <w:rPr>
          <w:szCs w:val="24"/>
        </w:rPr>
        <w:t>、</w:t>
      </w:r>
      <w:r>
        <w:rPr>
          <w:szCs w:val="24"/>
        </w:rPr>
        <w:t>NO</w:t>
      </w:r>
      <w:r>
        <w:rPr>
          <w:szCs w:val="24"/>
          <w:vertAlign w:val="subscript"/>
        </w:rPr>
        <w:t>2</w:t>
      </w:r>
      <w:r>
        <w:rPr>
          <w:szCs w:val="24"/>
        </w:rPr>
        <w:t>、</w:t>
      </w:r>
      <w:r>
        <w:rPr>
          <w:szCs w:val="24"/>
        </w:rPr>
        <w:t>PM</w:t>
      </w:r>
      <w:r>
        <w:rPr>
          <w:szCs w:val="24"/>
          <w:vertAlign w:val="subscript"/>
        </w:rPr>
        <w:t>10</w:t>
      </w:r>
      <w:r>
        <w:rPr>
          <w:szCs w:val="24"/>
        </w:rPr>
        <w:t>、</w:t>
      </w:r>
      <w:r>
        <w:rPr>
          <w:szCs w:val="24"/>
        </w:rPr>
        <w:t>CO</w:t>
      </w:r>
      <w:r>
        <w:rPr>
          <w:szCs w:val="24"/>
        </w:rPr>
        <w:t>、</w:t>
      </w:r>
      <w:r>
        <w:rPr>
          <w:szCs w:val="24"/>
        </w:rPr>
        <w:t>O</w:t>
      </w:r>
      <w:r>
        <w:rPr>
          <w:szCs w:val="24"/>
          <w:vertAlign w:val="subscript"/>
        </w:rPr>
        <w:t>3</w:t>
      </w:r>
      <w:r>
        <w:t>、</w:t>
      </w:r>
      <w:r>
        <w:rPr>
          <w:szCs w:val="24"/>
        </w:rPr>
        <w:t>PM</w:t>
      </w:r>
      <w:r>
        <w:rPr>
          <w:szCs w:val="24"/>
          <w:vertAlign w:val="subscript"/>
        </w:rPr>
        <w:t>2.5</w:t>
      </w:r>
      <w:r>
        <w:t>均达标，项目所在区为达标区。</w:t>
      </w:r>
      <w:r>
        <w:rPr>
          <w:rFonts w:hint="eastAsia"/>
          <w:lang w:val="zh-TW"/>
        </w:rPr>
        <w:t>项目所在地</w:t>
      </w:r>
      <w:r>
        <w:rPr>
          <w:lang w:val="zh-TW"/>
        </w:rPr>
        <w:t>环境空气中特征污染物</w:t>
      </w:r>
      <w:r>
        <w:rPr>
          <w:rFonts w:hint="eastAsia"/>
          <w:lang w:val="zh-TW"/>
        </w:rPr>
        <w:t>TVOC</w:t>
      </w:r>
      <w:r>
        <w:rPr>
          <w:rFonts w:hint="eastAsia"/>
          <w:lang w:val="zh-TW"/>
        </w:rPr>
        <w:t>、</w:t>
      </w:r>
      <w:r>
        <w:rPr>
          <w:lang w:val="zh-TW"/>
        </w:rPr>
        <w:t>硫化氢现状监测值均</w:t>
      </w:r>
      <w:r>
        <w:rPr>
          <w:rFonts w:hint="eastAsia"/>
          <w:lang w:val="zh-TW"/>
        </w:rPr>
        <w:t>满足</w:t>
      </w:r>
      <w:r>
        <w:rPr>
          <w:lang w:val="zh-TW"/>
        </w:rPr>
        <w:t>《环境影响评价技术导则大气环境》（</w:t>
      </w:r>
      <w:r>
        <w:rPr>
          <w:lang w:val="zh-TW"/>
        </w:rPr>
        <w:t>HJ2.2-2018</w:t>
      </w:r>
      <w:r>
        <w:rPr>
          <w:lang w:val="zh-TW"/>
        </w:rPr>
        <w:t>）中附录</w:t>
      </w:r>
      <w:r>
        <w:rPr>
          <w:lang w:val="zh-TW"/>
        </w:rPr>
        <w:t>D</w:t>
      </w:r>
      <w:r>
        <w:rPr>
          <w:lang w:val="zh-TW"/>
        </w:rPr>
        <w:t>标准限值。</w:t>
      </w:r>
    </w:p>
    <w:p w:rsidR="00BD5820" w:rsidRDefault="00F64314">
      <w:pPr>
        <w:pStyle w:val="3"/>
        <w:rPr>
          <w:rFonts w:eastAsia="宋体"/>
        </w:rPr>
      </w:pPr>
      <w:bookmarkStart w:id="611" w:name="_Toc12288845"/>
      <w:bookmarkStart w:id="612" w:name="_Toc19816165"/>
      <w:r>
        <w:rPr>
          <w:rFonts w:eastAsia="宋体"/>
        </w:rPr>
        <w:t xml:space="preserve">11.5.2 </w:t>
      </w:r>
      <w:r>
        <w:rPr>
          <w:rFonts w:eastAsia="宋体"/>
        </w:rPr>
        <w:t>地表水环境</w:t>
      </w:r>
      <w:bookmarkEnd w:id="611"/>
      <w:bookmarkEnd w:id="612"/>
    </w:p>
    <w:p w:rsidR="00BD5820" w:rsidRDefault="005B07B6">
      <w:pPr>
        <w:pStyle w:val="affa"/>
        <w:ind w:firstLine="480"/>
      </w:pPr>
      <w:r w:rsidRPr="005B07B6">
        <w:rPr>
          <w:rFonts w:hint="eastAsia"/>
          <w:color w:val="FF0000"/>
        </w:rPr>
        <w:t>根据《</w:t>
      </w:r>
      <w:r w:rsidRPr="005B07B6">
        <w:rPr>
          <w:rFonts w:hint="eastAsia"/>
          <w:color w:val="FF0000"/>
        </w:rPr>
        <w:t>2022</w:t>
      </w:r>
      <w:r w:rsidRPr="005B07B6">
        <w:rPr>
          <w:rFonts w:hint="eastAsia"/>
          <w:color w:val="FF0000"/>
        </w:rPr>
        <w:t>年</w:t>
      </w:r>
      <w:r w:rsidRPr="005B07B6">
        <w:rPr>
          <w:rFonts w:hint="eastAsia"/>
          <w:color w:val="FF0000"/>
        </w:rPr>
        <w:t>1~12</w:t>
      </w:r>
      <w:r w:rsidRPr="005B07B6">
        <w:rPr>
          <w:rFonts w:hint="eastAsia"/>
          <w:color w:val="FF0000"/>
        </w:rPr>
        <w:t>月月达州市地表水水质月报》（</w:t>
      </w:r>
      <w:r w:rsidRPr="005B07B6">
        <w:rPr>
          <w:color w:val="FF0000"/>
        </w:rPr>
        <w:t>http://sthjj.dazhou.gov.cn/</w:t>
      </w:r>
      <w:r w:rsidRPr="005B07B6">
        <w:rPr>
          <w:rFonts w:hint="eastAsia"/>
          <w:color w:val="FF0000"/>
        </w:rPr>
        <w:t>）</w:t>
      </w:r>
      <w:r w:rsidR="00F64314" w:rsidRPr="005B07B6">
        <w:rPr>
          <w:rFonts w:hint="eastAsia"/>
          <w:color w:val="FF0000"/>
        </w:rPr>
        <w:t>，</w:t>
      </w:r>
      <w:r w:rsidR="00F64314">
        <w:rPr>
          <w:rFonts w:hint="eastAsia"/>
        </w:rPr>
        <w:t>后河漩坑坝断面和渠江白兔乡断面水质均符合《地表水环境质量标准》（</w:t>
      </w:r>
      <w:r w:rsidR="00F64314">
        <w:rPr>
          <w:rFonts w:hint="eastAsia"/>
        </w:rPr>
        <w:t>GB3838-2002</w:t>
      </w:r>
      <w:r w:rsidR="00F64314">
        <w:rPr>
          <w:rFonts w:hint="eastAsia"/>
        </w:rPr>
        <w:t>）中Ⅲ类水质标准限值要求</w:t>
      </w:r>
      <w:r w:rsidR="00F64314">
        <w:t>，区域地表水环境质量较好。</w:t>
      </w:r>
    </w:p>
    <w:p w:rsidR="00BD5820" w:rsidRDefault="00F64314">
      <w:pPr>
        <w:pStyle w:val="3"/>
        <w:rPr>
          <w:rFonts w:eastAsia="宋体"/>
        </w:rPr>
      </w:pPr>
      <w:bookmarkStart w:id="613" w:name="_Toc12288846"/>
      <w:bookmarkStart w:id="614" w:name="_Toc19816166"/>
      <w:r>
        <w:rPr>
          <w:rFonts w:eastAsia="宋体"/>
        </w:rPr>
        <w:t xml:space="preserve">11.5.3 </w:t>
      </w:r>
      <w:r>
        <w:rPr>
          <w:rFonts w:eastAsia="宋体"/>
        </w:rPr>
        <w:t>地下水环境</w:t>
      </w:r>
      <w:bookmarkEnd w:id="613"/>
      <w:bookmarkEnd w:id="614"/>
    </w:p>
    <w:p w:rsidR="00BD5820" w:rsidRDefault="00F64314">
      <w:pPr>
        <w:pStyle w:val="affa"/>
        <w:ind w:firstLine="480"/>
      </w:pPr>
      <w:r>
        <w:t>根据地下水监测统计结果可知，项目</w:t>
      </w:r>
      <w:r>
        <w:rPr>
          <w:rFonts w:hint="eastAsia"/>
        </w:rPr>
        <w:t>所在地</w:t>
      </w:r>
      <w:r>
        <w:t>地下水监测点各监测因子标准指数均小于</w:t>
      </w:r>
      <w:r>
        <w:t>1</w:t>
      </w:r>
      <w:r>
        <w:t>，满足《地下水质量标准》（</w:t>
      </w:r>
      <w:r>
        <w:t>GB/T14848-93</w:t>
      </w:r>
      <w:r>
        <w:t>）</w:t>
      </w:r>
      <w:r>
        <w:t>Ⅲ</w:t>
      </w:r>
      <w:r>
        <w:t>类标准要求，石油类满足《地表水环境质量标准》（</w:t>
      </w:r>
      <w:r>
        <w:t>GB3838-2002</w:t>
      </w:r>
      <w:r>
        <w:t>）</w:t>
      </w:r>
      <w:r>
        <w:t>Ⅲ</w:t>
      </w:r>
      <w:r>
        <w:t>类标准要求。</w:t>
      </w:r>
    </w:p>
    <w:p w:rsidR="00BD5820" w:rsidRDefault="00F64314">
      <w:pPr>
        <w:pStyle w:val="3"/>
        <w:rPr>
          <w:rFonts w:eastAsia="宋体"/>
        </w:rPr>
      </w:pPr>
      <w:bookmarkStart w:id="615" w:name="_Toc12288847"/>
      <w:bookmarkStart w:id="616" w:name="_Toc19816167"/>
      <w:r>
        <w:rPr>
          <w:rFonts w:eastAsia="宋体"/>
        </w:rPr>
        <w:t xml:space="preserve">11.5.4 </w:t>
      </w:r>
      <w:r>
        <w:rPr>
          <w:rFonts w:eastAsia="宋体"/>
        </w:rPr>
        <w:t>声环境</w:t>
      </w:r>
      <w:bookmarkEnd w:id="615"/>
      <w:bookmarkEnd w:id="616"/>
    </w:p>
    <w:p w:rsidR="00BD5820" w:rsidRDefault="00F64314">
      <w:pPr>
        <w:pStyle w:val="affa"/>
        <w:ind w:firstLine="480"/>
      </w:pPr>
      <w:r>
        <w:t>根据监测结果可知，本项目站场</w:t>
      </w:r>
      <w:r>
        <w:rPr>
          <w:rFonts w:hint="eastAsia"/>
        </w:rPr>
        <w:t>及</w:t>
      </w:r>
      <w:r>
        <w:t>管道沿线声环境质量良好，监测点位处的昼间和夜间声环境质量现状值均满足《声环境质量标准》（</w:t>
      </w:r>
      <w:r>
        <w:t>GB3096-2008</w:t>
      </w:r>
      <w:r>
        <w:t>）中</w:t>
      </w:r>
      <w:r>
        <w:t>2</w:t>
      </w:r>
      <w:r>
        <w:t>类环境噪声限值要求。</w:t>
      </w:r>
    </w:p>
    <w:p w:rsidR="00BD5820" w:rsidRDefault="00F64314">
      <w:pPr>
        <w:pStyle w:val="3"/>
        <w:rPr>
          <w:rFonts w:eastAsia="宋体"/>
        </w:rPr>
      </w:pPr>
      <w:r>
        <w:rPr>
          <w:rFonts w:eastAsia="宋体"/>
        </w:rPr>
        <w:t>11.5.</w:t>
      </w:r>
      <w:r>
        <w:rPr>
          <w:rFonts w:eastAsia="宋体" w:hint="eastAsia"/>
        </w:rPr>
        <w:t>5</w:t>
      </w:r>
      <w:r>
        <w:rPr>
          <w:rFonts w:eastAsia="宋体"/>
        </w:rPr>
        <w:t xml:space="preserve"> </w:t>
      </w:r>
      <w:r>
        <w:rPr>
          <w:rFonts w:eastAsia="宋体" w:hint="eastAsia"/>
        </w:rPr>
        <w:t>土壤</w:t>
      </w:r>
      <w:r>
        <w:rPr>
          <w:rFonts w:eastAsia="宋体"/>
        </w:rPr>
        <w:t>环境</w:t>
      </w:r>
    </w:p>
    <w:p w:rsidR="00BD5820" w:rsidRDefault="00F64314">
      <w:pPr>
        <w:pStyle w:val="affa"/>
        <w:ind w:firstLine="480"/>
      </w:pPr>
      <w:r>
        <w:t>根据监测结果可知，</w:t>
      </w:r>
      <w:r>
        <w:rPr>
          <w:rFonts w:hint="eastAsia"/>
        </w:rPr>
        <w:t>项目涉及的普光气田</w:t>
      </w:r>
      <w:r>
        <w:rPr>
          <w:rFonts w:hint="eastAsia"/>
        </w:rPr>
        <w:t>1#</w:t>
      </w:r>
      <w:r>
        <w:rPr>
          <w:rFonts w:hint="eastAsia"/>
        </w:rPr>
        <w:t>增压站、普光气田</w:t>
      </w:r>
      <w:r>
        <w:rPr>
          <w:rFonts w:hint="eastAsia"/>
        </w:rPr>
        <w:t>2#</w:t>
      </w:r>
      <w:r>
        <w:rPr>
          <w:rFonts w:hint="eastAsia"/>
        </w:rPr>
        <w:t>增压站</w:t>
      </w:r>
      <w:r>
        <w:t>站场</w:t>
      </w:r>
      <w:r>
        <w:rPr>
          <w:rFonts w:hint="eastAsia"/>
        </w:rPr>
        <w:t>内土壤中各项监测指标均符合</w:t>
      </w:r>
      <w:r w:rsidRPr="00FE183C">
        <w:rPr>
          <w:rFonts w:hint="eastAsia"/>
          <w:color w:val="FF0000"/>
        </w:rPr>
        <w:t>《土壤环境质量</w:t>
      </w:r>
      <w:r w:rsidRPr="00FE183C">
        <w:rPr>
          <w:rFonts w:hint="eastAsia"/>
          <w:color w:val="FF0000"/>
        </w:rPr>
        <w:t xml:space="preserve"> </w:t>
      </w:r>
      <w:r w:rsidRPr="00FE183C">
        <w:rPr>
          <w:rFonts w:hint="eastAsia"/>
          <w:color w:val="FF0000"/>
        </w:rPr>
        <w:t>建设用地土壤污染风险管控标准（试行）》（</w:t>
      </w:r>
      <w:r w:rsidRPr="00FE183C">
        <w:rPr>
          <w:rFonts w:hint="eastAsia"/>
          <w:color w:val="FF0000"/>
        </w:rPr>
        <w:t>GB 36600-2018</w:t>
      </w:r>
      <w:r w:rsidRPr="00FE183C">
        <w:rPr>
          <w:rFonts w:hint="eastAsia"/>
          <w:color w:val="FF0000"/>
        </w:rPr>
        <w:t>）中</w:t>
      </w:r>
      <w:r w:rsidR="003F23CB" w:rsidRPr="00FE183C">
        <w:rPr>
          <w:rFonts w:hint="eastAsia"/>
          <w:color w:val="FF0000"/>
        </w:rPr>
        <w:t>第二类用地</w:t>
      </w:r>
      <w:r w:rsidRPr="00FE183C">
        <w:rPr>
          <w:rFonts w:hint="eastAsia"/>
          <w:color w:val="FF0000"/>
        </w:rPr>
        <w:t>风险筛选值</w:t>
      </w:r>
      <w:r>
        <w:rPr>
          <w:rFonts w:hint="eastAsia"/>
        </w:rPr>
        <w:t>；普光气田</w:t>
      </w:r>
      <w:r>
        <w:rPr>
          <w:rFonts w:hint="eastAsia"/>
        </w:rPr>
        <w:t>1#</w:t>
      </w:r>
      <w:r>
        <w:rPr>
          <w:rFonts w:hint="eastAsia"/>
        </w:rPr>
        <w:t>增压站、普光气田</w:t>
      </w:r>
      <w:r>
        <w:rPr>
          <w:rFonts w:hint="eastAsia"/>
        </w:rPr>
        <w:t>2#</w:t>
      </w:r>
      <w:r>
        <w:rPr>
          <w:rFonts w:hint="eastAsia"/>
        </w:rPr>
        <w:t>增压站</w:t>
      </w:r>
      <w:r>
        <w:t>站场周边</w:t>
      </w:r>
      <w:r>
        <w:rPr>
          <w:rFonts w:hint="eastAsia"/>
        </w:rPr>
        <w:t>耕地</w:t>
      </w:r>
      <w:r>
        <w:t>土壤环境质量良好，各因子均满足《土壤环境质量</w:t>
      </w:r>
      <w:r>
        <w:t xml:space="preserve"> </w:t>
      </w:r>
      <w:r>
        <w:t>农用地土壤污染风险管控标准（试行）》（</w:t>
      </w:r>
      <w:r>
        <w:t>GB-15618-2018</w:t>
      </w:r>
      <w:r>
        <w:t>）中农用地土壤</w:t>
      </w:r>
      <w:r>
        <w:lastRenderedPageBreak/>
        <w:t>污染风险筛选值。土壤环境质量良好。</w:t>
      </w:r>
    </w:p>
    <w:p w:rsidR="00BD5820" w:rsidRDefault="00F64314">
      <w:pPr>
        <w:pStyle w:val="2"/>
        <w:spacing w:before="120"/>
        <w:rPr>
          <w:rFonts w:cs="Times New Roman"/>
        </w:rPr>
      </w:pPr>
      <w:bookmarkStart w:id="617" w:name="bookmark37"/>
      <w:bookmarkStart w:id="618" w:name="bookmark90"/>
      <w:bookmarkStart w:id="619" w:name="_Toc12288848"/>
      <w:bookmarkStart w:id="620" w:name="_Toc19816168"/>
      <w:bookmarkStart w:id="621" w:name="_Toc5659"/>
      <w:bookmarkEnd w:id="617"/>
      <w:bookmarkEnd w:id="618"/>
      <w:r>
        <w:rPr>
          <w:rFonts w:cs="Times New Roman"/>
        </w:rPr>
        <w:t xml:space="preserve">11.6 </w:t>
      </w:r>
      <w:r>
        <w:rPr>
          <w:rFonts w:cs="Times New Roman"/>
        </w:rPr>
        <w:t>环境影响评价结论</w:t>
      </w:r>
      <w:bookmarkEnd w:id="619"/>
      <w:bookmarkEnd w:id="620"/>
      <w:bookmarkEnd w:id="621"/>
    </w:p>
    <w:p w:rsidR="00BD5820" w:rsidRDefault="00F64314">
      <w:pPr>
        <w:pStyle w:val="3"/>
        <w:rPr>
          <w:rFonts w:eastAsia="宋体"/>
        </w:rPr>
      </w:pPr>
      <w:bookmarkStart w:id="622" w:name="_Toc19816169"/>
      <w:bookmarkStart w:id="623" w:name="_Toc12288849"/>
      <w:r>
        <w:rPr>
          <w:rFonts w:eastAsia="宋体"/>
        </w:rPr>
        <w:t xml:space="preserve">11.6.1 </w:t>
      </w:r>
      <w:r>
        <w:rPr>
          <w:rFonts w:eastAsia="宋体"/>
        </w:rPr>
        <w:t>环境空气</w:t>
      </w:r>
      <w:bookmarkEnd w:id="622"/>
      <w:bookmarkEnd w:id="623"/>
    </w:p>
    <w:p w:rsidR="00BD5820" w:rsidRDefault="00F64314">
      <w:pPr>
        <w:pStyle w:val="affa"/>
        <w:ind w:firstLine="480"/>
      </w:pPr>
      <w:bookmarkStart w:id="624" w:name="_Hlk82897008"/>
      <w:r>
        <w:t>施工期地面开挖、回填、土石堆放和运输车辆行驶产生的扬尘（粉尘）、及施工机械、运输车辆排放的烟气、焊接废气</w:t>
      </w:r>
      <w:r>
        <w:rPr>
          <w:rFonts w:hint="eastAsia"/>
        </w:rPr>
        <w:t>、食堂油烟</w:t>
      </w:r>
      <w:r>
        <w:t>以及放空废气将对大气环境产生轻微、暂时的影响。</w:t>
      </w:r>
    </w:p>
    <w:p w:rsidR="00BD5820" w:rsidRDefault="00F64314">
      <w:pPr>
        <w:pStyle w:val="affa"/>
        <w:ind w:firstLine="480"/>
      </w:pPr>
      <w:r>
        <w:t>项目正常生产时，天然气处于完全密闭系统内，输气管道在正常生产时无废气产生和排放。</w:t>
      </w:r>
      <w:r>
        <w:rPr>
          <w:rFonts w:hint="eastAsia"/>
        </w:rPr>
        <w:t>事故或检修放空</w:t>
      </w:r>
      <w:r>
        <w:t>排放的天然气</w:t>
      </w:r>
      <w:r w:rsidR="005A638B" w:rsidRPr="005A638B">
        <w:rPr>
          <w:color w:val="FF0000"/>
        </w:rPr>
        <w:t>分别经</w:t>
      </w:r>
      <w:r w:rsidR="005A638B" w:rsidRPr="005A638B">
        <w:rPr>
          <w:rFonts w:hint="eastAsia"/>
          <w:color w:val="FF0000"/>
        </w:rPr>
        <w:t>P102</w:t>
      </w:r>
      <w:r w:rsidR="005A638B" w:rsidRPr="005A638B">
        <w:rPr>
          <w:rFonts w:hint="eastAsia"/>
          <w:color w:val="FF0000"/>
        </w:rPr>
        <w:t>集气站</w:t>
      </w:r>
      <w:r w:rsidR="005A638B" w:rsidRPr="005A638B">
        <w:rPr>
          <w:color w:val="FF0000"/>
        </w:rPr>
        <w:t>和普光净化厂放空火炬</w:t>
      </w:r>
      <w:r w:rsidR="005A638B" w:rsidRPr="005A638B">
        <w:rPr>
          <w:rFonts w:hint="eastAsia"/>
          <w:color w:val="FF0000"/>
        </w:rPr>
        <w:t>（</w:t>
      </w:r>
      <w:r w:rsidR="005A638B" w:rsidRPr="005A638B">
        <w:rPr>
          <w:rFonts w:hint="eastAsia"/>
          <w:color w:val="FF0000"/>
        </w:rPr>
        <w:t>85m</w:t>
      </w:r>
      <w:r w:rsidR="005A638B" w:rsidRPr="005A638B">
        <w:rPr>
          <w:rFonts w:hint="eastAsia"/>
          <w:color w:val="FF0000"/>
        </w:rPr>
        <w:t>高）</w:t>
      </w:r>
      <w:r w:rsidR="005A638B" w:rsidRPr="005A638B">
        <w:rPr>
          <w:color w:val="FF0000"/>
        </w:rPr>
        <w:t>燃烧后排放</w:t>
      </w:r>
      <w:r>
        <w:t>。</w:t>
      </w:r>
    </w:p>
    <w:p w:rsidR="00BD5820" w:rsidRDefault="00F64314">
      <w:pPr>
        <w:pStyle w:val="3"/>
        <w:rPr>
          <w:rFonts w:eastAsia="宋体"/>
        </w:rPr>
      </w:pPr>
      <w:bookmarkStart w:id="625" w:name="_Toc19816170"/>
      <w:bookmarkStart w:id="626" w:name="_Toc12288850"/>
      <w:r>
        <w:rPr>
          <w:rFonts w:eastAsia="宋体"/>
        </w:rPr>
        <w:t xml:space="preserve">11.6.2 </w:t>
      </w:r>
      <w:r>
        <w:rPr>
          <w:rFonts w:eastAsia="宋体"/>
        </w:rPr>
        <w:t>地表水环境</w:t>
      </w:r>
      <w:bookmarkEnd w:id="625"/>
      <w:bookmarkEnd w:id="626"/>
    </w:p>
    <w:p w:rsidR="00BD5820" w:rsidRDefault="00F64314">
      <w:pPr>
        <w:pStyle w:val="affa"/>
        <w:ind w:firstLine="480"/>
      </w:pPr>
      <w:r>
        <w:t>施工期：施工期管线施工人员生活污水依托租用附近居民房收集处理</w:t>
      </w:r>
      <w:r>
        <w:rPr>
          <w:rFonts w:hint="eastAsia"/>
        </w:rPr>
        <w:t>；站场</w:t>
      </w:r>
      <w:r>
        <w:rPr>
          <w:spacing w:val="-8"/>
          <w:szCs w:val="21"/>
        </w:rPr>
        <w:t>施工</w:t>
      </w:r>
      <w:r>
        <w:rPr>
          <w:rFonts w:hint="eastAsia"/>
          <w:spacing w:val="-8"/>
          <w:szCs w:val="21"/>
        </w:rPr>
        <w:t>入厕生活污水依托</w:t>
      </w:r>
      <w:r>
        <w:rPr>
          <w:spacing w:val="-8"/>
          <w:szCs w:val="21"/>
        </w:rPr>
        <w:t>经</w:t>
      </w:r>
      <w:r>
        <w:rPr>
          <w:bCs/>
          <w:spacing w:val="-8"/>
          <w:szCs w:val="21"/>
        </w:rPr>
        <w:t>生态环保厕所收集处理</w:t>
      </w:r>
      <w:r>
        <w:t>后，用作周边农肥，不外排</w:t>
      </w:r>
      <w:r>
        <w:rPr>
          <w:rFonts w:hint="eastAsia"/>
        </w:rPr>
        <w:t>；员工洗澡、食堂废水经单独收集后拉运至普光镇场镇污水处理厂处理</w:t>
      </w:r>
      <w:r>
        <w:t>；清管试压废水经沉淀后</w:t>
      </w:r>
      <w:r>
        <w:rPr>
          <w:rFonts w:hint="eastAsia"/>
        </w:rPr>
        <w:t>回用，不外排</w:t>
      </w:r>
      <w:r>
        <w:t>。对周边地表水环境影响较小。</w:t>
      </w:r>
    </w:p>
    <w:p w:rsidR="00BD5820" w:rsidRDefault="00F64314">
      <w:pPr>
        <w:pStyle w:val="affa"/>
        <w:ind w:firstLine="480"/>
      </w:pPr>
      <w:r>
        <w:t>运营期：本项目运营期产生的气田水</w:t>
      </w:r>
      <w:r>
        <w:rPr>
          <w:rFonts w:hint="eastAsia"/>
        </w:rPr>
        <w:t>分别经普光</w:t>
      </w:r>
      <w:r>
        <w:rPr>
          <w:rFonts w:hint="eastAsia"/>
        </w:rPr>
        <w:t>3#</w:t>
      </w:r>
      <w:r>
        <w:rPr>
          <w:rFonts w:hint="eastAsia"/>
        </w:rPr>
        <w:t>水处理站、</w:t>
      </w:r>
      <w:r>
        <w:rPr>
          <w:rFonts w:hint="eastAsia"/>
        </w:rPr>
        <w:t>1#</w:t>
      </w:r>
      <w:r>
        <w:rPr>
          <w:rFonts w:hint="eastAsia"/>
        </w:rPr>
        <w:t>污水处理站集中处理，水处理采用新建预处理流程，满足压裂液配制要求，剩余采出水然后进入深度水处理站处理后回用</w:t>
      </w:r>
      <w:r>
        <w:t>，不外排。</w:t>
      </w:r>
    </w:p>
    <w:p w:rsidR="00BD5820" w:rsidRDefault="00F64314">
      <w:pPr>
        <w:pStyle w:val="3"/>
        <w:rPr>
          <w:rFonts w:eastAsia="宋体"/>
        </w:rPr>
      </w:pPr>
      <w:bookmarkStart w:id="627" w:name="_Toc19816171"/>
      <w:bookmarkStart w:id="628" w:name="_Toc12288851"/>
      <w:r>
        <w:rPr>
          <w:rFonts w:eastAsia="宋体"/>
        </w:rPr>
        <w:t xml:space="preserve">11.6.3 </w:t>
      </w:r>
      <w:r>
        <w:rPr>
          <w:rFonts w:eastAsia="宋体"/>
        </w:rPr>
        <w:t>地下水环境</w:t>
      </w:r>
      <w:bookmarkEnd w:id="627"/>
      <w:bookmarkEnd w:id="628"/>
    </w:p>
    <w:p w:rsidR="00BD5820" w:rsidRDefault="00F64314">
      <w:pPr>
        <w:pStyle w:val="affa"/>
        <w:ind w:firstLine="480"/>
      </w:pPr>
      <w:r>
        <w:t>施工期：</w:t>
      </w:r>
      <w:r>
        <w:rPr>
          <w:rFonts w:hint="eastAsia"/>
        </w:rPr>
        <w:t>本项目</w:t>
      </w:r>
      <w:r>
        <w:t>集气管线施工时开挖地表深度不超过</w:t>
      </w:r>
      <w:r>
        <w:t>1m</w:t>
      </w:r>
      <w:r>
        <w:t>，主要以砂土、粘土和碎块石为主，不涉及地下水。</w:t>
      </w:r>
      <w:r>
        <w:rPr>
          <w:rFonts w:hint="eastAsia"/>
        </w:rPr>
        <w:t>站场施工期，对分离器、润滑油储罐、污水罐的</w:t>
      </w:r>
      <w:r>
        <w:t>防渗处理，渗透系数</w:t>
      </w:r>
      <w:r>
        <w:t>≤10</w:t>
      </w:r>
      <w:r>
        <w:rPr>
          <w:vertAlign w:val="superscript"/>
        </w:rPr>
        <w:t>-7</w:t>
      </w:r>
      <w:r>
        <w:t>cm/s</w:t>
      </w:r>
      <w:r>
        <w:t>，</w:t>
      </w:r>
      <w:r>
        <w:rPr>
          <w:rFonts w:hint="eastAsia"/>
        </w:rPr>
        <w:t>润滑油储罐、污水罐</w:t>
      </w:r>
      <w:r>
        <w:t>设置围堰，及时收集处理事故废水，杜绝事故废水流入周边环境。因此，</w:t>
      </w:r>
      <w:r>
        <w:rPr>
          <w:rFonts w:hint="eastAsia"/>
        </w:rPr>
        <w:t>本项目</w:t>
      </w:r>
      <w:r>
        <w:t>施工期不会对区域地下水环境造成影响。</w:t>
      </w:r>
    </w:p>
    <w:p w:rsidR="00BD5820" w:rsidRDefault="00F64314">
      <w:pPr>
        <w:pStyle w:val="affa"/>
        <w:ind w:firstLine="480"/>
      </w:pPr>
      <w:r>
        <w:t>营运期：</w:t>
      </w:r>
      <w:r>
        <w:rPr>
          <w:rFonts w:hint="eastAsia"/>
        </w:rPr>
        <w:t>站场</w:t>
      </w:r>
      <w:r>
        <w:t>采取相应防渗措施后，确保不对周边地下水造成污染。集输过程中，加强各项措施落实情况的监督和管理，防止造成地下水水质污染。项目运营期间不会对区域地下水环境造成影响。</w:t>
      </w:r>
    </w:p>
    <w:p w:rsidR="00BD5820" w:rsidRDefault="00F64314">
      <w:pPr>
        <w:pStyle w:val="3"/>
        <w:rPr>
          <w:rFonts w:eastAsia="宋体"/>
        </w:rPr>
      </w:pPr>
      <w:bookmarkStart w:id="629" w:name="_Toc19816172"/>
      <w:bookmarkStart w:id="630" w:name="_Toc12288852"/>
      <w:r>
        <w:rPr>
          <w:rFonts w:eastAsia="宋体"/>
        </w:rPr>
        <w:t xml:space="preserve">11.6.4 </w:t>
      </w:r>
      <w:r>
        <w:rPr>
          <w:rFonts w:eastAsia="宋体"/>
        </w:rPr>
        <w:t>声环境</w:t>
      </w:r>
      <w:bookmarkEnd w:id="629"/>
      <w:bookmarkEnd w:id="630"/>
    </w:p>
    <w:p w:rsidR="00BD5820" w:rsidRDefault="00F64314">
      <w:pPr>
        <w:pStyle w:val="affa"/>
        <w:ind w:firstLine="480"/>
      </w:pPr>
      <w:r>
        <w:t>施工期：施工噪声对周边环境的影响有一定影响，但时间较短，影响可接受。</w:t>
      </w:r>
    </w:p>
    <w:p w:rsidR="00BD5820" w:rsidRDefault="00F64314">
      <w:pPr>
        <w:pStyle w:val="affa"/>
        <w:ind w:firstLine="480"/>
      </w:pPr>
      <w:r>
        <w:t>营运期：</w:t>
      </w:r>
      <w:r>
        <w:rPr>
          <w:rFonts w:hint="eastAsia"/>
        </w:rPr>
        <w:t>运营期站场</w:t>
      </w:r>
      <w:r>
        <w:t>内噪声源经基础减振和距离衰减后，各场界噪声均满足</w:t>
      </w:r>
      <w:r>
        <w:lastRenderedPageBreak/>
        <w:t>噪声《工业企业厂界环境噪声排放标准》</w:t>
      </w:r>
      <w:r>
        <w:rPr>
          <w:rFonts w:hint="eastAsia"/>
        </w:rPr>
        <w:t>（</w:t>
      </w:r>
      <w:r>
        <w:t>GB12348-2008</w:t>
      </w:r>
      <w:r>
        <w:rPr>
          <w:rFonts w:hint="eastAsia"/>
        </w:rPr>
        <w:t>）</w:t>
      </w:r>
      <w:r>
        <w:t>中</w:t>
      </w:r>
      <w:r>
        <w:t>2</w:t>
      </w:r>
      <w:r>
        <w:t>类标准限值要求，</w:t>
      </w:r>
      <w:r>
        <w:rPr>
          <w:rFonts w:hint="eastAsia"/>
        </w:rPr>
        <w:t>放空时及时疏散附近居民，</w:t>
      </w:r>
      <w:r>
        <w:t>对环境影响较小。</w:t>
      </w:r>
    </w:p>
    <w:p w:rsidR="00BD5820" w:rsidRDefault="00F64314">
      <w:pPr>
        <w:pStyle w:val="3"/>
        <w:rPr>
          <w:rFonts w:eastAsia="宋体"/>
        </w:rPr>
      </w:pPr>
      <w:bookmarkStart w:id="631" w:name="_Toc12288853"/>
      <w:bookmarkStart w:id="632" w:name="_Toc19816173"/>
      <w:r>
        <w:rPr>
          <w:rFonts w:eastAsia="宋体"/>
        </w:rPr>
        <w:t xml:space="preserve">11.6.5 </w:t>
      </w:r>
      <w:r>
        <w:rPr>
          <w:rFonts w:eastAsia="宋体"/>
        </w:rPr>
        <w:t>固体废物</w:t>
      </w:r>
      <w:bookmarkEnd w:id="631"/>
      <w:bookmarkEnd w:id="632"/>
    </w:p>
    <w:p w:rsidR="00BD5820" w:rsidRDefault="00F64314">
      <w:pPr>
        <w:pStyle w:val="a1"/>
        <w:ind w:firstLine="480"/>
        <w:rPr>
          <w:rFonts w:ascii="Times New Roman" w:cs="Times New Roman"/>
        </w:rPr>
      </w:pPr>
      <w:r>
        <w:rPr>
          <w:rFonts w:ascii="Times New Roman" w:cs="Times New Roman"/>
        </w:rPr>
        <w:t>施工期：施工人员生活垃圾交由环卫部门处理；</w:t>
      </w:r>
      <w:r>
        <w:rPr>
          <w:rFonts w:ascii="Times New Roman" w:cs="Times New Roman" w:hint="eastAsia"/>
        </w:rPr>
        <w:t>管沟开挖</w:t>
      </w:r>
      <w:r>
        <w:rPr>
          <w:rFonts w:ascii="Times New Roman" w:cs="Times New Roman"/>
        </w:rPr>
        <w:t>全部回填，无弃方产生，施工废料部分回收利用，剩余废料依托当地环卫部门处置</w:t>
      </w:r>
      <w:r>
        <w:rPr>
          <w:rFonts w:ascii="Times New Roman" w:cs="Times New Roman" w:hint="eastAsia"/>
        </w:rPr>
        <w:t>。</w:t>
      </w:r>
    </w:p>
    <w:p w:rsidR="00BD5820" w:rsidRDefault="00F64314">
      <w:pPr>
        <w:pStyle w:val="affa"/>
        <w:ind w:firstLine="480"/>
      </w:pPr>
      <w:r>
        <w:t>营运期：本项目集气管道采用埋地敷设方式，在正常运行过程中集气管道不会产生固体废物。</w:t>
      </w:r>
    </w:p>
    <w:p w:rsidR="00BD5820" w:rsidRDefault="00F64314">
      <w:pPr>
        <w:pStyle w:val="affa"/>
        <w:ind w:firstLine="480"/>
      </w:pPr>
      <w:r>
        <w:rPr>
          <w:rFonts w:hint="eastAsia"/>
          <w:kern w:val="2"/>
        </w:rPr>
        <w:t>废润滑油、污泥</w:t>
      </w:r>
      <w:r>
        <w:rPr>
          <w:rFonts w:hint="eastAsia"/>
        </w:rPr>
        <w:t>暂存于危废暂存间，面积约</w:t>
      </w:r>
      <w:r>
        <w:rPr>
          <w:rFonts w:hint="eastAsia"/>
        </w:rPr>
        <w:t>5m</w:t>
      </w:r>
      <w:r>
        <w:rPr>
          <w:rFonts w:hint="eastAsia"/>
          <w:vertAlign w:val="superscript"/>
        </w:rPr>
        <w:t>2</w:t>
      </w:r>
      <w:r>
        <w:rPr>
          <w:rFonts w:hint="eastAsia"/>
        </w:rPr>
        <w:t>，暂存间地面采取四防措施（防风、防雨、防晒、防渗漏）</w:t>
      </w:r>
      <w:r>
        <w:t>，委托有资质单位处理</w:t>
      </w:r>
      <w:r>
        <w:rPr>
          <w:rFonts w:hint="eastAsia"/>
        </w:rPr>
        <w:t>；废油</w:t>
      </w:r>
      <w:r>
        <w:t>委托有资质单位进行处理。</w:t>
      </w:r>
    </w:p>
    <w:p w:rsidR="00BD5820" w:rsidRDefault="00F64314">
      <w:pPr>
        <w:pStyle w:val="affa"/>
        <w:ind w:firstLine="480"/>
      </w:pPr>
      <w:r>
        <w:rPr>
          <w:rFonts w:hint="eastAsia"/>
        </w:rPr>
        <w:t>本项目站场</w:t>
      </w:r>
      <w:r>
        <w:t>为</w:t>
      </w:r>
      <w:r>
        <w:rPr>
          <w:rFonts w:hint="eastAsia"/>
        </w:rPr>
        <w:t>无</w:t>
      </w:r>
      <w:r>
        <w:t>人值守站，</w:t>
      </w:r>
      <w:r>
        <w:rPr>
          <w:rFonts w:hint="eastAsia"/>
        </w:rPr>
        <w:t>人员依托</w:t>
      </w:r>
      <w:r>
        <w:t>P102</w:t>
      </w:r>
      <w:r>
        <w:t>集气站</w:t>
      </w:r>
      <w:r>
        <w:rPr>
          <w:rFonts w:hint="eastAsia"/>
        </w:rPr>
        <w:t>和净化厂，</w:t>
      </w:r>
      <w:r>
        <w:t>工作人员</w:t>
      </w:r>
      <w:r>
        <w:rPr>
          <w:rFonts w:hint="eastAsia"/>
        </w:rPr>
        <w:t>10</w:t>
      </w:r>
      <w:r>
        <w:t>人</w:t>
      </w:r>
      <w:r>
        <w:rPr>
          <w:rFonts w:hint="eastAsia"/>
        </w:rPr>
        <w:t>，运营期无生活垃圾产生</w:t>
      </w:r>
      <w:r>
        <w:t>。</w:t>
      </w:r>
    </w:p>
    <w:p w:rsidR="00BD5820" w:rsidRDefault="00F64314">
      <w:pPr>
        <w:pStyle w:val="3"/>
        <w:rPr>
          <w:rFonts w:eastAsia="宋体"/>
        </w:rPr>
      </w:pPr>
      <w:bookmarkStart w:id="633" w:name="_Toc19816174"/>
      <w:bookmarkStart w:id="634" w:name="_Toc12288854"/>
      <w:r>
        <w:rPr>
          <w:rFonts w:eastAsia="宋体"/>
        </w:rPr>
        <w:t xml:space="preserve">11.6.6 </w:t>
      </w:r>
      <w:r>
        <w:rPr>
          <w:rFonts w:eastAsia="宋体"/>
        </w:rPr>
        <w:t>生态环境</w:t>
      </w:r>
      <w:bookmarkEnd w:id="633"/>
      <w:bookmarkEnd w:id="634"/>
    </w:p>
    <w:p w:rsidR="00BD5820" w:rsidRDefault="00F64314">
      <w:pPr>
        <w:pStyle w:val="affa"/>
        <w:ind w:firstLine="480"/>
      </w:pPr>
      <w:r>
        <w:t>施工期对环境的影响主要表现为输气管道开挖和站场</w:t>
      </w:r>
      <w:r>
        <w:rPr>
          <w:rFonts w:hint="eastAsia"/>
        </w:rPr>
        <w:t>临时</w:t>
      </w:r>
      <w:r>
        <w:t>占地对土壤、植被、水土流失等的影响。工程的建设将改变了项目区部分土地的利用性质。造成生物量的减少；管道施工开挖土方引起土壤结构、土壤紧实度、土壤养分变化，同时，防腐材料和施工废弃物也会对土壤的理化性质产生影响。管线评价范围内无珍稀野生动物分布，也没有涉及野生动物的通道、栖息地等敏感场所。</w:t>
      </w:r>
      <w:r>
        <w:rPr>
          <w:rFonts w:hint="eastAsia"/>
        </w:rPr>
        <w:t>临时</w:t>
      </w:r>
      <w:r>
        <w:t>占地不涉及永久基本农田，不会对农业生态系统有明显影响。工程建成后不会对整个评价区的生态完整性产生影响，生物多样性的影响也很小，属可接受范围；工程的建设不会造成物种缺失，不会影响生物迁徒和物质能量流，也无须预留通道。该项目涉及的生态系统的结构和功能没有受到影响，在干扰之后可以较好的恢复，没有显著的生态问题。</w:t>
      </w:r>
    </w:p>
    <w:p w:rsidR="00BD5820" w:rsidRDefault="00F64314">
      <w:pPr>
        <w:pStyle w:val="2"/>
        <w:spacing w:before="120"/>
        <w:rPr>
          <w:rFonts w:cs="Times New Roman"/>
        </w:rPr>
      </w:pPr>
      <w:bookmarkStart w:id="635" w:name="bookmark91"/>
      <w:bookmarkStart w:id="636" w:name="_Toc12288856"/>
      <w:bookmarkStart w:id="637" w:name="_Toc19816176"/>
      <w:bookmarkStart w:id="638" w:name="_Toc29809"/>
      <w:bookmarkEnd w:id="624"/>
      <w:bookmarkEnd w:id="635"/>
      <w:r>
        <w:rPr>
          <w:rFonts w:cs="Times New Roman"/>
        </w:rPr>
        <w:t xml:space="preserve">11.7 </w:t>
      </w:r>
      <w:r>
        <w:rPr>
          <w:rFonts w:cs="Times New Roman"/>
        </w:rPr>
        <w:t>环保措施及经济技术论证</w:t>
      </w:r>
      <w:bookmarkEnd w:id="636"/>
      <w:bookmarkEnd w:id="637"/>
      <w:bookmarkEnd w:id="638"/>
    </w:p>
    <w:p w:rsidR="00BD5820" w:rsidRDefault="00F64314">
      <w:pPr>
        <w:pStyle w:val="a1"/>
        <w:ind w:firstLine="480"/>
        <w:rPr>
          <w:rFonts w:ascii="Times New Roman" w:cs="Times New Roman"/>
        </w:rPr>
      </w:pPr>
      <w:r>
        <w:rPr>
          <w:rFonts w:ascii="Times New Roman" w:cs="Times New Roman"/>
        </w:rPr>
        <w:t>在本报告书的第</w:t>
      </w:r>
      <w:r>
        <w:rPr>
          <w:rFonts w:ascii="Times New Roman" w:cs="Times New Roman"/>
        </w:rPr>
        <w:t>8</w:t>
      </w:r>
      <w:r>
        <w:rPr>
          <w:rFonts w:ascii="Times New Roman" w:cs="Times New Roman"/>
        </w:rPr>
        <w:t>章就本项目的生态、大气、地表水、声环境、固体废物等几个方面对</w:t>
      </w:r>
      <w:r>
        <w:rPr>
          <w:rFonts w:ascii="Times New Roman" w:cs="Times New Roman" w:hint="eastAsia"/>
        </w:rPr>
        <w:t>本项目</w:t>
      </w:r>
      <w:r>
        <w:rPr>
          <w:rFonts w:ascii="Times New Roman" w:cs="Times New Roman"/>
        </w:rPr>
        <w:t>拟采用的环保措施进行了分析，分析认为工程拟采用的各项环保措施能够满足环境保护的要求，经济技术可行。本项目环保投资</w:t>
      </w:r>
      <w:r>
        <w:rPr>
          <w:rFonts w:ascii="Times New Roman" w:cs="Times New Roman" w:hint="eastAsia"/>
        </w:rPr>
        <w:t>150</w:t>
      </w:r>
      <w:r>
        <w:rPr>
          <w:rFonts w:ascii="Times New Roman" w:cs="Times New Roman" w:hint="eastAsia"/>
        </w:rPr>
        <w:t>万元</w:t>
      </w:r>
      <w:r>
        <w:rPr>
          <w:rFonts w:ascii="Times New Roman" w:cs="Times New Roman"/>
        </w:rPr>
        <w:t>，占工程总投资的</w:t>
      </w:r>
      <w:r>
        <w:rPr>
          <w:rFonts w:ascii="Times New Roman" w:cs="Times New Roman" w:hint="eastAsia"/>
        </w:rPr>
        <w:t>0.18%</w:t>
      </w:r>
      <w:r>
        <w:rPr>
          <w:rFonts w:ascii="Times New Roman" w:cs="Times New Roman"/>
        </w:rPr>
        <w:t>。</w:t>
      </w:r>
    </w:p>
    <w:p w:rsidR="00BD5820" w:rsidRDefault="00F64314">
      <w:pPr>
        <w:pStyle w:val="2"/>
        <w:spacing w:before="120"/>
        <w:rPr>
          <w:rFonts w:cs="Times New Roman"/>
        </w:rPr>
      </w:pPr>
      <w:bookmarkStart w:id="639" w:name="bookmark92"/>
      <w:bookmarkStart w:id="640" w:name="_Toc19816177"/>
      <w:bookmarkStart w:id="641" w:name="_Toc12288857"/>
      <w:bookmarkStart w:id="642" w:name="_Toc30866"/>
      <w:bookmarkEnd w:id="639"/>
      <w:r>
        <w:rPr>
          <w:rFonts w:cs="Times New Roman"/>
        </w:rPr>
        <w:lastRenderedPageBreak/>
        <w:t xml:space="preserve">11.8 </w:t>
      </w:r>
      <w:r>
        <w:rPr>
          <w:rFonts w:cs="Times New Roman"/>
        </w:rPr>
        <w:t>环境风险</w:t>
      </w:r>
      <w:bookmarkEnd w:id="640"/>
      <w:bookmarkEnd w:id="641"/>
      <w:r>
        <w:rPr>
          <w:rFonts w:cs="Times New Roman"/>
        </w:rPr>
        <w:t>评价结论</w:t>
      </w:r>
      <w:bookmarkEnd w:id="642"/>
    </w:p>
    <w:p w:rsidR="00BD5820" w:rsidRDefault="00F64314">
      <w:pPr>
        <w:pStyle w:val="a1"/>
        <w:ind w:firstLine="480"/>
        <w:rPr>
          <w:rFonts w:ascii="Times New Roman" w:cs="Times New Roman"/>
        </w:rPr>
      </w:pPr>
      <w:r>
        <w:rPr>
          <w:rFonts w:ascii="Times New Roman" w:cs="Times New Roman" w:hint="eastAsia"/>
        </w:rPr>
        <w:t>本项目</w:t>
      </w:r>
      <w:r>
        <w:rPr>
          <w:rFonts w:ascii="Times New Roman" w:cs="Times New Roman"/>
        </w:rPr>
        <w:t>通过采取报告中提出的各项环境风险防范措施，其发生事故的概率较低，在落实应急预案后，能将事故危害降至最低。因此，从环境风险的角度分析，本项目的风险水平是可以接受的。</w:t>
      </w:r>
    </w:p>
    <w:p w:rsidR="00BD5820" w:rsidRDefault="00F64314">
      <w:pPr>
        <w:pStyle w:val="2"/>
        <w:spacing w:before="120"/>
        <w:rPr>
          <w:rFonts w:cs="Times New Roman"/>
        </w:rPr>
      </w:pPr>
      <w:bookmarkStart w:id="643" w:name="bookmark93"/>
      <w:bookmarkStart w:id="644" w:name="_Toc12288858"/>
      <w:bookmarkStart w:id="645" w:name="_Toc19816178"/>
      <w:bookmarkStart w:id="646" w:name="_Toc3188"/>
      <w:bookmarkEnd w:id="643"/>
      <w:r>
        <w:rPr>
          <w:rFonts w:cs="Times New Roman"/>
        </w:rPr>
        <w:t xml:space="preserve">11.9 </w:t>
      </w:r>
      <w:r>
        <w:rPr>
          <w:rFonts w:cs="Times New Roman"/>
        </w:rPr>
        <w:t>选线、选址的环境可行性</w:t>
      </w:r>
      <w:bookmarkEnd w:id="644"/>
      <w:bookmarkEnd w:id="645"/>
      <w:bookmarkEnd w:id="646"/>
    </w:p>
    <w:p w:rsidR="00BD5820" w:rsidRDefault="00F64314">
      <w:pPr>
        <w:pStyle w:val="affa"/>
        <w:ind w:firstLine="480"/>
      </w:pPr>
      <w:r>
        <w:t>本项目的选址、选线符合国家的相关法律法规，符合国家的产业政策和相关规划，</w:t>
      </w:r>
      <w:r>
        <w:rPr>
          <w:rFonts w:hint="eastAsia"/>
        </w:rPr>
        <w:t>本项目</w:t>
      </w:r>
      <w:r>
        <w:t>管道沿线交通发达，评价区域内不涉及风景名胜和文物古迹，拟建管道沿线</w:t>
      </w:r>
      <w:r>
        <w:t>200m</w:t>
      </w:r>
      <w:r>
        <w:t>带宽范围内未发现不良地质构造。项目建成后所在区域的环境功能不会发生大的改变，对环境敏感目标的影响属可接受的范围。因此，本项目的选址、选线从环保角度认为可行。</w:t>
      </w:r>
    </w:p>
    <w:p w:rsidR="00BD5820" w:rsidRDefault="00F64314">
      <w:pPr>
        <w:pStyle w:val="2"/>
        <w:spacing w:before="120"/>
        <w:rPr>
          <w:rFonts w:cs="Times New Roman"/>
        </w:rPr>
      </w:pPr>
      <w:bookmarkStart w:id="647" w:name="bookmark94"/>
      <w:bookmarkStart w:id="648" w:name="_Toc12288859"/>
      <w:bookmarkStart w:id="649" w:name="_Toc19816179"/>
      <w:bookmarkStart w:id="650" w:name="_Toc14063"/>
      <w:bookmarkEnd w:id="647"/>
      <w:r>
        <w:rPr>
          <w:rFonts w:cs="Times New Roman"/>
        </w:rPr>
        <w:t xml:space="preserve">11.10 </w:t>
      </w:r>
      <w:r>
        <w:rPr>
          <w:rFonts w:cs="Times New Roman"/>
        </w:rPr>
        <w:t>环境影响经济损益分析</w:t>
      </w:r>
      <w:bookmarkEnd w:id="648"/>
      <w:bookmarkEnd w:id="649"/>
      <w:bookmarkEnd w:id="650"/>
    </w:p>
    <w:p w:rsidR="00BD5820" w:rsidRDefault="00F64314">
      <w:pPr>
        <w:pStyle w:val="affa"/>
        <w:ind w:firstLine="480"/>
      </w:pPr>
      <w:r>
        <w:t>工程实施后，从长远角度考虑，本项目的建设有利于环境质量改善，区域长久稳定、安全的发展。对于工程在施工期产生的各类污染物及对生态环境的影响采取了相应的环境保护措施，减轻工程建设所带来的不利影响。由此可见，</w:t>
      </w:r>
      <w:r>
        <w:rPr>
          <w:rFonts w:hint="eastAsia"/>
        </w:rPr>
        <w:t>本项目</w:t>
      </w:r>
      <w:r>
        <w:t>实施后所带来的环境经济效益，比工程在施工中所造成的直接环境经济损失要大的多。因此，</w:t>
      </w:r>
      <w:r>
        <w:rPr>
          <w:rFonts w:hint="eastAsia"/>
        </w:rPr>
        <w:t>本项目</w:t>
      </w:r>
      <w:r>
        <w:t>实施后，产生的环境经济效益是显著的，项目建设符合社会效益、经济效益和环境效益统一的原则。</w:t>
      </w:r>
    </w:p>
    <w:p w:rsidR="00BD5820" w:rsidRDefault="00F64314">
      <w:pPr>
        <w:pStyle w:val="2"/>
        <w:spacing w:before="120"/>
        <w:rPr>
          <w:rFonts w:cs="Times New Roman"/>
        </w:rPr>
      </w:pPr>
      <w:bookmarkStart w:id="651" w:name="bookmark95"/>
      <w:bookmarkStart w:id="652" w:name="_Toc12288860"/>
      <w:bookmarkStart w:id="653" w:name="_Toc19816180"/>
      <w:bookmarkStart w:id="654" w:name="_Toc28747"/>
      <w:bookmarkEnd w:id="651"/>
      <w:r>
        <w:rPr>
          <w:rFonts w:cs="Times New Roman"/>
        </w:rPr>
        <w:t xml:space="preserve">11.11 </w:t>
      </w:r>
      <w:r>
        <w:rPr>
          <w:rFonts w:cs="Times New Roman"/>
        </w:rPr>
        <w:t>公众参与调查</w:t>
      </w:r>
      <w:bookmarkEnd w:id="652"/>
      <w:bookmarkEnd w:id="653"/>
      <w:bookmarkEnd w:id="654"/>
    </w:p>
    <w:p w:rsidR="00BD5820" w:rsidRDefault="00F64314">
      <w:pPr>
        <w:pStyle w:val="a1"/>
        <w:ind w:firstLine="480"/>
        <w:rPr>
          <w:rFonts w:ascii="Times New Roman" w:cs="Times New Roman"/>
        </w:rPr>
      </w:pPr>
      <w:r w:rsidRPr="00BD3852">
        <w:rPr>
          <w:rFonts w:ascii="Times New Roman" w:cs="Times New Roman"/>
          <w:color w:val="FF0000"/>
        </w:rPr>
        <w:t>建设单位根据</w:t>
      </w:r>
      <w:r>
        <w:rPr>
          <w:rFonts w:ascii="Times New Roman" w:cs="Times New Roman"/>
        </w:rPr>
        <w:t>《环境影响评价公众参与办法》（生态环境部令部令</w:t>
      </w:r>
      <w:r>
        <w:rPr>
          <w:rFonts w:ascii="Times New Roman" w:cs="Times New Roman"/>
        </w:rPr>
        <w:t xml:space="preserve"> </w:t>
      </w:r>
      <w:r>
        <w:rPr>
          <w:rFonts w:ascii="Times New Roman" w:cs="Times New Roman"/>
        </w:rPr>
        <w:t>第</w:t>
      </w:r>
      <w:r>
        <w:rPr>
          <w:rFonts w:ascii="Times New Roman" w:cs="Times New Roman"/>
        </w:rPr>
        <w:t>4</w:t>
      </w:r>
      <w:r>
        <w:rPr>
          <w:rFonts w:ascii="Times New Roman" w:cs="Times New Roman"/>
        </w:rPr>
        <w:t>号）要求</w:t>
      </w:r>
      <w:r>
        <w:rPr>
          <w:rFonts w:ascii="Times New Roman" w:cs="Times New Roman" w:hint="eastAsia"/>
        </w:rPr>
        <w:t>对本</w:t>
      </w:r>
      <w:r>
        <w:rPr>
          <w:rFonts w:ascii="Times New Roman" w:cs="Times New Roman"/>
        </w:rPr>
        <w:t>项目进行了</w:t>
      </w:r>
      <w:r>
        <w:rPr>
          <w:rFonts w:ascii="Times New Roman" w:cs="Times New Roman" w:hint="eastAsia"/>
        </w:rPr>
        <w:t>三次公示（包含网络</w:t>
      </w:r>
      <w:r>
        <w:rPr>
          <w:rFonts w:ascii="Times New Roman" w:cs="Times New Roman"/>
        </w:rPr>
        <w:t>公示</w:t>
      </w:r>
      <w:r>
        <w:rPr>
          <w:rFonts w:ascii="Times New Roman" w:cs="Times New Roman" w:hint="eastAsia"/>
        </w:rPr>
        <w:t>、登报和现场公示、报批前公示等）</w:t>
      </w:r>
      <w:r>
        <w:rPr>
          <w:rFonts w:ascii="Times New Roman" w:cs="Times New Roman"/>
        </w:rPr>
        <w:t>，</w:t>
      </w:r>
      <w:r>
        <w:rPr>
          <w:rFonts w:ascii="Times New Roman" w:cs="Times New Roman" w:hint="eastAsia"/>
        </w:rPr>
        <w:t>三次</w:t>
      </w:r>
      <w:r>
        <w:rPr>
          <w:rFonts w:ascii="Times New Roman" w:cs="Times New Roman"/>
        </w:rPr>
        <w:t>公示期间，建设单位及评价单位未收到来自公众、企业、单位反馈的针对</w:t>
      </w:r>
      <w:r>
        <w:rPr>
          <w:rFonts w:ascii="Times New Roman" w:cs="Times New Roman" w:hint="eastAsia"/>
        </w:rPr>
        <w:t>本</w:t>
      </w:r>
      <w:r>
        <w:rPr>
          <w:rFonts w:ascii="Times New Roman" w:cs="Times New Roman"/>
        </w:rPr>
        <w:t>项目环境保护方面的意见信息，无人致电建设单位及评价单位、无人反馈公众意见表，没有公众、企业、单位反对</w:t>
      </w:r>
      <w:r>
        <w:rPr>
          <w:rFonts w:ascii="Times New Roman" w:cs="Times New Roman" w:hint="eastAsia"/>
        </w:rPr>
        <w:t>本</w:t>
      </w:r>
      <w:r>
        <w:rPr>
          <w:rFonts w:ascii="Times New Roman" w:cs="Times New Roman"/>
        </w:rPr>
        <w:t>项目的建设。</w:t>
      </w:r>
    </w:p>
    <w:p w:rsidR="00BD5820" w:rsidRDefault="00F64314">
      <w:pPr>
        <w:pStyle w:val="a1"/>
        <w:ind w:firstLine="480"/>
        <w:rPr>
          <w:rFonts w:ascii="Times New Roman" w:cs="Times New Roman"/>
        </w:rPr>
      </w:pPr>
      <w:r>
        <w:rPr>
          <w:rFonts w:ascii="Times New Roman" w:cs="Times New Roman"/>
        </w:rPr>
        <w:t>总体而言，只要建设单位切实采取环评提出的污染防治措施，可以最大程度的减轻项目建设所带来的环境污染，公众参与工作程序合法、工作过程透明有效、调查结果真实可靠。建设单位已将环境影响报告书编制过程中公众参与的相关原始资料存档备查</w:t>
      </w:r>
      <w:r>
        <w:rPr>
          <w:rFonts w:ascii="Times New Roman" w:cs="Times New Roman" w:hint="eastAsia"/>
        </w:rPr>
        <w:t>。</w:t>
      </w:r>
    </w:p>
    <w:p w:rsidR="00BD5820" w:rsidRDefault="00F64314">
      <w:pPr>
        <w:pStyle w:val="2"/>
        <w:spacing w:before="120"/>
        <w:rPr>
          <w:rFonts w:cs="Times New Roman"/>
        </w:rPr>
      </w:pPr>
      <w:bookmarkStart w:id="655" w:name="bookmark96"/>
      <w:bookmarkStart w:id="656" w:name="_Toc12288861"/>
      <w:bookmarkStart w:id="657" w:name="_Toc19816181"/>
      <w:bookmarkStart w:id="658" w:name="_Toc6207"/>
      <w:bookmarkEnd w:id="655"/>
      <w:r>
        <w:rPr>
          <w:rFonts w:cs="Times New Roman"/>
        </w:rPr>
        <w:lastRenderedPageBreak/>
        <w:t xml:space="preserve">11.12 </w:t>
      </w:r>
      <w:r>
        <w:rPr>
          <w:rFonts w:cs="Times New Roman"/>
        </w:rPr>
        <w:t>评价结论</w:t>
      </w:r>
      <w:bookmarkEnd w:id="656"/>
      <w:bookmarkEnd w:id="657"/>
      <w:bookmarkEnd w:id="658"/>
    </w:p>
    <w:p w:rsidR="00BD5820" w:rsidRDefault="00F64314">
      <w:pPr>
        <w:pStyle w:val="a1"/>
        <w:ind w:firstLine="480"/>
        <w:rPr>
          <w:rFonts w:ascii="Times New Roman" w:cs="Times New Roman"/>
        </w:rPr>
      </w:pPr>
      <w:r>
        <w:rPr>
          <w:rFonts w:ascii="Times New Roman" w:cs="Times New Roman"/>
        </w:rPr>
        <w:t>中国石油化工股份有限公司中原油田普光分公司建设的普光气田主体湿气增压工程，符合国家产业政策，符合当地规划要求。项目贯彻了</w:t>
      </w:r>
      <w:r>
        <w:rPr>
          <w:rFonts w:ascii="Times New Roman" w:cs="Times New Roman"/>
        </w:rPr>
        <w:t>“</w:t>
      </w:r>
      <w:r>
        <w:rPr>
          <w:rFonts w:ascii="Times New Roman" w:cs="Times New Roman"/>
        </w:rPr>
        <w:t>清洁生产、总量控制、达标排放</w:t>
      </w:r>
      <w:r>
        <w:rPr>
          <w:rFonts w:ascii="Times New Roman" w:cs="Times New Roman"/>
        </w:rPr>
        <w:t>"</w:t>
      </w:r>
      <w:r>
        <w:rPr>
          <w:rFonts w:ascii="Times New Roman" w:cs="Times New Roman"/>
        </w:rPr>
        <w:t>原则；采取的生态保护和恢复措施可行，污染治理措施经济技术可行；风险防范措施可靠。在施工期和营运期，只要认真落实本报告提出的各项污染防治、生态恢复、水土保持措施，风险防范措施，并建立突发事故应急预案后，对环境的影响能降到最低，环境风险属可接受水平。</w:t>
      </w:r>
    </w:p>
    <w:p w:rsidR="00BD5820" w:rsidRDefault="00F64314">
      <w:pPr>
        <w:pStyle w:val="a1"/>
        <w:ind w:firstLine="480"/>
        <w:rPr>
          <w:rFonts w:ascii="Times New Roman" w:cs="Times New Roman"/>
        </w:rPr>
      </w:pPr>
      <w:r>
        <w:rPr>
          <w:rFonts w:ascii="Times New Roman" w:cs="Times New Roman"/>
        </w:rPr>
        <w:t>因此，从环境保护角度论证，在落实报告书中提出的各项污染防治和风险防范措施的前提下，本项目在该地建设是可行的。</w:t>
      </w:r>
    </w:p>
    <w:p w:rsidR="00BD5820" w:rsidRDefault="00F64314">
      <w:pPr>
        <w:pStyle w:val="2"/>
        <w:spacing w:before="120"/>
        <w:rPr>
          <w:rFonts w:cs="Times New Roman"/>
        </w:rPr>
      </w:pPr>
      <w:bookmarkStart w:id="659" w:name="bookmark97"/>
      <w:bookmarkStart w:id="660" w:name="_Toc12288862"/>
      <w:bookmarkStart w:id="661" w:name="_Toc19816182"/>
      <w:bookmarkStart w:id="662" w:name="_Toc26873"/>
      <w:bookmarkEnd w:id="659"/>
      <w:r>
        <w:rPr>
          <w:rFonts w:cs="Times New Roman"/>
        </w:rPr>
        <w:t xml:space="preserve">11.13 </w:t>
      </w:r>
      <w:r>
        <w:rPr>
          <w:rFonts w:cs="Times New Roman"/>
        </w:rPr>
        <w:t>建议</w:t>
      </w:r>
      <w:bookmarkEnd w:id="660"/>
      <w:bookmarkEnd w:id="661"/>
      <w:bookmarkEnd w:id="662"/>
    </w:p>
    <w:p w:rsidR="00BD5820" w:rsidRDefault="00F64314">
      <w:pPr>
        <w:pStyle w:val="a1"/>
        <w:ind w:firstLine="480"/>
        <w:rPr>
          <w:rFonts w:ascii="Times New Roman" w:cs="Times New Roman"/>
        </w:rPr>
      </w:pPr>
      <w:r>
        <w:rPr>
          <w:rFonts w:ascii="Times New Roman" w:cs="Times New Roman"/>
        </w:rPr>
        <w:t>1</w:t>
      </w:r>
      <w:r>
        <w:rPr>
          <w:rFonts w:ascii="Times New Roman" w:cs="Times New Roman"/>
        </w:rPr>
        <w:t>、加强施工队伍的管理，严格控制施工作业带，减少对沿线生态环境的影响，施工结束后应及时进行生态恢复。</w:t>
      </w:r>
    </w:p>
    <w:p w:rsidR="00BD5820" w:rsidRDefault="00F64314">
      <w:pPr>
        <w:pStyle w:val="a1"/>
        <w:ind w:firstLine="480"/>
        <w:rPr>
          <w:rFonts w:ascii="Times New Roman" w:cs="Times New Roman"/>
        </w:rPr>
      </w:pPr>
      <w:r>
        <w:rPr>
          <w:rFonts w:ascii="Times New Roman" w:cs="Times New Roman"/>
        </w:rPr>
        <w:t>2</w:t>
      </w:r>
      <w:r>
        <w:rPr>
          <w:rFonts w:ascii="Times New Roman" w:cs="Times New Roman"/>
        </w:rPr>
        <w:t>、</w:t>
      </w:r>
      <w:r>
        <w:rPr>
          <w:rFonts w:ascii="Times New Roman" w:cs="Times New Roman" w:hint="eastAsia"/>
        </w:rPr>
        <w:t>加强施工和运营过程中的环境管理，确保污染物达标排放</w:t>
      </w:r>
      <w:r>
        <w:rPr>
          <w:rFonts w:ascii="Times New Roman" w:cs="Times New Roman"/>
        </w:rPr>
        <w:t>。</w:t>
      </w:r>
    </w:p>
    <w:p w:rsidR="00BD5820" w:rsidRDefault="00F64314">
      <w:pPr>
        <w:pStyle w:val="a1"/>
        <w:ind w:firstLine="480"/>
        <w:rPr>
          <w:rFonts w:ascii="Times New Roman" w:cs="Times New Roman"/>
        </w:rPr>
      </w:pPr>
      <w:r>
        <w:rPr>
          <w:rFonts w:ascii="Times New Roman" w:cs="Times New Roman"/>
        </w:rPr>
        <w:t>3</w:t>
      </w:r>
      <w:r>
        <w:rPr>
          <w:rFonts w:ascii="Times New Roman" w:cs="Times New Roman"/>
        </w:rPr>
        <w:t>、建设单位应随时与当地规划部门保持联系，确保管道安全。</w:t>
      </w:r>
    </w:p>
    <w:p w:rsidR="00BD5820" w:rsidRDefault="00F64314">
      <w:pPr>
        <w:pStyle w:val="a1"/>
        <w:ind w:firstLine="480"/>
        <w:rPr>
          <w:rFonts w:ascii="Times New Roman" w:cs="Times New Roman"/>
        </w:rPr>
      </w:pPr>
      <w:r>
        <w:rPr>
          <w:rFonts w:ascii="Times New Roman" w:cs="Times New Roman"/>
        </w:rPr>
        <w:t>4</w:t>
      </w:r>
      <w:r>
        <w:rPr>
          <w:rFonts w:ascii="Times New Roman" w:cs="Times New Roman"/>
        </w:rPr>
        <w:t>、建议建设单位对周边居民大力宣传管道保护法律、法规，使沿线群众熟悉和了解管道保护的意义和方法。重点宣传《中华人民共和国石油天然气管道保护法》。</w:t>
      </w:r>
    </w:p>
    <w:p w:rsidR="00BD5820" w:rsidRDefault="00F64314">
      <w:pPr>
        <w:pStyle w:val="a1"/>
        <w:ind w:firstLine="480"/>
        <w:rPr>
          <w:rFonts w:ascii="Times New Roman" w:cs="Times New Roman"/>
        </w:rPr>
      </w:pPr>
      <w:r>
        <w:rPr>
          <w:rFonts w:ascii="Times New Roman" w:cs="Times New Roman"/>
        </w:rPr>
        <w:t>5</w:t>
      </w:r>
      <w:r>
        <w:rPr>
          <w:rFonts w:ascii="Times New Roman" w:cs="Times New Roman"/>
        </w:rPr>
        <w:t>、建议加强外部联系，积极与地方环保部门和安全部门紧密结合，避免第三方对管道的破坏，保障管道运行安全，并以地方医疗、消防、社会保障系统为依托，建立健全应急保障系统。</w:t>
      </w:r>
    </w:p>
    <w:sectPr w:rsidR="00BD5820" w:rsidSect="00BD5820">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4658E" w:rsidRDefault="00E4658E">
      <w:pPr>
        <w:spacing w:line="240" w:lineRule="auto"/>
        <w:ind w:firstLine="480"/>
      </w:pPr>
      <w:r>
        <w:separator/>
      </w:r>
    </w:p>
  </w:endnote>
  <w:endnote w:type="continuationSeparator" w:id="1">
    <w:p w:rsidR="00E4658E" w:rsidRDefault="00E4658E">
      <w:pPr>
        <w:spacing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default"/>
    <w:sig w:usb0="00000000" w:usb1="080E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新宋体">
    <w:panose1 w:val="02010609030101010101"/>
    <w:charset w:val="86"/>
    <w:family w:val="modern"/>
    <w:pitch w:val="fixed"/>
    <w:sig w:usb0="00000203" w:usb1="288F0000"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华文中宋">
    <w:panose1 w:val="02010600040101010101"/>
    <w:charset w:val="86"/>
    <w:family w:val="auto"/>
    <w:pitch w:val="variable"/>
    <w:sig w:usb0="00000287" w:usb1="080F0000" w:usb2="00000010" w:usb3="00000000" w:csb0="0004009F" w:csb1="00000000"/>
  </w:font>
  <w:font w:name="Arial Narrow">
    <w:panose1 w:val="020B0606020202030204"/>
    <w:charset w:val="00"/>
    <w:family w:val="swiss"/>
    <w:pitch w:val="variable"/>
    <w:sig w:usb0="00000287" w:usb1="00000800" w:usb2="00000000" w:usb3="00000000" w:csb0="0000009F" w:csb1="00000000"/>
  </w:font>
  <w:font w:name="楷体_GB2312">
    <w:altName w:val="楷体"/>
    <w:charset w:val="86"/>
    <w:family w:val="modern"/>
    <w:pitch w:val="default"/>
    <w:sig w:usb0="00000000" w:usb1="00000000" w:usb2="00000000" w:usb3="00000000" w:csb0="00040000" w:csb1="00000000"/>
  </w:font>
  <w:font w:name="Verdana">
    <w:panose1 w:val="020B0604030504040204"/>
    <w:charset w:val="00"/>
    <w:family w:val="swiss"/>
    <w:pitch w:val="variable"/>
    <w:sig w:usb0="A00006FF" w:usb1="4000205B" w:usb2="00000010" w:usb3="00000000" w:csb0="0000019F" w:csb1="00000000"/>
  </w:font>
  <w:font w:name="TimesNewRomanPSMT">
    <w:altName w:val="Arial Unicode MS"/>
    <w:charset w:val="86"/>
    <w:family w:val="auto"/>
    <w:pitch w:val="default"/>
    <w:sig w:usb0="00000000" w:usb1="080F0000" w:usb2="00000010" w:usb3="00000000" w:csb0="00060000" w:csb1="00000000"/>
  </w:font>
  <w:font w:name="ˎ̥">
    <w:altName w:val="Times New Roman"/>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等线">
    <w:panose1 w:val="02010600030101010101"/>
    <w:charset w:val="86"/>
    <w:family w:val="auto"/>
    <w:pitch w:val="variable"/>
    <w:sig w:usb0="A00002BF" w:usb1="38CF7CFA" w:usb2="00000016" w:usb3="00000000" w:csb0="0004000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1B2" w:rsidRDefault="004841B2">
    <w:pPr>
      <w:pStyle w:val="af2"/>
      <w:ind w:firstLine="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1B2" w:rsidRDefault="004841B2">
    <w:pPr>
      <w:pStyle w:val="af2"/>
      <w:rPr>
        <w:rFonts w:ascii="Times New Roman" w:cs="Times New Roman"/>
      </w:rPr>
    </w:pPr>
    <w:r>
      <w:rPr>
        <w:rFonts w:ascii="Times New Roman" w:cs="Times New Roman"/>
      </w:rPr>
      <w:fldChar w:fldCharType="begin"/>
    </w:r>
    <w:r>
      <w:rPr>
        <w:rFonts w:ascii="Times New Roman" w:cs="Times New Roman"/>
      </w:rPr>
      <w:instrText>PAGE   \* MERGEFORMAT</w:instrText>
    </w:r>
    <w:r>
      <w:rPr>
        <w:rFonts w:ascii="Times New Roman" w:cs="Times New Roman"/>
      </w:rPr>
      <w:fldChar w:fldCharType="separate"/>
    </w:r>
    <w:r w:rsidR="00EC0676" w:rsidRPr="00EC0676">
      <w:rPr>
        <w:rFonts w:ascii="Times New Roman" w:cs="Times New Roman"/>
        <w:noProof/>
        <w:lang w:val="zh-CN"/>
      </w:rPr>
      <w:t>116</w:t>
    </w:r>
    <w:r>
      <w:rPr>
        <w:rFonts w:ascii="Times New Roman" w:cs="Times New Roman"/>
      </w:rPr>
      <w:fldChar w:fldCharType="end"/>
    </w:r>
  </w:p>
  <w:p w:rsidR="004841B2" w:rsidRDefault="004841B2">
    <w:pPr>
      <w:pStyle w:val="af2"/>
      <w:ind w:left="2400" w:firstLine="360"/>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1B2" w:rsidRDefault="004841B2">
    <w:pPr>
      <w:pStyle w:val="af2"/>
      <w:ind w:firstLine="360"/>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1B2" w:rsidRDefault="004841B2">
    <w:pPr>
      <w:pStyle w:val="af2"/>
      <w:rPr>
        <w:rFonts w:ascii="Times New Roman" w:cs="Times New Roman"/>
      </w:rPr>
    </w:pPr>
    <w:r>
      <w:rPr>
        <w:rFonts w:ascii="Times New Roman" w:cs="Times New Roman"/>
      </w:rPr>
      <w:fldChar w:fldCharType="begin"/>
    </w:r>
    <w:r>
      <w:rPr>
        <w:rFonts w:ascii="Times New Roman" w:cs="Times New Roman"/>
      </w:rPr>
      <w:instrText>PAGE   \* MERGEFORMAT</w:instrText>
    </w:r>
    <w:r>
      <w:rPr>
        <w:rFonts w:ascii="Times New Roman" w:cs="Times New Roman"/>
      </w:rPr>
      <w:fldChar w:fldCharType="separate"/>
    </w:r>
    <w:r w:rsidR="00EC0676" w:rsidRPr="00EC0676">
      <w:rPr>
        <w:rFonts w:ascii="Times New Roman" w:cs="Times New Roman"/>
        <w:noProof/>
        <w:lang w:val="zh-CN"/>
      </w:rPr>
      <w:t>117</w:t>
    </w:r>
    <w:r>
      <w:rPr>
        <w:rFonts w:ascii="Times New Roman" w:cs="Times New Roman"/>
      </w:rPr>
      <w:fldChar w:fldCharType="end"/>
    </w:r>
  </w:p>
  <w:p w:rsidR="004841B2" w:rsidRDefault="004841B2">
    <w:pPr>
      <w:pStyle w:val="af2"/>
      <w:ind w:firstLine="360"/>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1B2" w:rsidRDefault="004841B2">
    <w:pPr>
      <w:pStyle w:val="af2"/>
      <w:ind w:firstLine="360"/>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1B2" w:rsidRDefault="004841B2">
    <w:pPr>
      <w:pStyle w:val="af2"/>
      <w:ind w:firstLine="360"/>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1B2" w:rsidRDefault="004841B2">
    <w:pPr>
      <w:pStyle w:val="af2"/>
      <w:rPr>
        <w:rFonts w:ascii="Times New Roman" w:cs="Times New Roman"/>
      </w:rPr>
    </w:pPr>
    <w:r>
      <w:rPr>
        <w:rFonts w:ascii="Times New Roman" w:cs="Times New Roman"/>
      </w:rPr>
      <w:fldChar w:fldCharType="begin"/>
    </w:r>
    <w:r>
      <w:rPr>
        <w:rFonts w:ascii="Times New Roman" w:cs="Times New Roman"/>
      </w:rPr>
      <w:instrText>PAGE   \* MERGEFORMAT</w:instrText>
    </w:r>
    <w:r>
      <w:rPr>
        <w:rFonts w:ascii="Times New Roman" w:cs="Times New Roman"/>
      </w:rPr>
      <w:fldChar w:fldCharType="separate"/>
    </w:r>
    <w:r w:rsidR="00EC0676" w:rsidRPr="00EC0676">
      <w:rPr>
        <w:rFonts w:ascii="Times New Roman" w:cs="Times New Roman"/>
        <w:noProof/>
        <w:lang w:val="zh-CN"/>
      </w:rPr>
      <w:t>252</w:t>
    </w:r>
    <w:r>
      <w:rPr>
        <w:rFonts w:ascii="Times New Roman" w:cs="Times New Roman"/>
      </w:rPr>
      <w:fldChar w:fldCharType="end"/>
    </w:r>
  </w:p>
  <w:p w:rsidR="004841B2" w:rsidRDefault="004841B2">
    <w:pPr>
      <w:pStyle w:val="af2"/>
      <w:ind w:firstLine="360"/>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1B2" w:rsidRDefault="004841B2">
    <w:pPr>
      <w:pStyle w:val="af2"/>
      <w:ind w:firstLine="360"/>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1B2" w:rsidRDefault="004841B2">
    <w:pPr>
      <w:pStyle w:val="af2"/>
      <w:ind w:firstLine="360"/>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1B2" w:rsidRDefault="004841B2">
    <w:pPr>
      <w:pStyle w:val="af2"/>
      <w:rPr>
        <w:rFonts w:ascii="Times New Roman" w:cs="Times New Roman"/>
      </w:rPr>
    </w:pPr>
    <w:r>
      <w:rPr>
        <w:rFonts w:ascii="Times New Roman" w:cs="Times New Roman"/>
      </w:rPr>
      <w:fldChar w:fldCharType="begin"/>
    </w:r>
    <w:r>
      <w:rPr>
        <w:rFonts w:ascii="Times New Roman" w:cs="Times New Roman"/>
      </w:rPr>
      <w:instrText>PAGE   \* MERGEFORMAT</w:instrText>
    </w:r>
    <w:r>
      <w:rPr>
        <w:rFonts w:ascii="Times New Roman" w:cs="Times New Roman"/>
      </w:rPr>
      <w:fldChar w:fldCharType="separate"/>
    </w:r>
    <w:r w:rsidR="00900247" w:rsidRPr="00900247">
      <w:rPr>
        <w:rFonts w:ascii="Times New Roman" w:cs="Times New Roman"/>
        <w:noProof/>
        <w:lang w:val="zh-CN"/>
      </w:rPr>
      <w:t>260</w:t>
    </w:r>
    <w:r>
      <w:rPr>
        <w:rFonts w:ascii="Times New Roman" w:cs="Times New Roman"/>
      </w:rPr>
      <w:fldChar w:fldCharType="end"/>
    </w:r>
  </w:p>
  <w:p w:rsidR="004841B2" w:rsidRDefault="004841B2">
    <w:pPr>
      <w:pStyle w:val="af2"/>
      <w:ind w:firstLine="360"/>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1B2" w:rsidRDefault="004841B2">
    <w:pPr>
      <w:pStyle w:val="af2"/>
      <w:ind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1B2" w:rsidRDefault="004841B2">
    <w:pPr>
      <w:pStyle w:val="af2"/>
      <w:ind w:firstLine="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1B2" w:rsidRDefault="004841B2">
    <w:pPr>
      <w:pStyle w:val="af2"/>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1B2" w:rsidRDefault="004841B2">
    <w:pPr>
      <w:pStyle w:val="af2"/>
      <w:ind w:firstLine="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1B2" w:rsidRDefault="004841B2">
    <w:pPr>
      <w:pStyle w:val="af2"/>
      <w:rPr>
        <w:rFonts w:ascii="Times New Roman" w:cs="Times New Roman"/>
      </w:rPr>
    </w:pPr>
    <w:r>
      <w:rPr>
        <w:rFonts w:ascii="Times New Roman" w:cs="Times New Roman"/>
      </w:rPr>
      <w:fldChar w:fldCharType="begin"/>
    </w:r>
    <w:r>
      <w:rPr>
        <w:rFonts w:ascii="Times New Roman" w:cs="Times New Roman"/>
      </w:rPr>
      <w:instrText>PAGE   \* MERGEFORMAT</w:instrText>
    </w:r>
    <w:r>
      <w:rPr>
        <w:rFonts w:ascii="Times New Roman" w:cs="Times New Roman"/>
      </w:rPr>
      <w:fldChar w:fldCharType="separate"/>
    </w:r>
    <w:r w:rsidR="00EC0676" w:rsidRPr="00EC0676">
      <w:rPr>
        <w:rFonts w:ascii="Times New Roman" w:cs="Times New Roman"/>
        <w:noProof/>
        <w:lang w:val="zh-CN"/>
      </w:rPr>
      <w:t>III</w:t>
    </w:r>
    <w:r>
      <w:rPr>
        <w:rFonts w:ascii="Times New Roman" w:cs="Times New Roman"/>
      </w:rPr>
      <w:fldChar w:fldCharType="end"/>
    </w:r>
  </w:p>
  <w:p w:rsidR="004841B2" w:rsidRDefault="004841B2">
    <w:pPr>
      <w:pStyle w:val="af2"/>
      <w:ind w:firstLine="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1B2" w:rsidRDefault="004841B2">
    <w:pPr>
      <w:pStyle w:val="af2"/>
      <w:ind w:firstLine="360"/>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1B2" w:rsidRDefault="004841B2">
    <w:pPr>
      <w:pStyle w:val="af2"/>
      <w:ind w:left="482"/>
      <w:rPr>
        <w:rFonts w:ascii="Times New Roman" w:cs="Times New Roman"/>
      </w:rPr>
    </w:pPr>
    <w:r>
      <w:rPr>
        <w:rFonts w:ascii="Times New Roman" w:cs="Times New Roman"/>
      </w:rPr>
      <w:fldChar w:fldCharType="begin"/>
    </w:r>
    <w:r>
      <w:rPr>
        <w:rFonts w:ascii="Times New Roman" w:cs="Times New Roman"/>
      </w:rPr>
      <w:instrText>PAGE   \* MERGEFORMAT</w:instrText>
    </w:r>
    <w:r>
      <w:rPr>
        <w:rFonts w:ascii="Times New Roman" w:cs="Times New Roman"/>
      </w:rPr>
      <w:fldChar w:fldCharType="separate"/>
    </w:r>
    <w:r w:rsidR="00EC0676">
      <w:rPr>
        <w:rFonts w:ascii="Times New Roman" w:cs="Times New Roman"/>
        <w:noProof/>
      </w:rPr>
      <w:t>92</w:t>
    </w:r>
    <w:r>
      <w:rPr>
        <w:rFonts w:ascii="Times New Roman" w:cs="Times New Roman"/>
      </w:rPr>
      <w:fldChar w:fldCharType="end"/>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1B2" w:rsidRDefault="004841B2">
    <w:pPr>
      <w:pStyle w:val="af2"/>
      <w:ind w:firstLine="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1B2" w:rsidRDefault="004841B2">
    <w:pPr>
      <w:pStyle w:val="af2"/>
      <w:ind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4658E" w:rsidRDefault="00E4658E">
      <w:pPr>
        <w:ind w:firstLine="480"/>
      </w:pPr>
      <w:r>
        <w:separator/>
      </w:r>
    </w:p>
  </w:footnote>
  <w:footnote w:type="continuationSeparator" w:id="1">
    <w:p w:rsidR="00E4658E" w:rsidRDefault="00E4658E">
      <w:pPr>
        <w:ind w:firstLine="48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1B2" w:rsidRDefault="004841B2">
    <w:pPr>
      <w:pStyle w:val="af3"/>
      <w:ind w:firstLine="360"/>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1B2" w:rsidRDefault="004841B2">
    <w:pPr>
      <w:pStyle w:val="af3"/>
      <w:ind w:firstLine="360"/>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1B2" w:rsidRDefault="004841B2">
    <w:pPr>
      <w:pStyle w:val="af3"/>
      <w:pBdr>
        <w:bottom w:val="none" w:sz="0" w:space="0" w:color="auto"/>
      </w:pBdr>
      <w:ind w:left="1440" w:firstLine="360"/>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1B2" w:rsidRDefault="004841B2">
    <w:pPr>
      <w:pStyle w:val="af3"/>
      <w:ind w:firstLine="360"/>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1B2" w:rsidRDefault="004841B2">
    <w:pPr>
      <w:pStyle w:val="00"/>
      <w:ind w:firstLine="420"/>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1B2" w:rsidRDefault="004841B2">
    <w:pPr>
      <w:pStyle w:val="af3"/>
      <w:ind w:firstLine="360"/>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1B2" w:rsidRDefault="004841B2">
    <w:pPr>
      <w:pStyle w:val="af3"/>
      <w:ind w:firstLine="360"/>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1B2" w:rsidRDefault="004841B2">
    <w:pPr>
      <w:pStyle w:val="af3"/>
      <w:pBdr>
        <w:bottom w:val="none" w:sz="0" w:space="0" w:color="auto"/>
      </w:pBdr>
      <w:ind w:firstLine="360"/>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1B2" w:rsidRDefault="004841B2">
    <w:pPr>
      <w:pStyle w:val="af3"/>
      <w:ind w:firstLine="360"/>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1B2" w:rsidRDefault="004841B2">
    <w:pPr>
      <w:pStyle w:val="af3"/>
      <w:ind w:firstLine="360"/>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1B2" w:rsidRDefault="004841B2">
    <w:pPr>
      <w:pStyle w:val="00"/>
      <w:ind w:firstLine="42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1B2" w:rsidRDefault="004841B2">
    <w:pPr>
      <w:pStyle w:val="af3"/>
      <w:pBdr>
        <w:bottom w:val="none" w:sz="0" w:space="0" w:color="auto"/>
      </w:pBdr>
      <w:ind w:firstLine="360"/>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1B2" w:rsidRDefault="004841B2">
    <w:pPr>
      <w:pStyle w:val="af3"/>
      <w:ind w:firstLine="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1B2" w:rsidRDefault="004841B2">
    <w:pPr>
      <w:pStyle w:val="af3"/>
      <w:ind w:firstLine="36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1B2" w:rsidRDefault="004841B2">
    <w:pPr>
      <w:pStyle w:val="af3"/>
      <w:ind w:firstLine="360"/>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1B2" w:rsidRDefault="004841B2">
    <w:pPr>
      <w:pStyle w:val="af3"/>
      <w:pBdr>
        <w:bottom w:val="none" w:sz="0" w:space="0" w:color="auto"/>
      </w:pBdr>
      <w:ind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1B2" w:rsidRDefault="004841B2">
    <w:pPr>
      <w:pStyle w:val="af3"/>
      <w:ind w:firstLine="360"/>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1B2" w:rsidRDefault="004841B2">
    <w:pPr>
      <w:pStyle w:val="af3"/>
      <w:pBdr>
        <w:bottom w:val="none" w:sz="0" w:space="0" w:color="auto"/>
      </w:pBdr>
      <w:ind w:firstLineChars="0" w:firstLine="0"/>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1B2" w:rsidRDefault="004841B2">
    <w:pPr>
      <w:pStyle w:val="af3"/>
      <w:ind w:firstLine="360"/>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41B2" w:rsidRDefault="004841B2">
    <w:pPr>
      <w:pStyle w:val="af3"/>
      <w:pBdr>
        <w:bottom w:val="none" w:sz="0" w:space="0" w:color="auto"/>
      </w:pBdr>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3E19F8B"/>
    <w:multiLevelType w:val="singleLevel"/>
    <w:tmpl w:val="83E19F8B"/>
    <w:lvl w:ilvl="0">
      <w:start w:val="4"/>
      <w:numFmt w:val="decimal"/>
      <w:suff w:val="nothing"/>
      <w:lvlText w:val="（%1）"/>
      <w:lvlJc w:val="left"/>
    </w:lvl>
  </w:abstractNum>
  <w:abstractNum w:abstractNumId="1">
    <w:nsid w:val="AA7C9DDD"/>
    <w:multiLevelType w:val="singleLevel"/>
    <w:tmpl w:val="AA7C9DDD"/>
    <w:lvl w:ilvl="0">
      <w:start w:val="1"/>
      <w:numFmt w:val="decimal"/>
      <w:suff w:val="nothing"/>
      <w:lvlText w:val="%1．"/>
      <w:lvlJc w:val="left"/>
    </w:lvl>
  </w:abstractNum>
  <w:abstractNum w:abstractNumId="2">
    <w:nsid w:val="71B21497"/>
    <w:multiLevelType w:val="multilevel"/>
    <w:tmpl w:val="71B21497"/>
    <w:lvl w:ilvl="0">
      <w:start w:val="1"/>
      <w:numFmt w:val="decimal"/>
      <w:pStyle w:val="SSEC1"/>
      <w:isLgl/>
      <w:suff w:val="nothing"/>
      <w:lvlText w:val="（%1）"/>
      <w:lvlJc w:val="left"/>
      <w:pPr>
        <w:ind w:left="0" w:firstLine="476"/>
      </w:pPr>
      <w:rPr>
        <w:rFonts w:ascii="宋体" w:eastAsia="宋体" w:hint="eastAsia"/>
      </w:rPr>
    </w:lvl>
    <w:lvl w:ilvl="1">
      <w:start w:val="1"/>
      <w:numFmt w:val="decimal"/>
      <w:isLgl/>
      <w:suff w:val="nothing"/>
      <w:lvlText w:val="%2）"/>
      <w:lvlJc w:val="left"/>
      <w:pPr>
        <w:ind w:left="0" w:firstLine="476"/>
      </w:pPr>
      <w:rPr>
        <w:rFonts w:ascii="宋体" w:eastAsia="宋体" w:hint="eastAsia"/>
      </w:rPr>
    </w:lvl>
    <w:lvl w:ilvl="2">
      <w:start w:val="1"/>
      <w:numFmt w:val="decimalEnclosedCircle"/>
      <w:suff w:val="nothing"/>
      <w:lvlText w:val="%3"/>
      <w:lvlJc w:val="left"/>
      <w:pPr>
        <w:ind w:left="0" w:firstLine="476"/>
      </w:pPr>
      <w:rPr>
        <w:rFonts w:ascii="宋体" w:eastAsia="宋体" w:hint="eastAsia"/>
      </w:rPr>
    </w:lvl>
    <w:lvl w:ilvl="3">
      <w:start w:val="1"/>
      <w:numFmt w:val="lowerLetter"/>
      <w:suff w:val="nothing"/>
      <w:lvlText w:val="%4."/>
      <w:lvlJc w:val="left"/>
      <w:pPr>
        <w:ind w:left="0" w:firstLine="476"/>
      </w:pPr>
      <w:rPr>
        <w:rFonts w:ascii="宋体" w:eastAsia="宋体" w:hint="eastAsia"/>
        <w:b w:val="0"/>
      </w:rPr>
    </w:lvl>
    <w:lvl w:ilvl="4">
      <w:start w:val="1"/>
      <w:numFmt w:val="lowerLetter"/>
      <w:suff w:val="nothing"/>
      <w:lvlText w:val="%5）"/>
      <w:lvlJc w:val="left"/>
      <w:pPr>
        <w:ind w:left="1509" w:firstLine="476"/>
      </w:pPr>
      <w:rPr>
        <w:rFonts w:ascii="宋体" w:eastAsia="宋体" w:hint="eastAsia"/>
        <w:b w:val="0"/>
      </w:rPr>
    </w:lvl>
    <w:lvl w:ilvl="5">
      <w:start w:val="1"/>
      <w:numFmt w:val="upperRoman"/>
      <w:suff w:val="nothing"/>
      <w:lvlText w:val="%6"/>
      <w:lvlJc w:val="left"/>
      <w:pPr>
        <w:ind w:left="0" w:firstLine="476"/>
      </w:pPr>
      <w:rPr>
        <w:rFonts w:ascii="宋体" w:eastAsia="宋体" w:hint="eastAsia"/>
      </w:rPr>
    </w:lvl>
    <w:lvl w:ilvl="6">
      <w:start w:val="1"/>
      <w:numFmt w:val="lowerRoman"/>
      <w:suff w:val="nothing"/>
      <w:lvlText w:val="%7."/>
      <w:lvlJc w:val="left"/>
      <w:pPr>
        <w:ind w:left="0" w:firstLine="476"/>
      </w:pPr>
      <w:rPr>
        <w:rFonts w:hint="eastAsia"/>
      </w:rPr>
    </w:lvl>
    <w:lvl w:ilvl="7">
      <w:start w:val="1"/>
      <w:numFmt w:val="upperRoman"/>
      <w:suff w:val="nothing"/>
      <w:lvlText w:val="%8"/>
      <w:lvlJc w:val="left"/>
      <w:pPr>
        <w:ind w:left="0" w:firstLine="476"/>
      </w:pPr>
      <w:rPr>
        <w:rFonts w:hint="eastAsia"/>
      </w:rPr>
    </w:lvl>
    <w:lvl w:ilvl="8">
      <w:start w:val="1"/>
      <w:numFmt w:val="lowerRoman"/>
      <w:suff w:val="nothing"/>
      <w:lvlText w:val="%9"/>
      <w:lvlJc w:val="left"/>
      <w:pPr>
        <w:ind w:left="0" w:firstLine="476"/>
      </w:pPr>
      <w:rPr>
        <w:rFonts w:hint="eastAsia"/>
      </w:rPr>
    </w:lvl>
  </w:abstractNum>
  <w:abstractNum w:abstractNumId="3">
    <w:nsid w:val="7ABC514E"/>
    <w:multiLevelType w:val="multilevel"/>
    <w:tmpl w:val="7ABC514E"/>
    <w:lvl w:ilvl="0">
      <w:start w:val="1"/>
      <w:numFmt w:val="decimalEnclosedCircle"/>
      <w:pStyle w:val="a"/>
      <w:lvlText w:val="%1"/>
      <w:lvlJc w:val="left"/>
      <w:pPr>
        <w:ind w:left="840" w:hanging="360"/>
      </w:pPr>
      <w:rPr>
        <w:rFonts w:ascii="宋体" w:eastAsia="宋体" w:hAnsi="宋体" w:cs="宋体"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pStyle w:val="4111"/>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3"/>
  </w:num>
  <w:num w:numId="2">
    <w:abstractNumId w:val="2"/>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hideSpellingErrors/>
  <w:defaultTabStop w:val="420"/>
  <w:drawingGridHorizontalSpacing w:val="120"/>
  <w:drawingGridVerticalSpacing w:val="163"/>
  <w:noPunctuationKerning/>
  <w:characterSpacingControl w:val="compressPunctuation"/>
  <w:hdrShapeDefaults>
    <o:shapedefaults v:ext="edit" spidmax="27650"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
  <w:docVars>
    <w:docVar w:name="commondata" w:val="eyJoZGlkIjoiOGI1ZWRmZTM1NGVmYjU4MzQ3MmJmYjFhY2YyOWZiMDQifQ=="/>
  </w:docVars>
  <w:rsids>
    <w:rsidRoot w:val="00172A27"/>
    <w:rsid w:val="00000A9D"/>
    <w:rsid w:val="00001757"/>
    <w:rsid w:val="00002647"/>
    <w:rsid w:val="000033AA"/>
    <w:rsid w:val="00003B40"/>
    <w:rsid w:val="00003D80"/>
    <w:rsid w:val="00006097"/>
    <w:rsid w:val="00006F4A"/>
    <w:rsid w:val="00011028"/>
    <w:rsid w:val="000113A8"/>
    <w:rsid w:val="000113D8"/>
    <w:rsid w:val="000127FE"/>
    <w:rsid w:val="0001315C"/>
    <w:rsid w:val="00016A5F"/>
    <w:rsid w:val="00017303"/>
    <w:rsid w:val="00020DA9"/>
    <w:rsid w:val="000215DE"/>
    <w:rsid w:val="00021B10"/>
    <w:rsid w:val="00021B2A"/>
    <w:rsid w:val="00024A17"/>
    <w:rsid w:val="00024BF9"/>
    <w:rsid w:val="000255B6"/>
    <w:rsid w:val="0002596B"/>
    <w:rsid w:val="0002625A"/>
    <w:rsid w:val="00030601"/>
    <w:rsid w:val="00031D6F"/>
    <w:rsid w:val="00032123"/>
    <w:rsid w:val="000327C3"/>
    <w:rsid w:val="00032CF1"/>
    <w:rsid w:val="00034734"/>
    <w:rsid w:val="000357C8"/>
    <w:rsid w:val="00035E91"/>
    <w:rsid w:val="00036505"/>
    <w:rsid w:val="00042195"/>
    <w:rsid w:val="00043E39"/>
    <w:rsid w:val="00044303"/>
    <w:rsid w:val="00046538"/>
    <w:rsid w:val="00046B56"/>
    <w:rsid w:val="00050174"/>
    <w:rsid w:val="000509D8"/>
    <w:rsid w:val="00051B44"/>
    <w:rsid w:val="00052C45"/>
    <w:rsid w:val="00053203"/>
    <w:rsid w:val="00053AE5"/>
    <w:rsid w:val="00055EC3"/>
    <w:rsid w:val="00057F74"/>
    <w:rsid w:val="00062F6D"/>
    <w:rsid w:val="000637D9"/>
    <w:rsid w:val="0006480A"/>
    <w:rsid w:val="00065FE0"/>
    <w:rsid w:val="00067C6D"/>
    <w:rsid w:val="00067DBE"/>
    <w:rsid w:val="000713CB"/>
    <w:rsid w:val="00072471"/>
    <w:rsid w:val="00072F4D"/>
    <w:rsid w:val="000739BC"/>
    <w:rsid w:val="00074CB2"/>
    <w:rsid w:val="00076395"/>
    <w:rsid w:val="00080E43"/>
    <w:rsid w:val="00081032"/>
    <w:rsid w:val="00081889"/>
    <w:rsid w:val="000819D9"/>
    <w:rsid w:val="00081FB7"/>
    <w:rsid w:val="00082066"/>
    <w:rsid w:val="00082D90"/>
    <w:rsid w:val="000846A1"/>
    <w:rsid w:val="00084DD2"/>
    <w:rsid w:val="00084FA3"/>
    <w:rsid w:val="000851B1"/>
    <w:rsid w:val="00091F65"/>
    <w:rsid w:val="0009224B"/>
    <w:rsid w:val="0009382D"/>
    <w:rsid w:val="00095B51"/>
    <w:rsid w:val="00096FB9"/>
    <w:rsid w:val="00097B2C"/>
    <w:rsid w:val="000A2E7B"/>
    <w:rsid w:val="000A3853"/>
    <w:rsid w:val="000A4AB5"/>
    <w:rsid w:val="000A55F2"/>
    <w:rsid w:val="000A5965"/>
    <w:rsid w:val="000A6257"/>
    <w:rsid w:val="000A6C0A"/>
    <w:rsid w:val="000B193E"/>
    <w:rsid w:val="000B2F07"/>
    <w:rsid w:val="000B2F10"/>
    <w:rsid w:val="000B3353"/>
    <w:rsid w:val="000B3575"/>
    <w:rsid w:val="000B4BFB"/>
    <w:rsid w:val="000B7A10"/>
    <w:rsid w:val="000C0F0D"/>
    <w:rsid w:val="000C209E"/>
    <w:rsid w:val="000C44C6"/>
    <w:rsid w:val="000C4E8D"/>
    <w:rsid w:val="000C5DAE"/>
    <w:rsid w:val="000C6323"/>
    <w:rsid w:val="000C65A8"/>
    <w:rsid w:val="000C6E05"/>
    <w:rsid w:val="000D06B4"/>
    <w:rsid w:val="000D0A68"/>
    <w:rsid w:val="000D1B44"/>
    <w:rsid w:val="000D2CA4"/>
    <w:rsid w:val="000D3DA5"/>
    <w:rsid w:val="000D3DD2"/>
    <w:rsid w:val="000D4243"/>
    <w:rsid w:val="000D4303"/>
    <w:rsid w:val="000D4CF7"/>
    <w:rsid w:val="000D775D"/>
    <w:rsid w:val="000E3D17"/>
    <w:rsid w:val="000E3F1D"/>
    <w:rsid w:val="000E4591"/>
    <w:rsid w:val="000E5160"/>
    <w:rsid w:val="000F232E"/>
    <w:rsid w:val="000F2E61"/>
    <w:rsid w:val="000F38CC"/>
    <w:rsid w:val="000F57FD"/>
    <w:rsid w:val="000F5D48"/>
    <w:rsid w:val="000F6BEF"/>
    <w:rsid w:val="000F705A"/>
    <w:rsid w:val="000F7383"/>
    <w:rsid w:val="0010055E"/>
    <w:rsid w:val="001006E1"/>
    <w:rsid w:val="001007F2"/>
    <w:rsid w:val="001009BC"/>
    <w:rsid w:val="001011F2"/>
    <w:rsid w:val="00101771"/>
    <w:rsid w:val="00102095"/>
    <w:rsid w:val="00102E33"/>
    <w:rsid w:val="00103CA0"/>
    <w:rsid w:val="00104961"/>
    <w:rsid w:val="00110F02"/>
    <w:rsid w:val="0011144B"/>
    <w:rsid w:val="0011179D"/>
    <w:rsid w:val="00111D09"/>
    <w:rsid w:val="00112504"/>
    <w:rsid w:val="00112738"/>
    <w:rsid w:val="001161E1"/>
    <w:rsid w:val="00117C3D"/>
    <w:rsid w:val="001205FA"/>
    <w:rsid w:val="00120D92"/>
    <w:rsid w:val="00120DD0"/>
    <w:rsid w:val="00122110"/>
    <w:rsid w:val="001231CF"/>
    <w:rsid w:val="00124375"/>
    <w:rsid w:val="00124ABC"/>
    <w:rsid w:val="00124F3E"/>
    <w:rsid w:val="00126822"/>
    <w:rsid w:val="00126D01"/>
    <w:rsid w:val="00130544"/>
    <w:rsid w:val="0013064A"/>
    <w:rsid w:val="001318DC"/>
    <w:rsid w:val="0013448D"/>
    <w:rsid w:val="001364E0"/>
    <w:rsid w:val="001364F2"/>
    <w:rsid w:val="00137B2F"/>
    <w:rsid w:val="00143564"/>
    <w:rsid w:val="00143A4D"/>
    <w:rsid w:val="0014404A"/>
    <w:rsid w:val="0014487A"/>
    <w:rsid w:val="00146A53"/>
    <w:rsid w:val="00146FCA"/>
    <w:rsid w:val="00147EAE"/>
    <w:rsid w:val="00150938"/>
    <w:rsid w:val="00150DB2"/>
    <w:rsid w:val="00152DD1"/>
    <w:rsid w:val="00153751"/>
    <w:rsid w:val="001540E2"/>
    <w:rsid w:val="0015431B"/>
    <w:rsid w:val="001549F6"/>
    <w:rsid w:val="001600C0"/>
    <w:rsid w:val="00160BE4"/>
    <w:rsid w:val="00161567"/>
    <w:rsid w:val="00162134"/>
    <w:rsid w:val="001626C7"/>
    <w:rsid w:val="00162952"/>
    <w:rsid w:val="00163678"/>
    <w:rsid w:val="00165EAC"/>
    <w:rsid w:val="0016603A"/>
    <w:rsid w:val="0016641A"/>
    <w:rsid w:val="00166EC3"/>
    <w:rsid w:val="00172A27"/>
    <w:rsid w:val="00172FF3"/>
    <w:rsid w:val="00173715"/>
    <w:rsid w:val="001737E6"/>
    <w:rsid w:val="00174753"/>
    <w:rsid w:val="0017585A"/>
    <w:rsid w:val="00177BF1"/>
    <w:rsid w:val="0018209F"/>
    <w:rsid w:val="0018459E"/>
    <w:rsid w:val="00184FA9"/>
    <w:rsid w:val="0018583F"/>
    <w:rsid w:val="001862BD"/>
    <w:rsid w:val="00187B2E"/>
    <w:rsid w:val="0019193E"/>
    <w:rsid w:val="001921D7"/>
    <w:rsid w:val="001927D1"/>
    <w:rsid w:val="00194517"/>
    <w:rsid w:val="001947C2"/>
    <w:rsid w:val="00194AFC"/>
    <w:rsid w:val="001950D0"/>
    <w:rsid w:val="001964D5"/>
    <w:rsid w:val="00196A53"/>
    <w:rsid w:val="001A075D"/>
    <w:rsid w:val="001A254A"/>
    <w:rsid w:val="001A28CE"/>
    <w:rsid w:val="001A48A3"/>
    <w:rsid w:val="001A4D50"/>
    <w:rsid w:val="001A6093"/>
    <w:rsid w:val="001A683F"/>
    <w:rsid w:val="001A7776"/>
    <w:rsid w:val="001B2859"/>
    <w:rsid w:val="001B55AD"/>
    <w:rsid w:val="001B6E46"/>
    <w:rsid w:val="001B764A"/>
    <w:rsid w:val="001B7678"/>
    <w:rsid w:val="001C15BE"/>
    <w:rsid w:val="001C43F5"/>
    <w:rsid w:val="001C4BC6"/>
    <w:rsid w:val="001C7921"/>
    <w:rsid w:val="001D295D"/>
    <w:rsid w:val="001D3F0F"/>
    <w:rsid w:val="001D4A49"/>
    <w:rsid w:val="001D5C63"/>
    <w:rsid w:val="001D642B"/>
    <w:rsid w:val="001D709E"/>
    <w:rsid w:val="001D7628"/>
    <w:rsid w:val="001E45AD"/>
    <w:rsid w:val="001E48DD"/>
    <w:rsid w:val="001E7766"/>
    <w:rsid w:val="001E79D3"/>
    <w:rsid w:val="001F01B0"/>
    <w:rsid w:val="001F1394"/>
    <w:rsid w:val="001F1679"/>
    <w:rsid w:val="001F394E"/>
    <w:rsid w:val="001F4A69"/>
    <w:rsid w:val="001F5B9C"/>
    <w:rsid w:val="001F63EB"/>
    <w:rsid w:val="001F7814"/>
    <w:rsid w:val="00200C3C"/>
    <w:rsid w:val="00200E4A"/>
    <w:rsid w:val="002016A1"/>
    <w:rsid w:val="00202BCF"/>
    <w:rsid w:val="00203FCF"/>
    <w:rsid w:val="00205574"/>
    <w:rsid w:val="002055B5"/>
    <w:rsid w:val="002062D5"/>
    <w:rsid w:val="0021079D"/>
    <w:rsid w:val="00211A77"/>
    <w:rsid w:val="00213A2B"/>
    <w:rsid w:val="00214B41"/>
    <w:rsid w:val="00214E53"/>
    <w:rsid w:val="0021697D"/>
    <w:rsid w:val="002169CB"/>
    <w:rsid w:val="00216A66"/>
    <w:rsid w:val="00216A74"/>
    <w:rsid w:val="00217567"/>
    <w:rsid w:val="00217AE8"/>
    <w:rsid w:val="002209D1"/>
    <w:rsid w:val="00221E85"/>
    <w:rsid w:val="0022383C"/>
    <w:rsid w:val="002238C6"/>
    <w:rsid w:val="00223E81"/>
    <w:rsid w:val="00224317"/>
    <w:rsid w:val="002246E4"/>
    <w:rsid w:val="00226CA6"/>
    <w:rsid w:val="00227D7D"/>
    <w:rsid w:val="00230D2D"/>
    <w:rsid w:val="00231D5B"/>
    <w:rsid w:val="0023209D"/>
    <w:rsid w:val="002330C4"/>
    <w:rsid w:val="002336DA"/>
    <w:rsid w:val="0023536E"/>
    <w:rsid w:val="0023542E"/>
    <w:rsid w:val="00235D61"/>
    <w:rsid w:val="00240248"/>
    <w:rsid w:val="002408F4"/>
    <w:rsid w:val="002409BF"/>
    <w:rsid w:val="00240DD3"/>
    <w:rsid w:val="00241B86"/>
    <w:rsid w:val="00245667"/>
    <w:rsid w:val="002460A6"/>
    <w:rsid w:val="00246531"/>
    <w:rsid w:val="00246ABB"/>
    <w:rsid w:val="00251CEC"/>
    <w:rsid w:val="002528C5"/>
    <w:rsid w:val="00252FD0"/>
    <w:rsid w:val="00253AF1"/>
    <w:rsid w:val="002548A4"/>
    <w:rsid w:val="002554E9"/>
    <w:rsid w:val="00256996"/>
    <w:rsid w:val="00257B22"/>
    <w:rsid w:val="00262163"/>
    <w:rsid w:val="002622A7"/>
    <w:rsid w:val="00263096"/>
    <w:rsid w:val="00263423"/>
    <w:rsid w:val="002641F6"/>
    <w:rsid w:val="00264D2E"/>
    <w:rsid w:val="00265A8C"/>
    <w:rsid w:val="00265C62"/>
    <w:rsid w:val="00267E25"/>
    <w:rsid w:val="00272065"/>
    <w:rsid w:val="00272A45"/>
    <w:rsid w:val="00272AAE"/>
    <w:rsid w:val="00272B1E"/>
    <w:rsid w:val="0027458E"/>
    <w:rsid w:val="00277053"/>
    <w:rsid w:val="00277566"/>
    <w:rsid w:val="00280B1D"/>
    <w:rsid w:val="00283750"/>
    <w:rsid w:val="0028375E"/>
    <w:rsid w:val="00283BF3"/>
    <w:rsid w:val="00284647"/>
    <w:rsid w:val="002869D5"/>
    <w:rsid w:val="002871C9"/>
    <w:rsid w:val="00287CE3"/>
    <w:rsid w:val="0029055C"/>
    <w:rsid w:val="00290D1D"/>
    <w:rsid w:val="00292BF2"/>
    <w:rsid w:val="002941D3"/>
    <w:rsid w:val="002957A2"/>
    <w:rsid w:val="00297479"/>
    <w:rsid w:val="002A0385"/>
    <w:rsid w:val="002A0C6C"/>
    <w:rsid w:val="002A1C47"/>
    <w:rsid w:val="002A3528"/>
    <w:rsid w:val="002A6E7B"/>
    <w:rsid w:val="002B0BB1"/>
    <w:rsid w:val="002B0F01"/>
    <w:rsid w:val="002B1712"/>
    <w:rsid w:val="002B3E0C"/>
    <w:rsid w:val="002B4BBE"/>
    <w:rsid w:val="002B7CAC"/>
    <w:rsid w:val="002C0965"/>
    <w:rsid w:val="002C0EDB"/>
    <w:rsid w:val="002C319D"/>
    <w:rsid w:val="002C62CA"/>
    <w:rsid w:val="002C7DE6"/>
    <w:rsid w:val="002D10F1"/>
    <w:rsid w:val="002D17D2"/>
    <w:rsid w:val="002D1FE6"/>
    <w:rsid w:val="002D496C"/>
    <w:rsid w:val="002D5153"/>
    <w:rsid w:val="002D6259"/>
    <w:rsid w:val="002E0D4A"/>
    <w:rsid w:val="002E1DBF"/>
    <w:rsid w:val="002E28C5"/>
    <w:rsid w:val="002E40B1"/>
    <w:rsid w:val="002E6511"/>
    <w:rsid w:val="002E691B"/>
    <w:rsid w:val="002E779E"/>
    <w:rsid w:val="002E7EEF"/>
    <w:rsid w:val="002F00DB"/>
    <w:rsid w:val="002F2873"/>
    <w:rsid w:val="002F2C1D"/>
    <w:rsid w:val="002F6860"/>
    <w:rsid w:val="002F70C4"/>
    <w:rsid w:val="002F7292"/>
    <w:rsid w:val="00300933"/>
    <w:rsid w:val="00300BA0"/>
    <w:rsid w:val="00302320"/>
    <w:rsid w:val="003030B4"/>
    <w:rsid w:val="003049FF"/>
    <w:rsid w:val="00304FD7"/>
    <w:rsid w:val="00305DB0"/>
    <w:rsid w:val="00311E26"/>
    <w:rsid w:val="00311E9D"/>
    <w:rsid w:val="00312119"/>
    <w:rsid w:val="00312435"/>
    <w:rsid w:val="00314C06"/>
    <w:rsid w:val="00315747"/>
    <w:rsid w:val="003163DE"/>
    <w:rsid w:val="003171EC"/>
    <w:rsid w:val="0031720E"/>
    <w:rsid w:val="0032084F"/>
    <w:rsid w:val="00321EEC"/>
    <w:rsid w:val="003228E0"/>
    <w:rsid w:val="003229D8"/>
    <w:rsid w:val="00323202"/>
    <w:rsid w:val="003251F0"/>
    <w:rsid w:val="00325348"/>
    <w:rsid w:val="003262CF"/>
    <w:rsid w:val="00326579"/>
    <w:rsid w:val="0032707C"/>
    <w:rsid w:val="00327691"/>
    <w:rsid w:val="00330BDA"/>
    <w:rsid w:val="00332450"/>
    <w:rsid w:val="003345B2"/>
    <w:rsid w:val="00335DDD"/>
    <w:rsid w:val="003371DA"/>
    <w:rsid w:val="00337B64"/>
    <w:rsid w:val="003416FD"/>
    <w:rsid w:val="003422F0"/>
    <w:rsid w:val="00342515"/>
    <w:rsid w:val="00344757"/>
    <w:rsid w:val="00345AF9"/>
    <w:rsid w:val="00350739"/>
    <w:rsid w:val="00351256"/>
    <w:rsid w:val="003529F5"/>
    <w:rsid w:val="003530C3"/>
    <w:rsid w:val="003536F6"/>
    <w:rsid w:val="00353B08"/>
    <w:rsid w:val="00354D39"/>
    <w:rsid w:val="003608BC"/>
    <w:rsid w:val="0036092F"/>
    <w:rsid w:val="00362D50"/>
    <w:rsid w:val="003655DE"/>
    <w:rsid w:val="003706B8"/>
    <w:rsid w:val="00370931"/>
    <w:rsid w:val="00370C33"/>
    <w:rsid w:val="00370DF5"/>
    <w:rsid w:val="0037392F"/>
    <w:rsid w:val="00380568"/>
    <w:rsid w:val="003808B5"/>
    <w:rsid w:val="00380F96"/>
    <w:rsid w:val="00381CA3"/>
    <w:rsid w:val="00381E92"/>
    <w:rsid w:val="00383319"/>
    <w:rsid w:val="00383D53"/>
    <w:rsid w:val="00384099"/>
    <w:rsid w:val="00386B13"/>
    <w:rsid w:val="00390E60"/>
    <w:rsid w:val="003918FA"/>
    <w:rsid w:val="00392D0B"/>
    <w:rsid w:val="00392E67"/>
    <w:rsid w:val="00394B9A"/>
    <w:rsid w:val="0039578A"/>
    <w:rsid w:val="003A0A1F"/>
    <w:rsid w:val="003A12C9"/>
    <w:rsid w:val="003A2B49"/>
    <w:rsid w:val="003A4E34"/>
    <w:rsid w:val="003A792D"/>
    <w:rsid w:val="003A7CE8"/>
    <w:rsid w:val="003B1E11"/>
    <w:rsid w:val="003B23E9"/>
    <w:rsid w:val="003B38AE"/>
    <w:rsid w:val="003B38D4"/>
    <w:rsid w:val="003B52A6"/>
    <w:rsid w:val="003B56BF"/>
    <w:rsid w:val="003B58A5"/>
    <w:rsid w:val="003B6DBD"/>
    <w:rsid w:val="003C05C7"/>
    <w:rsid w:val="003C1FBC"/>
    <w:rsid w:val="003C24D8"/>
    <w:rsid w:val="003C2664"/>
    <w:rsid w:val="003C2923"/>
    <w:rsid w:val="003C3D81"/>
    <w:rsid w:val="003C3E82"/>
    <w:rsid w:val="003C3F3A"/>
    <w:rsid w:val="003C4CAF"/>
    <w:rsid w:val="003C5A27"/>
    <w:rsid w:val="003C7A6E"/>
    <w:rsid w:val="003D1F10"/>
    <w:rsid w:val="003D21D0"/>
    <w:rsid w:val="003D2764"/>
    <w:rsid w:val="003D3D79"/>
    <w:rsid w:val="003D3F73"/>
    <w:rsid w:val="003D4F8D"/>
    <w:rsid w:val="003D79BA"/>
    <w:rsid w:val="003D7C96"/>
    <w:rsid w:val="003E1478"/>
    <w:rsid w:val="003E2A7C"/>
    <w:rsid w:val="003E327E"/>
    <w:rsid w:val="003E3DE7"/>
    <w:rsid w:val="003E4F1C"/>
    <w:rsid w:val="003E7A8B"/>
    <w:rsid w:val="003F114D"/>
    <w:rsid w:val="003F128D"/>
    <w:rsid w:val="003F1619"/>
    <w:rsid w:val="003F1710"/>
    <w:rsid w:val="003F23CB"/>
    <w:rsid w:val="003F5E50"/>
    <w:rsid w:val="00401740"/>
    <w:rsid w:val="00403916"/>
    <w:rsid w:val="00403C6A"/>
    <w:rsid w:val="00403D70"/>
    <w:rsid w:val="00404320"/>
    <w:rsid w:val="00404445"/>
    <w:rsid w:val="00405131"/>
    <w:rsid w:val="00407A52"/>
    <w:rsid w:val="004106A3"/>
    <w:rsid w:val="00411521"/>
    <w:rsid w:val="0041271A"/>
    <w:rsid w:val="004127D5"/>
    <w:rsid w:val="00413A18"/>
    <w:rsid w:val="00416556"/>
    <w:rsid w:val="00417585"/>
    <w:rsid w:val="00420B70"/>
    <w:rsid w:val="004210B7"/>
    <w:rsid w:val="00422077"/>
    <w:rsid w:val="00422112"/>
    <w:rsid w:val="00422512"/>
    <w:rsid w:val="00423978"/>
    <w:rsid w:val="0042573A"/>
    <w:rsid w:val="00425FC3"/>
    <w:rsid w:val="00426806"/>
    <w:rsid w:val="0042730F"/>
    <w:rsid w:val="00432C6D"/>
    <w:rsid w:val="0043573D"/>
    <w:rsid w:val="00435B22"/>
    <w:rsid w:val="00435B66"/>
    <w:rsid w:val="0043787D"/>
    <w:rsid w:val="004415ED"/>
    <w:rsid w:val="00442EEB"/>
    <w:rsid w:val="00443182"/>
    <w:rsid w:val="004437DE"/>
    <w:rsid w:val="00445566"/>
    <w:rsid w:val="00445FD8"/>
    <w:rsid w:val="00446969"/>
    <w:rsid w:val="004470C4"/>
    <w:rsid w:val="004475B5"/>
    <w:rsid w:val="00450146"/>
    <w:rsid w:val="00450249"/>
    <w:rsid w:val="004523C7"/>
    <w:rsid w:val="0045264A"/>
    <w:rsid w:val="004538CD"/>
    <w:rsid w:val="00455E0D"/>
    <w:rsid w:val="00455EB1"/>
    <w:rsid w:val="00456969"/>
    <w:rsid w:val="00457BA1"/>
    <w:rsid w:val="00457C87"/>
    <w:rsid w:val="00460D1C"/>
    <w:rsid w:val="0046132A"/>
    <w:rsid w:val="004623FB"/>
    <w:rsid w:val="00464C05"/>
    <w:rsid w:val="00464C84"/>
    <w:rsid w:val="00466139"/>
    <w:rsid w:val="0046627D"/>
    <w:rsid w:val="0046752E"/>
    <w:rsid w:val="0047210F"/>
    <w:rsid w:val="0047248F"/>
    <w:rsid w:val="0047504A"/>
    <w:rsid w:val="004750C5"/>
    <w:rsid w:val="00475289"/>
    <w:rsid w:val="00475E3C"/>
    <w:rsid w:val="00476617"/>
    <w:rsid w:val="00481D5D"/>
    <w:rsid w:val="00482615"/>
    <w:rsid w:val="004841B2"/>
    <w:rsid w:val="004844A8"/>
    <w:rsid w:val="00486503"/>
    <w:rsid w:val="00486C6A"/>
    <w:rsid w:val="00486D81"/>
    <w:rsid w:val="004933A6"/>
    <w:rsid w:val="00493831"/>
    <w:rsid w:val="004951DA"/>
    <w:rsid w:val="004A1902"/>
    <w:rsid w:val="004A321D"/>
    <w:rsid w:val="004A32D7"/>
    <w:rsid w:val="004A6C77"/>
    <w:rsid w:val="004A6D3D"/>
    <w:rsid w:val="004A6E71"/>
    <w:rsid w:val="004B05C3"/>
    <w:rsid w:val="004B093C"/>
    <w:rsid w:val="004B0EEE"/>
    <w:rsid w:val="004B2814"/>
    <w:rsid w:val="004B2867"/>
    <w:rsid w:val="004B334C"/>
    <w:rsid w:val="004B4690"/>
    <w:rsid w:val="004B51D7"/>
    <w:rsid w:val="004B5C3E"/>
    <w:rsid w:val="004B6624"/>
    <w:rsid w:val="004C003B"/>
    <w:rsid w:val="004C1CCB"/>
    <w:rsid w:val="004C35E7"/>
    <w:rsid w:val="004C3F28"/>
    <w:rsid w:val="004C4396"/>
    <w:rsid w:val="004C58BF"/>
    <w:rsid w:val="004D0749"/>
    <w:rsid w:val="004D0B22"/>
    <w:rsid w:val="004D269E"/>
    <w:rsid w:val="004D269F"/>
    <w:rsid w:val="004D3565"/>
    <w:rsid w:val="004D3E6E"/>
    <w:rsid w:val="004D52BB"/>
    <w:rsid w:val="004D551F"/>
    <w:rsid w:val="004D57D2"/>
    <w:rsid w:val="004D5BA4"/>
    <w:rsid w:val="004D7160"/>
    <w:rsid w:val="004E00E5"/>
    <w:rsid w:val="004E0A38"/>
    <w:rsid w:val="004E18BF"/>
    <w:rsid w:val="004E24E2"/>
    <w:rsid w:val="004E264E"/>
    <w:rsid w:val="004E33E6"/>
    <w:rsid w:val="004E41FB"/>
    <w:rsid w:val="004E49FA"/>
    <w:rsid w:val="004E5A66"/>
    <w:rsid w:val="004E75BF"/>
    <w:rsid w:val="004F0FAE"/>
    <w:rsid w:val="004F1355"/>
    <w:rsid w:val="004F568E"/>
    <w:rsid w:val="004F5975"/>
    <w:rsid w:val="00502B3B"/>
    <w:rsid w:val="00502CEA"/>
    <w:rsid w:val="0050403F"/>
    <w:rsid w:val="00504D4A"/>
    <w:rsid w:val="0050511D"/>
    <w:rsid w:val="00506E88"/>
    <w:rsid w:val="00507154"/>
    <w:rsid w:val="00507B82"/>
    <w:rsid w:val="00511129"/>
    <w:rsid w:val="00513410"/>
    <w:rsid w:val="005143D5"/>
    <w:rsid w:val="005163AB"/>
    <w:rsid w:val="00516E62"/>
    <w:rsid w:val="00517571"/>
    <w:rsid w:val="00517854"/>
    <w:rsid w:val="00520ACF"/>
    <w:rsid w:val="00521C82"/>
    <w:rsid w:val="0052323B"/>
    <w:rsid w:val="00526001"/>
    <w:rsid w:val="00527612"/>
    <w:rsid w:val="00530EE9"/>
    <w:rsid w:val="00534053"/>
    <w:rsid w:val="00535171"/>
    <w:rsid w:val="00535F05"/>
    <w:rsid w:val="005365D7"/>
    <w:rsid w:val="00537157"/>
    <w:rsid w:val="00537D60"/>
    <w:rsid w:val="0054593A"/>
    <w:rsid w:val="00545D57"/>
    <w:rsid w:val="00546B44"/>
    <w:rsid w:val="0054736B"/>
    <w:rsid w:val="00550C06"/>
    <w:rsid w:val="005511F9"/>
    <w:rsid w:val="0055325E"/>
    <w:rsid w:val="005556BB"/>
    <w:rsid w:val="00555FE4"/>
    <w:rsid w:val="0055650C"/>
    <w:rsid w:val="0055688D"/>
    <w:rsid w:val="005577EA"/>
    <w:rsid w:val="005608CB"/>
    <w:rsid w:val="00561540"/>
    <w:rsid w:val="00562990"/>
    <w:rsid w:val="005645BE"/>
    <w:rsid w:val="005649C2"/>
    <w:rsid w:val="00566186"/>
    <w:rsid w:val="0057018C"/>
    <w:rsid w:val="00570BE8"/>
    <w:rsid w:val="00570D29"/>
    <w:rsid w:val="00570E54"/>
    <w:rsid w:val="00571024"/>
    <w:rsid w:val="00572AB4"/>
    <w:rsid w:val="0057322F"/>
    <w:rsid w:val="00573CD9"/>
    <w:rsid w:val="0057458D"/>
    <w:rsid w:val="005746BE"/>
    <w:rsid w:val="00575903"/>
    <w:rsid w:val="00576422"/>
    <w:rsid w:val="00576767"/>
    <w:rsid w:val="00576E38"/>
    <w:rsid w:val="00580231"/>
    <w:rsid w:val="005804DA"/>
    <w:rsid w:val="00580D8D"/>
    <w:rsid w:val="005827E5"/>
    <w:rsid w:val="00583FE0"/>
    <w:rsid w:val="00584463"/>
    <w:rsid w:val="00585446"/>
    <w:rsid w:val="00586636"/>
    <w:rsid w:val="00586C59"/>
    <w:rsid w:val="0058748A"/>
    <w:rsid w:val="00590E1A"/>
    <w:rsid w:val="00591302"/>
    <w:rsid w:val="00591F34"/>
    <w:rsid w:val="005920BD"/>
    <w:rsid w:val="00594531"/>
    <w:rsid w:val="00594FDC"/>
    <w:rsid w:val="00595C3C"/>
    <w:rsid w:val="00596175"/>
    <w:rsid w:val="005970CE"/>
    <w:rsid w:val="005A0677"/>
    <w:rsid w:val="005A1DAA"/>
    <w:rsid w:val="005A3CC0"/>
    <w:rsid w:val="005A5F05"/>
    <w:rsid w:val="005A638B"/>
    <w:rsid w:val="005B07B6"/>
    <w:rsid w:val="005B12C2"/>
    <w:rsid w:val="005B4B8C"/>
    <w:rsid w:val="005B552D"/>
    <w:rsid w:val="005B5E45"/>
    <w:rsid w:val="005B6AEE"/>
    <w:rsid w:val="005B7B91"/>
    <w:rsid w:val="005C084D"/>
    <w:rsid w:val="005C4F16"/>
    <w:rsid w:val="005C7698"/>
    <w:rsid w:val="005C7A30"/>
    <w:rsid w:val="005D1461"/>
    <w:rsid w:val="005D1D0B"/>
    <w:rsid w:val="005D3392"/>
    <w:rsid w:val="005D3A58"/>
    <w:rsid w:val="005D56AE"/>
    <w:rsid w:val="005D6B63"/>
    <w:rsid w:val="005D76B7"/>
    <w:rsid w:val="005E0E91"/>
    <w:rsid w:val="005E247F"/>
    <w:rsid w:val="005E32F8"/>
    <w:rsid w:val="005E33F1"/>
    <w:rsid w:val="005E3556"/>
    <w:rsid w:val="005E5334"/>
    <w:rsid w:val="005E5945"/>
    <w:rsid w:val="005E7131"/>
    <w:rsid w:val="005E7612"/>
    <w:rsid w:val="005E7AC9"/>
    <w:rsid w:val="005F0550"/>
    <w:rsid w:val="005F27EB"/>
    <w:rsid w:val="005F4317"/>
    <w:rsid w:val="005F5B7A"/>
    <w:rsid w:val="005F5F1E"/>
    <w:rsid w:val="005F64D0"/>
    <w:rsid w:val="005F7AFA"/>
    <w:rsid w:val="00600287"/>
    <w:rsid w:val="00602CF9"/>
    <w:rsid w:val="006030F3"/>
    <w:rsid w:val="00603C50"/>
    <w:rsid w:val="00606FFF"/>
    <w:rsid w:val="006070B5"/>
    <w:rsid w:val="00607C67"/>
    <w:rsid w:val="00607D0A"/>
    <w:rsid w:val="00610374"/>
    <w:rsid w:val="006119E3"/>
    <w:rsid w:val="00612940"/>
    <w:rsid w:val="0061485A"/>
    <w:rsid w:val="00615F4D"/>
    <w:rsid w:val="00617206"/>
    <w:rsid w:val="0061759A"/>
    <w:rsid w:val="00623047"/>
    <w:rsid w:val="0062425B"/>
    <w:rsid w:val="006243C4"/>
    <w:rsid w:val="0062455D"/>
    <w:rsid w:val="00624EC7"/>
    <w:rsid w:val="00625416"/>
    <w:rsid w:val="00627E58"/>
    <w:rsid w:val="00627FC8"/>
    <w:rsid w:val="00630DF2"/>
    <w:rsid w:val="0063106D"/>
    <w:rsid w:val="0063141B"/>
    <w:rsid w:val="00631CEC"/>
    <w:rsid w:val="00632127"/>
    <w:rsid w:val="00633FE9"/>
    <w:rsid w:val="00635315"/>
    <w:rsid w:val="00636ED8"/>
    <w:rsid w:val="0064170C"/>
    <w:rsid w:val="00644481"/>
    <w:rsid w:val="006453D0"/>
    <w:rsid w:val="0064592E"/>
    <w:rsid w:val="00645A40"/>
    <w:rsid w:val="00646F79"/>
    <w:rsid w:val="00647CF2"/>
    <w:rsid w:val="00651A96"/>
    <w:rsid w:val="00653F09"/>
    <w:rsid w:val="00654567"/>
    <w:rsid w:val="00654E44"/>
    <w:rsid w:val="00661B41"/>
    <w:rsid w:val="006632F7"/>
    <w:rsid w:val="00666EF9"/>
    <w:rsid w:val="00675807"/>
    <w:rsid w:val="00676307"/>
    <w:rsid w:val="0068062C"/>
    <w:rsid w:val="006813FE"/>
    <w:rsid w:val="0068242A"/>
    <w:rsid w:val="00682A18"/>
    <w:rsid w:val="00682BFD"/>
    <w:rsid w:val="00683F02"/>
    <w:rsid w:val="0068488F"/>
    <w:rsid w:val="006854E2"/>
    <w:rsid w:val="00686381"/>
    <w:rsid w:val="006872D4"/>
    <w:rsid w:val="006877EB"/>
    <w:rsid w:val="0069000F"/>
    <w:rsid w:val="006906FC"/>
    <w:rsid w:val="006912EA"/>
    <w:rsid w:val="00695DB1"/>
    <w:rsid w:val="006A0815"/>
    <w:rsid w:val="006A0A66"/>
    <w:rsid w:val="006A1DCA"/>
    <w:rsid w:val="006A286A"/>
    <w:rsid w:val="006A3F08"/>
    <w:rsid w:val="006B1C6A"/>
    <w:rsid w:val="006B2EB5"/>
    <w:rsid w:val="006B3974"/>
    <w:rsid w:val="006B4E48"/>
    <w:rsid w:val="006B62A9"/>
    <w:rsid w:val="006B7428"/>
    <w:rsid w:val="006B7E2C"/>
    <w:rsid w:val="006C0065"/>
    <w:rsid w:val="006C187A"/>
    <w:rsid w:val="006C2B8D"/>
    <w:rsid w:val="006C4127"/>
    <w:rsid w:val="006C5611"/>
    <w:rsid w:val="006C6841"/>
    <w:rsid w:val="006C6B57"/>
    <w:rsid w:val="006C7E79"/>
    <w:rsid w:val="006D00C0"/>
    <w:rsid w:val="006D1C76"/>
    <w:rsid w:val="006D2FAC"/>
    <w:rsid w:val="006D62D6"/>
    <w:rsid w:val="006D63C0"/>
    <w:rsid w:val="006D7030"/>
    <w:rsid w:val="006D7C0E"/>
    <w:rsid w:val="006E0EEA"/>
    <w:rsid w:val="006E0F85"/>
    <w:rsid w:val="006E3278"/>
    <w:rsid w:val="006E3512"/>
    <w:rsid w:val="006E46FC"/>
    <w:rsid w:val="006E4FBE"/>
    <w:rsid w:val="006F0E40"/>
    <w:rsid w:val="006F3CAC"/>
    <w:rsid w:val="006F3D85"/>
    <w:rsid w:val="006F4551"/>
    <w:rsid w:val="006F49C4"/>
    <w:rsid w:val="006F623C"/>
    <w:rsid w:val="006F71CC"/>
    <w:rsid w:val="00700951"/>
    <w:rsid w:val="00701649"/>
    <w:rsid w:val="00702E84"/>
    <w:rsid w:val="007039BA"/>
    <w:rsid w:val="00703F55"/>
    <w:rsid w:val="00706811"/>
    <w:rsid w:val="0070690F"/>
    <w:rsid w:val="00710765"/>
    <w:rsid w:val="0071222C"/>
    <w:rsid w:val="00715A3C"/>
    <w:rsid w:val="0071622A"/>
    <w:rsid w:val="007177C5"/>
    <w:rsid w:val="00717AC7"/>
    <w:rsid w:val="007230AA"/>
    <w:rsid w:val="00725C9F"/>
    <w:rsid w:val="00726D7A"/>
    <w:rsid w:val="00727367"/>
    <w:rsid w:val="00732454"/>
    <w:rsid w:val="00732D7E"/>
    <w:rsid w:val="00732ED9"/>
    <w:rsid w:val="00732EFD"/>
    <w:rsid w:val="00732F70"/>
    <w:rsid w:val="00733363"/>
    <w:rsid w:val="00733954"/>
    <w:rsid w:val="007342C6"/>
    <w:rsid w:val="00734744"/>
    <w:rsid w:val="0073480D"/>
    <w:rsid w:val="00741238"/>
    <w:rsid w:val="00741753"/>
    <w:rsid w:val="007422A2"/>
    <w:rsid w:val="0074669D"/>
    <w:rsid w:val="00747A0A"/>
    <w:rsid w:val="00747ED0"/>
    <w:rsid w:val="00753052"/>
    <w:rsid w:val="007530E3"/>
    <w:rsid w:val="00753ED9"/>
    <w:rsid w:val="00756685"/>
    <w:rsid w:val="0075729E"/>
    <w:rsid w:val="007622AB"/>
    <w:rsid w:val="00763164"/>
    <w:rsid w:val="00763FC5"/>
    <w:rsid w:val="0076589A"/>
    <w:rsid w:val="007658AC"/>
    <w:rsid w:val="00766EEB"/>
    <w:rsid w:val="007679D9"/>
    <w:rsid w:val="00767E5E"/>
    <w:rsid w:val="00770312"/>
    <w:rsid w:val="007703A6"/>
    <w:rsid w:val="00771FA6"/>
    <w:rsid w:val="00773F96"/>
    <w:rsid w:val="00775840"/>
    <w:rsid w:val="00775899"/>
    <w:rsid w:val="00776699"/>
    <w:rsid w:val="00777ABC"/>
    <w:rsid w:val="00780EA5"/>
    <w:rsid w:val="00781707"/>
    <w:rsid w:val="00783589"/>
    <w:rsid w:val="00784348"/>
    <w:rsid w:val="007851CB"/>
    <w:rsid w:val="00791D8B"/>
    <w:rsid w:val="007921C2"/>
    <w:rsid w:val="0079284C"/>
    <w:rsid w:val="00792C64"/>
    <w:rsid w:val="00795131"/>
    <w:rsid w:val="007952C1"/>
    <w:rsid w:val="00795422"/>
    <w:rsid w:val="00795D60"/>
    <w:rsid w:val="0079614C"/>
    <w:rsid w:val="007965B8"/>
    <w:rsid w:val="00796959"/>
    <w:rsid w:val="00796BE9"/>
    <w:rsid w:val="00796EFD"/>
    <w:rsid w:val="007A22BD"/>
    <w:rsid w:val="007A3ABD"/>
    <w:rsid w:val="007A3D54"/>
    <w:rsid w:val="007A3F35"/>
    <w:rsid w:val="007A77A7"/>
    <w:rsid w:val="007B0D59"/>
    <w:rsid w:val="007B1068"/>
    <w:rsid w:val="007B287D"/>
    <w:rsid w:val="007B3182"/>
    <w:rsid w:val="007B400E"/>
    <w:rsid w:val="007B43FA"/>
    <w:rsid w:val="007B6829"/>
    <w:rsid w:val="007B7965"/>
    <w:rsid w:val="007C0542"/>
    <w:rsid w:val="007C0DFD"/>
    <w:rsid w:val="007C1654"/>
    <w:rsid w:val="007C176B"/>
    <w:rsid w:val="007C384E"/>
    <w:rsid w:val="007C4688"/>
    <w:rsid w:val="007D0114"/>
    <w:rsid w:val="007D35ED"/>
    <w:rsid w:val="007D517E"/>
    <w:rsid w:val="007D6914"/>
    <w:rsid w:val="007D6E2A"/>
    <w:rsid w:val="007E236C"/>
    <w:rsid w:val="007E2A68"/>
    <w:rsid w:val="007E3162"/>
    <w:rsid w:val="007E40F9"/>
    <w:rsid w:val="007E5171"/>
    <w:rsid w:val="007E6F57"/>
    <w:rsid w:val="007E741D"/>
    <w:rsid w:val="007E7AC5"/>
    <w:rsid w:val="007F04C8"/>
    <w:rsid w:val="007F0E7C"/>
    <w:rsid w:val="007F0FC4"/>
    <w:rsid w:val="007F1E85"/>
    <w:rsid w:val="007F3FBC"/>
    <w:rsid w:val="007F4C87"/>
    <w:rsid w:val="007F4E8D"/>
    <w:rsid w:val="0080497A"/>
    <w:rsid w:val="008049F3"/>
    <w:rsid w:val="00810BEF"/>
    <w:rsid w:val="008128AC"/>
    <w:rsid w:val="008165B4"/>
    <w:rsid w:val="0081740B"/>
    <w:rsid w:val="00817ADE"/>
    <w:rsid w:val="00817B1D"/>
    <w:rsid w:val="00821956"/>
    <w:rsid w:val="00821E09"/>
    <w:rsid w:val="00831A9D"/>
    <w:rsid w:val="008322EE"/>
    <w:rsid w:val="00833289"/>
    <w:rsid w:val="00833DAF"/>
    <w:rsid w:val="00835A21"/>
    <w:rsid w:val="008369CC"/>
    <w:rsid w:val="008373E2"/>
    <w:rsid w:val="00840549"/>
    <w:rsid w:val="00840852"/>
    <w:rsid w:val="00841F8D"/>
    <w:rsid w:val="00842019"/>
    <w:rsid w:val="008431C9"/>
    <w:rsid w:val="00843B6F"/>
    <w:rsid w:val="00843DBF"/>
    <w:rsid w:val="00843FE6"/>
    <w:rsid w:val="008457E9"/>
    <w:rsid w:val="008469EB"/>
    <w:rsid w:val="00847EC1"/>
    <w:rsid w:val="008524F9"/>
    <w:rsid w:val="008529CE"/>
    <w:rsid w:val="00853604"/>
    <w:rsid w:val="00854FF3"/>
    <w:rsid w:val="00857E96"/>
    <w:rsid w:val="0086029B"/>
    <w:rsid w:val="00860FBA"/>
    <w:rsid w:val="008615BE"/>
    <w:rsid w:val="00862119"/>
    <w:rsid w:val="0086344A"/>
    <w:rsid w:val="008662AE"/>
    <w:rsid w:val="00870C8D"/>
    <w:rsid w:val="00871754"/>
    <w:rsid w:val="00872064"/>
    <w:rsid w:val="00872AA5"/>
    <w:rsid w:val="00874F25"/>
    <w:rsid w:val="00875654"/>
    <w:rsid w:val="00880633"/>
    <w:rsid w:val="0088152C"/>
    <w:rsid w:val="008825E9"/>
    <w:rsid w:val="00884269"/>
    <w:rsid w:val="00886DA8"/>
    <w:rsid w:val="00887CC0"/>
    <w:rsid w:val="00891507"/>
    <w:rsid w:val="008917B0"/>
    <w:rsid w:val="00891D77"/>
    <w:rsid w:val="0089329A"/>
    <w:rsid w:val="008939D7"/>
    <w:rsid w:val="008969DA"/>
    <w:rsid w:val="008A1A31"/>
    <w:rsid w:val="008A1B18"/>
    <w:rsid w:val="008A29CC"/>
    <w:rsid w:val="008A2A2E"/>
    <w:rsid w:val="008A2EC7"/>
    <w:rsid w:val="008A3508"/>
    <w:rsid w:val="008A363F"/>
    <w:rsid w:val="008A4F3F"/>
    <w:rsid w:val="008A6122"/>
    <w:rsid w:val="008A655B"/>
    <w:rsid w:val="008A7077"/>
    <w:rsid w:val="008B17C2"/>
    <w:rsid w:val="008B3B0D"/>
    <w:rsid w:val="008B3D4A"/>
    <w:rsid w:val="008B3DCC"/>
    <w:rsid w:val="008B491B"/>
    <w:rsid w:val="008B4E08"/>
    <w:rsid w:val="008B5B84"/>
    <w:rsid w:val="008B5C83"/>
    <w:rsid w:val="008B60CF"/>
    <w:rsid w:val="008B63ED"/>
    <w:rsid w:val="008B6B5F"/>
    <w:rsid w:val="008C0160"/>
    <w:rsid w:val="008C02B8"/>
    <w:rsid w:val="008C0D17"/>
    <w:rsid w:val="008C25DD"/>
    <w:rsid w:val="008C28F0"/>
    <w:rsid w:val="008C4206"/>
    <w:rsid w:val="008C5C65"/>
    <w:rsid w:val="008C6284"/>
    <w:rsid w:val="008C6A0B"/>
    <w:rsid w:val="008C70CC"/>
    <w:rsid w:val="008C76F1"/>
    <w:rsid w:val="008D058C"/>
    <w:rsid w:val="008D059A"/>
    <w:rsid w:val="008D0B1C"/>
    <w:rsid w:val="008D1659"/>
    <w:rsid w:val="008D1781"/>
    <w:rsid w:val="008D3FB5"/>
    <w:rsid w:val="008D5208"/>
    <w:rsid w:val="008D6846"/>
    <w:rsid w:val="008D7139"/>
    <w:rsid w:val="008E03F3"/>
    <w:rsid w:val="008E25EA"/>
    <w:rsid w:val="008E57FA"/>
    <w:rsid w:val="008E6FCE"/>
    <w:rsid w:val="008E7183"/>
    <w:rsid w:val="008F32C2"/>
    <w:rsid w:val="00900247"/>
    <w:rsid w:val="009014AC"/>
    <w:rsid w:val="009019F5"/>
    <w:rsid w:val="009025F1"/>
    <w:rsid w:val="00902C14"/>
    <w:rsid w:val="009043D9"/>
    <w:rsid w:val="00907B8A"/>
    <w:rsid w:val="00911614"/>
    <w:rsid w:val="009150DD"/>
    <w:rsid w:val="00915B39"/>
    <w:rsid w:val="009161F1"/>
    <w:rsid w:val="0091740F"/>
    <w:rsid w:val="00920447"/>
    <w:rsid w:val="00921E2C"/>
    <w:rsid w:val="0092466C"/>
    <w:rsid w:val="009246AA"/>
    <w:rsid w:val="00924CA4"/>
    <w:rsid w:val="00924F51"/>
    <w:rsid w:val="00924F96"/>
    <w:rsid w:val="0092582D"/>
    <w:rsid w:val="009272C3"/>
    <w:rsid w:val="0093065D"/>
    <w:rsid w:val="00931050"/>
    <w:rsid w:val="00931A0E"/>
    <w:rsid w:val="00933B71"/>
    <w:rsid w:val="00934F8F"/>
    <w:rsid w:val="00935DF2"/>
    <w:rsid w:val="00943200"/>
    <w:rsid w:val="00943BBA"/>
    <w:rsid w:val="00944029"/>
    <w:rsid w:val="009454C5"/>
    <w:rsid w:val="0095000D"/>
    <w:rsid w:val="00950603"/>
    <w:rsid w:val="00950B6F"/>
    <w:rsid w:val="00950F49"/>
    <w:rsid w:val="0095333E"/>
    <w:rsid w:val="00953C0F"/>
    <w:rsid w:val="009553B6"/>
    <w:rsid w:val="00955B88"/>
    <w:rsid w:val="00956FBF"/>
    <w:rsid w:val="00957A41"/>
    <w:rsid w:val="00960220"/>
    <w:rsid w:val="00960DFD"/>
    <w:rsid w:val="009620CD"/>
    <w:rsid w:val="00967A24"/>
    <w:rsid w:val="0097231A"/>
    <w:rsid w:val="00974D66"/>
    <w:rsid w:val="009753F2"/>
    <w:rsid w:val="0097602D"/>
    <w:rsid w:val="009841B1"/>
    <w:rsid w:val="009844DF"/>
    <w:rsid w:val="00985E89"/>
    <w:rsid w:val="009866A7"/>
    <w:rsid w:val="00987050"/>
    <w:rsid w:val="009872A1"/>
    <w:rsid w:val="00987595"/>
    <w:rsid w:val="00987B45"/>
    <w:rsid w:val="00987BFD"/>
    <w:rsid w:val="0099033B"/>
    <w:rsid w:val="0099264C"/>
    <w:rsid w:val="00994BB9"/>
    <w:rsid w:val="009956C8"/>
    <w:rsid w:val="009970D9"/>
    <w:rsid w:val="0099742E"/>
    <w:rsid w:val="009A0B01"/>
    <w:rsid w:val="009A0F7B"/>
    <w:rsid w:val="009A22FB"/>
    <w:rsid w:val="009A3467"/>
    <w:rsid w:val="009A34A1"/>
    <w:rsid w:val="009A366C"/>
    <w:rsid w:val="009A6B5C"/>
    <w:rsid w:val="009A7EFA"/>
    <w:rsid w:val="009B1506"/>
    <w:rsid w:val="009B1A2F"/>
    <w:rsid w:val="009B1D2D"/>
    <w:rsid w:val="009B1EE1"/>
    <w:rsid w:val="009B2B86"/>
    <w:rsid w:val="009B3109"/>
    <w:rsid w:val="009B36A2"/>
    <w:rsid w:val="009B411A"/>
    <w:rsid w:val="009B4DAD"/>
    <w:rsid w:val="009B5AAE"/>
    <w:rsid w:val="009B63E3"/>
    <w:rsid w:val="009B7700"/>
    <w:rsid w:val="009C41DD"/>
    <w:rsid w:val="009C4767"/>
    <w:rsid w:val="009C4D29"/>
    <w:rsid w:val="009C5AFD"/>
    <w:rsid w:val="009C7AD7"/>
    <w:rsid w:val="009D06C0"/>
    <w:rsid w:val="009D153A"/>
    <w:rsid w:val="009D17EA"/>
    <w:rsid w:val="009D2596"/>
    <w:rsid w:val="009D3AFA"/>
    <w:rsid w:val="009D52F7"/>
    <w:rsid w:val="009D5941"/>
    <w:rsid w:val="009D6983"/>
    <w:rsid w:val="009E24C5"/>
    <w:rsid w:val="009E2729"/>
    <w:rsid w:val="009E3984"/>
    <w:rsid w:val="009E4484"/>
    <w:rsid w:val="009E459B"/>
    <w:rsid w:val="009E5083"/>
    <w:rsid w:val="009E57A3"/>
    <w:rsid w:val="009E5D2B"/>
    <w:rsid w:val="009E60C7"/>
    <w:rsid w:val="009E70FB"/>
    <w:rsid w:val="009E7637"/>
    <w:rsid w:val="009E76BB"/>
    <w:rsid w:val="009F1580"/>
    <w:rsid w:val="009F2144"/>
    <w:rsid w:val="009F2783"/>
    <w:rsid w:val="009F5E5D"/>
    <w:rsid w:val="00A00C0A"/>
    <w:rsid w:val="00A00E8E"/>
    <w:rsid w:val="00A03549"/>
    <w:rsid w:val="00A03CA1"/>
    <w:rsid w:val="00A043AC"/>
    <w:rsid w:val="00A058C9"/>
    <w:rsid w:val="00A059E7"/>
    <w:rsid w:val="00A05EEF"/>
    <w:rsid w:val="00A0659D"/>
    <w:rsid w:val="00A07924"/>
    <w:rsid w:val="00A1072C"/>
    <w:rsid w:val="00A10DD3"/>
    <w:rsid w:val="00A11619"/>
    <w:rsid w:val="00A122B4"/>
    <w:rsid w:val="00A126C5"/>
    <w:rsid w:val="00A14E61"/>
    <w:rsid w:val="00A21ABE"/>
    <w:rsid w:val="00A24B1A"/>
    <w:rsid w:val="00A2535E"/>
    <w:rsid w:val="00A2569C"/>
    <w:rsid w:val="00A274D8"/>
    <w:rsid w:val="00A30965"/>
    <w:rsid w:val="00A31DAB"/>
    <w:rsid w:val="00A321AE"/>
    <w:rsid w:val="00A32467"/>
    <w:rsid w:val="00A3522C"/>
    <w:rsid w:val="00A3537E"/>
    <w:rsid w:val="00A36CD3"/>
    <w:rsid w:val="00A400F0"/>
    <w:rsid w:val="00A41C7D"/>
    <w:rsid w:val="00A4370D"/>
    <w:rsid w:val="00A4572D"/>
    <w:rsid w:val="00A45A36"/>
    <w:rsid w:val="00A504C7"/>
    <w:rsid w:val="00A5122B"/>
    <w:rsid w:val="00A5360A"/>
    <w:rsid w:val="00A53768"/>
    <w:rsid w:val="00A55CCB"/>
    <w:rsid w:val="00A56456"/>
    <w:rsid w:val="00A565D0"/>
    <w:rsid w:val="00A576CF"/>
    <w:rsid w:val="00A57E20"/>
    <w:rsid w:val="00A624BD"/>
    <w:rsid w:val="00A62690"/>
    <w:rsid w:val="00A64242"/>
    <w:rsid w:val="00A6525C"/>
    <w:rsid w:val="00A67158"/>
    <w:rsid w:val="00A6730D"/>
    <w:rsid w:val="00A706F0"/>
    <w:rsid w:val="00A709D4"/>
    <w:rsid w:val="00A71FCF"/>
    <w:rsid w:val="00A72BCB"/>
    <w:rsid w:val="00A73661"/>
    <w:rsid w:val="00A75AB5"/>
    <w:rsid w:val="00A775D0"/>
    <w:rsid w:val="00A80FEA"/>
    <w:rsid w:val="00A8317B"/>
    <w:rsid w:val="00A84276"/>
    <w:rsid w:val="00A842BE"/>
    <w:rsid w:val="00A84A95"/>
    <w:rsid w:val="00A85C31"/>
    <w:rsid w:val="00A85D9B"/>
    <w:rsid w:val="00A85F07"/>
    <w:rsid w:val="00A875E1"/>
    <w:rsid w:val="00A87BCC"/>
    <w:rsid w:val="00A90CC4"/>
    <w:rsid w:val="00A923A3"/>
    <w:rsid w:val="00A924FB"/>
    <w:rsid w:val="00A95C4C"/>
    <w:rsid w:val="00A9736A"/>
    <w:rsid w:val="00A97ED0"/>
    <w:rsid w:val="00AA0920"/>
    <w:rsid w:val="00AA1CE9"/>
    <w:rsid w:val="00AA2CA8"/>
    <w:rsid w:val="00AA2DA0"/>
    <w:rsid w:val="00AA39D1"/>
    <w:rsid w:val="00AA4223"/>
    <w:rsid w:val="00AA4355"/>
    <w:rsid w:val="00AA5F68"/>
    <w:rsid w:val="00AA6579"/>
    <w:rsid w:val="00AA6D02"/>
    <w:rsid w:val="00AB0BE5"/>
    <w:rsid w:val="00AB179F"/>
    <w:rsid w:val="00AB2218"/>
    <w:rsid w:val="00AB3242"/>
    <w:rsid w:val="00AB3399"/>
    <w:rsid w:val="00AB4A38"/>
    <w:rsid w:val="00AB7146"/>
    <w:rsid w:val="00AB72A1"/>
    <w:rsid w:val="00AB7794"/>
    <w:rsid w:val="00AC126A"/>
    <w:rsid w:val="00AC3E14"/>
    <w:rsid w:val="00AC5BFD"/>
    <w:rsid w:val="00AC5DA2"/>
    <w:rsid w:val="00AC6122"/>
    <w:rsid w:val="00AC6371"/>
    <w:rsid w:val="00AC670D"/>
    <w:rsid w:val="00AC6DB9"/>
    <w:rsid w:val="00AC7E70"/>
    <w:rsid w:val="00AD05DB"/>
    <w:rsid w:val="00AD2065"/>
    <w:rsid w:val="00AD2BB6"/>
    <w:rsid w:val="00AD4873"/>
    <w:rsid w:val="00AD4B6B"/>
    <w:rsid w:val="00AD506A"/>
    <w:rsid w:val="00AD59E9"/>
    <w:rsid w:val="00AD5B79"/>
    <w:rsid w:val="00AD6A08"/>
    <w:rsid w:val="00AD7BE9"/>
    <w:rsid w:val="00AE4616"/>
    <w:rsid w:val="00AE6AC0"/>
    <w:rsid w:val="00AE7938"/>
    <w:rsid w:val="00AF16EF"/>
    <w:rsid w:val="00AF36E2"/>
    <w:rsid w:val="00B00174"/>
    <w:rsid w:val="00B003A3"/>
    <w:rsid w:val="00B04B14"/>
    <w:rsid w:val="00B06FB5"/>
    <w:rsid w:val="00B10341"/>
    <w:rsid w:val="00B11B9F"/>
    <w:rsid w:val="00B11DA4"/>
    <w:rsid w:val="00B13323"/>
    <w:rsid w:val="00B1397A"/>
    <w:rsid w:val="00B14B6A"/>
    <w:rsid w:val="00B16A14"/>
    <w:rsid w:val="00B21D1D"/>
    <w:rsid w:val="00B22383"/>
    <w:rsid w:val="00B22C9E"/>
    <w:rsid w:val="00B25135"/>
    <w:rsid w:val="00B25E3B"/>
    <w:rsid w:val="00B26697"/>
    <w:rsid w:val="00B26CC8"/>
    <w:rsid w:val="00B31E61"/>
    <w:rsid w:val="00B34AD8"/>
    <w:rsid w:val="00B371EB"/>
    <w:rsid w:val="00B40159"/>
    <w:rsid w:val="00B4166C"/>
    <w:rsid w:val="00B4366A"/>
    <w:rsid w:val="00B43C65"/>
    <w:rsid w:val="00B43EB0"/>
    <w:rsid w:val="00B440D1"/>
    <w:rsid w:val="00B46755"/>
    <w:rsid w:val="00B4795D"/>
    <w:rsid w:val="00B47A77"/>
    <w:rsid w:val="00B53DA7"/>
    <w:rsid w:val="00B53DD8"/>
    <w:rsid w:val="00B54F83"/>
    <w:rsid w:val="00B57B1E"/>
    <w:rsid w:val="00B60C73"/>
    <w:rsid w:val="00B634D4"/>
    <w:rsid w:val="00B64563"/>
    <w:rsid w:val="00B647F3"/>
    <w:rsid w:val="00B66C02"/>
    <w:rsid w:val="00B71B08"/>
    <w:rsid w:val="00B72FD3"/>
    <w:rsid w:val="00B737CD"/>
    <w:rsid w:val="00B73FBF"/>
    <w:rsid w:val="00B74C46"/>
    <w:rsid w:val="00B756CB"/>
    <w:rsid w:val="00B813D3"/>
    <w:rsid w:val="00B81A7E"/>
    <w:rsid w:val="00B81AF7"/>
    <w:rsid w:val="00B84908"/>
    <w:rsid w:val="00B84CA9"/>
    <w:rsid w:val="00B85CB8"/>
    <w:rsid w:val="00B91098"/>
    <w:rsid w:val="00B916F7"/>
    <w:rsid w:val="00B9377E"/>
    <w:rsid w:val="00B9506A"/>
    <w:rsid w:val="00B951D6"/>
    <w:rsid w:val="00B958B8"/>
    <w:rsid w:val="00B95D98"/>
    <w:rsid w:val="00B97463"/>
    <w:rsid w:val="00BA0CE9"/>
    <w:rsid w:val="00BA3B51"/>
    <w:rsid w:val="00BA3E89"/>
    <w:rsid w:val="00BA4733"/>
    <w:rsid w:val="00BA4F10"/>
    <w:rsid w:val="00BA56AC"/>
    <w:rsid w:val="00BA5DEB"/>
    <w:rsid w:val="00BA6E9F"/>
    <w:rsid w:val="00BA76CC"/>
    <w:rsid w:val="00BB06B3"/>
    <w:rsid w:val="00BB1120"/>
    <w:rsid w:val="00BB36AA"/>
    <w:rsid w:val="00BB5CC8"/>
    <w:rsid w:val="00BB5F8E"/>
    <w:rsid w:val="00BC05B4"/>
    <w:rsid w:val="00BC0B12"/>
    <w:rsid w:val="00BC2E2F"/>
    <w:rsid w:val="00BC53C8"/>
    <w:rsid w:val="00BC7580"/>
    <w:rsid w:val="00BD0408"/>
    <w:rsid w:val="00BD2CD1"/>
    <w:rsid w:val="00BD3248"/>
    <w:rsid w:val="00BD3852"/>
    <w:rsid w:val="00BD495D"/>
    <w:rsid w:val="00BD5448"/>
    <w:rsid w:val="00BD5820"/>
    <w:rsid w:val="00BD7293"/>
    <w:rsid w:val="00BE0268"/>
    <w:rsid w:val="00BE0451"/>
    <w:rsid w:val="00BE1207"/>
    <w:rsid w:val="00BE21F2"/>
    <w:rsid w:val="00BE2377"/>
    <w:rsid w:val="00BE31F0"/>
    <w:rsid w:val="00BE373F"/>
    <w:rsid w:val="00BE68D7"/>
    <w:rsid w:val="00BF02E9"/>
    <w:rsid w:val="00BF0479"/>
    <w:rsid w:val="00BF0A0F"/>
    <w:rsid w:val="00BF121C"/>
    <w:rsid w:val="00BF1AF8"/>
    <w:rsid w:val="00BF1B6C"/>
    <w:rsid w:val="00BF2335"/>
    <w:rsid w:val="00BF276A"/>
    <w:rsid w:val="00C001C8"/>
    <w:rsid w:val="00C00846"/>
    <w:rsid w:val="00C01C7F"/>
    <w:rsid w:val="00C04922"/>
    <w:rsid w:val="00C04A37"/>
    <w:rsid w:val="00C05B3A"/>
    <w:rsid w:val="00C062E6"/>
    <w:rsid w:val="00C07284"/>
    <w:rsid w:val="00C0740D"/>
    <w:rsid w:val="00C0769E"/>
    <w:rsid w:val="00C07F53"/>
    <w:rsid w:val="00C106D4"/>
    <w:rsid w:val="00C11BC5"/>
    <w:rsid w:val="00C13041"/>
    <w:rsid w:val="00C149FD"/>
    <w:rsid w:val="00C15414"/>
    <w:rsid w:val="00C159F6"/>
    <w:rsid w:val="00C15FFC"/>
    <w:rsid w:val="00C171EA"/>
    <w:rsid w:val="00C17A2E"/>
    <w:rsid w:val="00C20917"/>
    <w:rsid w:val="00C217BD"/>
    <w:rsid w:val="00C218E4"/>
    <w:rsid w:val="00C21B92"/>
    <w:rsid w:val="00C22C43"/>
    <w:rsid w:val="00C25823"/>
    <w:rsid w:val="00C25A38"/>
    <w:rsid w:val="00C3162A"/>
    <w:rsid w:val="00C31657"/>
    <w:rsid w:val="00C316F0"/>
    <w:rsid w:val="00C32CB3"/>
    <w:rsid w:val="00C33044"/>
    <w:rsid w:val="00C34CD0"/>
    <w:rsid w:val="00C35F96"/>
    <w:rsid w:val="00C366ED"/>
    <w:rsid w:val="00C37FF4"/>
    <w:rsid w:val="00C42F30"/>
    <w:rsid w:val="00C44465"/>
    <w:rsid w:val="00C44868"/>
    <w:rsid w:val="00C45E32"/>
    <w:rsid w:val="00C460E1"/>
    <w:rsid w:val="00C463BF"/>
    <w:rsid w:val="00C50A40"/>
    <w:rsid w:val="00C50C73"/>
    <w:rsid w:val="00C52020"/>
    <w:rsid w:val="00C5736E"/>
    <w:rsid w:val="00C610FC"/>
    <w:rsid w:val="00C61A0E"/>
    <w:rsid w:val="00C6368E"/>
    <w:rsid w:val="00C6481F"/>
    <w:rsid w:val="00C65523"/>
    <w:rsid w:val="00C6593E"/>
    <w:rsid w:val="00C65B84"/>
    <w:rsid w:val="00C663DE"/>
    <w:rsid w:val="00C66952"/>
    <w:rsid w:val="00C674D5"/>
    <w:rsid w:val="00C67558"/>
    <w:rsid w:val="00C70FB8"/>
    <w:rsid w:val="00C722F3"/>
    <w:rsid w:val="00C7238B"/>
    <w:rsid w:val="00C74272"/>
    <w:rsid w:val="00C75CA2"/>
    <w:rsid w:val="00C769FD"/>
    <w:rsid w:val="00C76A00"/>
    <w:rsid w:val="00C77CD8"/>
    <w:rsid w:val="00C82E11"/>
    <w:rsid w:val="00C83783"/>
    <w:rsid w:val="00C859DF"/>
    <w:rsid w:val="00C869C5"/>
    <w:rsid w:val="00C86D9A"/>
    <w:rsid w:val="00C8781B"/>
    <w:rsid w:val="00C9196E"/>
    <w:rsid w:val="00C9221A"/>
    <w:rsid w:val="00C928E4"/>
    <w:rsid w:val="00C94A4A"/>
    <w:rsid w:val="00C94AF2"/>
    <w:rsid w:val="00C96F27"/>
    <w:rsid w:val="00C9707E"/>
    <w:rsid w:val="00CA01FA"/>
    <w:rsid w:val="00CA06E3"/>
    <w:rsid w:val="00CA0959"/>
    <w:rsid w:val="00CA211F"/>
    <w:rsid w:val="00CA3926"/>
    <w:rsid w:val="00CA39EB"/>
    <w:rsid w:val="00CA3FA2"/>
    <w:rsid w:val="00CA412B"/>
    <w:rsid w:val="00CA529F"/>
    <w:rsid w:val="00CA5544"/>
    <w:rsid w:val="00CA7B11"/>
    <w:rsid w:val="00CA7FF5"/>
    <w:rsid w:val="00CB09C9"/>
    <w:rsid w:val="00CB1B19"/>
    <w:rsid w:val="00CB1B63"/>
    <w:rsid w:val="00CB25F5"/>
    <w:rsid w:val="00CB58E1"/>
    <w:rsid w:val="00CB77CF"/>
    <w:rsid w:val="00CC0D0B"/>
    <w:rsid w:val="00CC35FA"/>
    <w:rsid w:val="00CC36B8"/>
    <w:rsid w:val="00CC46BB"/>
    <w:rsid w:val="00CC46D2"/>
    <w:rsid w:val="00CC4E02"/>
    <w:rsid w:val="00CC4E90"/>
    <w:rsid w:val="00CC603F"/>
    <w:rsid w:val="00CC61A3"/>
    <w:rsid w:val="00CD0194"/>
    <w:rsid w:val="00CD1332"/>
    <w:rsid w:val="00CD1567"/>
    <w:rsid w:val="00CD32AC"/>
    <w:rsid w:val="00CD333E"/>
    <w:rsid w:val="00CD6D64"/>
    <w:rsid w:val="00CE068A"/>
    <w:rsid w:val="00CE0EBC"/>
    <w:rsid w:val="00CE272A"/>
    <w:rsid w:val="00CE457D"/>
    <w:rsid w:val="00CE4A52"/>
    <w:rsid w:val="00CE50D7"/>
    <w:rsid w:val="00CF02EB"/>
    <w:rsid w:val="00CF082A"/>
    <w:rsid w:val="00CF0AF7"/>
    <w:rsid w:val="00CF1F86"/>
    <w:rsid w:val="00CF41B1"/>
    <w:rsid w:val="00CF4EB8"/>
    <w:rsid w:val="00CF63FA"/>
    <w:rsid w:val="00CF68E6"/>
    <w:rsid w:val="00CF7B73"/>
    <w:rsid w:val="00D00A04"/>
    <w:rsid w:val="00D01CD7"/>
    <w:rsid w:val="00D01FAE"/>
    <w:rsid w:val="00D03037"/>
    <w:rsid w:val="00D05981"/>
    <w:rsid w:val="00D10308"/>
    <w:rsid w:val="00D1172D"/>
    <w:rsid w:val="00D14FB3"/>
    <w:rsid w:val="00D15468"/>
    <w:rsid w:val="00D1608A"/>
    <w:rsid w:val="00D169CC"/>
    <w:rsid w:val="00D1797D"/>
    <w:rsid w:val="00D17F35"/>
    <w:rsid w:val="00D20930"/>
    <w:rsid w:val="00D21ED8"/>
    <w:rsid w:val="00D22BB9"/>
    <w:rsid w:val="00D237DC"/>
    <w:rsid w:val="00D25F28"/>
    <w:rsid w:val="00D2634D"/>
    <w:rsid w:val="00D26881"/>
    <w:rsid w:val="00D26A13"/>
    <w:rsid w:val="00D318B2"/>
    <w:rsid w:val="00D31DA2"/>
    <w:rsid w:val="00D330DC"/>
    <w:rsid w:val="00D33F2B"/>
    <w:rsid w:val="00D37812"/>
    <w:rsid w:val="00D4235D"/>
    <w:rsid w:val="00D4562D"/>
    <w:rsid w:val="00D45808"/>
    <w:rsid w:val="00D45D75"/>
    <w:rsid w:val="00D47C72"/>
    <w:rsid w:val="00D5091D"/>
    <w:rsid w:val="00D518E3"/>
    <w:rsid w:val="00D51DC8"/>
    <w:rsid w:val="00D533B4"/>
    <w:rsid w:val="00D5346E"/>
    <w:rsid w:val="00D53ACA"/>
    <w:rsid w:val="00D53D7C"/>
    <w:rsid w:val="00D54051"/>
    <w:rsid w:val="00D5466E"/>
    <w:rsid w:val="00D54B0A"/>
    <w:rsid w:val="00D54C27"/>
    <w:rsid w:val="00D55034"/>
    <w:rsid w:val="00D558B4"/>
    <w:rsid w:val="00D56328"/>
    <w:rsid w:val="00D568A8"/>
    <w:rsid w:val="00D62509"/>
    <w:rsid w:val="00D628B2"/>
    <w:rsid w:val="00D630FD"/>
    <w:rsid w:val="00D63F66"/>
    <w:rsid w:val="00D63FB1"/>
    <w:rsid w:val="00D65463"/>
    <w:rsid w:val="00D67656"/>
    <w:rsid w:val="00D67CA6"/>
    <w:rsid w:val="00D71DEA"/>
    <w:rsid w:val="00D729E4"/>
    <w:rsid w:val="00D7410B"/>
    <w:rsid w:val="00D74817"/>
    <w:rsid w:val="00D800CD"/>
    <w:rsid w:val="00D802A9"/>
    <w:rsid w:val="00D82054"/>
    <w:rsid w:val="00D83821"/>
    <w:rsid w:val="00D83B37"/>
    <w:rsid w:val="00D8425D"/>
    <w:rsid w:val="00D8489C"/>
    <w:rsid w:val="00D86399"/>
    <w:rsid w:val="00D87AEF"/>
    <w:rsid w:val="00D93A24"/>
    <w:rsid w:val="00D95657"/>
    <w:rsid w:val="00D95D3E"/>
    <w:rsid w:val="00D96207"/>
    <w:rsid w:val="00D96431"/>
    <w:rsid w:val="00D964CD"/>
    <w:rsid w:val="00D968BC"/>
    <w:rsid w:val="00DA115C"/>
    <w:rsid w:val="00DA27EB"/>
    <w:rsid w:val="00DA2C71"/>
    <w:rsid w:val="00DA47D2"/>
    <w:rsid w:val="00DA4FF5"/>
    <w:rsid w:val="00DA5A50"/>
    <w:rsid w:val="00DA5C10"/>
    <w:rsid w:val="00DA5F7F"/>
    <w:rsid w:val="00DA677D"/>
    <w:rsid w:val="00DA6BF0"/>
    <w:rsid w:val="00DA703F"/>
    <w:rsid w:val="00DB09A4"/>
    <w:rsid w:val="00DB1ADA"/>
    <w:rsid w:val="00DB1FC1"/>
    <w:rsid w:val="00DB2055"/>
    <w:rsid w:val="00DB38E5"/>
    <w:rsid w:val="00DB40DE"/>
    <w:rsid w:val="00DB6EC5"/>
    <w:rsid w:val="00DB748A"/>
    <w:rsid w:val="00DB79DB"/>
    <w:rsid w:val="00DC07D5"/>
    <w:rsid w:val="00DC2861"/>
    <w:rsid w:val="00DC2DF3"/>
    <w:rsid w:val="00DC3E38"/>
    <w:rsid w:val="00DC49BB"/>
    <w:rsid w:val="00DC5022"/>
    <w:rsid w:val="00DC5D18"/>
    <w:rsid w:val="00DC6370"/>
    <w:rsid w:val="00DC63D5"/>
    <w:rsid w:val="00DC6697"/>
    <w:rsid w:val="00DC6EE4"/>
    <w:rsid w:val="00DD022B"/>
    <w:rsid w:val="00DD13F6"/>
    <w:rsid w:val="00DD1E9A"/>
    <w:rsid w:val="00DD23F5"/>
    <w:rsid w:val="00DD40C6"/>
    <w:rsid w:val="00DE0E80"/>
    <w:rsid w:val="00DE4334"/>
    <w:rsid w:val="00DE602D"/>
    <w:rsid w:val="00DE660A"/>
    <w:rsid w:val="00DE7807"/>
    <w:rsid w:val="00DF021F"/>
    <w:rsid w:val="00DF0571"/>
    <w:rsid w:val="00DF146B"/>
    <w:rsid w:val="00DF21D4"/>
    <w:rsid w:val="00DF36AF"/>
    <w:rsid w:val="00DF44C3"/>
    <w:rsid w:val="00DF5313"/>
    <w:rsid w:val="00DF5744"/>
    <w:rsid w:val="00DF6070"/>
    <w:rsid w:val="00DF6889"/>
    <w:rsid w:val="00DF6E43"/>
    <w:rsid w:val="00E00516"/>
    <w:rsid w:val="00E0169A"/>
    <w:rsid w:val="00E01866"/>
    <w:rsid w:val="00E020BE"/>
    <w:rsid w:val="00E02743"/>
    <w:rsid w:val="00E029EE"/>
    <w:rsid w:val="00E03624"/>
    <w:rsid w:val="00E03DE4"/>
    <w:rsid w:val="00E057E0"/>
    <w:rsid w:val="00E05ACB"/>
    <w:rsid w:val="00E102DE"/>
    <w:rsid w:val="00E118C8"/>
    <w:rsid w:val="00E13873"/>
    <w:rsid w:val="00E13A40"/>
    <w:rsid w:val="00E1528E"/>
    <w:rsid w:val="00E153CC"/>
    <w:rsid w:val="00E1560A"/>
    <w:rsid w:val="00E162FA"/>
    <w:rsid w:val="00E168FA"/>
    <w:rsid w:val="00E211D7"/>
    <w:rsid w:val="00E22778"/>
    <w:rsid w:val="00E232B6"/>
    <w:rsid w:val="00E24438"/>
    <w:rsid w:val="00E25F28"/>
    <w:rsid w:val="00E26F90"/>
    <w:rsid w:val="00E312B2"/>
    <w:rsid w:val="00E32462"/>
    <w:rsid w:val="00E326C4"/>
    <w:rsid w:val="00E32A5E"/>
    <w:rsid w:val="00E32DEA"/>
    <w:rsid w:val="00E33968"/>
    <w:rsid w:val="00E34481"/>
    <w:rsid w:val="00E35006"/>
    <w:rsid w:val="00E352C5"/>
    <w:rsid w:val="00E40139"/>
    <w:rsid w:val="00E40274"/>
    <w:rsid w:val="00E407B9"/>
    <w:rsid w:val="00E41233"/>
    <w:rsid w:val="00E41BA5"/>
    <w:rsid w:val="00E41E22"/>
    <w:rsid w:val="00E44C40"/>
    <w:rsid w:val="00E44D60"/>
    <w:rsid w:val="00E4658E"/>
    <w:rsid w:val="00E46F96"/>
    <w:rsid w:val="00E51D3B"/>
    <w:rsid w:val="00E5228E"/>
    <w:rsid w:val="00E529A2"/>
    <w:rsid w:val="00E53130"/>
    <w:rsid w:val="00E5476A"/>
    <w:rsid w:val="00E55C62"/>
    <w:rsid w:val="00E578D9"/>
    <w:rsid w:val="00E57FE9"/>
    <w:rsid w:val="00E61B0F"/>
    <w:rsid w:val="00E61DE8"/>
    <w:rsid w:val="00E62A52"/>
    <w:rsid w:val="00E64E06"/>
    <w:rsid w:val="00E64FEE"/>
    <w:rsid w:val="00E6567D"/>
    <w:rsid w:val="00E65ACD"/>
    <w:rsid w:val="00E65D24"/>
    <w:rsid w:val="00E660E9"/>
    <w:rsid w:val="00E664BB"/>
    <w:rsid w:val="00E6722C"/>
    <w:rsid w:val="00E67813"/>
    <w:rsid w:val="00E70DBA"/>
    <w:rsid w:val="00E711CA"/>
    <w:rsid w:val="00E72C74"/>
    <w:rsid w:val="00E72C8A"/>
    <w:rsid w:val="00E74B40"/>
    <w:rsid w:val="00E75503"/>
    <w:rsid w:val="00E77E09"/>
    <w:rsid w:val="00E84120"/>
    <w:rsid w:val="00E847F4"/>
    <w:rsid w:val="00E85E39"/>
    <w:rsid w:val="00E87092"/>
    <w:rsid w:val="00E91AC2"/>
    <w:rsid w:val="00E92F8F"/>
    <w:rsid w:val="00E9604D"/>
    <w:rsid w:val="00E976D5"/>
    <w:rsid w:val="00EA060F"/>
    <w:rsid w:val="00EA0850"/>
    <w:rsid w:val="00EA097C"/>
    <w:rsid w:val="00EA20E8"/>
    <w:rsid w:val="00EA24B2"/>
    <w:rsid w:val="00EA2ECF"/>
    <w:rsid w:val="00EA3750"/>
    <w:rsid w:val="00EA43D3"/>
    <w:rsid w:val="00EA51F0"/>
    <w:rsid w:val="00EA5537"/>
    <w:rsid w:val="00EA5682"/>
    <w:rsid w:val="00EA5A21"/>
    <w:rsid w:val="00EA607C"/>
    <w:rsid w:val="00EA631B"/>
    <w:rsid w:val="00EA664B"/>
    <w:rsid w:val="00EA67E0"/>
    <w:rsid w:val="00EB155A"/>
    <w:rsid w:val="00EB2894"/>
    <w:rsid w:val="00EB34DA"/>
    <w:rsid w:val="00EB3B62"/>
    <w:rsid w:val="00EB51F0"/>
    <w:rsid w:val="00EB5327"/>
    <w:rsid w:val="00EB5978"/>
    <w:rsid w:val="00EB7A0A"/>
    <w:rsid w:val="00EB7BA2"/>
    <w:rsid w:val="00EC0676"/>
    <w:rsid w:val="00EC21E3"/>
    <w:rsid w:val="00EC2DBC"/>
    <w:rsid w:val="00EC49D5"/>
    <w:rsid w:val="00EC5E0B"/>
    <w:rsid w:val="00EC630C"/>
    <w:rsid w:val="00EC700B"/>
    <w:rsid w:val="00ED0BBC"/>
    <w:rsid w:val="00ED383D"/>
    <w:rsid w:val="00ED520D"/>
    <w:rsid w:val="00ED6A44"/>
    <w:rsid w:val="00ED6C9B"/>
    <w:rsid w:val="00ED7CB7"/>
    <w:rsid w:val="00EE1653"/>
    <w:rsid w:val="00EE1C9F"/>
    <w:rsid w:val="00EE3E61"/>
    <w:rsid w:val="00EE5E48"/>
    <w:rsid w:val="00EE61C6"/>
    <w:rsid w:val="00EE7D11"/>
    <w:rsid w:val="00EE7F91"/>
    <w:rsid w:val="00EF0F2B"/>
    <w:rsid w:val="00EF2299"/>
    <w:rsid w:val="00EF360A"/>
    <w:rsid w:val="00EF6C21"/>
    <w:rsid w:val="00F01092"/>
    <w:rsid w:val="00F01C09"/>
    <w:rsid w:val="00F01C49"/>
    <w:rsid w:val="00F03532"/>
    <w:rsid w:val="00F042AA"/>
    <w:rsid w:val="00F0561A"/>
    <w:rsid w:val="00F0615B"/>
    <w:rsid w:val="00F070C0"/>
    <w:rsid w:val="00F075F9"/>
    <w:rsid w:val="00F101E9"/>
    <w:rsid w:val="00F1247E"/>
    <w:rsid w:val="00F14204"/>
    <w:rsid w:val="00F147F0"/>
    <w:rsid w:val="00F16021"/>
    <w:rsid w:val="00F214FA"/>
    <w:rsid w:val="00F23D2F"/>
    <w:rsid w:val="00F23EBB"/>
    <w:rsid w:val="00F23F93"/>
    <w:rsid w:val="00F2484F"/>
    <w:rsid w:val="00F2487E"/>
    <w:rsid w:val="00F275AC"/>
    <w:rsid w:val="00F2763B"/>
    <w:rsid w:val="00F276B0"/>
    <w:rsid w:val="00F27971"/>
    <w:rsid w:val="00F31B5C"/>
    <w:rsid w:val="00F31FBD"/>
    <w:rsid w:val="00F321D8"/>
    <w:rsid w:val="00F32BF2"/>
    <w:rsid w:val="00F33E9D"/>
    <w:rsid w:val="00F35CBE"/>
    <w:rsid w:val="00F35EA9"/>
    <w:rsid w:val="00F361C7"/>
    <w:rsid w:val="00F36B2A"/>
    <w:rsid w:val="00F37CCC"/>
    <w:rsid w:val="00F4031D"/>
    <w:rsid w:val="00F40696"/>
    <w:rsid w:val="00F4090B"/>
    <w:rsid w:val="00F4330E"/>
    <w:rsid w:val="00F4794D"/>
    <w:rsid w:val="00F50B39"/>
    <w:rsid w:val="00F50B57"/>
    <w:rsid w:val="00F5377F"/>
    <w:rsid w:val="00F54A36"/>
    <w:rsid w:val="00F56098"/>
    <w:rsid w:val="00F568C1"/>
    <w:rsid w:val="00F617AC"/>
    <w:rsid w:val="00F62275"/>
    <w:rsid w:val="00F624B4"/>
    <w:rsid w:val="00F62EB3"/>
    <w:rsid w:val="00F6383E"/>
    <w:rsid w:val="00F6410F"/>
    <w:rsid w:val="00F64138"/>
    <w:rsid w:val="00F64314"/>
    <w:rsid w:val="00F646E1"/>
    <w:rsid w:val="00F64BEF"/>
    <w:rsid w:val="00F6583D"/>
    <w:rsid w:val="00F669AD"/>
    <w:rsid w:val="00F66A99"/>
    <w:rsid w:val="00F67B93"/>
    <w:rsid w:val="00F7444B"/>
    <w:rsid w:val="00F75378"/>
    <w:rsid w:val="00F7614B"/>
    <w:rsid w:val="00F7691B"/>
    <w:rsid w:val="00F76A35"/>
    <w:rsid w:val="00F773C2"/>
    <w:rsid w:val="00F8192F"/>
    <w:rsid w:val="00F82130"/>
    <w:rsid w:val="00F828F9"/>
    <w:rsid w:val="00F830FB"/>
    <w:rsid w:val="00F8473D"/>
    <w:rsid w:val="00F84AF8"/>
    <w:rsid w:val="00F84DE1"/>
    <w:rsid w:val="00F85C1C"/>
    <w:rsid w:val="00F8708F"/>
    <w:rsid w:val="00F9150E"/>
    <w:rsid w:val="00F92EDF"/>
    <w:rsid w:val="00F955EA"/>
    <w:rsid w:val="00F975D4"/>
    <w:rsid w:val="00F97A71"/>
    <w:rsid w:val="00FA1A23"/>
    <w:rsid w:val="00FA20AB"/>
    <w:rsid w:val="00FA24B2"/>
    <w:rsid w:val="00FA2D39"/>
    <w:rsid w:val="00FA349B"/>
    <w:rsid w:val="00FA4C86"/>
    <w:rsid w:val="00FB210D"/>
    <w:rsid w:val="00FB2366"/>
    <w:rsid w:val="00FB2376"/>
    <w:rsid w:val="00FB2D80"/>
    <w:rsid w:val="00FB4955"/>
    <w:rsid w:val="00FB4F2B"/>
    <w:rsid w:val="00FB5EF8"/>
    <w:rsid w:val="00FB72EC"/>
    <w:rsid w:val="00FC092A"/>
    <w:rsid w:val="00FC14A4"/>
    <w:rsid w:val="00FC1DAD"/>
    <w:rsid w:val="00FC2F91"/>
    <w:rsid w:val="00FC36E7"/>
    <w:rsid w:val="00FC3B01"/>
    <w:rsid w:val="00FC46A8"/>
    <w:rsid w:val="00FC480E"/>
    <w:rsid w:val="00FC49BC"/>
    <w:rsid w:val="00FC4C2C"/>
    <w:rsid w:val="00FC510D"/>
    <w:rsid w:val="00FC563D"/>
    <w:rsid w:val="00FC6D35"/>
    <w:rsid w:val="00FD21B5"/>
    <w:rsid w:val="00FD386E"/>
    <w:rsid w:val="00FD3961"/>
    <w:rsid w:val="00FD5D8C"/>
    <w:rsid w:val="00FD6638"/>
    <w:rsid w:val="00FD766D"/>
    <w:rsid w:val="00FD7AA7"/>
    <w:rsid w:val="00FE014C"/>
    <w:rsid w:val="00FE0341"/>
    <w:rsid w:val="00FE183C"/>
    <w:rsid w:val="00FE2E10"/>
    <w:rsid w:val="00FE3176"/>
    <w:rsid w:val="00FE37F4"/>
    <w:rsid w:val="00FE43DE"/>
    <w:rsid w:val="00FE55B9"/>
    <w:rsid w:val="00FE75E0"/>
    <w:rsid w:val="00FE7B31"/>
    <w:rsid w:val="00FF2E24"/>
    <w:rsid w:val="00FF36BE"/>
    <w:rsid w:val="00FF41BF"/>
    <w:rsid w:val="00FF478B"/>
    <w:rsid w:val="00FF6C0C"/>
    <w:rsid w:val="01927290"/>
    <w:rsid w:val="020B6A0C"/>
    <w:rsid w:val="070819FA"/>
    <w:rsid w:val="0B217EDD"/>
    <w:rsid w:val="0D1F4E0A"/>
    <w:rsid w:val="0DED226E"/>
    <w:rsid w:val="0F1457E2"/>
    <w:rsid w:val="10ED465C"/>
    <w:rsid w:val="136B0426"/>
    <w:rsid w:val="13B6146E"/>
    <w:rsid w:val="14D711C2"/>
    <w:rsid w:val="15AF5266"/>
    <w:rsid w:val="1731128D"/>
    <w:rsid w:val="178660A7"/>
    <w:rsid w:val="17ED4DBE"/>
    <w:rsid w:val="1EB56207"/>
    <w:rsid w:val="21581807"/>
    <w:rsid w:val="21806918"/>
    <w:rsid w:val="2B2D24D2"/>
    <w:rsid w:val="31157FBC"/>
    <w:rsid w:val="31E809B9"/>
    <w:rsid w:val="3346584E"/>
    <w:rsid w:val="33CB182D"/>
    <w:rsid w:val="3DF81AF5"/>
    <w:rsid w:val="3EF235E8"/>
    <w:rsid w:val="40280E1F"/>
    <w:rsid w:val="453D2B8D"/>
    <w:rsid w:val="4A5751EC"/>
    <w:rsid w:val="4B5A5705"/>
    <w:rsid w:val="4F3B4795"/>
    <w:rsid w:val="50637B1C"/>
    <w:rsid w:val="51CD7CE8"/>
    <w:rsid w:val="51F01D1F"/>
    <w:rsid w:val="52546EDE"/>
    <w:rsid w:val="52C7479A"/>
    <w:rsid w:val="56CD7366"/>
    <w:rsid w:val="56E67761"/>
    <w:rsid w:val="58714E8F"/>
    <w:rsid w:val="59AA5DB6"/>
    <w:rsid w:val="5BC32900"/>
    <w:rsid w:val="5FE232D4"/>
    <w:rsid w:val="5FE31F99"/>
    <w:rsid w:val="63B5196D"/>
    <w:rsid w:val="64AF0047"/>
    <w:rsid w:val="658430B5"/>
    <w:rsid w:val="68EB3A35"/>
    <w:rsid w:val="6C2369E8"/>
    <w:rsid w:val="7A2376A0"/>
    <w:rsid w:val="7DA6008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7650" fillcolor="white">
      <v:fill color="white"/>
    </o:shapedefaults>
    <o:shapelayout v:ext="edit">
      <o:idmap v:ext="edit" data="1"/>
      <o:rules v:ext="edit">
        <o:r id="V:Rule1" type="callout" idref="#_x0000_s1045"/>
        <o:r id="V:Rule2" type="callout" idref="#_x0000_s11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1"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index 1" w:uiPriority="0"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uiPriority="0" w:qFormat="1"/>
    <w:lsdException w:name="index 7" w:uiPriority="0" w:qFormat="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uiPriority="0" w:qFormat="1"/>
    <w:lsdException w:name="footnote text" w:semiHidden="1" w:unhideWhenUsed="1"/>
    <w:lsdException w:name="annotation text" w:uiPriority="0" w:unhideWhenUsed="1" w:qFormat="1"/>
    <w:lsdException w:name="header" w:uiPriority="0" w:unhideWhenUsed="1" w:qFormat="1"/>
    <w:lsdException w:name="footer" w:uiPriority="0" w:unhideWhenUsed="1" w:qFormat="1"/>
    <w:lsdException w:name="index heading" w:uiPriority="0" w:qFormat="1"/>
    <w:lsdException w:name="caption" w:uiPriority="0" w:qFormat="1"/>
    <w:lsdException w:name="table of figures" w:uiPriority="0" w:qFormat="1"/>
    <w:lsdException w:name="envelope address" w:semiHidden="1" w:unhideWhenUsed="1"/>
    <w:lsdException w:name="envelope return" w:semiHidden="1" w:unhideWhenUsed="1"/>
    <w:lsdException w:name="footnote reference" w:semiHidden="1" w:unhideWhenUsed="1"/>
    <w:lsdException w:name="annotation reference" w:uiPriority="0" w:unhideWhenUsed="1" w:qFormat="1"/>
    <w:lsdException w:name="line number" w:semiHidden="1" w:unhideWhenUsed="1"/>
    <w:lsdException w:name="page number" w:uiPriority="0"/>
    <w:lsdException w:name="endnote reference" w:semiHidden="1" w:unhideWhenUsed="1"/>
    <w:lsdException w:name="endnote text" w:semiHidden="1" w:unhideWhenUsed="1"/>
    <w:lsdException w:name="table of authorities" w:uiPriority="0" w:qFormat="1"/>
    <w:lsdException w:name="macro" w:semiHidden="1" w:unhideWhenUsed="1"/>
    <w:lsdException w:name="toa heading" w:uiPriority="0" w:qFormat="1"/>
    <w:lsdException w:name="List" w:uiPriority="0" w:qFormat="1"/>
    <w:lsdException w:name="List Bullet" w:semiHidden="1" w:unhideWhenUsed="1"/>
    <w:lsdException w:name="List Number" w:uiPriority="0" w:qFormat="1"/>
    <w:lsdException w:name="List 2" w:uiPriority="0" w:qFormat="1"/>
    <w:lsdException w:name="List 3" w:uiPriority="0" w:qFormat="1"/>
    <w:lsdException w:name="List 4" w:semiHidden="1" w:unhideWhenUsed="1"/>
    <w:lsdException w:name="List 5" w:semiHidden="1" w:unhideWhenUsed="1"/>
    <w:lsdException w:name="List Bullet 2" w:semiHidden="1" w:unhideWhenUsed="1"/>
    <w:lsdException w:name="List Bullet 3" w:uiPriority="0"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uiPriority="0"/>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nhideWhenUsed="1"/>
    <w:lsdException w:name="List Continue 2" w:uiPriority="0"/>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unhideWhenUsed="1" w:qFormat="1"/>
    <w:lsdException w:name="Body Text First Indent" w:uiPriority="0" w:qFormat="1"/>
    <w:lsdException w:name="Body Text First Indent 2" w:uiPriority="0"/>
    <w:lsdException w:name="Note Heading" w:uiPriority="0" w:qFormat="1"/>
    <w:lsdException w:name="Body Text 2" w:uiPriority="0" w:qFormat="1"/>
    <w:lsdException w:name="Body Text 3" w:uiPriority="0" w:qFormat="1"/>
    <w:lsdException w:name="Body Text Indent 2" w:uiPriority="0" w:unhideWhenUsed="1" w:qFormat="1"/>
    <w:lsdException w:name="Body Text Indent 3" w:uiPriority="0"/>
    <w:lsdException w:name="Block Text" w:uiPriority="0" w:qFormat="1"/>
    <w:lsdException w:name="Hyperlink" w:unhideWhenUsed="1" w:qFormat="1"/>
    <w:lsdException w:name="FollowedHyperlink" w:uiPriority="0" w:unhideWhenUsed="1" w:qFormat="1"/>
    <w:lsdException w:name="Strong" w:uiPriority="0" w:qFormat="1"/>
    <w:lsdException w:name="Emphasis" w:uiPriority="0" w:qFormat="1"/>
    <w:lsdException w:name="Document Map" w:uiPriority="0" w:unhideWhenUsed="1"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uiPriority="0"/>
    <w:lsdException w:name="HTML Code" w:semiHidden="1" w:unhideWhenUsed="1"/>
    <w:lsdException w:name="HTML Definition" w:uiPriority="0"/>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uiPriority="0" w:qFormat="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0" w:qFormat="1"/>
    <w:lsdException w:name="Table Theme" w:semiHidden="1" w:unhideWhenUsed="1"/>
    <w:lsdException w:name="Placeholder Text" w:semiHidden="1" w:qFormat="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0" w:qFormat="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uiPriority w:val="1"/>
    <w:qFormat/>
    <w:rsid w:val="00BD5820"/>
    <w:pPr>
      <w:widowControl w:val="0"/>
      <w:topLinePunct/>
      <w:adjustRightInd w:val="0"/>
      <w:spacing w:line="360" w:lineRule="auto"/>
      <w:ind w:firstLineChars="200" w:firstLine="200"/>
      <w:jc w:val="both"/>
    </w:pPr>
    <w:rPr>
      <w:rFonts w:ascii="宋体" w:cs="宋体"/>
      <w:sz w:val="24"/>
      <w:szCs w:val="24"/>
    </w:rPr>
  </w:style>
  <w:style w:type="paragraph" w:styleId="1">
    <w:name w:val="heading 1"/>
    <w:basedOn w:val="a0"/>
    <w:next w:val="a0"/>
    <w:link w:val="1Char"/>
    <w:qFormat/>
    <w:rsid w:val="00BD5820"/>
    <w:pPr>
      <w:keepNext/>
      <w:keepLines/>
      <w:spacing w:before="100" w:beforeAutospacing="1" w:after="100" w:afterAutospacing="1"/>
      <w:ind w:firstLineChars="0" w:firstLine="0"/>
      <w:jc w:val="left"/>
      <w:outlineLvl w:val="0"/>
    </w:pPr>
    <w:rPr>
      <w:rFonts w:ascii="Times New Roman" w:eastAsia="Times New Roman" w:cs="Times New Roman"/>
      <w:b/>
      <w:kern w:val="44"/>
      <w:sz w:val="32"/>
      <w:szCs w:val="44"/>
    </w:rPr>
  </w:style>
  <w:style w:type="paragraph" w:styleId="2">
    <w:name w:val="heading 2"/>
    <w:basedOn w:val="a0"/>
    <w:next w:val="a0"/>
    <w:link w:val="2Char1"/>
    <w:qFormat/>
    <w:rsid w:val="00BD5820"/>
    <w:pPr>
      <w:keepNext/>
      <w:keepLines/>
      <w:spacing w:before="240"/>
      <w:ind w:firstLineChars="0" w:firstLine="0"/>
      <w:outlineLvl w:val="1"/>
    </w:pPr>
    <w:rPr>
      <w:rFonts w:ascii="Times New Roman"/>
      <w:b/>
      <w:bCs/>
      <w:sz w:val="28"/>
      <w:szCs w:val="32"/>
    </w:rPr>
  </w:style>
  <w:style w:type="paragraph" w:styleId="3">
    <w:name w:val="heading 3"/>
    <w:basedOn w:val="a0"/>
    <w:next w:val="a0"/>
    <w:link w:val="3Char3"/>
    <w:qFormat/>
    <w:rsid w:val="00BD5820"/>
    <w:pPr>
      <w:keepNext/>
      <w:keepLines/>
      <w:ind w:firstLineChars="0" w:firstLine="0"/>
      <w:outlineLvl w:val="2"/>
    </w:pPr>
    <w:rPr>
      <w:rFonts w:ascii="Times New Roman" w:eastAsia="Times New Roman" w:cs="Times New Roman"/>
      <w:b/>
      <w:szCs w:val="32"/>
    </w:rPr>
  </w:style>
  <w:style w:type="paragraph" w:styleId="4">
    <w:name w:val="heading 4"/>
    <w:basedOn w:val="a1"/>
    <w:next w:val="a0"/>
    <w:link w:val="4Char"/>
    <w:qFormat/>
    <w:rsid w:val="00BD5820"/>
    <w:pPr>
      <w:widowControl/>
      <w:topLinePunct w:val="0"/>
      <w:snapToGrid w:val="0"/>
      <w:spacing w:beforeLines="50" w:line="240" w:lineRule="auto"/>
      <w:ind w:firstLineChars="0" w:firstLine="600"/>
      <w:jc w:val="left"/>
      <w:outlineLvl w:val="3"/>
    </w:pPr>
    <w:rPr>
      <w:rFonts w:ascii="Arial" w:hAnsi="Arial" w:cs="Times New Roman"/>
      <w:kern w:val="2"/>
      <w:sz w:val="28"/>
      <w:szCs w:val="21"/>
    </w:rPr>
  </w:style>
  <w:style w:type="paragraph" w:styleId="5">
    <w:name w:val="heading 5"/>
    <w:basedOn w:val="a1"/>
    <w:next w:val="a0"/>
    <w:link w:val="5Char"/>
    <w:qFormat/>
    <w:rsid w:val="00BD5820"/>
    <w:pPr>
      <w:widowControl/>
      <w:topLinePunct w:val="0"/>
      <w:snapToGrid w:val="0"/>
      <w:spacing w:beforeLines="50"/>
      <w:ind w:left="600" w:firstLineChars="0" w:firstLine="600"/>
      <w:jc w:val="left"/>
      <w:outlineLvl w:val="4"/>
    </w:pPr>
    <w:rPr>
      <w:rFonts w:ascii="Arial" w:hAnsi="Arial" w:cs="Times New Roman"/>
      <w:bCs/>
      <w:kern w:val="2"/>
      <w:sz w:val="28"/>
      <w:szCs w:val="28"/>
    </w:rPr>
  </w:style>
  <w:style w:type="paragraph" w:styleId="6">
    <w:name w:val="heading 6"/>
    <w:basedOn w:val="a1"/>
    <w:next w:val="a0"/>
    <w:link w:val="6Char"/>
    <w:uiPriority w:val="9"/>
    <w:qFormat/>
    <w:rsid w:val="00BD5820"/>
    <w:pPr>
      <w:topLinePunct w:val="0"/>
      <w:snapToGrid w:val="0"/>
      <w:ind w:left="1075" w:firstLineChars="0" w:hanging="507"/>
      <w:jc w:val="left"/>
      <w:outlineLvl w:val="5"/>
    </w:pPr>
    <w:rPr>
      <w:rFonts w:ascii="Arial" w:hAnsi="Arial" w:cs="Times New Roman"/>
      <w:bCs/>
      <w:kern w:val="2"/>
      <w:sz w:val="28"/>
    </w:rPr>
  </w:style>
  <w:style w:type="paragraph" w:styleId="7">
    <w:name w:val="heading 7"/>
    <w:basedOn w:val="a0"/>
    <w:next w:val="a0"/>
    <w:link w:val="7Char"/>
    <w:qFormat/>
    <w:rsid w:val="00BD5820"/>
    <w:pPr>
      <w:topLinePunct w:val="0"/>
      <w:snapToGrid w:val="0"/>
      <w:ind w:left="1103" w:firstLineChars="0" w:firstLine="499"/>
      <w:outlineLvl w:val="6"/>
    </w:pPr>
    <w:rPr>
      <w:rFonts w:ascii="Times New Roman" w:cs="Times New Roman"/>
      <w:bCs/>
      <w:kern w:val="2"/>
    </w:rPr>
  </w:style>
  <w:style w:type="paragraph" w:styleId="8">
    <w:name w:val="heading 8"/>
    <w:basedOn w:val="a1"/>
    <w:next w:val="a0"/>
    <w:link w:val="8Char"/>
    <w:qFormat/>
    <w:rsid w:val="00BD5820"/>
    <w:pPr>
      <w:widowControl/>
      <w:topLinePunct w:val="0"/>
      <w:snapToGrid w:val="0"/>
      <w:ind w:left="1103" w:firstLineChars="0" w:firstLine="500"/>
      <w:jc w:val="left"/>
      <w:outlineLvl w:val="7"/>
    </w:pPr>
    <w:rPr>
      <w:rFonts w:ascii="Arial" w:hAnsi="Arial" w:cs="Times New Roman"/>
      <w:kern w:val="2"/>
    </w:rPr>
  </w:style>
  <w:style w:type="paragraph" w:styleId="9">
    <w:name w:val="heading 9"/>
    <w:basedOn w:val="a1"/>
    <w:next w:val="a0"/>
    <w:link w:val="9Char"/>
    <w:qFormat/>
    <w:rsid w:val="00BD5820"/>
    <w:pPr>
      <w:keepNext/>
      <w:keepLines/>
      <w:widowControl/>
      <w:topLinePunct w:val="0"/>
      <w:snapToGrid w:val="0"/>
      <w:ind w:left="419" w:firstLineChars="0" w:firstLine="500"/>
      <w:jc w:val="left"/>
      <w:outlineLvl w:val="8"/>
    </w:pPr>
    <w:rPr>
      <w:rFonts w:ascii="Arial" w:hAnsi="Arial" w:cs="Times New Roman"/>
      <w:kern w:val="2"/>
      <w:szCs w:val="21"/>
    </w:rPr>
  </w:style>
  <w:style w:type="character" w:default="1" w:styleId="a2">
    <w:name w:val="Default Paragraph Font"/>
    <w:uiPriority w:val="1"/>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link w:val="Char"/>
    <w:unhideWhenUsed/>
    <w:qFormat/>
    <w:rsid w:val="00BD5820"/>
  </w:style>
  <w:style w:type="paragraph" w:styleId="30">
    <w:name w:val="List 3"/>
    <w:basedOn w:val="a0"/>
    <w:next w:val="a0"/>
    <w:qFormat/>
    <w:rsid w:val="00BD5820"/>
    <w:pPr>
      <w:topLinePunct w:val="0"/>
      <w:autoSpaceDE w:val="0"/>
      <w:autoSpaceDN w:val="0"/>
      <w:spacing w:line="288" w:lineRule="auto"/>
      <w:ind w:left="1260" w:firstLineChars="0" w:hanging="420"/>
      <w:textAlignment w:val="baseline"/>
    </w:pPr>
    <w:rPr>
      <w:rFonts w:ascii="Calibri" w:eastAsia="仿宋" w:hAnsi="Calibri"/>
      <w:kern w:val="2"/>
      <w:sz w:val="21"/>
      <w:szCs w:val="20"/>
    </w:rPr>
  </w:style>
  <w:style w:type="paragraph" w:styleId="70">
    <w:name w:val="toc 7"/>
    <w:basedOn w:val="a0"/>
    <w:next w:val="a0"/>
    <w:uiPriority w:val="39"/>
    <w:unhideWhenUsed/>
    <w:qFormat/>
    <w:rsid w:val="00BD5820"/>
    <w:pPr>
      <w:topLinePunct w:val="0"/>
      <w:adjustRightInd/>
      <w:spacing w:line="240" w:lineRule="auto"/>
      <w:ind w:leftChars="1200" w:left="2520" w:firstLineChars="0" w:firstLine="0"/>
    </w:pPr>
    <w:rPr>
      <w:rFonts w:ascii="Calibri" w:hAnsi="Calibri" w:cs="Times New Roman"/>
      <w:kern w:val="2"/>
      <w:sz w:val="21"/>
      <w:szCs w:val="22"/>
    </w:rPr>
  </w:style>
  <w:style w:type="paragraph" w:styleId="a5">
    <w:name w:val="table of authorities"/>
    <w:basedOn w:val="a0"/>
    <w:next w:val="a0"/>
    <w:qFormat/>
    <w:rsid w:val="00BD5820"/>
    <w:pPr>
      <w:topLinePunct w:val="0"/>
      <w:adjustRightInd/>
      <w:spacing w:line="240" w:lineRule="auto"/>
      <w:ind w:leftChars="200" w:left="420" w:firstLineChars="0" w:firstLine="0"/>
    </w:pPr>
    <w:rPr>
      <w:rFonts w:ascii="Times New Roman" w:cs="Times New Roman"/>
      <w:kern w:val="2"/>
      <w:sz w:val="21"/>
      <w:szCs w:val="20"/>
    </w:rPr>
  </w:style>
  <w:style w:type="paragraph" w:styleId="a6">
    <w:name w:val="Note Heading"/>
    <w:basedOn w:val="a0"/>
    <w:next w:val="a0"/>
    <w:link w:val="Char0"/>
    <w:qFormat/>
    <w:rsid w:val="00BD5820"/>
    <w:pPr>
      <w:topLinePunct w:val="0"/>
      <w:adjustRightInd/>
      <w:jc w:val="center"/>
    </w:pPr>
    <w:rPr>
      <w:rFonts w:ascii="Calibri" w:hAnsi="Calibri" w:cs="Times New Roman"/>
      <w:sz w:val="20"/>
    </w:rPr>
  </w:style>
  <w:style w:type="paragraph" w:styleId="a7">
    <w:name w:val="List Number"/>
    <w:basedOn w:val="a0"/>
    <w:link w:val="Char1"/>
    <w:qFormat/>
    <w:rsid w:val="00BD5820"/>
    <w:pPr>
      <w:tabs>
        <w:tab w:val="left" w:pos="1280"/>
      </w:tabs>
      <w:topLinePunct w:val="0"/>
      <w:adjustRightInd/>
      <w:spacing w:line="240" w:lineRule="auto"/>
      <w:ind w:left="1280" w:firstLineChars="0" w:hanging="720"/>
    </w:pPr>
    <w:rPr>
      <w:rFonts w:ascii="Calibri" w:hAnsi="Calibri" w:cs="Times New Roman"/>
      <w:sz w:val="20"/>
      <w:szCs w:val="20"/>
    </w:rPr>
  </w:style>
  <w:style w:type="paragraph" w:styleId="a8">
    <w:name w:val="Normal Indent"/>
    <w:basedOn w:val="a0"/>
    <w:link w:val="Char2"/>
    <w:qFormat/>
    <w:rsid w:val="00BD5820"/>
    <w:pPr>
      <w:topLinePunct w:val="0"/>
      <w:adjustRightInd/>
      <w:spacing w:line="240" w:lineRule="auto"/>
      <w:ind w:firstLine="420"/>
    </w:pPr>
    <w:rPr>
      <w:rFonts w:ascii="Calibri" w:hAnsi="Calibri" w:cs="Times New Roman"/>
      <w:sz w:val="20"/>
      <w:szCs w:val="20"/>
    </w:rPr>
  </w:style>
  <w:style w:type="paragraph" w:styleId="a9">
    <w:name w:val="caption"/>
    <w:basedOn w:val="a0"/>
    <w:next w:val="a0"/>
    <w:link w:val="Char3"/>
    <w:qFormat/>
    <w:rsid w:val="00BD5820"/>
    <w:rPr>
      <w:rFonts w:ascii="Cambria" w:eastAsia="黑体" w:hAnsi="Cambria" w:cs="Times New Roman"/>
      <w:sz w:val="20"/>
      <w:szCs w:val="20"/>
    </w:rPr>
  </w:style>
  <w:style w:type="paragraph" w:styleId="aa">
    <w:name w:val="Document Map"/>
    <w:basedOn w:val="a0"/>
    <w:link w:val="Char4"/>
    <w:unhideWhenUsed/>
    <w:qFormat/>
    <w:rsid w:val="00BD5820"/>
    <w:rPr>
      <w:sz w:val="18"/>
      <w:szCs w:val="18"/>
    </w:rPr>
  </w:style>
  <w:style w:type="paragraph" w:styleId="ab">
    <w:name w:val="toa heading"/>
    <w:basedOn w:val="a0"/>
    <w:next w:val="a0"/>
    <w:qFormat/>
    <w:rsid w:val="00BD5820"/>
    <w:pPr>
      <w:topLinePunct w:val="0"/>
      <w:adjustRightInd/>
      <w:spacing w:before="120" w:line="240" w:lineRule="auto"/>
      <w:ind w:firstLineChars="0" w:firstLine="0"/>
    </w:pPr>
    <w:rPr>
      <w:rFonts w:ascii="Arial" w:hAnsi="Arial" w:cs="Arial"/>
      <w:kern w:val="2"/>
    </w:rPr>
  </w:style>
  <w:style w:type="paragraph" w:styleId="ac">
    <w:name w:val="annotation text"/>
    <w:basedOn w:val="a0"/>
    <w:link w:val="Char20"/>
    <w:unhideWhenUsed/>
    <w:qFormat/>
    <w:rsid w:val="00BD5820"/>
    <w:pPr>
      <w:jc w:val="left"/>
    </w:pPr>
  </w:style>
  <w:style w:type="paragraph" w:styleId="60">
    <w:name w:val="index 6"/>
    <w:basedOn w:val="a0"/>
    <w:next w:val="a0"/>
    <w:qFormat/>
    <w:rsid w:val="00BD5820"/>
    <w:pPr>
      <w:topLinePunct w:val="0"/>
      <w:adjustRightInd/>
      <w:spacing w:line="240" w:lineRule="auto"/>
      <w:ind w:leftChars="1000" w:left="1000" w:firstLineChars="0" w:firstLine="0"/>
    </w:pPr>
    <w:rPr>
      <w:rFonts w:ascii="Times New Roman" w:cs="Times New Roman"/>
      <w:kern w:val="2"/>
      <w:sz w:val="21"/>
      <w:szCs w:val="20"/>
    </w:rPr>
  </w:style>
  <w:style w:type="paragraph" w:styleId="31">
    <w:name w:val="Body Text 3"/>
    <w:basedOn w:val="a0"/>
    <w:link w:val="3Char"/>
    <w:qFormat/>
    <w:rsid w:val="00BD5820"/>
    <w:pPr>
      <w:topLinePunct w:val="0"/>
      <w:adjustRightInd/>
      <w:spacing w:after="120" w:line="240" w:lineRule="auto"/>
      <w:ind w:firstLineChars="0" w:firstLine="0"/>
    </w:pPr>
    <w:rPr>
      <w:rFonts w:ascii="Calibri" w:hAnsi="Calibri" w:cs="Times New Roman"/>
      <w:sz w:val="16"/>
      <w:szCs w:val="16"/>
    </w:rPr>
  </w:style>
  <w:style w:type="paragraph" w:styleId="32">
    <w:name w:val="List Bullet 3"/>
    <w:basedOn w:val="a0"/>
    <w:qFormat/>
    <w:rsid w:val="00BD5820"/>
    <w:pPr>
      <w:tabs>
        <w:tab w:val="left" w:pos="1280"/>
      </w:tabs>
      <w:topLinePunct w:val="0"/>
      <w:adjustRightInd/>
      <w:spacing w:line="240" w:lineRule="auto"/>
      <w:ind w:left="1280" w:firstLineChars="0" w:hanging="720"/>
    </w:pPr>
    <w:rPr>
      <w:rFonts w:ascii="Times New Roman" w:cs="Times New Roman"/>
      <w:kern w:val="2"/>
      <w:sz w:val="21"/>
      <w:szCs w:val="20"/>
    </w:rPr>
  </w:style>
  <w:style w:type="paragraph" w:styleId="ad">
    <w:name w:val="Body Text Indent"/>
    <w:basedOn w:val="a0"/>
    <w:link w:val="Char5"/>
    <w:unhideWhenUsed/>
    <w:qFormat/>
    <w:rsid w:val="00BD5820"/>
    <w:pPr>
      <w:topLinePunct w:val="0"/>
      <w:adjustRightInd/>
      <w:spacing w:after="120" w:line="240" w:lineRule="auto"/>
      <w:ind w:leftChars="200" w:left="420" w:firstLineChars="0" w:firstLine="0"/>
    </w:pPr>
    <w:rPr>
      <w:rFonts w:ascii="Times New Roman" w:cs="Times New Roman"/>
      <w:kern w:val="2"/>
      <w:sz w:val="21"/>
    </w:rPr>
  </w:style>
  <w:style w:type="paragraph" w:styleId="20">
    <w:name w:val="List 2"/>
    <w:basedOn w:val="a0"/>
    <w:qFormat/>
    <w:rsid w:val="00BD5820"/>
    <w:pPr>
      <w:topLinePunct w:val="0"/>
      <w:adjustRightInd/>
      <w:spacing w:line="240" w:lineRule="auto"/>
      <w:ind w:left="840" w:firstLineChars="0" w:hanging="420"/>
    </w:pPr>
    <w:rPr>
      <w:rFonts w:ascii="Times New Roman" w:cs="Times New Roman"/>
      <w:kern w:val="2"/>
      <w:sz w:val="21"/>
      <w:szCs w:val="20"/>
    </w:rPr>
  </w:style>
  <w:style w:type="paragraph" w:styleId="ae">
    <w:name w:val="Block Text"/>
    <w:basedOn w:val="a0"/>
    <w:qFormat/>
    <w:rsid w:val="00BD5820"/>
    <w:pPr>
      <w:topLinePunct w:val="0"/>
      <w:adjustRightInd/>
      <w:spacing w:line="240" w:lineRule="auto"/>
      <w:ind w:leftChars="50" w:left="105" w:right="284" w:firstLine="560"/>
    </w:pPr>
    <w:rPr>
      <w:rFonts w:ascii="Arial" w:eastAsia="仿宋_GB2312" w:hAnsi="Arial" w:cs="Arial"/>
      <w:kern w:val="2"/>
      <w:sz w:val="28"/>
    </w:rPr>
  </w:style>
  <w:style w:type="paragraph" w:styleId="50">
    <w:name w:val="toc 5"/>
    <w:basedOn w:val="a0"/>
    <w:next w:val="a0"/>
    <w:uiPriority w:val="39"/>
    <w:unhideWhenUsed/>
    <w:qFormat/>
    <w:rsid w:val="00BD5820"/>
    <w:pPr>
      <w:topLinePunct w:val="0"/>
      <w:adjustRightInd/>
      <w:spacing w:line="240" w:lineRule="auto"/>
      <w:ind w:leftChars="800" w:left="1680" w:firstLineChars="0" w:firstLine="0"/>
    </w:pPr>
    <w:rPr>
      <w:rFonts w:ascii="Calibri" w:hAnsi="Calibri" w:cs="Times New Roman"/>
      <w:kern w:val="2"/>
      <w:sz w:val="21"/>
      <w:szCs w:val="22"/>
    </w:rPr>
  </w:style>
  <w:style w:type="paragraph" w:styleId="33">
    <w:name w:val="toc 3"/>
    <w:basedOn w:val="a0"/>
    <w:next w:val="a0"/>
    <w:uiPriority w:val="39"/>
    <w:unhideWhenUsed/>
    <w:qFormat/>
    <w:rsid w:val="00BD5820"/>
    <w:pPr>
      <w:ind w:leftChars="400" w:left="840"/>
    </w:pPr>
  </w:style>
  <w:style w:type="paragraph" w:styleId="af">
    <w:name w:val="Plain Text"/>
    <w:basedOn w:val="a0"/>
    <w:link w:val="Char6"/>
    <w:qFormat/>
    <w:rsid w:val="00BD5820"/>
    <w:pPr>
      <w:topLinePunct w:val="0"/>
      <w:adjustRightInd/>
      <w:spacing w:line="240" w:lineRule="auto"/>
      <w:ind w:firstLineChars="0" w:firstLine="0"/>
    </w:pPr>
    <w:rPr>
      <w:rFonts w:hAnsi="Courier New" w:cs="Times New Roman"/>
      <w:sz w:val="20"/>
      <w:szCs w:val="21"/>
    </w:rPr>
  </w:style>
  <w:style w:type="paragraph" w:styleId="80">
    <w:name w:val="toc 8"/>
    <w:basedOn w:val="a0"/>
    <w:next w:val="a0"/>
    <w:uiPriority w:val="39"/>
    <w:unhideWhenUsed/>
    <w:qFormat/>
    <w:rsid w:val="00BD5820"/>
    <w:pPr>
      <w:topLinePunct w:val="0"/>
      <w:adjustRightInd/>
      <w:spacing w:line="240" w:lineRule="auto"/>
      <w:ind w:leftChars="1400" w:left="2940" w:firstLineChars="0" w:firstLine="0"/>
    </w:pPr>
    <w:rPr>
      <w:rFonts w:ascii="Calibri" w:hAnsi="Calibri" w:cs="Times New Roman"/>
      <w:kern w:val="2"/>
      <w:sz w:val="21"/>
      <w:szCs w:val="22"/>
    </w:rPr>
  </w:style>
  <w:style w:type="paragraph" w:styleId="af0">
    <w:name w:val="Date"/>
    <w:basedOn w:val="a0"/>
    <w:next w:val="a0"/>
    <w:link w:val="Char7"/>
    <w:unhideWhenUsed/>
    <w:qFormat/>
    <w:rsid w:val="00BD5820"/>
    <w:pPr>
      <w:ind w:leftChars="2500" w:left="100"/>
    </w:pPr>
  </w:style>
  <w:style w:type="paragraph" w:styleId="21">
    <w:name w:val="Body Text Indent 2"/>
    <w:basedOn w:val="a0"/>
    <w:link w:val="2Char"/>
    <w:unhideWhenUsed/>
    <w:qFormat/>
    <w:rsid w:val="00BD5820"/>
    <w:pPr>
      <w:spacing w:after="120" w:line="480" w:lineRule="auto"/>
      <w:ind w:leftChars="200" w:left="420"/>
    </w:pPr>
  </w:style>
  <w:style w:type="paragraph" w:styleId="af1">
    <w:name w:val="Balloon Text"/>
    <w:basedOn w:val="a0"/>
    <w:link w:val="Char8"/>
    <w:unhideWhenUsed/>
    <w:qFormat/>
    <w:rsid w:val="00BD5820"/>
    <w:rPr>
      <w:sz w:val="18"/>
      <w:szCs w:val="18"/>
    </w:rPr>
  </w:style>
  <w:style w:type="paragraph" w:styleId="af2">
    <w:name w:val="footer"/>
    <w:basedOn w:val="a0"/>
    <w:link w:val="Char9"/>
    <w:unhideWhenUsed/>
    <w:qFormat/>
    <w:rsid w:val="00BD5820"/>
    <w:pPr>
      <w:tabs>
        <w:tab w:val="center" w:pos="4153"/>
        <w:tab w:val="right" w:pos="8306"/>
      </w:tabs>
      <w:snapToGrid w:val="0"/>
      <w:spacing w:line="240" w:lineRule="auto"/>
      <w:ind w:firstLineChars="0" w:firstLine="0"/>
      <w:jc w:val="center"/>
    </w:pPr>
    <w:rPr>
      <w:rFonts w:eastAsia="Times New Roman"/>
      <w:sz w:val="18"/>
      <w:szCs w:val="18"/>
    </w:rPr>
  </w:style>
  <w:style w:type="paragraph" w:styleId="af3">
    <w:name w:val="header"/>
    <w:basedOn w:val="a0"/>
    <w:link w:val="Chara"/>
    <w:unhideWhenUsed/>
    <w:qFormat/>
    <w:rsid w:val="00BD5820"/>
    <w:pPr>
      <w:pBdr>
        <w:bottom w:val="single" w:sz="6" w:space="1" w:color="auto"/>
      </w:pBdr>
      <w:tabs>
        <w:tab w:val="center" w:pos="4153"/>
        <w:tab w:val="right" w:pos="8306"/>
      </w:tabs>
      <w:snapToGrid w:val="0"/>
      <w:spacing w:line="240" w:lineRule="auto"/>
      <w:jc w:val="center"/>
    </w:pPr>
    <w:rPr>
      <w:sz w:val="18"/>
      <w:szCs w:val="18"/>
    </w:rPr>
  </w:style>
  <w:style w:type="paragraph" w:styleId="10">
    <w:name w:val="toc 1"/>
    <w:basedOn w:val="a0"/>
    <w:next w:val="a0"/>
    <w:uiPriority w:val="39"/>
    <w:unhideWhenUsed/>
    <w:qFormat/>
    <w:rsid w:val="00BD5820"/>
    <w:pPr>
      <w:ind w:firstLineChars="0" w:firstLine="0"/>
      <w:jc w:val="center"/>
    </w:pPr>
    <w:rPr>
      <w:rFonts w:ascii="Times New Roman"/>
      <w:b/>
      <w:sz w:val="21"/>
    </w:rPr>
  </w:style>
  <w:style w:type="paragraph" w:styleId="40">
    <w:name w:val="toc 4"/>
    <w:basedOn w:val="a0"/>
    <w:next w:val="a0"/>
    <w:uiPriority w:val="39"/>
    <w:unhideWhenUsed/>
    <w:qFormat/>
    <w:rsid w:val="00BD5820"/>
    <w:pPr>
      <w:topLinePunct w:val="0"/>
      <w:adjustRightInd/>
      <w:spacing w:line="240" w:lineRule="auto"/>
      <w:ind w:leftChars="600" w:left="1260" w:firstLineChars="0" w:firstLine="0"/>
    </w:pPr>
    <w:rPr>
      <w:rFonts w:ascii="Calibri" w:hAnsi="Calibri" w:cs="Times New Roman"/>
      <w:kern w:val="2"/>
      <w:sz w:val="21"/>
      <w:szCs w:val="22"/>
    </w:rPr>
  </w:style>
  <w:style w:type="paragraph" w:styleId="af4">
    <w:name w:val="index heading"/>
    <w:basedOn w:val="a0"/>
    <w:next w:val="11"/>
    <w:qFormat/>
    <w:rsid w:val="00BD5820"/>
    <w:pPr>
      <w:topLinePunct w:val="0"/>
      <w:adjustRightInd/>
      <w:spacing w:line="240" w:lineRule="auto"/>
      <w:ind w:firstLineChars="0" w:firstLine="0"/>
    </w:pPr>
    <w:rPr>
      <w:rFonts w:ascii="Times New Roman" w:eastAsia="仿宋_GB2312" w:cs="Times New Roman"/>
      <w:kern w:val="2"/>
      <w:sz w:val="28"/>
      <w:szCs w:val="20"/>
    </w:rPr>
  </w:style>
  <w:style w:type="paragraph" w:styleId="11">
    <w:name w:val="index 1"/>
    <w:basedOn w:val="a0"/>
    <w:next w:val="a0"/>
    <w:unhideWhenUsed/>
    <w:qFormat/>
    <w:rsid w:val="00BD5820"/>
    <w:pPr>
      <w:topLinePunct w:val="0"/>
      <w:adjustRightInd/>
      <w:spacing w:line="240" w:lineRule="auto"/>
      <w:ind w:firstLineChars="0" w:firstLine="0"/>
    </w:pPr>
    <w:rPr>
      <w:rFonts w:ascii="Times New Roman" w:cs="Times New Roman"/>
      <w:kern w:val="2"/>
      <w:sz w:val="21"/>
    </w:rPr>
  </w:style>
  <w:style w:type="paragraph" w:styleId="51">
    <w:name w:val="List Number 5"/>
    <w:basedOn w:val="a0"/>
    <w:rsid w:val="00BD5820"/>
    <w:pPr>
      <w:tabs>
        <w:tab w:val="left" w:pos="2040"/>
      </w:tabs>
      <w:topLinePunct w:val="0"/>
      <w:adjustRightInd/>
      <w:spacing w:line="240" w:lineRule="auto"/>
      <w:ind w:left="840" w:firstLineChars="0" w:firstLine="0"/>
    </w:pPr>
    <w:rPr>
      <w:rFonts w:ascii="Times New Roman" w:cs="Times New Roman"/>
      <w:kern w:val="2"/>
      <w:sz w:val="21"/>
    </w:rPr>
  </w:style>
  <w:style w:type="paragraph" w:styleId="af5">
    <w:name w:val="List"/>
    <w:basedOn w:val="a0"/>
    <w:qFormat/>
    <w:rsid w:val="00BD5820"/>
    <w:pPr>
      <w:topLinePunct w:val="0"/>
      <w:adjustRightInd/>
      <w:spacing w:line="240" w:lineRule="auto"/>
      <w:ind w:left="200" w:hangingChars="200" w:hanging="200"/>
    </w:pPr>
    <w:rPr>
      <w:rFonts w:ascii="Times New Roman" w:cs="Times New Roman"/>
      <w:kern w:val="2"/>
      <w:sz w:val="21"/>
      <w:szCs w:val="20"/>
    </w:rPr>
  </w:style>
  <w:style w:type="paragraph" w:styleId="61">
    <w:name w:val="toc 6"/>
    <w:basedOn w:val="a0"/>
    <w:next w:val="a0"/>
    <w:uiPriority w:val="39"/>
    <w:unhideWhenUsed/>
    <w:qFormat/>
    <w:rsid w:val="00BD5820"/>
    <w:pPr>
      <w:topLinePunct w:val="0"/>
      <w:adjustRightInd/>
      <w:spacing w:line="240" w:lineRule="auto"/>
      <w:ind w:leftChars="1000" w:left="2100" w:firstLineChars="0" w:firstLine="0"/>
    </w:pPr>
    <w:rPr>
      <w:rFonts w:ascii="Calibri" w:hAnsi="Calibri" w:cs="Times New Roman"/>
      <w:kern w:val="2"/>
      <w:sz w:val="21"/>
      <w:szCs w:val="22"/>
    </w:rPr>
  </w:style>
  <w:style w:type="paragraph" w:styleId="34">
    <w:name w:val="Body Text Indent 3"/>
    <w:basedOn w:val="a0"/>
    <w:link w:val="3Char0"/>
    <w:rsid w:val="00BD5820"/>
    <w:pPr>
      <w:topLinePunct w:val="0"/>
      <w:adjustRightInd/>
      <w:spacing w:after="120" w:line="240" w:lineRule="auto"/>
      <w:ind w:leftChars="200" w:left="420" w:firstLineChars="0" w:firstLine="0"/>
    </w:pPr>
    <w:rPr>
      <w:rFonts w:ascii="Calibri" w:hAnsi="Calibri" w:cs="Times New Roman"/>
      <w:sz w:val="16"/>
      <w:szCs w:val="16"/>
    </w:rPr>
  </w:style>
  <w:style w:type="paragraph" w:styleId="71">
    <w:name w:val="index 7"/>
    <w:basedOn w:val="a0"/>
    <w:next w:val="a0"/>
    <w:qFormat/>
    <w:rsid w:val="00BD5820"/>
    <w:pPr>
      <w:topLinePunct w:val="0"/>
      <w:adjustRightInd/>
      <w:spacing w:line="240" w:lineRule="auto"/>
      <w:ind w:leftChars="1200" w:left="1200" w:firstLineChars="0" w:firstLine="0"/>
    </w:pPr>
    <w:rPr>
      <w:rFonts w:ascii="Times New Roman" w:cs="Times New Roman"/>
      <w:kern w:val="2"/>
      <w:sz w:val="21"/>
      <w:szCs w:val="20"/>
    </w:rPr>
  </w:style>
  <w:style w:type="paragraph" w:styleId="af6">
    <w:name w:val="table of figures"/>
    <w:basedOn w:val="a0"/>
    <w:next w:val="a0"/>
    <w:qFormat/>
    <w:rsid w:val="00BD5820"/>
    <w:pPr>
      <w:topLinePunct w:val="0"/>
      <w:adjustRightInd/>
      <w:spacing w:line="240" w:lineRule="auto"/>
      <w:ind w:leftChars="200" w:left="200" w:hangingChars="200" w:hanging="200"/>
    </w:pPr>
    <w:rPr>
      <w:rFonts w:ascii="Times New Roman" w:eastAsia="仿宋_GB2312" w:cs="Times New Roman"/>
      <w:kern w:val="2"/>
      <w:sz w:val="28"/>
      <w:szCs w:val="20"/>
    </w:rPr>
  </w:style>
  <w:style w:type="paragraph" w:styleId="22">
    <w:name w:val="toc 2"/>
    <w:basedOn w:val="a0"/>
    <w:next w:val="a0"/>
    <w:uiPriority w:val="39"/>
    <w:unhideWhenUsed/>
    <w:qFormat/>
    <w:rsid w:val="00BD5820"/>
    <w:pPr>
      <w:ind w:leftChars="200" w:left="420"/>
    </w:pPr>
  </w:style>
  <w:style w:type="paragraph" w:styleId="90">
    <w:name w:val="toc 9"/>
    <w:basedOn w:val="a0"/>
    <w:next w:val="a0"/>
    <w:uiPriority w:val="39"/>
    <w:unhideWhenUsed/>
    <w:qFormat/>
    <w:rsid w:val="00BD5820"/>
    <w:pPr>
      <w:topLinePunct w:val="0"/>
      <w:adjustRightInd/>
      <w:spacing w:line="240" w:lineRule="auto"/>
      <w:ind w:leftChars="1600" w:left="3360" w:firstLineChars="0" w:firstLine="0"/>
    </w:pPr>
    <w:rPr>
      <w:rFonts w:ascii="Calibri" w:hAnsi="Calibri" w:cs="Times New Roman"/>
      <w:kern w:val="2"/>
      <w:sz w:val="21"/>
      <w:szCs w:val="22"/>
    </w:rPr>
  </w:style>
  <w:style w:type="paragraph" w:styleId="23">
    <w:name w:val="Body Text 2"/>
    <w:basedOn w:val="a0"/>
    <w:link w:val="2Char0"/>
    <w:qFormat/>
    <w:rsid w:val="00BD5820"/>
    <w:pPr>
      <w:topLinePunct w:val="0"/>
      <w:adjustRightInd/>
      <w:spacing w:after="120" w:line="480" w:lineRule="auto"/>
      <w:ind w:firstLineChars="0" w:firstLine="0"/>
    </w:pPr>
    <w:rPr>
      <w:rFonts w:ascii="Calibri" w:hAnsi="Calibri" w:cs="Times New Roman"/>
      <w:sz w:val="20"/>
      <w:szCs w:val="20"/>
    </w:rPr>
  </w:style>
  <w:style w:type="paragraph" w:styleId="24">
    <w:name w:val="List Continue 2"/>
    <w:basedOn w:val="a0"/>
    <w:rsid w:val="00BD5820"/>
    <w:pPr>
      <w:topLinePunct w:val="0"/>
      <w:adjustRightInd/>
      <w:spacing w:after="120" w:line="240" w:lineRule="auto"/>
      <w:ind w:leftChars="400" w:left="840" w:firstLineChars="0" w:firstLine="0"/>
    </w:pPr>
    <w:rPr>
      <w:rFonts w:ascii="Times New Roman" w:cs="Times New Roman"/>
      <w:kern w:val="2"/>
      <w:sz w:val="21"/>
      <w:szCs w:val="20"/>
    </w:rPr>
  </w:style>
  <w:style w:type="paragraph" w:styleId="HTML">
    <w:name w:val="HTML Preformatted"/>
    <w:basedOn w:val="a0"/>
    <w:link w:val="HTMLChar"/>
    <w:qFormat/>
    <w:rsid w:val="00BD58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topLinePunct w:val="0"/>
      <w:adjustRightInd/>
      <w:spacing w:line="240" w:lineRule="auto"/>
      <w:ind w:firstLineChars="0" w:firstLine="0"/>
      <w:jc w:val="left"/>
    </w:pPr>
    <w:rPr>
      <w:rFonts w:ascii="Arial" w:hAnsi="Arial" w:cs="Times New Roman"/>
    </w:rPr>
  </w:style>
  <w:style w:type="paragraph" w:styleId="af7">
    <w:name w:val="Normal (Web)"/>
    <w:basedOn w:val="a0"/>
    <w:qFormat/>
    <w:rsid w:val="00BD5820"/>
    <w:pPr>
      <w:topLinePunct w:val="0"/>
      <w:adjustRightInd/>
      <w:spacing w:line="240" w:lineRule="auto"/>
      <w:ind w:firstLineChars="0" w:firstLine="0"/>
    </w:pPr>
    <w:rPr>
      <w:rFonts w:ascii="Times New Roman" w:cs="Times New Roman"/>
      <w:kern w:val="2"/>
      <w:szCs w:val="20"/>
    </w:rPr>
  </w:style>
  <w:style w:type="paragraph" w:styleId="af8">
    <w:name w:val="Title"/>
    <w:basedOn w:val="a0"/>
    <w:next w:val="a0"/>
    <w:link w:val="Char30"/>
    <w:qFormat/>
    <w:rsid w:val="00BD5820"/>
    <w:pPr>
      <w:spacing w:before="240" w:after="60"/>
      <w:jc w:val="center"/>
      <w:outlineLvl w:val="0"/>
    </w:pPr>
    <w:rPr>
      <w:rFonts w:ascii="Cambria" w:hAnsi="Cambria" w:cs="Times New Roman"/>
      <w:b/>
      <w:bCs/>
      <w:sz w:val="32"/>
      <w:szCs w:val="32"/>
    </w:rPr>
  </w:style>
  <w:style w:type="paragraph" w:styleId="af9">
    <w:name w:val="annotation subject"/>
    <w:basedOn w:val="ac"/>
    <w:next w:val="ac"/>
    <w:link w:val="Charb"/>
    <w:uiPriority w:val="99"/>
    <w:unhideWhenUsed/>
    <w:qFormat/>
    <w:rsid w:val="00BD5820"/>
    <w:rPr>
      <w:b/>
      <w:bCs/>
    </w:rPr>
  </w:style>
  <w:style w:type="paragraph" w:styleId="afa">
    <w:name w:val="Body Text First Indent"/>
    <w:basedOn w:val="a1"/>
    <w:link w:val="Charc"/>
    <w:qFormat/>
    <w:rsid w:val="00BD5820"/>
    <w:pPr>
      <w:topLinePunct w:val="0"/>
      <w:adjustRightInd/>
      <w:spacing w:after="120" w:line="240" w:lineRule="auto"/>
      <w:ind w:firstLineChars="100" w:firstLine="420"/>
    </w:pPr>
    <w:rPr>
      <w:rFonts w:ascii="Calibri" w:hAnsi="Calibri" w:cs="Times New Roman"/>
      <w:sz w:val="20"/>
      <w:szCs w:val="20"/>
    </w:rPr>
  </w:style>
  <w:style w:type="paragraph" w:styleId="25">
    <w:name w:val="Body Text First Indent 2"/>
    <w:basedOn w:val="ad"/>
    <w:link w:val="2Char2"/>
    <w:rsid w:val="00BD5820"/>
    <w:pPr>
      <w:ind w:firstLineChars="200" w:firstLine="420"/>
    </w:pPr>
    <w:rPr>
      <w:rFonts w:ascii="Arial" w:hAnsi="Arial"/>
      <w:kern w:val="0"/>
      <w:sz w:val="20"/>
      <w:szCs w:val="20"/>
    </w:rPr>
  </w:style>
  <w:style w:type="table" w:styleId="afb">
    <w:name w:val="Table Grid"/>
    <w:basedOn w:val="a3"/>
    <w:qFormat/>
    <w:rsid w:val="00BD5820"/>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52">
    <w:name w:val="Table Grid 5"/>
    <w:basedOn w:val="a3"/>
    <w:qFormat/>
    <w:rsid w:val="00BD5820"/>
    <w:pPr>
      <w:widowControl w:val="0"/>
      <w:adjustRightInd w:val="0"/>
      <w:snapToGrid w:val="0"/>
      <w:spacing w:line="460" w:lineRule="exact"/>
      <w:ind w:firstLineChars="200" w:firstLine="52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character" w:styleId="afc">
    <w:name w:val="Strong"/>
    <w:basedOn w:val="a2"/>
    <w:qFormat/>
    <w:rsid w:val="00BD5820"/>
    <w:rPr>
      <w:rFonts w:ascii="Times New Roman" w:eastAsia="宋体" w:hAnsi="Times New Roman"/>
      <w:b/>
      <w:bCs/>
      <w:spacing w:val="2"/>
      <w:w w:val="100"/>
      <w:position w:val="2"/>
      <w:sz w:val="21"/>
    </w:rPr>
  </w:style>
  <w:style w:type="character" w:styleId="afd">
    <w:name w:val="page number"/>
    <w:basedOn w:val="a2"/>
    <w:rsid w:val="00BD5820"/>
  </w:style>
  <w:style w:type="character" w:styleId="afe">
    <w:name w:val="FollowedHyperlink"/>
    <w:basedOn w:val="a2"/>
    <w:unhideWhenUsed/>
    <w:qFormat/>
    <w:rsid w:val="00BD5820"/>
    <w:rPr>
      <w:color w:val="800080"/>
      <w:u w:val="single"/>
    </w:rPr>
  </w:style>
  <w:style w:type="character" w:styleId="aff">
    <w:name w:val="Emphasis"/>
    <w:basedOn w:val="a2"/>
    <w:qFormat/>
    <w:rsid w:val="00BD5820"/>
    <w:rPr>
      <w:rFonts w:ascii="Times New Roman" w:eastAsia="宋体" w:hAnsi="Times New Roman"/>
      <w:b/>
      <w:iCs/>
      <w:sz w:val="24"/>
    </w:rPr>
  </w:style>
  <w:style w:type="character" w:styleId="HTML0">
    <w:name w:val="HTML Definition"/>
    <w:rsid w:val="00BD5820"/>
    <w:rPr>
      <w:i/>
      <w:iCs/>
    </w:rPr>
  </w:style>
  <w:style w:type="character" w:styleId="aff0">
    <w:name w:val="Hyperlink"/>
    <w:basedOn w:val="a2"/>
    <w:uiPriority w:val="99"/>
    <w:unhideWhenUsed/>
    <w:qFormat/>
    <w:rsid w:val="00BD5820"/>
    <w:rPr>
      <w:color w:val="0000FF"/>
      <w:u w:val="single"/>
    </w:rPr>
  </w:style>
  <w:style w:type="character" w:styleId="aff1">
    <w:name w:val="annotation reference"/>
    <w:basedOn w:val="a2"/>
    <w:unhideWhenUsed/>
    <w:qFormat/>
    <w:rsid w:val="00BD5820"/>
    <w:rPr>
      <w:sz w:val="21"/>
      <w:szCs w:val="21"/>
    </w:rPr>
  </w:style>
  <w:style w:type="character" w:styleId="HTML1">
    <w:name w:val="HTML Cite"/>
    <w:rsid w:val="00BD5820"/>
    <w:rPr>
      <w:color w:val="008000"/>
    </w:rPr>
  </w:style>
  <w:style w:type="character" w:customStyle="1" w:styleId="1Char">
    <w:name w:val="标题 1 Char"/>
    <w:basedOn w:val="a2"/>
    <w:link w:val="1"/>
    <w:qFormat/>
    <w:rsid w:val="00BD5820"/>
    <w:rPr>
      <w:rFonts w:ascii="Times New Roman" w:eastAsia="Times New Roman" w:hAnsi="Times New Roman" w:cs="Times New Roman"/>
      <w:b/>
      <w:kern w:val="44"/>
      <w:sz w:val="32"/>
      <w:szCs w:val="44"/>
    </w:rPr>
  </w:style>
  <w:style w:type="character" w:customStyle="1" w:styleId="2Char1">
    <w:name w:val="标题 2 Char1"/>
    <w:basedOn w:val="a2"/>
    <w:link w:val="2"/>
    <w:qFormat/>
    <w:rsid w:val="00BD5820"/>
    <w:rPr>
      <w:rFonts w:ascii="Times New Roman" w:eastAsia="宋体" w:hAnsi="Times New Roman" w:cs="宋体"/>
      <w:b/>
      <w:bCs/>
      <w:kern w:val="0"/>
      <w:sz w:val="28"/>
      <w:szCs w:val="32"/>
    </w:rPr>
  </w:style>
  <w:style w:type="character" w:customStyle="1" w:styleId="3Char3">
    <w:name w:val="标题 3 Char3"/>
    <w:basedOn w:val="a2"/>
    <w:link w:val="3"/>
    <w:qFormat/>
    <w:rsid w:val="00BD5820"/>
    <w:rPr>
      <w:rFonts w:ascii="Times New Roman" w:eastAsia="Times New Roman" w:hAnsi="Times New Roman" w:cs="Times New Roman"/>
      <w:b/>
      <w:kern w:val="0"/>
      <w:sz w:val="24"/>
      <w:szCs w:val="32"/>
    </w:rPr>
  </w:style>
  <w:style w:type="character" w:customStyle="1" w:styleId="Char">
    <w:name w:val="正文文本 Char"/>
    <w:basedOn w:val="a2"/>
    <w:link w:val="a1"/>
    <w:qFormat/>
    <w:rsid w:val="00BD5820"/>
    <w:rPr>
      <w:rFonts w:ascii="宋体" w:hAnsi="Times New Roman" w:cs="宋体"/>
      <w:kern w:val="0"/>
      <w:sz w:val="24"/>
      <w:szCs w:val="24"/>
    </w:rPr>
  </w:style>
  <w:style w:type="character" w:customStyle="1" w:styleId="4Char">
    <w:name w:val="标题 4 Char"/>
    <w:basedOn w:val="a2"/>
    <w:link w:val="4"/>
    <w:qFormat/>
    <w:rsid w:val="00BD5820"/>
    <w:rPr>
      <w:rFonts w:ascii="Arial" w:eastAsia="宋体" w:hAnsi="Arial" w:cs="Times New Roman"/>
      <w:sz w:val="28"/>
      <w:szCs w:val="21"/>
    </w:rPr>
  </w:style>
  <w:style w:type="character" w:customStyle="1" w:styleId="5Char">
    <w:name w:val="标题 5 Char"/>
    <w:basedOn w:val="a2"/>
    <w:link w:val="5"/>
    <w:qFormat/>
    <w:rsid w:val="00BD5820"/>
    <w:rPr>
      <w:rFonts w:ascii="Arial" w:eastAsia="宋体" w:hAnsi="Arial" w:cs="Times New Roman"/>
      <w:bCs/>
      <w:sz w:val="28"/>
      <w:szCs w:val="28"/>
    </w:rPr>
  </w:style>
  <w:style w:type="character" w:customStyle="1" w:styleId="6Char">
    <w:name w:val="标题 6 Char"/>
    <w:basedOn w:val="a2"/>
    <w:link w:val="6"/>
    <w:qFormat/>
    <w:rsid w:val="00BD5820"/>
    <w:rPr>
      <w:rFonts w:ascii="Arial" w:eastAsia="宋体" w:hAnsi="Arial" w:cs="Times New Roman"/>
      <w:bCs/>
      <w:sz w:val="28"/>
      <w:szCs w:val="24"/>
    </w:rPr>
  </w:style>
  <w:style w:type="character" w:customStyle="1" w:styleId="7Char">
    <w:name w:val="标题 7 Char"/>
    <w:basedOn w:val="a2"/>
    <w:link w:val="7"/>
    <w:qFormat/>
    <w:rsid w:val="00BD5820"/>
    <w:rPr>
      <w:rFonts w:ascii="Times New Roman" w:eastAsia="宋体" w:hAnsi="Times New Roman" w:cs="Times New Roman"/>
      <w:bCs/>
      <w:sz w:val="24"/>
      <w:szCs w:val="24"/>
    </w:rPr>
  </w:style>
  <w:style w:type="character" w:customStyle="1" w:styleId="8Char">
    <w:name w:val="标题 8 Char"/>
    <w:basedOn w:val="a2"/>
    <w:link w:val="8"/>
    <w:qFormat/>
    <w:rsid w:val="00BD5820"/>
    <w:rPr>
      <w:rFonts w:ascii="Arial" w:eastAsia="宋体" w:hAnsi="Arial" w:cs="Times New Roman"/>
      <w:sz w:val="24"/>
      <w:szCs w:val="24"/>
    </w:rPr>
  </w:style>
  <w:style w:type="character" w:customStyle="1" w:styleId="9Char">
    <w:name w:val="标题 9 Char"/>
    <w:basedOn w:val="a2"/>
    <w:link w:val="9"/>
    <w:qFormat/>
    <w:rsid w:val="00BD5820"/>
    <w:rPr>
      <w:rFonts w:ascii="Arial" w:eastAsia="宋体" w:hAnsi="Arial" w:cs="Times New Roman"/>
      <w:sz w:val="24"/>
      <w:szCs w:val="21"/>
    </w:rPr>
  </w:style>
  <w:style w:type="character" w:customStyle="1" w:styleId="Char4">
    <w:name w:val="文档结构图 Char"/>
    <w:basedOn w:val="a2"/>
    <w:link w:val="aa"/>
    <w:qFormat/>
    <w:rsid w:val="00BD5820"/>
    <w:rPr>
      <w:rFonts w:ascii="宋体" w:hAnsi="Times New Roman" w:cs="宋体"/>
      <w:kern w:val="0"/>
      <w:sz w:val="18"/>
      <w:szCs w:val="18"/>
    </w:rPr>
  </w:style>
  <w:style w:type="character" w:customStyle="1" w:styleId="Char20">
    <w:name w:val="批注文字 Char2"/>
    <w:basedOn w:val="a2"/>
    <w:link w:val="ac"/>
    <w:qFormat/>
    <w:rsid w:val="00BD5820"/>
    <w:rPr>
      <w:rFonts w:ascii="宋体" w:hAnsi="Times New Roman" w:cs="宋体"/>
      <w:sz w:val="24"/>
      <w:szCs w:val="24"/>
    </w:rPr>
  </w:style>
  <w:style w:type="character" w:customStyle="1" w:styleId="Char7">
    <w:name w:val="日期 Char"/>
    <w:basedOn w:val="a2"/>
    <w:link w:val="af0"/>
    <w:qFormat/>
    <w:rsid w:val="00BD5820"/>
    <w:rPr>
      <w:rFonts w:ascii="宋体" w:hAnsi="Times New Roman" w:cs="宋体"/>
      <w:kern w:val="0"/>
      <w:sz w:val="24"/>
      <w:szCs w:val="24"/>
    </w:rPr>
  </w:style>
  <w:style w:type="character" w:customStyle="1" w:styleId="2Char">
    <w:name w:val="正文文本缩进 2 Char"/>
    <w:basedOn w:val="a2"/>
    <w:link w:val="21"/>
    <w:qFormat/>
    <w:rsid w:val="00BD5820"/>
    <w:rPr>
      <w:rFonts w:ascii="宋体" w:hAnsi="Times New Roman" w:cs="宋体"/>
      <w:kern w:val="0"/>
      <w:sz w:val="24"/>
      <w:szCs w:val="24"/>
    </w:rPr>
  </w:style>
  <w:style w:type="character" w:customStyle="1" w:styleId="Char8">
    <w:name w:val="批注框文本 Char"/>
    <w:basedOn w:val="a2"/>
    <w:link w:val="af1"/>
    <w:qFormat/>
    <w:rsid w:val="00BD5820"/>
    <w:rPr>
      <w:rFonts w:ascii="宋体" w:hAnsi="Times New Roman" w:cs="宋体"/>
      <w:kern w:val="0"/>
      <w:sz w:val="18"/>
      <w:szCs w:val="18"/>
    </w:rPr>
  </w:style>
  <w:style w:type="character" w:customStyle="1" w:styleId="Char9">
    <w:name w:val="页脚 Char"/>
    <w:basedOn w:val="a2"/>
    <w:link w:val="af2"/>
    <w:qFormat/>
    <w:rsid w:val="00BD5820"/>
    <w:rPr>
      <w:rFonts w:ascii="宋体" w:eastAsia="Times New Roman" w:hAnsi="Times New Roman" w:cs="宋体"/>
      <w:kern w:val="0"/>
      <w:sz w:val="18"/>
      <w:szCs w:val="18"/>
    </w:rPr>
  </w:style>
  <w:style w:type="character" w:customStyle="1" w:styleId="Chara">
    <w:name w:val="页眉 Char"/>
    <w:basedOn w:val="a2"/>
    <w:link w:val="af3"/>
    <w:qFormat/>
    <w:rsid w:val="00BD5820"/>
    <w:rPr>
      <w:rFonts w:ascii="宋体" w:hAnsi="Times New Roman" w:cs="宋体"/>
      <w:kern w:val="0"/>
      <w:sz w:val="18"/>
      <w:szCs w:val="18"/>
    </w:rPr>
  </w:style>
  <w:style w:type="character" w:customStyle="1" w:styleId="Char30">
    <w:name w:val="标题 Char3"/>
    <w:basedOn w:val="a2"/>
    <w:link w:val="af8"/>
    <w:qFormat/>
    <w:rsid w:val="00BD5820"/>
    <w:rPr>
      <w:rFonts w:ascii="Cambria" w:eastAsia="宋体" w:hAnsi="Cambria" w:cs="Times New Roman"/>
      <w:b/>
      <w:bCs/>
      <w:kern w:val="0"/>
      <w:sz w:val="32"/>
      <w:szCs w:val="32"/>
    </w:rPr>
  </w:style>
  <w:style w:type="character" w:customStyle="1" w:styleId="1Char1">
    <w:name w:val="标题 1 Char1"/>
    <w:basedOn w:val="a2"/>
    <w:qFormat/>
    <w:rsid w:val="00BD5820"/>
    <w:rPr>
      <w:rFonts w:ascii="宋体" w:eastAsia="宋体" w:cs="宋体"/>
      <w:b/>
      <w:bCs/>
      <w:kern w:val="44"/>
      <w:sz w:val="44"/>
      <w:szCs w:val="44"/>
    </w:rPr>
  </w:style>
  <w:style w:type="character" w:customStyle="1" w:styleId="3Char1">
    <w:name w:val="标题 3 Char1"/>
    <w:basedOn w:val="a2"/>
    <w:qFormat/>
    <w:rsid w:val="00BD5820"/>
    <w:rPr>
      <w:rFonts w:ascii="宋体" w:eastAsia="宋体" w:cs="宋体"/>
      <w:b/>
      <w:bCs/>
      <w:sz w:val="32"/>
      <w:szCs w:val="32"/>
    </w:rPr>
  </w:style>
  <w:style w:type="character" w:customStyle="1" w:styleId="4Char1">
    <w:name w:val="标题 4 Char1"/>
    <w:basedOn w:val="a2"/>
    <w:qFormat/>
    <w:rsid w:val="00BD5820"/>
    <w:rPr>
      <w:rFonts w:ascii="Cambria" w:eastAsia="宋体" w:hAnsi="Cambria" w:cs="Times New Roman"/>
      <w:b/>
      <w:bCs/>
      <w:sz w:val="28"/>
      <w:szCs w:val="28"/>
    </w:rPr>
  </w:style>
  <w:style w:type="character" w:customStyle="1" w:styleId="5Char1">
    <w:name w:val="标题 5 Char1"/>
    <w:basedOn w:val="a2"/>
    <w:semiHidden/>
    <w:qFormat/>
    <w:rsid w:val="00BD5820"/>
    <w:rPr>
      <w:rFonts w:ascii="宋体" w:eastAsia="宋体" w:cs="宋体"/>
      <w:b/>
      <w:bCs/>
      <w:sz w:val="28"/>
      <w:szCs w:val="28"/>
    </w:rPr>
  </w:style>
  <w:style w:type="character" w:customStyle="1" w:styleId="6Char1">
    <w:name w:val="标题 6 Char1"/>
    <w:basedOn w:val="a2"/>
    <w:semiHidden/>
    <w:qFormat/>
    <w:rsid w:val="00BD5820"/>
    <w:rPr>
      <w:rFonts w:ascii="Cambria" w:eastAsia="宋体" w:hAnsi="Cambria" w:cs="Times New Roman"/>
      <w:b/>
      <w:bCs/>
      <w:sz w:val="24"/>
      <w:szCs w:val="24"/>
    </w:rPr>
  </w:style>
  <w:style w:type="character" w:customStyle="1" w:styleId="7Char1">
    <w:name w:val="标题 7 Char1"/>
    <w:basedOn w:val="a2"/>
    <w:semiHidden/>
    <w:qFormat/>
    <w:rsid w:val="00BD5820"/>
    <w:rPr>
      <w:rFonts w:ascii="宋体" w:eastAsia="宋体" w:cs="宋体"/>
      <w:b/>
      <w:bCs/>
      <w:sz w:val="24"/>
      <w:szCs w:val="24"/>
    </w:rPr>
  </w:style>
  <w:style w:type="character" w:customStyle="1" w:styleId="8Char2">
    <w:name w:val="标题 8 Char2"/>
    <w:basedOn w:val="a2"/>
    <w:semiHidden/>
    <w:qFormat/>
    <w:rsid w:val="00BD5820"/>
    <w:rPr>
      <w:rFonts w:ascii="Cambria" w:eastAsia="宋体" w:hAnsi="Cambria" w:cs="Times New Roman"/>
      <w:sz w:val="24"/>
      <w:szCs w:val="24"/>
    </w:rPr>
  </w:style>
  <w:style w:type="character" w:customStyle="1" w:styleId="9Char2">
    <w:name w:val="标题 9 Char2"/>
    <w:basedOn w:val="a2"/>
    <w:semiHidden/>
    <w:qFormat/>
    <w:rsid w:val="00BD5820"/>
    <w:rPr>
      <w:rFonts w:ascii="Cambria" w:eastAsia="宋体" w:hAnsi="Cambria" w:cs="Times New Roman"/>
      <w:sz w:val="21"/>
      <w:szCs w:val="21"/>
    </w:rPr>
  </w:style>
  <w:style w:type="paragraph" w:styleId="aff2">
    <w:name w:val="No Spacing"/>
    <w:uiPriority w:val="99"/>
    <w:qFormat/>
    <w:rsid w:val="00BD5820"/>
    <w:pPr>
      <w:widowControl w:val="0"/>
      <w:jc w:val="center"/>
    </w:pPr>
    <w:rPr>
      <w:kern w:val="2"/>
      <w:sz w:val="21"/>
      <w:szCs w:val="24"/>
    </w:rPr>
  </w:style>
  <w:style w:type="paragraph" w:styleId="aff3">
    <w:name w:val="List Paragraph"/>
    <w:basedOn w:val="a0"/>
    <w:uiPriority w:val="34"/>
    <w:qFormat/>
    <w:rsid w:val="00BD5820"/>
    <w:pPr>
      <w:spacing w:before="111"/>
      <w:ind w:left="760" w:hanging="600"/>
    </w:pPr>
  </w:style>
  <w:style w:type="paragraph" w:customStyle="1" w:styleId="TOC1">
    <w:name w:val="TOC 标题1"/>
    <w:basedOn w:val="1"/>
    <w:next w:val="a0"/>
    <w:uiPriority w:val="39"/>
    <w:unhideWhenUsed/>
    <w:qFormat/>
    <w:rsid w:val="00BD5820"/>
    <w:pPr>
      <w:widowControl/>
      <w:topLinePunct w:val="0"/>
      <w:adjustRightInd/>
      <w:spacing w:before="480" w:beforeAutospacing="0" w:after="0" w:afterAutospacing="0" w:line="276" w:lineRule="auto"/>
      <w:outlineLvl w:val="9"/>
    </w:pPr>
    <w:rPr>
      <w:rFonts w:ascii="Cambria" w:eastAsia="宋体" w:hAnsi="Cambria"/>
      <w:b w:val="0"/>
      <w:bCs/>
      <w:color w:val="365F91"/>
      <w:kern w:val="0"/>
      <w:sz w:val="28"/>
      <w:szCs w:val="28"/>
    </w:rPr>
  </w:style>
  <w:style w:type="paragraph" w:customStyle="1" w:styleId="110">
    <w:name w:val="标题 11"/>
    <w:basedOn w:val="a0"/>
    <w:uiPriority w:val="1"/>
    <w:qFormat/>
    <w:rsid w:val="00BD5820"/>
    <w:pPr>
      <w:spacing w:before="106"/>
      <w:ind w:left="4314" w:hanging="560"/>
      <w:outlineLvl w:val="0"/>
    </w:pPr>
    <w:rPr>
      <w:b/>
      <w:bCs/>
      <w:sz w:val="32"/>
      <w:szCs w:val="32"/>
    </w:rPr>
  </w:style>
  <w:style w:type="paragraph" w:customStyle="1" w:styleId="210">
    <w:name w:val="标题 21"/>
    <w:basedOn w:val="a0"/>
    <w:uiPriority w:val="1"/>
    <w:qFormat/>
    <w:rsid w:val="00BD5820"/>
    <w:pPr>
      <w:spacing w:before="73"/>
      <w:ind w:left="652" w:hanging="492"/>
      <w:outlineLvl w:val="1"/>
    </w:pPr>
    <w:rPr>
      <w:b/>
      <w:bCs/>
      <w:sz w:val="28"/>
      <w:szCs w:val="28"/>
    </w:rPr>
  </w:style>
  <w:style w:type="paragraph" w:customStyle="1" w:styleId="310">
    <w:name w:val="标题 31"/>
    <w:basedOn w:val="a0"/>
    <w:uiPriority w:val="1"/>
    <w:qFormat/>
    <w:rsid w:val="00BD5820"/>
    <w:pPr>
      <w:spacing w:before="135"/>
      <w:ind w:left="644"/>
      <w:outlineLvl w:val="2"/>
    </w:pPr>
    <w:rPr>
      <w:b/>
      <w:bCs/>
    </w:rPr>
  </w:style>
  <w:style w:type="paragraph" w:customStyle="1" w:styleId="TableParagraph">
    <w:name w:val="Table Paragraph"/>
    <w:basedOn w:val="a0"/>
    <w:uiPriority w:val="1"/>
    <w:qFormat/>
    <w:rsid w:val="00BD5820"/>
    <w:pPr>
      <w:jc w:val="center"/>
    </w:pPr>
  </w:style>
  <w:style w:type="paragraph" w:customStyle="1" w:styleId="aff4">
    <w:name w:val="表正文"/>
    <w:basedOn w:val="a0"/>
    <w:qFormat/>
    <w:rsid w:val="00BD5820"/>
    <w:pPr>
      <w:topLinePunct w:val="0"/>
      <w:autoSpaceDE w:val="0"/>
      <w:autoSpaceDN w:val="0"/>
      <w:snapToGrid w:val="0"/>
      <w:spacing w:beforeLines="20" w:line="300" w:lineRule="auto"/>
      <w:ind w:firstLineChars="0" w:firstLine="0"/>
      <w:jc w:val="center"/>
    </w:pPr>
    <w:rPr>
      <w:rFonts w:ascii="Times New Roman" w:cs="Times New Roman"/>
      <w:szCs w:val="20"/>
    </w:rPr>
  </w:style>
  <w:style w:type="character" w:customStyle="1" w:styleId="Chard">
    <w:name w:val="表名 Char"/>
    <w:link w:val="aff5"/>
    <w:qFormat/>
    <w:locked/>
    <w:rsid w:val="00BD5820"/>
    <w:rPr>
      <w:rFonts w:ascii="Times New Roman" w:eastAsia="Times New Roman" w:hAnsi="Times New Roman" w:cs="Times New Roman"/>
      <w:b/>
      <w:kern w:val="0"/>
      <w:szCs w:val="20"/>
    </w:rPr>
  </w:style>
  <w:style w:type="paragraph" w:customStyle="1" w:styleId="aff5">
    <w:name w:val="表名"/>
    <w:basedOn w:val="a0"/>
    <w:next w:val="a9"/>
    <w:link w:val="Chard"/>
    <w:qFormat/>
    <w:rsid w:val="00BD5820"/>
    <w:pPr>
      <w:topLinePunct w:val="0"/>
      <w:adjustRightInd/>
      <w:spacing w:line="240" w:lineRule="auto"/>
      <w:ind w:firstLineChars="0" w:firstLine="0"/>
      <w:jc w:val="center"/>
    </w:pPr>
    <w:rPr>
      <w:rFonts w:ascii="Times New Roman" w:eastAsia="Times New Roman" w:cs="Times New Roman"/>
      <w:b/>
      <w:sz w:val="20"/>
      <w:szCs w:val="20"/>
    </w:rPr>
  </w:style>
  <w:style w:type="paragraph" w:customStyle="1" w:styleId="aff6">
    <w:name w:val="表格正文"/>
    <w:basedOn w:val="a0"/>
    <w:next w:val="a0"/>
    <w:qFormat/>
    <w:rsid w:val="00BD5820"/>
    <w:pPr>
      <w:topLinePunct w:val="0"/>
      <w:autoSpaceDE w:val="0"/>
      <w:autoSpaceDN w:val="0"/>
      <w:spacing w:after="60" w:line="360" w:lineRule="atLeast"/>
      <w:ind w:firstLineChars="0" w:firstLine="0"/>
      <w:jc w:val="center"/>
    </w:pPr>
    <w:rPr>
      <w:rFonts w:cs="Times New Roman"/>
      <w:sz w:val="21"/>
      <w:szCs w:val="20"/>
    </w:rPr>
  </w:style>
  <w:style w:type="character" w:customStyle="1" w:styleId="Chare">
    <w:name w:val="表格 Char"/>
    <w:link w:val="aff7"/>
    <w:qFormat/>
    <w:locked/>
    <w:rsid w:val="00BD5820"/>
    <w:rPr>
      <w:rFonts w:ascii="Times New Roman" w:eastAsia="宋体" w:hAnsi="Times New Roman"/>
      <w:szCs w:val="24"/>
    </w:rPr>
  </w:style>
  <w:style w:type="paragraph" w:customStyle="1" w:styleId="aff7">
    <w:name w:val="表格"/>
    <w:basedOn w:val="a0"/>
    <w:link w:val="Chare"/>
    <w:qFormat/>
    <w:rsid w:val="00BD5820"/>
    <w:pPr>
      <w:tabs>
        <w:tab w:val="left" w:pos="5355"/>
      </w:tabs>
      <w:topLinePunct w:val="0"/>
      <w:adjustRightInd/>
      <w:spacing w:line="240" w:lineRule="auto"/>
      <w:ind w:firstLineChars="0" w:firstLine="0"/>
      <w:jc w:val="center"/>
    </w:pPr>
    <w:rPr>
      <w:rFonts w:ascii="Times New Roman" w:cs="Times New Roman"/>
      <w:sz w:val="20"/>
    </w:rPr>
  </w:style>
  <w:style w:type="character" w:customStyle="1" w:styleId="Charf">
    <w:name w:val="正文(首缩进) Char"/>
    <w:link w:val="aff8"/>
    <w:qFormat/>
    <w:locked/>
    <w:rsid w:val="00BD5820"/>
    <w:rPr>
      <w:rFonts w:ascii="Times New Roman" w:hAnsi="Times New Roman"/>
      <w:sz w:val="24"/>
    </w:rPr>
  </w:style>
  <w:style w:type="paragraph" w:customStyle="1" w:styleId="aff8">
    <w:name w:val="正文(首缩进)"/>
    <w:basedOn w:val="a0"/>
    <w:link w:val="Charf"/>
    <w:qFormat/>
    <w:rsid w:val="00BD5820"/>
    <w:pPr>
      <w:topLinePunct w:val="0"/>
      <w:adjustRightInd/>
    </w:pPr>
    <w:rPr>
      <w:rFonts w:ascii="Times New Roman" w:cs="Times New Roman"/>
      <w:szCs w:val="20"/>
    </w:rPr>
  </w:style>
  <w:style w:type="paragraph" w:customStyle="1" w:styleId="aff9">
    <w:name w:val="表格内容"/>
    <w:basedOn w:val="a0"/>
    <w:next w:val="a0"/>
    <w:qFormat/>
    <w:rsid w:val="00BD5820"/>
    <w:pPr>
      <w:framePr w:hSpace="180" w:wrap="around" w:vAnchor="text" w:hAnchor="margin" w:xAlign="center" w:y="690"/>
      <w:topLinePunct w:val="0"/>
      <w:adjustRightInd/>
      <w:spacing w:line="240" w:lineRule="auto"/>
      <w:ind w:firstLineChars="0" w:firstLine="0"/>
      <w:jc w:val="center"/>
    </w:pPr>
    <w:rPr>
      <w:rFonts w:cs="Arial"/>
      <w:sz w:val="21"/>
      <w:szCs w:val="21"/>
    </w:rPr>
  </w:style>
  <w:style w:type="paragraph" w:customStyle="1" w:styleId="12">
    <w:name w:val="无间隔1"/>
    <w:qFormat/>
    <w:rsid w:val="00BD5820"/>
    <w:pPr>
      <w:widowControl w:val="0"/>
      <w:jc w:val="center"/>
    </w:pPr>
    <w:rPr>
      <w:kern w:val="2"/>
      <w:sz w:val="21"/>
      <w:szCs w:val="24"/>
    </w:rPr>
  </w:style>
  <w:style w:type="paragraph" w:customStyle="1" w:styleId="affa">
    <w:name w:val="正文（川油）"/>
    <w:qFormat/>
    <w:rsid w:val="00BD5820"/>
    <w:pPr>
      <w:widowControl w:val="0"/>
      <w:spacing w:line="360" w:lineRule="auto"/>
      <w:ind w:firstLineChars="200" w:firstLine="200"/>
      <w:jc w:val="both"/>
    </w:pPr>
    <w:rPr>
      <w:sz w:val="24"/>
    </w:rPr>
  </w:style>
  <w:style w:type="paragraph" w:customStyle="1" w:styleId="affb">
    <w:name w:val="表格（左对齐）"/>
    <w:basedOn w:val="a0"/>
    <w:next w:val="a0"/>
    <w:qFormat/>
    <w:rsid w:val="00BD5820"/>
    <w:pPr>
      <w:topLinePunct w:val="0"/>
      <w:adjustRightInd/>
      <w:spacing w:line="240" w:lineRule="auto"/>
      <w:ind w:firstLineChars="0" w:firstLine="0"/>
      <w:jc w:val="left"/>
    </w:pPr>
    <w:rPr>
      <w:rFonts w:ascii="Times New Roman" w:cs="Times New Roman"/>
      <w:sz w:val="21"/>
      <w:szCs w:val="20"/>
    </w:rPr>
  </w:style>
  <w:style w:type="character" w:customStyle="1" w:styleId="CharChar">
    <w:name w:val="段落(首缩进) Char Char"/>
    <w:link w:val="affc"/>
    <w:qFormat/>
    <w:locked/>
    <w:rsid w:val="00BD5820"/>
    <w:rPr>
      <w:rFonts w:ascii="Arial" w:hAnsi="Arial" w:cs="Arial"/>
      <w:sz w:val="28"/>
      <w:szCs w:val="28"/>
    </w:rPr>
  </w:style>
  <w:style w:type="paragraph" w:customStyle="1" w:styleId="affc">
    <w:name w:val="段落(首缩进)"/>
    <w:basedOn w:val="a1"/>
    <w:link w:val="CharChar"/>
    <w:qFormat/>
    <w:rsid w:val="00BD5820"/>
    <w:pPr>
      <w:topLinePunct w:val="0"/>
      <w:snapToGrid w:val="0"/>
      <w:ind w:firstLine="560"/>
    </w:pPr>
    <w:rPr>
      <w:rFonts w:ascii="Arial" w:hAnsi="Arial" w:cs="Times New Roman"/>
      <w:sz w:val="28"/>
      <w:szCs w:val="28"/>
    </w:rPr>
  </w:style>
  <w:style w:type="character" w:customStyle="1" w:styleId="Charf0">
    <w:name w:val="表内居中 Char"/>
    <w:link w:val="affd"/>
    <w:qFormat/>
    <w:locked/>
    <w:rsid w:val="00BD5820"/>
    <w:rPr>
      <w:sz w:val="24"/>
      <w:szCs w:val="21"/>
    </w:rPr>
  </w:style>
  <w:style w:type="paragraph" w:customStyle="1" w:styleId="affd">
    <w:name w:val="表内居中"/>
    <w:basedOn w:val="a0"/>
    <w:link w:val="Charf0"/>
    <w:qFormat/>
    <w:rsid w:val="00BD5820"/>
    <w:pPr>
      <w:topLinePunct w:val="0"/>
      <w:adjustRightInd/>
      <w:spacing w:line="240" w:lineRule="auto"/>
      <w:ind w:firstLineChars="0" w:firstLine="0"/>
      <w:jc w:val="center"/>
    </w:pPr>
    <w:rPr>
      <w:rFonts w:ascii="Calibri" w:hAnsi="Calibri" w:cs="Times New Roman"/>
      <w:szCs w:val="21"/>
    </w:rPr>
  </w:style>
  <w:style w:type="paragraph" w:customStyle="1" w:styleId="CM2">
    <w:name w:val="CM2"/>
    <w:basedOn w:val="a0"/>
    <w:next w:val="a0"/>
    <w:qFormat/>
    <w:rsid w:val="00BD5820"/>
    <w:pPr>
      <w:topLinePunct w:val="0"/>
      <w:autoSpaceDE w:val="0"/>
      <w:autoSpaceDN w:val="0"/>
      <w:spacing w:line="468" w:lineRule="atLeast"/>
      <w:ind w:firstLineChars="0" w:firstLine="0"/>
      <w:jc w:val="left"/>
    </w:pPr>
    <w:rPr>
      <w:rFonts w:ascii="Arial" w:hAnsi="Arial" w:cs="Times New Roman"/>
    </w:rPr>
  </w:style>
  <w:style w:type="paragraph" w:customStyle="1" w:styleId="Default">
    <w:name w:val="Default"/>
    <w:qFormat/>
    <w:rsid w:val="00BD5820"/>
    <w:pPr>
      <w:widowControl w:val="0"/>
      <w:autoSpaceDE w:val="0"/>
      <w:autoSpaceDN w:val="0"/>
      <w:adjustRightInd w:val="0"/>
    </w:pPr>
    <w:rPr>
      <w:rFonts w:ascii="宋体" w:hAnsi="Calibri" w:cs="宋体"/>
      <w:color w:val="000000"/>
      <w:sz w:val="24"/>
      <w:szCs w:val="24"/>
    </w:rPr>
  </w:style>
  <w:style w:type="character" w:styleId="affe">
    <w:name w:val="Placeholder Text"/>
    <w:basedOn w:val="a2"/>
    <w:uiPriority w:val="99"/>
    <w:semiHidden/>
    <w:qFormat/>
    <w:rsid w:val="00BD5820"/>
    <w:rPr>
      <w:color w:val="808080"/>
    </w:rPr>
  </w:style>
  <w:style w:type="character" w:customStyle="1" w:styleId="description">
    <w:name w:val="description"/>
    <w:basedOn w:val="a2"/>
    <w:qFormat/>
    <w:rsid w:val="00BD5820"/>
  </w:style>
  <w:style w:type="paragraph" w:customStyle="1" w:styleId="35">
    <w:name w:val="标题3"/>
    <w:basedOn w:val="3"/>
    <w:link w:val="3Char2"/>
    <w:qFormat/>
    <w:rsid w:val="00BD5820"/>
    <w:pPr>
      <w:spacing w:before="240"/>
    </w:pPr>
    <w:rPr>
      <w:rFonts w:eastAsia="宋体"/>
    </w:rPr>
  </w:style>
  <w:style w:type="character" w:customStyle="1" w:styleId="3Char2">
    <w:name w:val="标题3 Char"/>
    <w:basedOn w:val="3Char3"/>
    <w:link w:val="35"/>
    <w:uiPriority w:val="1"/>
    <w:qFormat/>
    <w:rsid w:val="00BD5820"/>
    <w:rPr>
      <w:rFonts w:ascii="Times New Roman" w:eastAsia="宋体" w:hAnsi="Times New Roman" w:cs="Times New Roman"/>
      <w:kern w:val="0"/>
      <w:sz w:val="24"/>
      <w:szCs w:val="32"/>
    </w:rPr>
  </w:style>
  <w:style w:type="table" w:customStyle="1" w:styleId="13">
    <w:name w:val="网格型1"/>
    <w:basedOn w:val="a3"/>
    <w:uiPriority w:val="59"/>
    <w:qFormat/>
    <w:rsid w:val="00BD582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11">
    <w:name w:val="TOC 标题11"/>
    <w:next w:val="a0"/>
    <w:uiPriority w:val="39"/>
    <w:unhideWhenUsed/>
    <w:qFormat/>
    <w:rsid w:val="00BD5820"/>
    <w:pPr>
      <w:spacing w:line="360" w:lineRule="auto"/>
      <w:jc w:val="center"/>
    </w:pPr>
    <w:rPr>
      <w:rFonts w:eastAsia="Times New Roman"/>
      <w:b/>
      <w:bCs/>
      <w:sz w:val="21"/>
      <w:szCs w:val="28"/>
    </w:rPr>
  </w:style>
  <w:style w:type="character" w:customStyle="1" w:styleId="14">
    <w:name w:val="未处理的提及1"/>
    <w:basedOn w:val="a2"/>
    <w:uiPriority w:val="99"/>
    <w:semiHidden/>
    <w:unhideWhenUsed/>
    <w:qFormat/>
    <w:rsid w:val="00BD5820"/>
    <w:rPr>
      <w:color w:val="605E5C"/>
      <w:shd w:val="clear" w:color="auto" w:fill="E1DFDD"/>
    </w:rPr>
  </w:style>
  <w:style w:type="character" w:customStyle="1" w:styleId="3Char10">
    <w:name w:val="正文文本缩进 3 Char1"/>
    <w:qFormat/>
    <w:rsid w:val="00BD5820"/>
    <w:rPr>
      <w:kern w:val="2"/>
      <w:sz w:val="16"/>
      <w:szCs w:val="16"/>
    </w:rPr>
  </w:style>
  <w:style w:type="paragraph" w:customStyle="1" w:styleId="0222">
    <w:name w:val="样式 样式 样式 左  0 字符 首行缩进:  2 字符 + 首行缩进:  2 字符 + 首行缩进:  2 字符"/>
    <w:basedOn w:val="a0"/>
    <w:qFormat/>
    <w:rsid w:val="00BD5820"/>
    <w:pPr>
      <w:topLinePunct w:val="0"/>
      <w:adjustRightInd/>
      <w:spacing w:line="276" w:lineRule="auto"/>
    </w:pPr>
    <w:rPr>
      <w:rFonts w:ascii="Times New Roman" w:eastAsia="仿宋_GB2312" w:cs="Times New Roman"/>
      <w:kern w:val="2"/>
      <w:sz w:val="28"/>
      <w:szCs w:val="20"/>
    </w:rPr>
  </w:style>
  <w:style w:type="character" w:customStyle="1" w:styleId="Charf1">
    <w:name w:val="引用 Char"/>
    <w:link w:val="afff"/>
    <w:qFormat/>
    <w:rsid w:val="00BD5820"/>
    <w:rPr>
      <w:i/>
      <w:color w:val="000000"/>
      <w:kern w:val="2"/>
      <w:sz w:val="24"/>
    </w:rPr>
  </w:style>
  <w:style w:type="paragraph" w:styleId="afff">
    <w:name w:val="Quote"/>
    <w:basedOn w:val="a0"/>
    <w:next w:val="a0"/>
    <w:link w:val="Charf1"/>
    <w:qFormat/>
    <w:rsid w:val="00BD5820"/>
    <w:pPr>
      <w:topLinePunct w:val="0"/>
      <w:adjustRightInd/>
      <w:spacing w:line="240" w:lineRule="auto"/>
      <w:ind w:firstLineChars="0" w:firstLine="0"/>
      <w:jc w:val="center"/>
    </w:pPr>
    <w:rPr>
      <w:rFonts w:ascii="Calibri" w:hAnsi="Calibri" w:cs="Times New Roman"/>
      <w:i/>
      <w:color w:val="000000"/>
      <w:kern w:val="2"/>
      <w:szCs w:val="20"/>
    </w:rPr>
  </w:style>
  <w:style w:type="character" w:customStyle="1" w:styleId="afff0">
    <w:name w:val="引用 字符"/>
    <w:basedOn w:val="a2"/>
    <w:uiPriority w:val="99"/>
    <w:qFormat/>
    <w:rsid w:val="00BD5820"/>
    <w:rPr>
      <w:rFonts w:ascii="宋体" w:hAnsi="Times New Roman" w:cs="宋体"/>
      <w:i/>
      <w:iCs/>
      <w:color w:val="404040"/>
      <w:sz w:val="24"/>
      <w:szCs w:val="24"/>
    </w:rPr>
  </w:style>
  <w:style w:type="paragraph" w:customStyle="1" w:styleId="afff1">
    <w:name w:val="表标题名"/>
    <w:basedOn w:val="aff5"/>
    <w:link w:val="Charf2"/>
    <w:qFormat/>
    <w:rsid w:val="00BD5820"/>
    <w:pPr>
      <w:tabs>
        <w:tab w:val="left" w:pos="1350"/>
      </w:tabs>
      <w:autoSpaceDE w:val="0"/>
      <w:autoSpaceDN w:val="0"/>
      <w:adjustRightInd w:val="0"/>
      <w:snapToGrid w:val="0"/>
    </w:pPr>
    <w:rPr>
      <w:rFonts w:eastAsia="宋体"/>
      <w:b w:val="0"/>
      <w:kern w:val="2"/>
      <w:sz w:val="21"/>
      <w:szCs w:val="24"/>
      <w:shd w:val="clear" w:color="auto" w:fill="FFFFFF"/>
    </w:rPr>
  </w:style>
  <w:style w:type="character" w:customStyle="1" w:styleId="Charf2">
    <w:name w:val="表标题名 Char"/>
    <w:link w:val="afff1"/>
    <w:qFormat/>
    <w:rsid w:val="00BD5820"/>
    <w:rPr>
      <w:rFonts w:ascii="Times New Roman" w:eastAsia="宋体" w:hAnsi="Times New Roman" w:cs="Times New Roman"/>
      <w:kern w:val="2"/>
      <w:sz w:val="21"/>
      <w:szCs w:val="24"/>
    </w:rPr>
  </w:style>
  <w:style w:type="paragraph" w:customStyle="1" w:styleId="Style2">
    <w:name w:val="_Style 2"/>
    <w:basedOn w:val="a0"/>
    <w:rsid w:val="00BD5820"/>
    <w:pPr>
      <w:topLinePunct w:val="0"/>
      <w:adjustRightInd/>
      <w:spacing w:line="240" w:lineRule="auto"/>
      <w:ind w:firstLine="420"/>
    </w:pPr>
    <w:rPr>
      <w:rFonts w:ascii="Times New Roman" w:cs="Times New Roman"/>
      <w:kern w:val="2"/>
      <w:sz w:val="21"/>
    </w:rPr>
  </w:style>
  <w:style w:type="character" w:customStyle="1" w:styleId="Charf3">
    <w:name w:val="【表头】 Char"/>
    <w:link w:val="afff2"/>
    <w:qFormat/>
    <w:rsid w:val="00BD5820"/>
    <w:rPr>
      <w:rFonts w:ascii="Times New Roman" w:hAnsi="Times New Roman"/>
      <w:color w:val="000000"/>
      <w:kern w:val="2"/>
      <w:sz w:val="21"/>
      <w:szCs w:val="24"/>
      <w:lang w:val="en-US" w:eastAsia="zh-CN" w:bidi="ar-SA"/>
    </w:rPr>
  </w:style>
  <w:style w:type="paragraph" w:customStyle="1" w:styleId="afff2">
    <w:name w:val="【表头】"/>
    <w:link w:val="Charf3"/>
    <w:rsid w:val="00BD5820"/>
    <w:pPr>
      <w:adjustRightInd w:val="0"/>
      <w:snapToGrid w:val="0"/>
      <w:jc w:val="center"/>
    </w:pPr>
    <w:rPr>
      <w:color w:val="000000"/>
      <w:kern w:val="2"/>
      <w:sz w:val="21"/>
      <w:szCs w:val="24"/>
    </w:rPr>
  </w:style>
  <w:style w:type="character" w:customStyle="1" w:styleId="Charf4">
    <w:name w:val="【表内字】 Char"/>
    <w:link w:val="afff3"/>
    <w:qFormat/>
    <w:rsid w:val="00BD5820"/>
    <w:rPr>
      <w:sz w:val="21"/>
      <w:szCs w:val="24"/>
    </w:rPr>
  </w:style>
  <w:style w:type="paragraph" w:customStyle="1" w:styleId="afff3">
    <w:name w:val="【表内字】"/>
    <w:basedOn w:val="a0"/>
    <w:link w:val="Charf4"/>
    <w:rsid w:val="00BD5820"/>
    <w:pPr>
      <w:topLinePunct w:val="0"/>
      <w:adjustRightInd/>
      <w:spacing w:line="240" w:lineRule="auto"/>
      <w:ind w:firstLineChars="0" w:firstLine="0"/>
      <w:jc w:val="center"/>
    </w:pPr>
    <w:rPr>
      <w:rFonts w:ascii="Calibri" w:hAnsi="Calibri" w:cs="Times New Roman"/>
      <w:sz w:val="21"/>
    </w:rPr>
  </w:style>
  <w:style w:type="character" w:customStyle="1" w:styleId="Charf5">
    <w:name w:val="【正文】 Char"/>
    <w:link w:val="afff4"/>
    <w:qFormat/>
    <w:rsid w:val="00BD5820"/>
    <w:rPr>
      <w:kern w:val="2"/>
      <w:sz w:val="24"/>
      <w:szCs w:val="24"/>
    </w:rPr>
  </w:style>
  <w:style w:type="paragraph" w:customStyle="1" w:styleId="afff4">
    <w:name w:val="【正文】"/>
    <w:basedOn w:val="a0"/>
    <w:link w:val="Charf5"/>
    <w:rsid w:val="00BD5820"/>
    <w:pPr>
      <w:widowControl/>
      <w:topLinePunct w:val="0"/>
      <w:adjustRightInd/>
    </w:pPr>
    <w:rPr>
      <w:rFonts w:ascii="Calibri" w:hAnsi="Calibri" w:cs="Times New Roman"/>
      <w:kern w:val="2"/>
    </w:rPr>
  </w:style>
  <w:style w:type="character" w:customStyle="1" w:styleId="Char10">
    <w:name w:val="正文(首缩进) Char1"/>
    <w:qFormat/>
    <w:rsid w:val="00BD5820"/>
    <w:rPr>
      <w:rFonts w:eastAsia="宋体"/>
      <w:kern w:val="2"/>
      <w:sz w:val="28"/>
      <w:szCs w:val="28"/>
      <w:lang w:val="en-US" w:eastAsia="zh-CN" w:bidi="ar-SA"/>
    </w:rPr>
  </w:style>
  <w:style w:type="character" w:customStyle="1" w:styleId="Charb">
    <w:name w:val="批注主题 Char"/>
    <w:basedOn w:val="Char20"/>
    <w:link w:val="af9"/>
    <w:uiPriority w:val="99"/>
    <w:rsid w:val="00BD5820"/>
    <w:rPr>
      <w:rFonts w:ascii="宋体" w:hAnsi="Times New Roman" w:cs="宋体"/>
      <w:b/>
      <w:bCs/>
      <w:sz w:val="24"/>
      <w:szCs w:val="24"/>
    </w:rPr>
  </w:style>
  <w:style w:type="character" w:customStyle="1" w:styleId="font01">
    <w:name w:val="font01"/>
    <w:qFormat/>
    <w:rsid w:val="00BD5820"/>
    <w:rPr>
      <w:rFonts w:ascii="宋体" w:eastAsia="宋体" w:hAnsi="宋体" w:cs="宋体" w:hint="eastAsia"/>
      <w:color w:val="auto"/>
      <w:sz w:val="24"/>
      <w:szCs w:val="24"/>
      <w:u w:val="none"/>
    </w:rPr>
  </w:style>
  <w:style w:type="character" w:customStyle="1" w:styleId="HTMLChar">
    <w:name w:val="HTML 预设格式 Char"/>
    <w:link w:val="HTML"/>
    <w:qFormat/>
    <w:rsid w:val="00BD5820"/>
    <w:rPr>
      <w:rFonts w:ascii="Arial" w:hAnsi="Arial" w:cs="Arial"/>
      <w:sz w:val="24"/>
      <w:szCs w:val="24"/>
    </w:rPr>
  </w:style>
  <w:style w:type="character" w:customStyle="1" w:styleId="HTML2">
    <w:name w:val="HTML 预设格式 字符"/>
    <w:basedOn w:val="a2"/>
    <w:uiPriority w:val="99"/>
    <w:rsid w:val="00BD5820"/>
    <w:rPr>
      <w:rFonts w:ascii="Courier New" w:hAnsi="Courier New" w:cs="Courier New"/>
    </w:rPr>
  </w:style>
  <w:style w:type="character" w:customStyle="1" w:styleId="2Char10">
    <w:name w:val="正文首行缩进 2 Char1"/>
    <w:rsid w:val="00BD5820"/>
    <w:rPr>
      <w:rFonts w:ascii="Arial" w:eastAsia="仿宋_GB2312" w:hAnsi="Arial" w:cs="Arial"/>
      <w:kern w:val="2"/>
      <w:sz w:val="21"/>
    </w:rPr>
  </w:style>
  <w:style w:type="character" w:customStyle="1" w:styleId="CharChar0">
    <w:name w:val="正文(首缩进) Char Char"/>
    <w:rsid w:val="00BD5820"/>
    <w:rPr>
      <w:rFonts w:eastAsia="仿宋_GB2312"/>
      <w:kern w:val="2"/>
      <w:sz w:val="28"/>
      <w:lang w:val="en-US" w:eastAsia="zh-CN" w:bidi="ar-SA"/>
    </w:rPr>
  </w:style>
  <w:style w:type="character" w:customStyle="1" w:styleId="CharCharChar2">
    <w:name w:val="正文（首行缩进两字） Char Char Char2"/>
    <w:rsid w:val="00BD5820"/>
    <w:rPr>
      <w:rFonts w:eastAsia="宋体"/>
      <w:kern w:val="2"/>
      <w:sz w:val="21"/>
      <w:szCs w:val="24"/>
      <w:lang w:val="en-US" w:eastAsia="zh-CN" w:bidi="ar-SA"/>
    </w:rPr>
  </w:style>
  <w:style w:type="character" w:customStyle="1" w:styleId="h11">
    <w:name w:val="h11"/>
    <w:rsid w:val="00BD5820"/>
    <w:rPr>
      <w:rFonts w:eastAsia="宋体"/>
      <w:b/>
      <w:kern w:val="44"/>
      <w:sz w:val="44"/>
      <w:lang w:val="en-US" w:eastAsia="zh-CN"/>
    </w:rPr>
  </w:style>
  <w:style w:type="character" w:customStyle="1" w:styleId="Charf6">
    <w:name w:val="条标题（科宏） Char"/>
    <w:rsid w:val="00BD5820"/>
    <w:rPr>
      <w:rFonts w:ascii="Arial" w:eastAsia="仿宋_GB2312" w:hAnsi="Arial"/>
      <w:sz w:val="28"/>
      <w:lang w:val="en-US" w:eastAsia="zh-CN" w:bidi="ar-SA"/>
    </w:rPr>
  </w:style>
  <w:style w:type="character" w:customStyle="1" w:styleId="1Char0">
    <w:name w:val="样式 标题 1 + 橙色 Char"/>
    <w:rsid w:val="00BD5820"/>
    <w:rPr>
      <w:rFonts w:eastAsia="宋体"/>
      <w:b/>
      <w:bCs/>
      <w:kern w:val="44"/>
      <w:sz w:val="30"/>
      <w:szCs w:val="30"/>
      <w:lang w:val="en-US" w:eastAsia="zh-CN" w:bidi="ar-SA"/>
    </w:rPr>
  </w:style>
  <w:style w:type="character" w:customStyle="1" w:styleId="CharChar10">
    <w:name w:val="Char Char10"/>
    <w:rsid w:val="00BD5820"/>
    <w:rPr>
      <w:rFonts w:eastAsia="宋体"/>
      <w:kern w:val="2"/>
      <w:sz w:val="18"/>
      <w:szCs w:val="18"/>
      <w:lang w:val="en-US" w:eastAsia="zh-CN" w:bidi="ar-SA"/>
    </w:rPr>
  </w:style>
  <w:style w:type="character" w:customStyle="1" w:styleId="ourfont31">
    <w:name w:val="ourfont31"/>
    <w:rsid w:val="00BD5820"/>
    <w:rPr>
      <w:spacing w:val="20"/>
      <w:sz w:val="21"/>
    </w:rPr>
  </w:style>
  <w:style w:type="character" w:customStyle="1" w:styleId="ArialGB2312">
    <w:name w:val="样式 (西文) Arial (中文) 仿宋_GB2312"/>
    <w:rsid w:val="00BD5820"/>
    <w:rPr>
      <w:rFonts w:ascii="Arial" w:eastAsia="仿宋_GB2312" w:hAnsi="Arial"/>
      <w:sz w:val="28"/>
      <w:szCs w:val="28"/>
    </w:rPr>
  </w:style>
  <w:style w:type="character" w:customStyle="1" w:styleId="3Char11">
    <w:name w:val="正文文本 3 Char1"/>
    <w:rsid w:val="00BD5820"/>
    <w:rPr>
      <w:kern w:val="2"/>
      <w:sz w:val="16"/>
      <w:szCs w:val="16"/>
    </w:rPr>
  </w:style>
  <w:style w:type="character" w:customStyle="1" w:styleId="1CharCharCharChar">
    <w:name w:val="标题 1 宋体 三号 Char Char Char Char"/>
    <w:link w:val="1CharChar"/>
    <w:rsid w:val="00BD5820"/>
    <w:rPr>
      <w:rFonts w:ascii="宋体" w:eastAsia="宋体" w:hAnsi="宋体"/>
      <w:b/>
      <w:kern w:val="44"/>
      <w:sz w:val="32"/>
    </w:rPr>
  </w:style>
  <w:style w:type="paragraph" w:customStyle="1" w:styleId="1CharChar">
    <w:name w:val="标题 1 宋体 三号 Char Char"/>
    <w:basedOn w:val="1"/>
    <w:link w:val="1CharCharCharChar"/>
    <w:rsid w:val="00BD5820"/>
    <w:pPr>
      <w:tabs>
        <w:tab w:val="left" w:pos="425"/>
      </w:tabs>
      <w:topLinePunct w:val="0"/>
      <w:adjustRightInd/>
      <w:spacing w:before="340" w:beforeAutospacing="0" w:after="330" w:afterAutospacing="0"/>
      <w:ind w:left="425" w:hanging="425"/>
      <w:jc w:val="center"/>
    </w:pPr>
    <w:rPr>
      <w:rFonts w:ascii="宋体" w:eastAsia="宋体" w:hAnsi="宋体"/>
      <w:szCs w:val="20"/>
    </w:rPr>
  </w:style>
  <w:style w:type="character" w:customStyle="1" w:styleId="Char11">
    <w:name w:val="纯文本 Char1"/>
    <w:rsid w:val="00BD5820"/>
    <w:rPr>
      <w:rFonts w:ascii="宋体" w:eastAsia="宋体" w:hAnsi="Courier New" w:cs="Courier New"/>
      <w:kern w:val="2"/>
      <w:sz w:val="21"/>
      <w:szCs w:val="21"/>
      <w:lang w:val="en-US" w:eastAsia="zh-CN" w:bidi="ar-SA"/>
    </w:rPr>
  </w:style>
  <w:style w:type="character" w:customStyle="1" w:styleId="Char2">
    <w:name w:val="正文缩进 Char"/>
    <w:link w:val="a8"/>
    <w:rsid w:val="00BD5820"/>
    <w:rPr>
      <w:rFonts w:eastAsia="宋体"/>
    </w:rPr>
  </w:style>
  <w:style w:type="character" w:customStyle="1" w:styleId="fwriter1">
    <w:name w:val="fwriter1"/>
    <w:rsid w:val="00BD5820"/>
    <w:rPr>
      <w:color w:val="A50010"/>
    </w:rPr>
  </w:style>
  <w:style w:type="character" w:customStyle="1" w:styleId="CharChar1">
    <w:name w:val="初设正文 Char Char"/>
    <w:link w:val="afff5"/>
    <w:rsid w:val="00BD5820"/>
    <w:rPr>
      <w:rFonts w:ascii="宋体" w:eastAsia="宋体" w:hAnsi="宋体"/>
      <w:sz w:val="24"/>
      <w:szCs w:val="24"/>
    </w:rPr>
  </w:style>
  <w:style w:type="paragraph" w:customStyle="1" w:styleId="afff5">
    <w:name w:val="初设正文"/>
    <w:basedOn w:val="a0"/>
    <w:link w:val="CharChar1"/>
    <w:rsid w:val="00BD5820"/>
    <w:pPr>
      <w:topLinePunct w:val="0"/>
      <w:snapToGrid w:val="0"/>
      <w:spacing w:line="324" w:lineRule="auto"/>
      <w:ind w:left="227" w:right="170"/>
    </w:pPr>
    <w:rPr>
      <w:rFonts w:hAnsi="宋体" w:cs="Times New Roman"/>
    </w:rPr>
  </w:style>
  <w:style w:type="character" w:customStyle="1" w:styleId="CharChar18">
    <w:name w:val="Char Char18"/>
    <w:rsid w:val="00BD5820"/>
    <w:rPr>
      <w:rFonts w:ascii="Arial" w:eastAsia="黑体" w:hAnsi="Arial"/>
      <w:b/>
      <w:kern w:val="2"/>
      <w:sz w:val="28"/>
    </w:rPr>
  </w:style>
  <w:style w:type="character" w:customStyle="1" w:styleId="CharCharChar1">
    <w:name w:val="正文（首行缩进两字） Char Char Char1"/>
    <w:rsid w:val="00BD5820"/>
    <w:rPr>
      <w:rFonts w:eastAsia="宋体"/>
      <w:kern w:val="2"/>
      <w:sz w:val="21"/>
      <w:lang w:val="en-US" w:eastAsia="zh-CN" w:bidi="ar-SA"/>
    </w:rPr>
  </w:style>
  <w:style w:type="character" w:customStyle="1" w:styleId="unnamed51">
    <w:name w:val="unnamed51"/>
    <w:rsid w:val="00BD5820"/>
    <w:rPr>
      <w:rFonts w:ascii="宋体" w:eastAsia="宋体" w:hAnsi="宋体" w:hint="eastAsia"/>
      <w:color w:val="0066CC"/>
      <w:sz w:val="18"/>
    </w:rPr>
  </w:style>
  <w:style w:type="character" w:customStyle="1" w:styleId="titletext1">
    <w:name w:val="titletext1"/>
    <w:rsid w:val="00BD5820"/>
    <w:rPr>
      <w:color w:val="000000"/>
      <w:sz w:val="21"/>
    </w:rPr>
  </w:style>
  <w:style w:type="character" w:customStyle="1" w:styleId="211">
    <w:name w:val="标题 2 字符1"/>
    <w:rsid w:val="00BD5820"/>
    <w:rPr>
      <w:rFonts w:ascii="Arial" w:eastAsia="黑体" w:hAnsi="Arial" w:cs="Times New Roman"/>
      <w:b/>
      <w:sz w:val="32"/>
      <w:szCs w:val="20"/>
    </w:rPr>
  </w:style>
  <w:style w:type="character" w:customStyle="1" w:styleId="p121">
    <w:name w:val="p121"/>
    <w:rsid w:val="00BD5820"/>
    <w:rPr>
      <w:color w:val="000000"/>
      <w:sz w:val="24"/>
      <w:szCs w:val="24"/>
      <w:u w:val="none"/>
    </w:rPr>
  </w:style>
  <w:style w:type="character" w:customStyle="1" w:styleId="CharCharChar">
    <w:name w:val="正文（科宏） Char Char Char"/>
    <w:rsid w:val="00BD5820"/>
    <w:rPr>
      <w:rFonts w:ascii="Arial" w:eastAsia="仿宋_GB2312" w:hAnsi="Arial"/>
      <w:sz w:val="28"/>
      <w:lang w:val="en-US" w:eastAsia="zh-CN" w:bidi="ar-SA"/>
    </w:rPr>
  </w:style>
  <w:style w:type="character" w:customStyle="1" w:styleId="111CharChar">
    <w:name w:val="1.1.1 Char Char"/>
    <w:rsid w:val="00BD5820"/>
    <w:rPr>
      <w:rFonts w:ascii="Arial" w:eastAsia="宋体" w:hAnsi="Arial"/>
      <w:kern w:val="2"/>
      <w:position w:val="-30"/>
      <w:sz w:val="28"/>
      <w:lang w:val="en-US" w:eastAsia="zh-CN"/>
    </w:rPr>
  </w:style>
  <w:style w:type="character" w:customStyle="1" w:styleId="14hei1">
    <w:name w:val="14hei1"/>
    <w:rsid w:val="00BD5820"/>
    <w:rPr>
      <w:color w:val="000000"/>
      <w:sz w:val="16"/>
      <w:u w:val="none"/>
    </w:rPr>
  </w:style>
  <w:style w:type="character" w:customStyle="1" w:styleId="CharCharCharCharChar">
    <w:name w:val="偶的正文 Char Char Char Char Char"/>
    <w:link w:val="CharCharChar0"/>
    <w:rsid w:val="00BD5820"/>
    <w:rPr>
      <w:sz w:val="24"/>
    </w:rPr>
  </w:style>
  <w:style w:type="paragraph" w:customStyle="1" w:styleId="CharCharChar0">
    <w:name w:val="偶的正文 Char Char Char"/>
    <w:basedOn w:val="afa"/>
    <w:link w:val="CharCharCharCharChar"/>
    <w:rsid w:val="00BD5820"/>
    <w:pPr>
      <w:spacing w:beforeLines="50" w:afterLines="50" w:line="460" w:lineRule="exact"/>
      <w:ind w:firstLineChars="200" w:firstLine="480"/>
    </w:pPr>
    <w:rPr>
      <w:sz w:val="24"/>
    </w:rPr>
  </w:style>
  <w:style w:type="character" w:customStyle="1" w:styleId="Charc">
    <w:name w:val="正文首行缩进 Char"/>
    <w:link w:val="afa"/>
    <w:rsid w:val="00BD5820"/>
  </w:style>
  <w:style w:type="character" w:customStyle="1" w:styleId="1ArialGB2312Char">
    <w:name w:val="样式 标题 1 + (西文) Arial (中文) 仿宋_GB2312 四号 Char"/>
    <w:qFormat/>
    <w:rsid w:val="00BD5820"/>
    <w:rPr>
      <w:rFonts w:ascii="Arial" w:eastAsia="仿宋_GB2312" w:hAnsi="Arial" w:cs="Arial"/>
      <w:b/>
      <w:bCs/>
      <w:color w:val="000000"/>
      <w:kern w:val="44"/>
      <w:sz w:val="32"/>
      <w:szCs w:val="44"/>
      <w:lang w:val="en-US" w:eastAsia="zh-CN" w:bidi="ar-SA"/>
    </w:rPr>
  </w:style>
  <w:style w:type="character" w:customStyle="1" w:styleId="Char1">
    <w:name w:val="列表编号 Char"/>
    <w:link w:val="a7"/>
    <w:rsid w:val="00BD5820"/>
    <w:rPr>
      <w:rFonts w:eastAsia="宋体"/>
    </w:rPr>
  </w:style>
  <w:style w:type="character" w:customStyle="1" w:styleId="Char12">
    <w:name w:val="正文文本缩进 Char1"/>
    <w:rsid w:val="00BD5820"/>
    <w:rPr>
      <w:rFonts w:ascii="Arial" w:eastAsia="仿宋_GB2312" w:hAnsi="Arial" w:cs="Arial"/>
      <w:kern w:val="2"/>
      <w:sz w:val="28"/>
    </w:rPr>
  </w:style>
  <w:style w:type="character" w:customStyle="1" w:styleId="style211">
    <w:name w:val="style211"/>
    <w:rsid w:val="00BD5820"/>
    <w:rPr>
      <w:rFonts w:ascii="宋体" w:eastAsia="宋体" w:hAnsi="宋体" w:hint="eastAsia"/>
      <w:sz w:val="18"/>
    </w:rPr>
  </w:style>
  <w:style w:type="character" w:customStyle="1" w:styleId="2Char11">
    <w:name w:val="正文文本 2 Char1"/>
    <w:rsid w:val="00BD5820"/>
    <w:rPr>
      <w:kern w:val="2"/>
      <w:sz w:val="21"/>
    </w:rPr>
  </w:style>
  <w:style w:type="character" w:customStyle="1" w:styleId="Charf7">
    <w:name w:val="表格字体（科宏） Char"/>
    <w:rsid w:val="00BD5820"/>
    <w:rPr>
      <w:rFonts w:ascii="Arial" w:eastAsia="仿宋_GB2312" w:hAnsi="Arial" w:cs="Times New Roman"/>
      <w:kern w:val="0"/>
      <w:sz w:val="24"/>
      <w:szCs w:val="20"/>
    </w:rPr>
  </w:style>
  <w:style w:type="character" w:customStyle="1" w:styleId="h91">
    <w:name w:val="h91"/>
    <w:rsid w:val="00BD5820"/>
    <w:rPr>
      <w:color w:val="000000"/>
      <w:sz w:val="21"/>
    </w:rPr>
  </w:style>
  <w:style w:type="character" w:customStyle="1" w:styleId="CharCharChar3">
    <w:name w:val="条标题（科宏） Char Char Char"/>
    <w:rsid w:val="00BD5820"/>
    <w:rPr>
      <w:rFonts w:ascii="Arial" w:eastAsia="仿宋_GB2312" w:hAnsi="Arial"/>
      <w:sz w:val="28"/>
      <w:lang w:val="en-US" w:eastAsia="zh-CN" w:bidi="ar-SA"/>
    </w:rPr>
  </w:style>
  <w:style w:type="character" w:customStyle="1" w:styleId="CharChar11">
    <w:name w:val="Char Char1"/>
    <w:rsid w:val="00BD5820"/>
    <w:rPr>
      <w:rFonts w:eastAsia="宋体"/>
      <w:kern w:val="2"/>
      <w:sz w:val="21"/>
      <w:lang w:val="en-US" w:eastAsia="zh-CN" w:bidi="ar-SA"/>
    </w:rPr>
  </w:style>
  <w:style w:type="character" w:customStyle="1" w:styleId="1111Char">
    <w:name w:val="1.1.1.1 Char"/>
    <w:rsid w:val="00BD5820"/>
    <w:rPr>
      <w:rFonts w:ascii="Arial" w:eastAsia="黑体" w:hAnsi="Arial"/>
      <w:b/>
      <w:kern w:val="2"/>
      <w:sz w:val="28"/>
      <w:lang w:val="en-US" w:eastAsia="zh-CN"/>
    </w:rPr>
  </w:style>
  <w:style w:type="character" w:customStyle="1" w:styleId="CharChar2">
    <w:name w:val="陕西，正文 Char Char"/>
    <w:rsid w:val="00BD5820"/>
    <w:rPr>
      <w:rFonts w:eastAsia="宋体" w:cs="宋体"/>
      <w:kern w:val="2"/>
      <w:sz w:val="28"/>
      <w:lang w:val="en-US" w:eastAsia="zh-CN" w:bidi="ar-SA"/>
    </w:rPr>
  </w:style>
  <w:style w:type="character" w:customStyle="1" w:styleId="3Char">
    <w:name w:val="正文文本 3 Char"/>
    <w:link w:val="31"/>
    <w:rsid w:val="00BD5820"/>
    <w:rPr>
      <w:rFonts w:eastAsia="宋体"/>
      <w:sz w:val="16"/>
      <w:szCs w:val="16"/>
    </w:rPr>
  </w:style>
  <w:style w:type="character" w:customStyle="1" w:styleId="311">
    <w:name w:val="标题 3 字符1"/>
    <w:rsid w:val="00BD5820"/>
    <w:rPr>
      <w:rFonts w:ascii="Times New Roman" w:eastAsia="宋体" w:hAnsi="Times New Roman" w:cs="Times New Roman"/>
      <w:b/>
      <w:bCs/>
      <w:sz w:val="32"/>
      <w:szCs w:val="32"/>
    </w:rPr>
  </w:style>
  <w:style w:type="character" w:customStyle="1" w:styleId="2Char0">
    <w:name w:val="正文文本 2 Char"/>
    <w:link w:val="23"/>
    <w:rsid w:val="00BD5820"/>
    <w:rPr>
      <w:rFonts w:eastAsia="宋体"/>
    </w:rPr>
  </w:style>
  <w:style w:type="character" w:customStyle="1" w:styleId="z-Char">
    <w:name w:val="z-窗体顶端 Char"/>
    <w:link w:val="z-1"/>
    <w:rsid w:val="00BD5820"/>
    <w:rPr>
      <w:rFonts w:ascii="Arial" w:eastAsia="仿宋_GB2312" w:hAnsi="Arial" w:cs="Arial"/>
      <w:vanish/>
      <w:sz w:val="16"/>
      <w:szCs w:val="16"/>
    </w:rPr>
  </w:style>
  <w:style w:type="paragraph" w:customStyle="1" w:styleId="z-1">
    <w:name w:val="z-窗体顶端1"/>
    <w:basedOn w:val="a0"/>
    <w:next w:val="a0"/>
    <w:link w:val="z-Char"/>
    <w:rsid w:val="00BD5820"/>
    <w:pPr>
      <w:pBdr>
        <w:bottom w:val="single" w:sz="6" w:space="1" w:color="auto"/>
      </w:pBdr>
      <w:topLinePunct w:val="0"/>
      <w:adjustRightInd/>
      <w:ind w:firstLineChars="0" w:firstLine="0"/>
      <w:jc w:val="center"/>
    </w:pPr>
    <w:rPr>
      <w:rFonts w:ascii="Arial" w:eastAsia="仿宋_GB2312" w:hAnsi="Arial" w:cs="Times New Roman"/>
      <w:vanish/>
      <w:sz w:val="16"/>
      <w:szCs w:val="16"/>
    </w:rPr>
  </w:style>
  <w:style w:type="character" w:customStyle="1" w:styleId="CharChar3">
    <w:name w:val="条标题（科宏） Char Char"/>
    <w:qFormat/>
    <w:rsid w:val="00BD5820"/>
    <w:rPr>
      <w:rFonts w:ascii="Arial" w:eastAsia="仿宋_GB2312" w:hAnsi="Arial"/>
      <w:kern w:val="2"/>
      <w:sz w:val="28"/>
      <w:szCs w:val="36"/>
      <w:lang w:val="en-US" w:eastAsia="zh-CN" w:bidi="ar-SA"/>
    </w:rPr>
  </w:style>
  <w:style w:type="character" w:customStyle="1" w:styleId="space201">
    <w:name w:val="space201"/>
    <w:basedOn w:val="a2"/>
    <w:qFormat/>
    <w:rsid w:val="00BD5820"/>
  </w:style>
  <w:style w:type="character" w:customStyle="1" w:styleId="3Char4">
    <w:name w:val="标题 3 Char"/>
    <w:qFormat/>
    <w:rsid w:val="00BD5820"/>
    <w:rPr>
      <w:rFonts w:ascii="Arial" w:eastAsia="宋体" w:hAnsi="Arial"/>
      <w:bCs/>
      <w:kern w:val="2"/>
      <w:position w:val="-30"/>
      <w:sz w:val="28"/>
      <w:szCs w:val="32"/>
      <w:lang w:val="en-US" w:eastAsia="zh-CN" w:bidi="ar-SA"/>
    </w:rPr>
  </w:style>
  <w:style w:type="character" w:customStyle="1" w:styleId="3Char0">
    <w:name w:val="正文文本缩进 3 Char"/>
    <w:link w:val="34"/>
    <w:qFormat/>
    <w:rsid w:val="00BD5820"/>
    <w:rPr>
      <w:rFonts w:eastAsia="宋体"/>
      <w:sz w:val="16"/>
      <w:szCs w:val="16"/>
    </w:rPr>
  </w:style>
  <w:style w:type="character" w:customStyle="1" w:styleId="CharCharChar4">
    <w:name w:val="Char Char Char"/>
    <w:link w:val="Charf8"/>
    <w:qFormat/>
    <w:rsid w:val="00BD5820"/>
    <w:rPr>
      <w:rFonts w:eastAsia="宋体"/>
    </w:rPr>
  </w:style>
  <w:style w:type="paragraph" w:customStyle="1" w:styleId="Charf8">
    <w:name w:val="Char"/>
    <w:basedOn w:val="a0"/>
    <w:link w:val="CharCharChar4"/>
    <w:qFormat/>
    <w:rsid w:val="00BD5820"/>
    <w:pPr>
      <w:topLinePunct w:val="0"/>
      <w:adjustRightInd/>
      <w:spacing w:line="240" w:lineRule="auto"/>
      <w:ind w:firstLineChars="0" w:firstLine="0"/>
    </w:pPr>
    <w:rPr>
      <w:rFonts w:ascii="Calibri" w:hAnsi="Calibri" w:cs="Times New Roman"/>
      <w:sz w:val="20"/>
      <w:szCs w:val="20"/>
    </w:rPr>
  </w:style>
  <w:style w:type="character" w:customStyle="1" w:styleId="CharCharChar5">
    <w:name w:val="表格字体（科宏） Char Char Char"/>
    <w:qFormat/>
    <w:rsid w:val="00BD5820"/>
    <w:rPr>
      <w:rFonts w:ascii="Arial" w:eastAsia="仿宋_GB2312" w:hAnsi="Arial" w:cs="Times New Roman"/>
      <w:kern w:val="0"/>
      <w:sz w:val="24"/>
      <w:szCs w:val="20"/>
    </w:rPr>
  </w:style>
  <w:style w:type="character" w:customStyle="1" w:styleId="afff6">
    <w:name w:val="正文缩进 字符"/>
    <w:qFormat/>
    <w:rsid w:val="00BD5820"/>
    <w:rPr>
      <w:rFonts w:eastAsia="宋体"/>
      <w:kern w:val="2"/>
      <w:sz w:val="21"/>
      <w:lang w:val="en-US" w:eastAsia="zh-CN" w:bidi="ar-SA"/>
    </w:rPr>
  </w:style>
  <w:style w:type="character" w:customStyle="1" w:styleId="1234">
    <w:name w:val="正文1234"/>
    <w:qFormat/>
    <w:rsid w:val="00BD5820"/>
    <w:rPr>
      <w:sz w:val="28"/>
    </w:rPr>
  </w:style>
  <w:style w:type="character" w:customStyle="1" w:styleId="CharChar4">
    <w:name w:val="总院 Char Char"/>
    <w:link w:val="afff7"/>
    <w:qFormat/>
    <w:rsid w:val="00BD5820"/>
    <w:rPr>
      <w:rFonts w:ascii="宋体" w:eastAsia="宋体" w:hAnsi="宋体"/>
      <w:sz w:val="28"/>
      <w:lang w:val="ru-RU"/>
    </w:rPr>
  </w:style>
  <w:style w:type="paragraph" w:customStyle="1" w:styleId="afff7">
    <w:name w:val="总院"/>
    <w:basedOn w:val="a0"/>
    <w:link w:val="CharChar4"/>
    <w:qFormat/>
    <w:rsid w:val="00BD5820"/>
    <w:pPr>
      <w:topLinePunct w:val="0"/>
      <w:adjustRightInd/>
      <w:snapToGrid w:val="0"/>
      <w:spacing w:line="300" w:lineRule="auto"/>
      <w:ind w:firstLine="560"/>
    </w:pPr>
    <w:rPr>
      <w:rFonts w:hAnsi="宋体" w:cs="Times New Roman"/>
      <w:sz w:val="28"/>
      <w:szCs w:val="20"/>
      <w:lang w:val="ru-RU"/>
    </w:rPr>
  </w:style>
  <w:style w:type="character" w:customStyle="1" w:styleId="4Char2">
    <w:name w:val="标题 4 Char2"/>
    <w:qFormat/>
    <w:rsid w:val="00BD5820"/>
    <w:rPr>
      <w:rFonts w:ascii="Arial" w:eastAsia="仿宋_GB2312" w:hAnsi="Arial"/>
      <w:kern w:val="2"/>
      <w:sz w:val="28"/>
      <w:szCs w:val="28"/>
      <w:lang w:val="en-US" w:eastAsia="zh-CN" w:bidi="ar-SA"/>
    </w:rPr>
  </w:style>
  <w:style w:type="character" w:customStyle="1" w:styleId="CharChar5">
    <w:name w:val="马学海内容 Char Char"/>
    <w:link w:val="afff8"/>
    <w:qFormat/>
    <w:rsid w:val="00BD5820"/>
    <w:rPr>
      <w:rFonts w:ascii="新宋体" w:eastAsia="宋体" w:hAnsi="新宋体"/>
      <w:kern w:val="44"/>
      <w:sz w:val="24"/>
      <w:szCs w:val="24"/>
    </w:rPr>
  </w:style>
  <w:style w:type="paragraph" w:customStyle="1" w:styleId="afff8">
    <w:name w:val="马学海内容"/>
    <w:basedOn w:val="a0"/>
    <w:link w:val="CharChar5"/>
    <w:qFormat/>
    <w:rsid w:val="00BD5820"/>
    <w:pPr>
      <w:tabs>
        <w:tab w:val="left" w:pos="5725"/>
        <w:tab w:val="left" w:pos="5880"/>
      </w:tabs>
      <w:topLinePunct w:val="0"/>
      <w:adjustRightInd/>
    </w:pPr>
    <w:rPr>
      <w:rFonts w:ascii="新宋体" w:hAnsi="新宋体" w:cs="Times New Roman"/>
      <w:kern w:val="44"/>
    </w:rPr>
  </w:style>
  <w:style w:type="character" w:customStyle="1" w:styleId="Char21">
    <w:name w:val="正文缩进 Char2"/>
    <w:qFormat/>
    <w:rsid w:val="00BD5820"/>
    <w:rPr>
      <w:rFonts w:eastAsia="宋体"/>
      <w:kern w:val="2"/>
      <w:sz w:val="21"/>
      <w:lang w:val="en-US" w:eastAsia="zh-CN" w:bidi="ar-SA"/>
    </w:rPr>
  </w:style>
  <w:style w:type="character" w:customStyle="1" w:styleId="1ArialGB2312CharChar">
    <w:name w:val="样式 标题 1 + (西文) Arial (中文) 仿宋_GB2312 四号 Char Char"/>
    <w:link w:val="1ArialGB2312"/>
    <w:qFormat/>
    <w:rsid w:val="00BD5820"/>
    <w:rPr>
      <w:rFonts w:ascii="Arial" w:eastAsia="仿宋_GB2312" w:hAnsi="Arial" w:cs="Arial"/>
      <w:b/>
      <w:bCs/>
      <w:color w:val="000000"/>
      <w:kern w:val="44"/>
      <w:sz w:val="32"/>
      <w:szCs w:val="44"/>
    </w:rPr>
  </w:style>
  <w:style w:type="paragraph" w:customStyle="1" w:styleId="1ArialGB2312">
    <w:name w:val="样式 标题 1 + (西文) Arial (中文) 仿宋_GB2312 四号"/>
    <w:basedOn w:val="1"/>
    <w:link w:val="1ArialGB2312CharChar"/>
    <w:qFormat/>
    <w:rsid w:val="00BD5820"/>
    <w:pPr>
      <w:pageBreakBefore/>
      <w:topLinePunct w:val="0"/>
      <w:adjustRightInd/>
      <w:spacing w:beforeLines="50" w:afterLines="50"/>
      <w:jc w:val="center"/>
    </w:pPr>
    <w:rPr>
      <w:rFonts w:ascii="Arial" w:eastAsia="仿宋_GB2312" w:hAnsi="Arial"/>
      <w:bCs/>
      <w:color w:val="000000"/>
    </w:rPr>
  </w:style>
  <w:style w:type="character" w:customStyle="1" w:styleId="3CharChar">
    <w:name w:val="3级标题 Char Char"/>
    <w:link w:val="36"/>
    <w:qFormat/>
    <w:rsid w:val="00BD5820"/>
    <w:rPr>
      <w:rFonts w:eastAsia="黑体"/>
      <w:sz w:val="24"/>
    </w:rPr>
  </w:style>
  <w:style w:type="paragraph" w:customStyle="1" w:styleId="36">
    <w:name w:val="3级标题"/>
    <w:basedOn w:val="a0"/>
    <w:link w:val="3CharChar"/>
    <w:qFormat/>
    <w:rsid w:val="00BD5820"/>
    <w:pPr>
      <w:topLinePunct w:val="0"/>
      <w:adjustRightInd/>
      <w:ind w:firstLineChars="0" w:firstLine="0"/>
    </w:pPr>
    <w:rPr>
      <w:rFonts w:ascii="Calibri" w:eastAsia="黑体" w:hAnsi="Calibri" w:cs="Times New Roman"/>
      <w:szCs w:val="20"/>
    </w:rPr>
  </w:style>
  <w:style w:type="character" w:customStyle="1" w:styleId="1Char3">
    <w:name w:val="标题 1 Char3"/>
    <w:qFormat/>
    <w:rsid w:val="00BD5820"/>
    <w:rPr>
      <w:rFonts w:eastAsia="宋体"/>
      <w:b/>
      <w:bCs/>
      <w:kern w:val="44"/>
      <w:sz w:val="44"/>
      <w:szCs w:val="44"/>
      <w:lang w:val="en-US" w:eastAsia="zh-CN" w:bidi="ar-SA"/>
    </w:rPr>
  </w:style>
  <w:style w:type="character" w:customStyle="1" w:styleId="4111CharChar">
    <w:name w:val="马学海4.1.1.1 Char Char"/>
    <w:link w:val="4111"/>
    <w:qFormat/>
    <w:rsid w:val="00BD5820"/>
    <w:rPr>
      <w:rFonts w:ascii="Arial" w:hAnsi="Arial"/>
      <w:b/>
      <w:bCs/>
      <w:sz w:val="24"/>
      <w:szCs w:val="24"/>
    </w:rPr>
  </w:style>
  <w:style w:type="paragraph" w:customStyle="1" w:styleId="4111">
    <w:name w:val="马学海4.1.1.1"/>
    <w:basedOn w:val="4"/>
    <w:next w:val="afff8"/>
    <w:link w:val="4111CharChar"/>
    <w:qFormat/>
    <w:rsid w:val="00BD5820"/>
    <w:pPr>
      <w:keepNext/>
      <w:keepLines/>
      <w:widowControl w:val="0"/>
      <w:numPr>
        <w:ilvl w:val="3"/>
        <w:numId w:val="1"/>
      </w:numPr>
      <w:tabs>
        <w:tab w:val="left" w:pos="2585"/>
      </w:tabs>
      <w:adjustRightInd/>
      <w:snapToGrid/>
      <w:spacing w:before="156" w:afterLines="50" w:line="360" w:lineRule="auto"/>
      <w:ind w:left="1133"/>
    </w:pPr>
    <w:rPr>
      <w:b/>
      <w:bCs/>
      <w:kern w:val="0"/>
      <w:sz w:val="24"/>
      <w:szCs w:val="24"/>
    </w:rPr>
  </w:style>
  <w:style w:type="character" w:customStyle="1" w:styleId="CharChar6">
    <w:name w:val="表格字体（科宏） Char Char"/>
    <w:link w:val="afff9"/>
    <w:qFormat/>
    <w:rsid w:val="00BD5820"/>
    <w:rPr>
      <w:rFonts w:ascii="Arial" w:eastAsia="仿宋_GB2312" w:hAnsi="Arial"/>
      <w:sz w:val="28"/>
    </w:rPr>
  </w:style>
  <w:style w:type="paragraph" w:customStyle="1" w:styleId="afff9">
    <w:name w:val="表格字体（科宏）"/>
    <w:basedOn w:val="afffa"/>
    <w:link w:val="CharChar6"/>
    <w:qFormat/>
    <w:rsid w:val="00BD5820"/>
    <w:pPr>
      <w:jc w:val="center"/>
    </w:pPr>
    <w:rPr>
      <w:sz w:val="28"/>
    </w:rPr>
  </w:style>
  <w:style w:type="paragraph" w:customStyle="1" w:styleId="afffa">
    <w:name w:val="正文（科宏）"/>
    <w:link w:val="CharChar7"/>
    <w:qFormat/>
    <w:rsid w:val="00BD5820"/>
    <w:pPr>
      <w:jc w:val="both"/>
    </w:pPr>
    <w:rPr>
      <w:rFonts w:ascii="Arial" w:eastAsia="仿宋_GB2312" w:hAnsi="Arial"/>
    </w:rPr>
  </w:style>
  <w:style w:type="character" w:customStyle="1" w:styleId="CharChar7">
    <w:name w:val="正文（科宏） Char Char"/>
    <w:link w:val="afffa"/>
    <w:qFormat/>
    <w:rsid w:val="00BD5820"/>
    <w:rPr>
      <w:rFonts w:ascii="Arial" w:eastAsia="仿宋_GB2312" w:hAnsi="Arial"/>
      <w:lang w:val="en-US" w:eastAsia="zh-CN" w:bidi="ar-SA"/>
    </w:rPr>
  </w:style>
  <w:style w:type="character" w:customStyle="1" w:styleId="1CharCharChar1">
    <w:name w:val="标题 1 宋体 三号 Char Char Char1"/>
    <w:qFormat/>
    <w:rsid w:val="00BD5820"/>
    <w:rPr>
      <w:rFonts w:ascii="宋体" w:eastAsia="宋体" w:hAnsi="宋体"/>
      <w:b/>
      <w:kern w:val="44"/>
      <w:position w:val="-30"/>
      <w:sz w:val="32"/>
      <w:lang w:val="en-US" w:eastAsia="zh-CN"/>
    </w:rPr>
  </w:style>
  <w:style w:type="character" w:customStyle="1" w:styleId="CharChar20">
    <w:name w:val="Char Char2"/>
    <w:qFormat/>
    <w:rsid w:val="00BD5820"/>
    <w:rPr>
      <w:kern w:val="2"/>
      <w:sz w:val="21"/>
      <w:szCs w:val="18"/>
    </w:rPr>
  </w:style>
  <w:style w:type="character" w:customStyle="1" w:styleId="Char13">
    <w:name w:val="正文文本 Char1"/>
    <w:qFormat/>
    <w:rsid w:val="00BD5820"/>
    <w:rPr>
      <w:kern w:val="2"/>
      <w:sz w:val="21"/>
    </w:rPr>
  </w:style>
  <w:style w:type="character" w:customStyle="1" w:styleId="CharChar17">
    <w:name w:val="Char Char17"/>
    <w:qFormat/>
    <w:rsid w:val="00BD5820"/>
    <w:rPr>
      <w:rFonts w:ascii="Times New Roman" w:hAnsi="Times New Roman"/>
      <w:b/>
      <w:kern w:val="2"/>
      <w:sz w:val="24"/>
    </w:rPr>
  </w:style>
  <w:style w:type="character" w:customStyle="1" w:styleId="53">
    <w:name w:val="样式5"/>
    <w:qFormat/>
    <w:rsid w:val="00BD5820"/>
    <w:rPr>
      <w:b/>
      <w:sz w:val="32"/>
    </w:rPr>
  </w:style>
  <w:style w:type="character" w:customStyle="1" w:styleId="HTMLChar1">
    <w:name w:val="HTML 预设格式 Char1"/>
    <w:qFormat/>
    <w:rsid w:val="00BD5820"/>
    <w:rPr>
      <w:rFonts w:ascii="Courier New" w:hAnsi="Courier New" w:cs="Courier New"/>
      <w:kern w:val="2"/>
    </w:rPr>
  </w:style>
  <w:style w:type="character" w:customStyle="1" w:styleId="text2">
    <w:name w:val="text2"/>
    <w:basedOn w:val="a2"/>
    <w:qFormat/>
    <w:rsid w:val="00BD5820"/>
  </w:style>
  <w:style w:type="character" w:customStyle="1" w:styleId="CharChar8">
    <w:name w:val="款正文（科宏） Char Char"/>
    <w:link w:val="afffb"/>
    <w:qFormat/>
    <w:rsid w:val="00BD5820"/>
    <w:rPr>
      <w:rFonts w:ascii="Arial" w:eastAsia="仿宋_GB2312" w:hAnsi="Arial"/>
      <w:sz w:val="28"/>
      <w:lang w:val="en-US" w:eastAsia="zh-CN" w:bidi="ar-SA"/>
    </w:rPr>
  </w:style>
  <w:style w:type="paragraph" w:customStyle="1" w:styleId="afffb">
    <w:name w:val="款正文（科宏）"/>
    <w:next w:val="afffa"/>
    <w:link w:val="CharChar8"/>
    <w:qFormat/>
    <w:rsid w:val="00BD5820"/>
    <w:pPr>
      <w:widowControl w:val="0"/>
      <w:tabs>
        <w:tab w:val="left" w:pos="927"/>
      </w:tabs>
      <w:spacing w:line="360" w:lineRule="auto"/>
      <w:ind w:firstLine="567"/>
      <w:jc w:val="both"/>
    </w:pPr>
    <w:rPr>
      <w:rFonts w:ascii="Arial" w:eastAsia="仿宋_GB2312" w:hAnsi="Arial"/>
      <w:sz w:val="28"/>
    </w:rPr>
  </w:style>
  <w:style w:type="character" w:customStyle="1" w:styleId="CharChar9">
    <w:name w:val="我的图表标题 Char Char"/>
    <w:link w:val="afffc"/>
    <w:qFormat/>
    <w:rsid w:val="00BD5820"/>
    <w:rPr>
      <w:rFonts w:ascii="Arial" w:eastAsia="仿宋_GB2312" w:hAnsi="Arial" w:cs="Arial"/>
      <w:bCs/>
      <w:sz w:val="28"/>
      <w:szCs w:val="28"/>
    </w:rPr>
  </w:style>
  <w:style w:type="paragraph" w:customStyle="1" w:styleId="afffc">
    <w:name w:val="我的图表标题"/>
    <w:basedOn w:val="ad"/>
    <w:link w:val="CharChar9"/>
    <w:qFormat/>
    <w:rsid w:val="00BD5820"/>
    <w:pPr>
      <w:spacing w:after="0" w:line="360" w:lineRule="auto"/>
      <w:ind w:leftChars="0" w:left="0"/>
    </w:pPr>
    <w:rPr>
      <w:rFonts w:ascii="Arial" w:eastAsia="仿宋_GB2312" w:hAnsi="Arial"/>
      <w:bCs/>
      <w:kern w:val="0"/>
      <w:sz w:val="28"/>
      <w:szCs w:val="28"/>
    </w:rPr>
  </w:style>
  <w:style w:type="character" w:customStyle="1" w:styleId="Char5">
    <w:name w:val="正文文本缩进 Char"/>
    <w:basedOn w:val="a2"/>
    <w:link w:val="ad"/>
    <w:qFormat/>
    <w:rsid w:val="00BD5820"/>
    <w:rPr>
      <w:rFonts w:ascii="Times New Roman" w:eastAsia="宋体" w:hAnsi="Times New Roman" w:cs="Times New Roman"/>
      <w:kern w:val="2"/>
      <w:sz w:val="21"/>
      <w:szCs w:val="24"/>
    </w:rPr>
  </w:style>
  <w:style w:type="character" w:customStyle="1" w:styleId="CharChara">
    <w:name w:val="(页眉)科宏 Char Char"/>
    <w:qFormat/>
    <w:rsid w:val="00BD5820"/>
    <w:rPr>
      <w:rFonts w:ascii="Arial" w:eastAsia="仿宋_GB2312" w:hAnsi="Arial"/>
      <w:sz w:val="21"/>
    </w:rPr>
  </w:style>
  <w:style w:type="character" w:customStyle="1" w:styleId="11Char1">
    <w:name w:val="1.1 Char1"/>
    <w:qFormat/>
    <w:rsid w:val="00BD5820"/>
    <w:rPr>
      <w:rFonts w:ascii="Arial" w:eastAsia="宋体" w:hAnsi="Arial"/>
      <w:b/>
      <w:bCs/>
      <w:kern w:val="2"/>
      <w:sz w:val="28"/>
      <w:szCs w:val="28"/>
      <w:lang w:val="en-US" w:eastAsia="zh-CN" w:bidi="ar-SA"/>
    </w:rPr>
  </w:style>
  <w:style w:type="character" w:customStyle="1" w:styleId="CharCharCharChar">
    <w:name w:val="条标题（科宏） Char Char Char Char"/>
    <w:link w:val="afffd"/>
    <w:qFormat/>
    <w:rsid w:val="00BD5820"/>
    <w:rPr>
      <w:rFonts w:ascii="Arial" w:eastAsia="仿宋_GB2312" w:hAnsi="Arial"/>
      <w:sz w:val="28"/>
      <w:lang w:val="en-US" w:eastAsia="zh-CN" w:bidi="ar-SA"/>
    </w:rPr>
  </w:style>
  <w:style w:type="paragraph" w:customStyle="1" w:styleId="afffd">
    <w:name w:val="条标题（科宏）"/>
    <w:next w:val="a0"/>
    <w:link w:val="CharCharCharChar"/>
    <w:qFormat/>
    <w:rsid w:val="00BD5820"/>
    <w:pPr>
      <w:widowControl w:val="0"/>
      <w:spacing w:line="360" w:lineRule="auto"/>
      <w:jc w:val="both"/>
      <w:outlineLvl w:val="2"/>
    </w:pPr>
    <w:rPr>
      <w:rFonts w:ascii="Arial" w:eastAsia="仿宋_GB2312" w:hAnsi="Arial"/>
      <w:sz w:val="28"/>
    </w:rPr>
  </w:style>
  <w:style w:type="character" w:customStyle="1" w:styleId="CharCharb">
    <w:name w:val="偶的正文 Char Char"/>
    <w:link w:val="afffe"/>
    <w:qFormat/>
    <w:rsid w:val="00BD5820"/>
    <w:rPr>
      <w:rFonts w:ascii="仿宋_GB2312" w:eastAsia="仿宋_GB2312" w:cs="Arial"/>
      <w:sz w:val="28"/>
      <w:szCs w:val="28"/>
    </w:rPr>
  </w:style>
  <w:style w:type="paragraph" w:customStyle="1" w:styleId="afffe">
    <w:name w:val="偶的正文"/>
    <w:basedOn w:val="afa"/>
    <w:link w:val="CharCharb"/>
    <w:qFormat/>
    <w:rsid w:val="00BD5820"/>
    <w:pPr>
      <w:spacing w:after="0" w:line="360" w:lineRule="auto"/>
      <w:ind w:firstLineChars="200" w:firstLine="560"/>
    </w:pPr>
    <w:rPr>
      <w:rFonts w:ascii="仿宋_GB2312" w:eastAsia="仿宋_GB2312"/>
      <w:sz w:val="28"/>
      <w:szCs w:val="28"/>
    </w:rPr>
  </w:style>
  <w:style w:type="character" w:customStyle="1" w:styleId="CharCharc">
    <w:name w:val="文本一 Char Char"/>
    <w:link w:val="affff"/>
    <w:qFormat/>
    <w:rsid w:val="00BD5820"/>
    <w:rPr>
      <w:rFonts w:eastAsia="仿宋_GB2312"/>
      <w:sz w:val="24"/>
    </w:rPr>
  </w:style>
  <w:style w:type="paragraph" w:customStyle="1" w:styleId="affff">
    <w:name w:val="文本一"/>
    <w:basedOn w:val="a1"/>
    <w:link w:val="CharCharc"/>
    <w:qFormat/>
    <w:rsid w:val="00BD5820"/>
    <w:pPr>
      <w:topLinePunct w:val="0"/>
      <w:adjustRightInd/>
    </w:pPr>
    <w:rPr>
      <w:rFonts w:ascii="Calibri" w:eastAsia="仿宋_GB2312" w:hAnsi="Calibri" w:cs="Times New Roman"/>
      <w:szCs w:val="20"/>
    </w:rPr>
  </w:style>
  <w:style w:type="character" w:customStyle="1" w:styleId="CharChard">
    <w:name w:val="无节款 Char Char"/>
    <w:qFormat/>
    <w:rsid w:val="00BD5820"/>
    <w:rPr>
      <w:rFonts w:ascii="Arial" w:hAnsi="Arial"/>
      <w:b/>
      <w:spacing w:val="-4"/>
      <w:kern w:val="20"/>
      <w:sz w:val="18"/>
    </w:rPr>
  </w:style>
  <w:style w:type="character" w:customStyle="1" w:styleId="Char22">
    <w:name w:val="标题 Char2"/>
    <w:qFormat/>
    <w:rsid w:val="00BD5820"/>
    <w:rPr>
      <w:rFonts w:ascii="Cambria" w:hAnsi="Cambria" w:cs="Times New Roman"/>
      <w:b/>
      <w:bCs/>
      <w:kern w:val="2"/>
      <w:sz w:val="32"/>
      <w:szCs w:val="32"/>
    </w:rPr>
  </w:style>
  <w:style w:type="character" w:customStyle="1" w:styleId="Charf9">
    <w:name w:val="款正文（科宏） Char"/>
    <w:qFormat/>
    <w:rsid w:val="00BD5820"/>
    <w:rPr>
      <w:rFonts w:ascii="Arial" w:eastAsia="仿宋_GB2312" w:hAnsi="Arial"/>
      <w:sz w:val="28"/>
      <w:lang w:val="en-US" w:eastAsia="zh-CN" w:bidi="ar-SA"/>
    </w:rPr>
  </w:style>
  <w:style w:type="character" w:customStyle="1" w:styleId="4CharChar">
    <w:name w:val="样式 标题 4 + (符号) 宋体 小四 非加粗 两端对齐 Char Char"/>
    <w:qFormat/>
    <w:rsid w:val="00BD5820"/>
    <w:rPr>
      <w:rFonts w:eastAsia="宋体"/>
      <w:kern w:val="2"/>
      <w:sz w:val="21"/>
      <w:lang w:val="en-US" w:eastAsia="zh-CN"/>
    </w:rPr>
  </w:style>
  <w:style w:type="character" w:customStyle="1" w:styleId="2Char2">
    <w:name w:val="正文首行缩进 2 Char"/>
    <w:link w:val="25"/>
    <w:qFormat/>
    <w:rsid w:val="00BD5820"/>
    <w:rPr>
      <w:rFonts w:ascii="Arial" w:eastAsia="宋体" w:hAnsi="Arial" w:cs="Arial"/>
    </w:rPr>
  </w:style>
  <w:style w:type="character" w:customStyle="1" w:styleId="style21">
    <w:name w:val="style21"/>
    <w:qFormat/>
    <w:rsid w:val="00BD5820"/>
    <w:rPr>
      <w:sz w:val="40"/>
    </w:rPr>
  </w:style>
  <w:style w:type="character" w:customStyle="1" w:styleId="11CharChar">
    <w:name w:val="1.1 Char Char"/>
    <w:qFormat/>
    <w:rsid w:val="00BD5820"/>
    <w:rPr>
      <w:rFonts w:ascii="Arial" w:eastAsia="黑体" w:hAnsi="Arial"/>
      <w:b/>
      <w:kern w:val="2"/>
      <w:sz w:val="32"/>
      <w:lang w:val="en-US" w:eastAsia="zh-CN"/>
    </w:rPr>
  </w:style>
  <w:style w:type="character" w:customStyle="1" w:styleId="2CharCharChar">
    <w:name w:val="标题 2 Char Char Char"/>
    <w:qFormat/>
    <w:rsid w:val="00BD5820"/>
    <w:rPr>
      <w:rFonts w:ascii="黑体" w:eastAsia="黑体" w:hAnsi="宋体"/>
      <w:b/>
      <w:bCs/>
      <w:kern w:val="2"/>
      <w:sz w:val="32"/>
      <w:szCs w:val="32"/>
      <w:lang w:val="en-US" w:eastAsia="zh-CN" w:bidi="ar-SA"/>
    </w:rPr>
  </w:style>
  <w:style w:type="character" w:customStyle="1" w:styleId="xl26CharChar">
    <w:name w:val="xl26 Char Char"/>
    <w:link w:val="xl26"/>
    <w:qFormat/>
    <w:rsid w:val="00BD5820"/>
    <w:rPr>
      <w:rFonts w:ascii="Arial Unicode MS" w:eastAsia="Arial Unicode MS" w:hAnsi="Arial Unicode MS"/>
      <w:sz w:val="24"/>
      <w:szCs w:val="24"/>
    </w:rPr>
  </w:style>
  <w:style w:type="paragraph" w:customStyle="1" w:styleId="xl26">
    <w:name w:val="xl26"/>
    <w:basedOn w:val="a0"/>
    <w:link w:val="xl26CharChar"/>
    <w:qFormat/>
    <w:rsid w:val="00BD5820"/>
    <w:pPr>
      <w:widowControl/>
      <w:topLinePunct w:val="0"/>
      <w:adjustRightInd/>
      <w:spacing w:before="100" w:beforeAutospacing="1" w:after="100" w:afterAutospacing="1" w:line="240" w:lineRule="auto"/>
      <w:ind w:firstLineChars="0" w:firstLine="0"/>
      <w:jc w:val="center"/>
    </w:pPr>
    <w:rPr>
      <w:rFonts w:ascii="Arial Unicode MS" w:eastAsia="Arial Unicode MS" w:hAnsi="Arial Unicode MS" w:cs="Times New Roman"/>
    </w:rPr>
  </w:style>
  <w:style w:type="character" w:customStyle="1" w:styleId="114CharChar">
    <w:name w:val="样式 标题 1 + 两端对齐 行距: 多倍行距 1.4 字行 Char Char"/>
    <w:link w:val="114"/>
    <w:qFormat/>
    <w:rsid w:val="00BD5820"/>
    <w:rPr>
      <w:rFonts w:ascii="宋体" w:eastAsia="黑体" w:hAnsi="宋体"/>
      <w:b/>
      <w:kern w:val="44"/>
      <w:position w:val="-30"/>
      <w:sz w:val="28"/>
    </w:rPr>
  </w:style>
  <w:style w:type="paragraph" w:customStyle="1" w:styleId="114">
    <w:name w:val="样式 标题 1 + 两端对齐 行距: 多倍行距 1.4 字行"/>
    <w:basedOn w:val="1"/>
    <w:link w:val="114CharChar"/>
    <w:qFormat/>
    <w:rsid w:val="00BD5820"/>
    <w:pPr>
      <w:topLinePunct w:val="0"/>
      <w:snapToGrid w:val="0"/>
      <w:spacing w:before="120" w:beforeAutospacing="0" w:after="120" w:afterAutospacing="0"/>
      <w:ind w:left="240" w:right="240"/>
      <w:jc w:val="center"/>
      <w:textAlignment w:val="baseline"/>
    </w:pPr>
    <w:rPr>
      <w:rFonts w:ascii="宋体" w:eastAsia="黑体" w:hAnsi="宋体"/>
      <w:position w:val="-30"/>
      <w:sz w:val="28"/>
      <w:szCs w:val="20"/>
    </w:rPr>
  </w:style>
  <w:style w:type="character" w:customStyle="1" w:styleId="Charfa">
    <w:name w:val="正文（科宏） Char"/>
    <w:qFormat/>
    <w:rsid w:val="00BD5820"/>
    <w:rPr>
      <w:rFonts w:ascii="Arial" w:eastAsia="仿宋_GB2312" w:hAnsi="Arial"/>
      <w:sz w:val="28"/>
      <w:lang w:val="en-US" w:eastAsia="zh-CN" w:bidi="ar-SA"/>
    </w:rPr>
  </w:style>
  <w:style w:type="character" w:customStyle="1" w:styleId="111">
    <w:name w:val="标题 1 字符1"/>
    <w:qFormat/>
    <w:rsid w:val="00BD5820"/>
    <w:rPr>
      <w:rFonts w:ascii="Times New Roman" w:eastAsia="宋体" w:hAnsi="Times New Roman" w:cs="Times New Roman"/>
      <w:b/>
      <w:bCs/>
      <w:kern w:val="44"/>
      <w:sz w:val="44"/>
      <w:szCs w:val="44"/>
    </w:rPr>
  </w:style>
  <w:style w:type="character" w:customStyle="1" w:styleId="2Char3">
    <w:name w:val="章2 Char"/>
    <w:link w:val="26"/>
    <w:qFormat/>
    <w:rsid w:val="00BD5820"/>
    <w:rPr>
      <w:rFonts w:ascii="Arial" w:hAnsi="Arial"/>
      <w:b/>
      <w:bCs/>
      <w:sz w:val="24"/>
      <w:szCs w:val="21"/>
      <w:lang w:val="en-US" w:eastAsia="zh-CN" w:bidi="ar-SA"/>
    </w:rPr>
  </w:style>
  <w:style w:type="paragraph" w:customStyle="1" w:styleId="26">
    <w:name w:val="章2"/>
    <w:link w:val="2Char3"/>
    <w:qFormat/>
    <w:rsid w:val="00BD5820"/>
    <w:pPr>
      <w:spacing w:before="50" w:after="50" w:line="360" w:lineRule="auto"/>
      <w:jc w:val="center"/>
      <w:outlineLvl w:val="0"/>
    </w:pPr>
    <w:rPr>
      <w:rFonts w:ascii="Arial" w:hAnsi="Arial"/>
      <w:b/>
      <w:bCs/>
      <w:sz w:val="24"/>
      <w:szCs w:val="21"/>
    </w:rPr>
  </w:style>
  <w:style w:type="character" w:customStyle="1" w:styleId="3Char20">
    <w:name w:val="标题 3 Char2"/>
    <w:qFormat/>
    <w:rsid w:val="00BD5820"/>
    <w:rPr>
      <w:rFonts w:eastAsia="宋体"/>
      <w:b/>
      <w:kern w:val="2"/>
      <w:sz w:val="32"/>
      <w:lang w:val="en-US" w:eastAsia="zh-CN"/>
    </w:rPr>
  </w:style>
  <w:style w:type="character" w:customStyle="1" w:styleId="3Char5">
    <w:name w:val="3级标题 Char"/>
    <w:qFormat/>
    <w:rsid w:val="00BD5820"/>
    <w:rPr>
      <w:rFonts w:eastAsia="黑体"/>
      <w:kern w:val="2"/>
      <w:sz w:val="24"/>
      <w:szCs w:val="24"/>
      <w:lang w:val="en-US" w:eastAsia="zh-CN" w:bidi="ar-SA"/>
    </w:rPr>
  </w:style>
  <w:style w:type="character" w:customStyle="1" w:styleId="t13l14green1">
    <w:name w:val="t13l14green1"/>
    <w:qFormat/>
    <w:rsid w:val="00BD5820"/>
    <w:rPr>
      <w:color w:val="008484"/>
      <w:sz w:val="21"/>
    </w:rPr>
  </w:style>
  <w:style w:type="character" w:customStyle="1" w:styleId="CharCharChar6">
    <w:name w:val="款正文（科宏） Char Char Char"/>
    <w:qFormat/>
    <w:rsid w:val="00BD5820"/>
    <w:rPr>
      <w:rFonts w:ascii="Arial" w:eastAsia="仿宋_GB2312" w:hAnsi="Arial"/>
      <w:sz w:val="28"/>
      <w:lang w:val="en-US" w:eastAsia="zh-CN" w:bidi="ar-SA"/>
    </w:rPr>
  </w:style>
  <w:style w:type="character" w:customStyle="1" w:styleId="Char14">
    <w:name w:val="标题 Char1"/>
    <w:qFormat/>
    <w:rsid w:val="00BD5820"/>
    <w:rPr>
      <w:rFonts w:ascii="Cambria" w:hAnsi="Cambria"/>
      <w:b/>
      <w:kern w:val="2"/>
      <w:sz w:val="32"/>
    </w:rPr>
  </w:style>
  <w:style w:type="character" w:customStyle="1" w:styleId="4CharCharCharCharChar">
    <w:name w:val="样式 标题 4 + (符号) 宋体 小四 非加粗 两端对齐 Char Char Char Char Char"/>
    <w:link w:val="4CharCharChar"/>
    <w:qFormat/>
    <w:rsid w:val="00BD5820"/>
    <w:rPr>
      <w:rFonts w:eastAsia="宋体"/>
    </w:rPr>
  </w:style>
  <w:style w:type="paragraph" w:customStyle="1" w:styleId="4CharCharChar">
    <w:name w:val="样式 标题 4 + (符号) 宋体 小四 非加粗 两端对齐 Char Char Char"/>
    <w:basedOn w:val="a0"/>
    <w:link w:val="4CharCharCharCharChar"/>
    <w:qFormat/>
    <w:rsid w:val="00BD5820"/>
    <w:pPr>
      <w:tabs>
        <w:tab w:val="left" w:pos="425"/>
      </w:tabs>
      <w:topLinePunct w:val="0"/>
      <w:adjustRightInd/>
      <w:spacing w:line="240" w:lineRule="auto"/>
      <w:ind w:left="360" w:firstLineChars="0" w:hanging="360"/>
    </w:pPr>
    <w:rPr>
      <w:rFonts w:ascii="Calibri" w:hAnsi="Calibri" w:cs="Times New Roman"/>
      <w:sz w:val="20"/>
      <w:szCs w:val="20"/>
    </w:rPr>
  </w:style>
  <w:style w:type="character" w:customStyle="1" w:styleId="Charfb">
    <w:name w:val="章标题（科宏） Char"/>
    <w:link w:val="a"/>
    <w:qFormat/>
    <w:rsid w:val="00BD5820"/>
    <w:rPr>
      <w:rFonts w:ascii="Arial" w:eastAsia="仿宋_GB2312" w:hAnsi="Arial"/>
      <w:b/>
      <w:sz w:val="32"/>
      <w:lang w:val="en-US" w:eastAsia="zh-CN" w:bidi="ar-SA"/>
    </w:rPr>
  </w:style>
  <w:style w:type="paragraph" w:customStyle="1" w:styleId="a">
    <w:name w:val="章标题（科宏）"/>
    <w:next w:val="afffa"/>
    <w:link w:val="Charfb"/>
    <w:qFormat/>
    <w:rsid w:val="00BD5820"/>
    <w:pPr>
      <w:pageBreakBefore/>
      <w:widowControl w:val="0"/>
      <w:numPr>
        <w:numId w:val="1"/>
      </w:numPr>
      <w:spacing w:beforeLines="50" w:afterLines="50" w:line="360" w:lineRule="auto"/>
      <w:jc w:val="center"/>
      <w:outlineLvl w:val="0"/>
    </w:pPr>
    <w:rPr>
      <w:rFonts w:ascii="Arial" w:eastAsia="仿宋_GB2312" w:hAnsi="Arial"/>
      <w:b/>
      <w:sz w:val="32"/>
    </w:rPr>
  </w:style>
  <w:style w:type="character" w:customStyle="1" w:styleId="affff0">
    <w:name w:val="正文文本缩进 字符"/>
    <w:qFormat/>
    <w:rsid w:val="00BD5820"/>
    <w:rPr>
      <w:rFonts w:ascii="Arial" w:eastAsia="仿宋_GB2312" w:hAnsi="Arial" w:cs="Arial"/>
      <w:kern w:val="2"/>
      <w:sz w:val="28"/>
      <w:lang w:val="en-US" w:eastAsia="zh-CN" w:bidi="ar-SA"/>
    </w:rPr>
  </w:style>
  <w:style w:type="character" w:customStyle="1" w:styleId="z-Char0">
    <w:name w:val="z-窗体底端 Char"/>
    <w:link w:val="z-10"/>
    <w:qFormat/>
    <w:rsid w:val="00BD5820"/>
    <w:rPr>
      <w:rFonts w:ascii="Arial" w:eastAsia="仿宋_GB2312" w:hAnsi="Arial" w:cs="Arial"/>
      <w:vanish/>
      <w:sz w:val="16"/>
      <w:szCs w:val="16"/>
    </w:rPr>
  </w:style>
  <w:style w:type="paragraph" w:customStyle="1" w:styleId="z-10">
    <w:name w:val="z-窗体底端1"/>
    <w:basedOn w:val="a0"/>
    <w:next w:val="a0"/>
    <w:link w:val="z-Char0"/>
    <w:qFormat/>
    <w:rsid w:val="00BD5820"/>
    <w:pPr>
      <w:pBdr>
        <w:top w:val="single" w:sz="6" w:space="1" w:color="auto"/>
      </w:pBdr>
      <w:topLinePunct w:val="0"/>
      <w:adjustRightInd/>
      <w:ind w:firstLineChars="0" w:firstLine="0"/>
      <w:jc w:val="center"/>
    </w:pPr>
    <w:rPr>
      <w:rFonts w:ascii="Arial" w:eastAsia="仿宋_GB2312" w:hAnsi="Arial" w:cs="Times New Roman"/>
      <w:vanish/>
      <w:sz w:val="16"/>
      <w:szCs w:val="16"/>
    </w:rPr>
  </w:style>
  <w:style w:type="character" w:customStyle="1" w:styleId="CharChar22">
    <w:name w:val="Char Char22"/>
    <w:qFormat/>
    <w:rsid w:val="00BD5820"/>
    <w:rPr>
      <w:rFonts w:eastAsia="宋体"/>
      <w:kern w:val="2"/>
      <w:sz w:val="21"/>
      <w:lang w:val="en-US" w:eastAsia="zh-CN"/>
    </w:rPr>
  </w:style>
  <w:style w:type="character" w:customStyle="1" w:styleId="CharChar27">
    <w:name w:val="Char Char27"/>
    <w:qFormat/>
    <w:rsid w:val="00BD5820"/>
    <w:rPr>
      <w:rFonts w:eastAsia="宋体"/>
      <w:b/>
      <w:bCs/>
      <w:kern w:val="2"/>
      <w:sz w:val="32"/>
      <w:szCs w:val="32"/>
      <w:lang w:val="en-US" w:eastAsia="zh-CN" w:bidi="ar-SA"/>
    </w:rPr>
  </w:style>
  <w:style w:type="character" w:customStyle="1" w:styleId="Charfc">
    <w:name w:val="(页眉)科宏 Char"/>
    <w:link w:val="affff1"/>
    <w:qFormat/>
    <w:rsid w:val="00BD5820"/>
    <w:rPr>
      <w:rFonts w:ascii="Arial" w:eastAsia="仿宋_GB2312" w:hAnsi="Arial"/>
      <w:lang w:val="en-US" w:eastAsia="zh-CN" w:bidi="ar-SA"/>
    </w:rPr>
  </w:style>
  <w:style w:type="paragraph" w:customStyle="1" w:styleId="affff1">
    <w:name w:val="(页眉)科宏"/>
    <w:link w:val="Charfc"/>
    <w:qFormat/>
    <w:rsid w:val="00BD5820"/>
    <w:rPr>
      <w:rFonts w:ascii="Arial" w:eastAsia="仿宋_GB2312" w:hAnsi="Arial"/>
    </w:rPr>
  </w:style>
  <w:style w:type="character" w:customStyle="1" w:styleId="textcontents">
    <w:name w:val="textcontents"/>
    <w:basedOn w:val="a2"/>
    <w:qFormat/>
    <w:rsid w:val="00BD5820"/>
  </w:style>
  <w:style w:type="character" w:customStyle="1" w:styleId="CharChare">
    <w:name w:val="纯文本 Char Char"/>
    <w:qFormat/>
    <w:rsid w:val="00BD5820"/>
    <w:rPr>
      <w:rFonts w:ascii="宋体" w:eastAsia="仿宋_GB2312" w:hAnsi="Courier New"/>
      <w:kern w:val="2"/>
      <w:sz w:val="28"/>
      <w:lang w:val="en-US" w:eastAsia="zh-CN" w:bidi="he-IL"/>
    </w:rPr>
  </w:style>
  <w:style w:type="character" w:customStyle="1" w:styleId="CharChar70">
    <w:name w:val="Char Char7"/>
    <w:qFormat/>
    <w:rsid w:val="00BD5820"/>
    <w:rPr>
      <w:rFonts w:ascii="Arial" w:eastAsia="仿宋_GB2312" w:hAnsi="Arial"/>
      <w:kern w:val="2"/>
      <w:sz w:val="28"/>
    </w:rPr>
  </w:style>
  <w:style w:type="character" w:customStyle="1" w:styleId="311103Level3HeadH3level3PIM3h333rdlevelCharChar">
    <w:name w:val="样式 标题 31.1.1标题03Level 3 HeadH3level_3PIM 3h333rd level... Char Char"/>
    <w:link w:val="311103Level3HeadH3level3PIM3h333rdlevel"/>
    <w:qFormat/>
    <w:rsid w:val="00BD5820"/>
    <w:rPr>
      <w:rFonts w:ascii="宋体" w:eastAsia="宋体" w:hAnsi="宋体"/>
      <w:sz w:val="24"/>
    </w:rPr>
  </w:style>
  <w:style w:type="paragraph" w:customStyle="1" w:styleId="311103Level3HeadH3level3PIM3h333rdlevel">
    <w:name w:val="样式 标题 31.1.1标题03Level 3 HeadH3level_3PIM 3h333rd level..."/>
    <w:basedOn w:val="3"/>
    <w:link w:val="311103Level3HeadH3level3PIM3h333rdlevelCharChar"/>
    <w:qFormat/>
    <w:rsid w:val="00BD5820"/>
    <w:pPr>
      <w:topLinePunct w:val="0"/>
      <w:jc w:val="left"/>
      <w:textAlignment w:val="baseline"/>
    </w:pPr>
    <w:rPr>
      <w:rFonts w:ascii="宋体" w:eastAsia="宋体" w:hAnsi="宋体"/>
      <w:b w:val="0"/>
      <w:szCs w:val="20"/>
    </w:rPr>
  </w:style>
  <w:style w:type="character" w:customStyle="1" w:styleId="2Char4">
    <w:name w:val="标题 2 Char"/>
    <w:qFormat/>
    <w:rsid w:val="00BD5820"/>
    <w:rPr>
      <w:rFonts w:ascii="Arial" w:eastAsia="黑体" w:hAnsi="Arial"/>
      <w:b/>
      <w:kern w:val="2"/>
      <w:sz w:val="32"/>
      <w:lang w:val="en-US" w:eastAsia="zh-CN" w:bidi="ar-SA"/>
    </w:rPr>
  </w:style>
  <w:style w:type="character" w:customStyle="1" w:styleId="Char6">
    <w:name w:val="纯文本 Char"/>
    <w:link w:val="af"/>
    <w:qFormat/>
    <w:rsid w:val="00BD5820"/>
    <w:rPr>
      <w:rFonts w:ascii="宋体" w:eastAsia="宋体" w:hAnsi="Courier New" w:cs="Courier New"/>
      <w:szCs w:val="21"/>
    </w:rPr>
  </w:style>
  <w:style w:type="character" w:customStyle="1" w:styleId="CharChar16">
    <w:name w:val="Char Char16"/>
    <w:qFormat/>
    <w:rsid w:val="00BD5820"/>
    <w:rPr>
      <w:rFonts w:ascii="Arial" w:eastAsia="仿宋_GB2312" w:hAnsi="Arial"/>
      <w:b/>
      <w:kern w:val="2"/>
      <w:sz w:val="30"/>
      <w:lang w:val="en-US" w:eastAsia="zh-CN"/>
    </w:rPr>
  </w:style>
  <w:style w:type="character" w:customStyle="1" w:styleId="CharChar21">
    <w:name w:val="Char Char21"/>
    <w:qFormat/>
    <w:rsid w:val="00BD5820"/>
    <w:rPr>
      <w:rFonts w:eastAsia="宋体"/>
      <w:kern w:val="2"/>
      <w:sz w:val="21"/>
      <w:szCs w:val="18"/>
      <w:lang w:val="en-US" w:eastAsia="zh-CN" w:bidi="ar-SA"/>
    </w:rPr>
  </w:style>
  <w:style w:type="paragraph" w:customStyle="1" w:styleId="xl61">
    <w:name w:val="xl61"/>
    <w:basedOn w:val="a0"/>
    <w:qFormat/>
    <w:rsid w:val="00BD5820"/>
    <w:pPr>
      <w:widowControl/>
      <w:pBdr>
        <w:top w:val="single" w:sz="4" w:space="0" w:color="auto"/>
        <w:lef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color w:val="FF0000"/>
      <w:sz w:val="20"/>
      <w:szCs w:val="20"/>
    </w:rPr>
  </w:style>
  <w:style w:type="paragraph" w:customStyle="1" w:styleId="affff2">
    <w:name w:val="表格文字"/>
    <w:basedOn w:val="a0"/>
    <w:qFormat/>
    <w:rsid w:val="00BD5820"/>
    <w:pPr>
      <w:topLinePunct w:val="0"/>
      <w:snapToGrid w:val="0"/>
      <w:spacing w:line="240" w:lineRule="auto"/>
      <w:ind w:firstLineChars="0" w:firstLine="0"/>
      <w:jc w:val="center"/>
    </w:pPr>
    <w:rPr>
      <w:rFonts w:ascii="Arial" w:eastAsia="仿宋_GB2312" w:hAnsi="Arial" w:cs="Arial"/>
      <w:color w:val="000000"/>
      <w:spacing w:val="-20"/>
      <w:kern w:val="2"/>
      <w:szCs w:val="20"/>
    </w:rPr>
  </w:style>
  <w:style w:type="paragraph" w:customStyle="1" w:styleId="affff3">
    <w:name w:val="小标题"/>
    <w:basedOn w:val="a0"/>
    <w:qFormat/>
    <w:rsid w:val="00BD5820"/>
    <w:pPr>
      <w:topLinePunct w:val="0"/>
      <w:adjustRightInd/>
      <w:spacing w:line="240" w:lineRule="auto"/>
      <w:ind w:firstLineChars="0" w:firstLine="0"/>
    </w:pPr>
    <w:rPr>
      <w:rFonts w:hAnsi="宋体" w:cs="Times New Roman" w:hint="eastAsia"/>
      <w:kern w:val="2"/>
      <w:sz w:val="28"/>
      <w:szCs w:val="20"/>
    </w:rPr>
  </w:style>
  <w:style w:type="paragraph" w:customStyle="1" w:styleId="xl74">
    <w:name w:val="xl74"/>
    <w:basedOn w:val="a0"/>
    <w:qFormat/>
    <w:rsid w:val="00BD5820"/>
    <w:pPr>
      <w:widowControl/>
      <w:pBdr>
        <w:top w:val="single" w:sz="4" w:space="0" w:color="auto"/>
        <w:left w:val="single" w:sz="4" w:space="0" w:color="auto"/>
        <w:bottom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ascii="Times New Roman" w:eastAsia="Arial Unicode MS" w:cs="Times New Roman"/>
      <w:sz w:val="20"/>
      <w:szCs w:val="20"/>
    </w:rPr>
  </w:style>
  <w:style w:type="paragraph" w:customStyle="1" w:styleId="affff4">
    <w:name w:val="小表左"/>
    <w:basedOn w:val="a0"/>
    <w:qFormat/>
    <w:rsid w:val="00BD5820"/>
    <w:pPr>
      <w:keepNext/>
      <w:topLinePunct w:val="0"/>
      <w:adjustRightInd/>
      <w:snapToGrid w:val="0"/>
      <w:spacing w:line="240" w:lineRule="atLeast"/>
      <w:ind w:leftChars="30" w:left="63" w:firstLineChars="0" w:firstLine="0"/>
      <w:jc w:val="center"/>
    </w:pPr>
    <w:rPr>
      <w:rFonts w:hAnsi="宋体" w:cs="Times New Roman" w:hint="eastAsia"/>
      <w:kern w:val="2"/>
      <w:sz w:val="21"/>
      <w:szCs w:val="20"/>
    </w:rPr>
  </w:style>
  <w:style w:type="paragraph" w:customStyle="1" w:styleId="MY">
    <w:name w:val="MY 表格文字"/>
    <w:next w:val="a0"/>
    <w:qFormat/>
    <w:rsid w:val="00BD5820"/>
    <w:pPr>
      <w:adjustRightInd w:val="0"/>
      <w:snapToGrid w:val="0"/>
      <w:jc w:val="center"/>
    </w:pPr>
    <w:rPr>
      <w:rFonts w:ascii="宋体"/>
      <w:kern w:val="2"/>
      <w:sz w:val="21"/>
      <w:szCs w:val="21"/>
    </w:rPr>
  </w:style>
  <w:style w:type="paragraph" w:customStyle="1" w:styleId="affff5">
    <w:name w:val="正文段落"/>
    <w:basedOn w:val="a0"/>
    <w:qFormat/>
    <w:rsid w:val="00BD5820"/>
    <w:pPr>
      <w:topLinePunct w:val="0"/>
      <w:adjustRightInd/>
      <w:spacing w:line="288" w:lineRule="auto"/>
    </w:pPr>
    <w:rPr>
      <w:rFonts w:ascii="Times New Roman" w:cs="Times New Roman"/>
      <w:kern w:val="2"/>
      <w:szCs w:val="20"/>
    </w:rPr>
  </w:style>
  <w:style w:type="paragraph" w:customStyle="1" w:styleId="27">
    <w:name w:val="节内编号2"/>
    <w:qFormat/>
    <w:rsid w:val="00BD5820"/>
    <w:pPr>
      <w:adjustRightInd w:val="0"/>
      <w:snapToGrid w:val="0"/>
      <w:spacing w:line="360" w:lineRule="auto"/>
      <w:ind w:rightChars="100" w:right="100"/>
      <w:jc w:val="both"/>
    </w:pPr>
    <w:rPr>
      <w:color w:val="000000"/>
      <w:sz w:val="24"/>
    </w:rPr>
  </w:style>
  <w:style w:type="paragraph" w:customStyle="1" w:styleId="CharCharCharCharCharCharCharCharChar1CharCharCharChar">
    <w:name w:val="Char Char Char Char Char Char Char Char Char1 Char Char Char Char"/>
    <w:basedOn w:val="a0"/>
    <w:qFormat/>
    <w:rsid w:val="00BD5820"/>
    <w:pPr>
      <w:topLinePunct w:val="0"/>
      <w:adjustRightInd/>
      <w:spacing w:line="240" w:lineRule="auto"/>
      <w:ind w:firstLineChars="0" w:firstLine="0"/>
    </w:pPr>
    <w:rPr>
      <w:rFonts w:ascii="Times New Roman" w:eastAsia="仿宋_GB2312" w:cs="Times New Roman"/>
      <w:kern w:val="2"/>
      <w:sz w:val="28"/>
      <w:szCs w:val="20"/>
    </w:rPr>
  </w:style>
  <w:style w:type="character" w:customStyle="1" w:styleId="212">
    <w:name w:val="正文文本首行缩进 2 字符1"/>
    <w:basedOn w:val="Char5"/>
    <w:uiPriority w:val="99"/>
    <w:semiHidden/>
    <w:qFormat/>
    <w:rsid w:val="00BD5820"/>
    <w:rPr>
      <w:rFonts w:ascii="Times New Roman" w:eastAsia="宋体" w:hAnsi="Times New Roman" w:cs="Times New Roman"/>
      <w:kern w:val="2"/>
      <w:sz w:val="21"/>
      <w:szCs w:val="24"/>
    </w:rPr>
  </w:style>
  <w:style w:type="paragraph" w:customStyle="1" w:styleId="xl80">
    <w:name w:val="xl80"/>
    <w:basedOn w:val="a0"/>
    <w:qFormat/>
    <w:rsid w:val="00BD5820"/>
    <w:pPr>
      <w:widowControl/>
      <w:pBdr>
        <w:top w:val="single" w:sz="4" w:space="0" w:color="auto"/>
        <w:bottom w:val="single" w:sz="4" w:space="0" w:color="auto"/>
      </w:pBdr>
      <w:topLinePunct w:val="0"/>
      <w:adjustRightInd/>
      <w:spacing w:before="100" w:beforeAutospacing="1" w:after="100" w:afterAutospacing="1" w:line="240" w:lineRule="auto"/>
      <w:ind w:firstLineChars="0" w:firstLine="0"/>
      <w:jc w:val="center"/>
      <w:textAlignment w:val="center"/>
    </w:pPr>
    <w:rPr>
      <w:rFonts w:ascii="Arial Unicode MS" w:eastAsia="Arial Unicode MS" w:hAnsi="Arial Unicode MS" w:cs="Times New Roman"/>
      <w:sz w:val="20"/>
      <w:szCs w:val="20"/>
    </w:rPr>
  </w:style>
  <w:style w:type="paragraph" w:customStyle="1" w:styleId="affff6">
    <w:name w:val="备注"/>
    <w:basedOn w:val="a0"/>
    <w:qFormat/>
    <w:rsid w:val="00BD5820"/>
    <w:pPr>
      <w:keepNext/>
      <w:topLinePunct w:val="0"/>
      <w:adjustRightInd/>
      <w:snapToGrid w:val="0"/>
      <w:spacing w:line="240" w:lineRule="atLeast"/>
      <w:ind w:firstLine="420"/>
    </w:pPr>
    <w:rPr>
      <w:rFonts w:cs="Times New Roman"/>
      <w:kern w:val="2"/>
      <w:sz w:val="21"/>
      <w:szCs w:val="20"/>
    </w:rPr>
  </w:style>
  <w:style w:type="paragraph" w:customStyle="1" w:styleId="400">
    <w:name w:val="样式 标题 4  +段后：0磅"/>
    <w:basedOn w:val="4CharCharChar"/>
    <w:next w:val="4"/>
    <w:qFormat/>
    <w:rsid w:val="00BD5820"/>
    <w:pPr>
      <w:tabs>
        <w:tab w:val="clear" w:pos="425"/>
        <w:tab w:val="left" w:pos="2240"/>
      </w:tabs>
      <w:spacing w:line="480" w:lineRule="auto"/>
      <w:ind w:left="2240" w:hanging="420"/>
    </w:pPr>
  </w:style>
  <w:style w:type="paragraph" w:customStyle="1" w:styleId="ST4">
    <w:name w:val="正文－ST4"/>
    <w:basedOn w:val="a0"/>
    <w:qFormat/>
    <w:rsid w:val="00BD5820"/>
    <w:pPr>
      <w:topLinePunct w:val="0"/>
      <w:snapToGrid w:val="0"/>
      <w:ind w:leftChars="100" w:left="240" w:right="-57" w:firstLine="480"/>
    </w:pPr>
    <w:rPr>
      <w:rFonts w:hAnsi="宋体" w:cs="Times New Roman"/>
      <w:color w:val="000000"/>
      <w:szCs w:val="20"/>
    </w:rPr>
  </w:style>
  <w:style w:type="paragraph" w:customStyle="1" w:styleId="15">
    <w:name w:val="目录1"/>
    <w:basedOn w:val="a0"/>
    <w:next w:val="22"/>
    <w:qFormat/>
    <w:rsid w:val="00BD5820"/>
    <w:pPr>
      <w:topLinePunct w:val="0"/>
      <w:adjustRightInd/>
      <w:spacing w:line="300" w:lineRule="auto"/>
      <w:ind w:firstLineChars="0" w:firstLine="0"/>
    </w:pPr>
    <w:rPr>
      <w:rFonts w:ascii="Times New Roman" w:cs="Times New Roman"/>
      <w:b/>
      <w:kern w:val="2"/>
      <w:sz w:val="28"/>
      <w:szCs w:val="20"/>
    </w:rPr>
  </w:style>
  <w:style w:type="paragraph" w:customStyle="1" w:styleId="200">
    <w:name w:val="标题：样式 标题 2 + 左侧:  0 厘米 首行缩进:  0 厘米"/>
    <w:basedOn w:val="2"/>
    <w:qFormat/>
    <w:rsid w:val="00BD5820"/>
    <w:pPr>
      <w:tabs>
        <w:tab w:val="left" w:pos="1320"/>
      </w:tabs>
      <w:topLinePunct w:val="0"/>
      <w:adjustRightInd/>
      <w:spacing w:before="260" w:after="260" w:line="413" w:lineRule="auto"/>
      <w:ind w:left="1320" w:hanging="420"/>
      <w:jc w:val="center"/>
    </w:pPr>
    <w:rPr>
      <w:rFonts w:ascii="华文中宋" w:eastAsia="华文中宋" w:hAnsi="华文中宋" w:cs="Times New Roman"/>
      <w:b w:val="0"/>
      <w:bCs w:val="0"/>
      <w:kern w:val="2"/>
      <w:sz w:val="36"/>
      <w:szCs w:val="20"/>
    </w:rPr>
  </w:style>
  <w:style w:type="paragraph" w:customStyle="1" w:styleId="203">
    <w:name w:val="样式 标题 2 + 段前: 0.3 行"/>
    <w:basedOn w:val="2"/>
    <w:next w:val="a0"/>
    <w:qFormat/>
    <w:rsid w:val="00BD5820"/>
    <w:pPr>
      <w:widowControl/>
      <w:topLinePunct w:val="0"/>
      <w:spacing w:beforeLines="10" w:afterLines="10"/>
    </w:pPr>
    <w:rPr>
      <w:rFonts w:ascii="Arial Unicode MS" w:hAnsi="Arial Unicode MS" w:cs="Times New Roman"/>
      <w:b w:val="0"/>
      <w:bCs w:val="0"/>
      <w:color w:val="3366FF"/>
      <w:kern w:val="2"/>
      <w:szCs w:val="20"/>
    </w:rPr>
  </w:style>
  <w:style w:type="paragraph" w:customStyle="1" w:styleId="xl58">
    <w:name w:val="xl58"/>
    <w:basedOn w:val="a0"/>
    <w:qFormat/>
    <w:rsid w:val="00BD5820"/>
    <w:pPr>
      <w:widowControl/>
      <w:pBdr>
        <w:righ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Cs w:val="20"/>
    </w:rPr>
  </w:style>
  <w:style w:type="character" w:customStyle="1" w:styleId="312">
    <w:name w:val="正文文本 3 字符1"/>
    <w:basedOn w:val="a2"/>
    <w:uiPriority w:val="99"/>
    <w:semiHidden/>
    <w:qFormat/>
    <w:rsid w:val="00BD5820"/>
    <w:rPr>
      <w:rFonts w:ascii="宋体" w:hAnsi="Times New Roman" w:cs="宋体"/>
      <w:sz w:val="16"/>
      <w:szCs w:val="16"/>
    </w:rPr>
  </w:style>
  <w:style w:type="character" w:customStyle="1" w:styleId="z-11">
    <w:name w:val="z-窗体顶端 字符1"/>
    <w:basedOn w:val="a2"/>
    <w:uiPriority w:val="99"/>
    <w:semiHidden/>
    <w:qFormat/>
    <w:rsid w:val="00BD5820"/>
    <w:rPr>
      <w:rFonts w:ascii="Arial" w:hAnsi="Arial" w:cs="Arial"/>
      <w:vanish/>
      <w:sz w:val="16"/>
      <w:szCs w:val="16"/>
    </w:rPr>
  </w:style>
  <w:style w:type="paragraph" w:customStyle="1" w:styleId="xl53">
    <w:name w:val="xl53"/>
    <w:basedOn w:val="a0"/>
    <w:qFormat/>
    <w:rsid w:val="00BD5820"/>
    <w:pPr>
      <w:widowControl/>
      <w:pBdr>
        <w:top w:val="single" w:sz="4" w:space="0" w:color="auto"/>
        <w:left w:val="single" w:sz="4" w:space="0" w:color="auto"/>
        <w:bottom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customStyle="1" w:styleId="28">
    <w:name w:val="标题 2（用）"/>
    <w:basedOn w:val="2"/>
    <w:qFormat/>
    <w:rsid w:val="00BD5820"/>
    <w:pPr>
      <w:tabs>
        <w:tab w:val="center" w:pos="4918"/>
        <w:tab w:val="left" w:pos="6375"/>
      </w:tabs>
      <w:topLinePunct w:val="0"/>
      <w:snapToGrid w:val="0"/>
      <w:spacing w:beforeLines="50" w:afterLines="25" w:line="336" w:lineRule="auto"/>
      <w:ind w:leftChars="50" w:left="57" w:rightChars="100" w:right="210" w:firstLineChars="37" w:firstLine="104"/>
      <w:jc w:val="center"/>
    </w:pPr>
    <w:rPr>
      <w:rFonts w:ascii="黑体" w:eastAsia="黑体" w:hAnsi="宋体" w:cs="Arial"/>
      <w:bCs w:val="0"/>
      <w:color w:val="000000"/>
      <w:kern w:val="2"/>
      <w:szCs w:val="28"/>
    </w:rPr>
  </w:style>
  <w:style w:type="paragraph" w:customStyle="1" w:styleId="100">
    <w:name w:val="10"/>
    <w:basedOn w:val="a0"/>
    <w:next w:val="af"/>
    <w:qFormat/>
    <w:rsid w:val="00BD5820"/>
    <w:pPr>
      <w:topLinePunct w:val="0"/>
      <w:adjustRightInd/>
      <w:spacing w:line="240" w:lineRule="auto"/>
      <w:ind w:firstLineChars="0" w:firstLine="0"/>
    </w:pPr>
    <w:rPr>
      <w:rFonts w:hAnsi="Courier New" w:cs="Times New Roman"/>
      <w:kern w:val="2"/>
      <w:sz w:val="28"/>
      <w:szCs w:val="20"/>
    </w:rPr>
  </w:style>
  <w:style w:type="character" w:customStyle="1" w:styleId="313">
    <w:name w:val="正文文本缩进 3 字符1"/>
    <w:basedOn w:val="a2"/>
    <w:uiPriority w:val="99"/>
    <w:semiHidden/>
    <w:qFormat/>
    <w:rsid w:val="00BD5820"/>
    <w:rPr>
      <w:rFonts w:ascii="宋体" w:hAnsi="Times New Roman" w:cs="宋体"/>
      <w:sz w:val="16"/>
      <w:szCs w:val="16"/>
    </w:rPr>
  </w:style>
  <w:style w:type="paragraph" w:customStyle="1" w:styleId="CharCharCharCharCharCharCharCharCharChar">
    <w:name w:val="Char Char Char Char Char Char Char Char Char Char"/>
    <w:basedOn w:val="a0"/>
    <w:qFormat/>
    <w:rsid w:val="00BD5820"/>
    <w:pPr>
      <w:widowControl/>
      <w:topLinePunct w:val="0"/>
      <w:adjustRightInd/>
      <w:ind w:firstLineChars="0" w:firstLine="0"/>
      <w:jc w:val="left"/>
    </w:pPr>
    <w:rPr>
      <w:rFonts w:ascii="Times New Roman" w:eastAsia="黑体" w:cs="Times New Roman"/>
      <w:szCs w:val="20"/>
    </w:rPr>
  </w:style>
  <w:style w:type="paragraph" w:customStyle="1" w:styleId="xl48">
    <w:name w:val="xl48"/>
    <w:basedOn w:val="a0"/>
    <w:qFormat/>
    <w:rsid w:val="00BD5820"/>
    <w:pPr>
      <w:widowControl/>
      <w:pBdr>
        <w:lef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customStyle="1" w:styleId="CharCharChar1CharCharCharCharCharCharCharCharCharChar">
    <w:name w:val="Char Char Char1 Char Char Char Char Char Char Char Char Char Char"/>
    <w:basedOn w:val="a0"/>
    <w:qFormat/>
    <w:rsid w:val="00BD5820"/>
    <w:pPr>
      <w:widowControl/>
      <w:topLinePunct w:val="0"/>
      <w:adjustRightInd/>
      <w:spacing w:line="540" w:lineRule="exact"/>
      <w:jc w:val="left"/>
    </w:pPr>
    <w:rPr>
      <w:rFonts w:hAnsi="宋体"/>
      <w:szCs w:val="21"/>
    </w:rPr>
  </w:style>
  <w:style w:type="paragraph" w:customStyle="1" w:styleId="TOC2">
    <w:name w:val="TOC 标题2"/>
    <w:basedOn w:val="1"/>
    <w:next w:val="a0"/>
    <w:uiPriority w:val="39"/>
    <w:qFormat/>
    <w:rsid w:val="00BD5820"/>
    <w:pPr>
      <w:widowControl/>
      <w:topLinePunct w:val="0"/>
      <w:adjustRightInd/>
      <w:spacing w:before="480" w:beforeAutospacing="0" w:after="0" w:afterAutospacing="0" w:line="276" w:lineRule="auto"/>
      <w:outlineLvl w:val="9"/>
    </w:pPr>
    <w:rPr>
      <w:rFonts w:ascii="Cambria" w:eastAsia="宋体" w:hAnsi="Cambria"/>
      <w:color w:val="365F91"/>
      <w:kern w:val="0"/>
      <w:sz w:val="28"/>
      <w:szCs w:val="20"/>
    </w:rPr>
  </w:style>
  <w:style w:type="character" w:customStyle="1" w:styleId="16">
    <w:name w:val="纯文本 字符1"/>
    <w:basedOn w:val="a2"/>
    <w:uiPriority w:val="99"/>
    <w:semiHidden/>
    <w:qFormat/>
    <w:rsid w:val="00BD5820"/>
    <w:rPr>
      <w:rFonts w:ascii="宋体" w:hAnsi="Courier New" w:cs="Courier New"/>
      <w:sz w:val="24"/>
      <w:szCs w:val="24"/>
    </w:rPr>
  </w:style>
  <w:style w:type="paragraph" w:customStyle="1" w:styleId="xl33">
    <w:name w:val="xl33"/>
    <w:basedOn w:val="a0"/>
    <w:qFormat/>
    <w:rsid w:val="00BD5820"/>
    <w:pPr>
      <w:widowControl/>
      <w:pBdr>
        <w:top w:val="single" w:sz="4" w:space="0" w:color="auto"/>
        <w:left w:val="single" w:sz="8" w:space="0" w:color="auto"/>
        <w:bottom w:val="single" w:sz="4" w:space="0" w:color="auto"/>
        <w:right w:val="single" w:sz="4" w:space="0" w:color="auto"/>
      </w:pBdr>
      <w:topLinePunct w:val="0"/>
      <w:adjustRightInd/>
      <w:spacing w:before="100" w:beforeAutospacing="1" w:after="100" w:afterAutospacing="1" w:line="240" w:lineRule="auto"/>
      <w:ind w:firstLineChars="0" w:firstLine="0"/>
      <w:jc w:val="left"/>
    </w:pPr>
    <w:rPr>
      <w:rFonts w:hAnsi="宋体" w:cs="Times New Roman"/>
    </w:rPr>
  </w:style>
  <w:style w:type="paragraph" w:customStyle="1" w:styleId="xl45">
    <w:name w:val="xl45"/>
    <w:basedOn w:val="a0"/>
    <w:qFormat/>
    <w:rsid w:val="00BD5820"/>
    <w:pPr>
      <w:widowControl/>
      <w:pBdr>
        <w:lef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character" w:customStyle="1" w:styleId="17">
    <w:name w:val="正文文本首行缩进 字符1"/>
    <w:basedOn w:val="Char"/>
    <w:uiPriority w:val="99"/>
    <w:semiHidden/>
    <w:qFormat/>
    <w:rsid w:val="00BD5820"/>
    <w:rPr>
      <w:rFonts w:ascii="宋体" w:hAnsi="Times New Roman" w:cs="宋体"/>
      <w:kern w:val="0"/>
      <w:sz w:val="24"/>
      <w:szCs w:val="24"/>
    </w:rPr>
  </w:style>
  <w:style w:type="paragraph" w:customStyle="1" w:styleId="01">
    <w:name w:val="孙立刚01"/>
    <w:basedOn w:val="10"/>
    <w:qFormat/>
    <w:rsid w:val="00BD5820"/>
    <w:pPr>
      <w:tabs>
        <w:tab w:val="right" w:leader="dot" w:pos="8296"/>
      </w:tabs>
      <w:topLinePunct w:val="0"/>
      <w:adjustRightInd/>
      <w:spacing w:before="120" w:after="80"/>
      <w:jc w:val="left"/>
    </w:pPr>
    <w:rPr>
      <w:rFonts w:ascii="黑体" w:eastAsia="黑体" w:cs="Times New Roman"/>
      <w:b w:val="0"/>
      <w:caps/>
      <w:kern w:val="2"/>
      <w:szCs w:val="20"/>
    </w:rPr>
  </w:style>
  <w:style w:type="paragraph" w:customStyle="1" w:styleId="affff7">
    <w:name w:val="表文字"/>
    <w:basedOn w:val="a8"/>
    <w:link w:val="Charfd"/>
    <w:qFormat/>
    <w:rsid w:val="00BD5820"/>
    <w:pPr>
      <w:widowControl/>
      <w:spacing w:line="380" w:lineRule="exact"/>
      <w:ind w:firstLineChars="0" w:firstLine="0"/>
      <w:jc w:val="center"/>
    </w:pPr>
    <w:rPr>
      <w:snapToGrid w:val="0"/>
      <w:sz w:val="24"/>
      <w:szCs w:val="21"/>
    </w:rPr>
  </w:style>
  <w:style w:type="paragraph" w:customStyle="1" w:styleId="112">
    <w:name w:val="11"/>
    <w:basedOn w:val="a0"/>
    <w:next w:val="af"/>
    <w:rsid w:val="00BD5820"/>
    <w:pPr>
      <w:topLinePunct w:val="0"/>
      <w:snapToGrid w:val="0"/>
      <w:spacing w:line="580" w:lineRule="exact"/>
      <w:ind w:firstLineChars="0" w:firstLine="510"/>
    </w:pPr>
    <w:rPr>
      <w:rFonts w:hAnsi="Courier New" w:cs="Times New Roman"/>
      <w:kern w:val="2"/>
      <w:sz w:val="28"/>
      <w:szCs w:val="20"/>
    </w:rPr>
  </w:style>
  <w:style w:type="paragraph" w:customStyle="1" w:styleId="Style17">
    <w:name w:val="_Style 17"/>
    <w:basedOn w:val="a0"/>
    <w:rsid w:val="00BD5820"/>
    <w:pPr>
      <w:topLinePunct w:val="0"/>
      <w:adjustRightInd/>
      <w:spacing w:line="240" w:lineRule="auto"/>
      <w:ind w:firstLineChars="0" w:firstLine="0"/>
    </w:pPr>
    <w:rPr>
      <w:rFonts w:ascii="Times New Roman" w:cs="Times New Roman"/>
      <w:kern w:val="2"/>
      <w:sz w:val="21"/>
      <w:szCs w:val="20"/>
    </w:rPr>
  </w:style>
  <w:style w:type="character" w:customStyle="1" w:styleId="18">
    <w:name w:val="标题 字符1"/>
    <w:basedOn w:val="a2"/>
    <w:uiPriority w:val="10"/>
    <w:rsid w:val="00BD5820"/>
    <w:rPr>
      <w:rFonts w:ascii="Cambria" w:eastAsia="宋体" w:hAnsi="Cambria" w:cs="Times New Roman"/>
      <w:b/>
      <w:bCs/>
      <w:sz w:val="32"/>
      <w:szCs w:val="32"/>
    </w:rPr>
  </w:style>
  <w:style w:type="paragraph" w:customStyle="1" w:styleId="1h11stlevelSectionHeadl1">
    <w:name w:val="样式 标题 1h11st levelSection Headl1 + 宋体 三号"/>
    <w:basedOn w:val="1"/>
    <w:rsid w:val="00BD5820"/>
    <w:pPr>
      <w:tabs>
        <w:tab w:val="left" w:pos="3751"/>
      </w:tabs>
      <w:topLinePunct w:val="0"/>
      <w:adjustRightInd/>
      <w:spacing w:before="340" w:beforeAutospacing="0" w:after="330" w:afterAutospacing="0"/>
      <w:ind w:left="3751" w:firstLine="29"/>
      <w:jc w:val="center"/>
    </w:pPr>
    <w:rPr>
      <w:rFonts w:ascii="宋体" w:eastAsia="宋体" w:hAnsi="宋体"/>
      <w:szCs w:val="20"/>
    </w:rPr>
  </w:style>
  <w:style w:type="paragraph" w:customStyle="1" w:styleId="CharCharChar1Char">
    <w:name w:val="Char Char Char1 Char"/>
    <w:basedOn w:val="a0"/>
    <w:rsid w:val="00BD5820"/>
    <w:pPr>
      <w:topLinePunct w:val="0"/>
      <w:adjustRightInd/>
      <w:spacing w:line="240" w:lineRule="auto"/>
      <w:ind w:firstLineChars="0" w:firstLine="0"/>
    </w:pPr>
    <w:rPr>
      <w:rFonts w:ascii="Times New Roman" w:cs="Times New Roman"/>
      <w:kern w:val="2"/>
      <w:sz w:val="21"/>
    </w:rPr>
  </w:style>
  <w:style w:type="paragraph" w:customStyle="1" w:styleId="LS2">
    <w:name w:val="LS2"/>
    <w:basedOn w:val="a0"/>
    <w:rsid w:val="00BD5820"/>
    <w:pPr>
      <w:topLinePunct w:val="0"/>
      <w:adjustRightInd/>
      <w:snapToGrid w:val="0"/>
      <w:spacing w:line="336" w:lineRule="auto"/>
      <w:ind w:firstLineChars="0" w:firstLine="0"/>
      <w:jc w:val="center"/>
    </w:pPr>
    <w:rPr>
      <w:rFonts w:cs="Times New Roman"/>
      <w:color w:val="000000"/>
      <w:kern w:val="2"/>
      <w:szCs w:val="20"/>
    </w:rPr>
  </w:style>
  <w:style w:type="paragraph" w:customStyle="1" w:styleId="Char1CharCharCharCharCharChar">
    <w:name w:val="Char1 Char Char Char Char Char Char"/>
    <w:basedOn w:val="a0"/>
    <w:rsid w:val="00BD5820"/>
    <w:pPr>
      <w:topLinePunct w:val="0"/>
      <w:adjustRightInd/>
      <w:spacing w:line="240" w:lineRule="auto"/>
      <w:ind w:firstLineChars="0" w:firstLine="0"/>
    </w:pPr>
    <w:rPr>
      <w:rFonts w:ascii="Times New Roman" w:cs="Times New Roman"/>
      <w:kern w:val="2"/>
      <w:sz w:val="21"/>
    </w:rPr>
  </w:style>
  <w:style w:type="paragraph" w:customStyle="1" w:styleId="affff8">
    <w:name w:val="内容"/>
    <w:basedOn w:val="a0"/>
    <w:rsid w:val="00BD5820"/>
    <w:pPr>
      <w:tabs>
        <w:tab w:val="left" w:pos="5725"/>
      </w:tabs>
      <w:topLinePunct w:val="0"/>
      <w:snapToGrid w:val="0"/>
      <w:ind w:leftChars="100" w:left="280" w:rightChars="100" w:right="280" w:firstLine="560"/>
    </w:pPr>
    <w:rPr>
      <w:rFonts w:ascii="Times New Roman" w:cs="Arial"/>
      <w:kern w:val="2"/>
      <w:sz w:val="28"/>
      <w:szCs w:val="20"/>
    </w:rPr>
  </w:style>
  <w:style w:type="paragraph" w:customStyle="1" w:styleId="affff9">
    <w:name w:val="表中"/>
    <w:basedOn w:val="a0"/>
    <w:rsid w:val="00BD5820"/>
    <w:pPr>
      <w:keepNext/>
      <w:topLinePunct w:val="0"/>
      <w:adjustRightInd/>
      <w:snapToGrid w:val="0"/>
      <w:spacing w:line="200" w:lineRule="atLeast"/>
      <w:ind w:firstLineChars="0" w:firstLine="0"/>
      <w:jc w:val="center"/>
    </w:pPr>
    <w:rPr>
      <w:rFonts w:hAnsi="宋体" w:cs="Times New Roman"/>
      <w:kern w:val="2"/>
      <w:szCs w:val="20"/>
    </w:rPr>
  </w:style>
  <w:style w:type="paragraph" w:customStyle="1" w:styleId="xl63">
    <w:name w:val="xl63"/>
    <w:basedOn w:val="a0"/>
    <w:rsid w:val="00BD5820"/>
    <w:pPr>
      <w:widowControl/>
      <w:pBdr>
        <w:left w:val="single" w:sz="4" w:space="0" w:color="auto"/>
        <w:bottom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color w:val="FF0000"/>
      <w:sz w:val="20"/>
      <w:szCs w:val="20"/>
    </w:rPr>
  </w:style>
  <w:style w:type="paragraph" w:customStyle="1" w:styleId="19">
    <w:name w:val="表头1"/>
    <w:link w:val="1Char2"/>
    <w:rsid w:val="00BD5820"/>
    <w:pPr>
      <w:tabs>
        <w:tab w:val="left" w:pos="284"/>
        <w:tab w:val="center" w:pos="4253"/>
        <w:tab w:val="left" w:pos="7938"/>
      </w:tabs>
      <w:spacing w:before="240" w:after="240"/>
    </w:pPr>
    <w:rPr>
      <w:rFonts w:ascii="黑体" w:eastAsia="黑体"/>
      <w:sz w:val="24"/>
    </w:rPr>
  </w:style>
  <w:style w:type="character" w:customStyle="1" w:styleId="213">
    <w:name w:val="正文文本 2 字符1"/>
    <w:basedOn w:val="a2"/>
    <w:uiPriority w:val="99"/>
    <w:semiHidden/>
    <w:rsid w:val="00BD5820"/>
    <w:rPr>
      <w:rFonts w:ascii="宋体" w:hAnsi="Times New Roman" w:cs="宋体"/>
      <w:sz w:val="24"/>
      <w:szCs w:val="24"/>
    </w:rPr>
  </w:style>
  <w:style w:type="paragraph" w:customStyle="1" w:styleId="54">
    <w:name w:val="5"/>
    <w:basedOn w:val="a0"/>
    <w:next w:val="ae"/>
    <w:rsid w:val="00BD5820"/>
    <w:pPr>
      <w:tabs>
        <w:tab w:val="left" w:pos="120"/>
      </w:tabs>
      <w:topLinePunct w:val="0"/>
      <w:ind w:leftChars="100" w:left="280" w:rightChars="100" w:right="100" w:firstLine="560"/>
      <w:jc w:val="left"/>
      <w:textAlignment w:val="baseline"/>
    </w:pPr>
    <w:rPr>
      <w:rFonts w:hAnsi="宋体" w:cs="Times New Roman"/>
      <w:color w:val="000000"/>
      <w:sz w:val="28"/>
      <w:szCs w:val="20"/>
    </w:rPr>
  </w:style>
  <w:style w:type="paragraph" w:customStyle="1" w:styleId="37">
    <w:name w:val="一级子标题：样式 标题 3 + 四号"/>
    <w:basedOn w:val="3"/>
    <w:rsid w:val="00BD5820"/>
    <w:pPr>
      <w:topLinePunct w:val="0"/>
      <w:adjustRightInd/>
      <w:spacing w:before="260" w:after="260" w:line="413" w:lineRule="auto"/>
    </w:pPr>
    <w:rPr>
      <w:rFonts w:ascii="Arial" w:eastAsia="宋体" w:hAnsi="Arial"/>
      <w:kern w:val="2"/>
      <w:sz w:val="28"/>
      <w:szCs w:val="20"/>
    </w:rPr>
  </w:style>
  <w:style w:type="paragraph" w:customStyle="1" w:styleId="1a">
    <w:name w:val="正文文本缩进1"/>
    <w:basedOn w:val="a0"/>
    <w:qFormat/>
    <w:rsid w:val="00BD5820"/>
    <w:pPr>
      <w:topLinePunct w:val="0"/>
      <w:spacing w:line="360" w:lineRule="atLeast"/>
      <w:ind w:left="280" w:firstLineChars="0" w:firstLine="560"/>
      <w:jc w:val="left"/>
      <w:textAlignment w:val="baseline"/>
    </w:pPr>
    <w:rPr>
      <w:rFonts w:ascii="Times New Roman" w:cs="Times New Roman"/>
    </w:rPr>
  </w:style>
  <w:style w:type="paragraph" w:customStyle="1" w:styleId="1b">
    <w:name w:val="列表段落1"/>
    <w:basedOn w:val="a0"/>
    <w:uiPriority w:val="34"/>
    <w:rsid w:val="00BD5820"/>
    <w:pPr>
      <w:topLinePunct w:val="0"/>
      <w:adjustRightInd/>
      <w:spacing w:line="240" w:lineRule="auto"/>
      <w:ind w:firstLine="420"/>
    </w:pPr>
    <w:rPr>
      <w:rFonts w:ascii="Times New Roman" w:cs="Times New Roman"/>
      <w:kern w:val="2"/>
      <w:sz w:val="21"/>
      <w:szCs w:val="20"/>
    </w:rPr>
  </w:style>
  <w:style w:type="paragraph" w:customStyle="1" w:styleId="CharCharf">
    <w:name w:val="表内文字 Char Char"/>
    <w:rsid w:val="00BD5820"/>
    <w:rPr>
      <w:kern w:val="2"/>
      <w:sz w:val="21"/>
    </w:rPr>
  </w:style>
  <w:style w:type="paragraph" w:customStyle="1" w:styleId="30151">
    <w:name w:val="样式 标题 3 + 段后: 0 磅 行距: 1.5 倍行距1"/>
    <w:basedOn w:val="a0"/>
    <w:rsid w:val="00BD5820"/>
    <w:pPr>
      <w:tabs>
        <w:tab w:val="left" w:pos="709"/>
      </w:tabs>
      <w:topLinePunct w:val="0"/>
      <w:adjustRightInd/>
      <w:spacing w:line="240" w:lineRule="auto"/>
      <w:ind w:left="709" w:firstLineChars="0" w:hanging="709"/>
    </w:pPr>
    <w:rPr>
      <w:rFonts w:ascii="Times New Roman" w:cs="Times New Roman"/>
      <w:kern w:val="2"/>
      <w:szCs w:val="20"/>
    </w:rPr>
  </w:style>
  <w:style w:type="paragraph" w:customStyle="1" w:styleId="affffa">
    <w:name w:val="È±Ê¡ÎÄ±¾"/>
    <w:basedOn w:val="a0"/>
    <w:rsid w:val="00BD5820"/>
    <w:pPr>
      <w:widowControl/>
      <w:overflowPunct w:val="0"/>
      <w:topLinePunct w:val="0"/>
      <w:autoSpaceDE w:val="0"/>
      <w:autoSpaceDN w:val="0"/>
      <w:spacing w:line="240" w:lineRule="auto"/>
      <w:ind w:firstLineChars="0" w:firstLine="0"/>
      <w:jc w:val="left"/>
      <w:textAlignment w:val="baseline"/>
    </w:pPr>
    <w:rPr>
      <w:rFonts w:ascii="Times New Roman" w:cs="Times New Roman"/>
      <w:szCs w:val="20"/>
    </w:rPr>
  </w:style>
  <w:style w:type="paragraph" w:customStyle="1" w:styleId="211112MajorHeadingL2m2RSKH2hseHeading1">
    <w:name w:val="样式 样式 样式 标题 21.11.1标题 2Major HeadingL2ËÑÇ¢ˆmÍ 2RSKH2hseHeading ....1"/>
    <w:basedOn w:val="a0"/>
    <w:rsid w:val="00BD5820"/>
    <w:pPr>
      <w:keepNext/>
      <w:keepLines/>
      <w:topLinePunct w:val="0"/>
      <w:spacing w:beforeLines="50"/>
      <w:ind w:firstLineChars="0" w:firstLine="0"/>
      <w:jc w:val="center"/>
      <w:textAlignment w:val="baseline"/>
      <w:outlineLvl w:val="1"/>
    </w:pPr>
    <w:rPr>
      <w:rFonts w:ascii="仿宋_GB2312" w:eastAsia="仿宋_GB2312" w:cs="Times New Roman"/>
      <w:sz w:val="28"/>
      <w:szCs w:val="20"/>
    </w:rPr>
  </w:style>
  <w:style w:type="paragraph" w:customStyle="1" w:styleId="CharCharCharCharCharCharCharCharChar1CharCharCharChar1">
    <w:name w:val="Char Char Char Char Char Char Char Char Char1 Char Char Char Char1"/>
    <w:basedOn w:val="a0"/>
    <w:rsid w:val="00BD5820"/>
    <w:pPr>
      <w:topLinePunct w:val="0"/>
      <w:adjustRightInd/>
      <w:spacing w:line="240" w:lineRule="auto"/>
      <w:ind w:firstLineChars="0" w:firstLine="0"/>
    </w:pPr>
    <w:rPr>
      <w:rFonts w:ascii="Times New Roman" w:eastAsia="仿宋_GB2312" w:cs="Times New Roman"/>
      <w:kern w:val="2"/>
      <w:sz w:val="28"/>
      <w:szCs w:val="20"/>
    </w:rPr>
  </w:style>
  <w:style w:type="paragraph" w:customStyle="1" w:styleId="150">
    <w:name w:val="样式15"/>
    <w:basedOn w:val="affffb"/>
    <w:qFormat/>
    <w:rsid w:val="00BD5820"/>
  </w:style>
  <w:style w:type="paragraph" w:customStyle="1" w:styleId="affffb">
    <w:name w:val="节标题（科宏）"/>
    <w:next w:val="a0"/>
    <w:rsid w:val="00BD5820"/>
    <w:pPr>
      <w:widowControl w:val="0"/>
      <w:spacing w:beforeLines="50" w:afterLines="50" w:line="360" w:lineRule="auto"/>
      <w:ind w:left="1320" w:hanging="420"/>
      <w:jc w:val="center"/>
      <w:outlineLvl w:val="1"/>
    </w:pPr>
    <w:rPr>
      <w:rFonts w:ascii="Arial" w:eastAsia="仿宋_GB2312" w:hAnsi="Arial"/>
      <w:b/>
      <w:sz w:val="30"/>
    </w:rPr>
  </w:style>
  <w:style w:type="paragraph" w:customStyle="1" w:styleId="affffc">
    <w:name w:val="简单回函地址"/>
    <w:basedOn w:val="a0"/>
    <w:rsid w:val="00BD5820"/>
    <w:pPr>
      <w:topLinePunct w:val="0"/>
      <w:adjustRightInd/>
      <w:spacing w:line="240" w:lineRule="auto"/>
      <w:ind w:firstLineChars="0" w:firstLine="0"/>
    </w:pPr>
    <w:rPr>
      <w:rFonts w:ascii="Times New Roman" w:eastAsia="仿宋_GB2312" w:cs="Times New Roman"/>
      <w:kern w:val="2"/>
      <w:szCs w:val="20"/>
    </w:rPr>
  </w:style>
  <w:style w:type="paragraph" w:customStyle="1" w:styleId="xl65">
    <w:name w:val="xl65"/>
    <w:basedOn w:val="a0"/>
    <w:rsid w:val="00BD5820"/>
    <w:pPr>
      <w:widowControl/>
      <w:pBdr>
        <w:top w:val="single" w:sz="4" w:space="0" w:color="auto"/>
        <w:left w:val="single" w:sz="4" w:space="0" w:color="auto"/>
        <w:bottom w:val="single" w:sz="4" w:space="0" w:color="auto"/>
      </w:pBdr>
      <w:topLinePunct w:val="0"/>
      <w:adjustRightInd/>
      <w:spacing w:before="100" w:beforeAutospacing="1" w:after="100" w:afterAutospacing="1" w:line="240" w:lineRule="auto"/>
      <w:ind w:firstLineChars="0" w:firstLine="0"/>
      <w:jc w:val="center"/>
    </w:pPr>
    <w:rPr>
      <w:rFonts w:hAnsi="宋体" w:cs="Times New Roman"/>
      <w:sz w:val="20"/>
      <w:szCs w:val="20"/>
    </w:rPr>
  </w:style>
  <w:style w:type="paragraph" w:customStyle="1" w:styleId="affffd">
    <w:name w:val="a"/>
    <w:basedOn w:val="a0"/>
    <w:rsid w:val="00BD5820"/>
    <w:pPr>
      <w:widowControl/>
      <w:topLinePunct w:val="0"/>
      <w:adjustRightInd/>
      <w:spacing w:line="240" w:lineRule="auto"/>
      <w:ind w:firstLineChars="0" w:firstLine="0"/>
      <w:jc w:val="center"/>
    </w:pPr>
    <w:rPr>
      <w:rFonts w:ascii="Times New Roman" w:cs="Times New Roman"/>
      <w:szCs w:val="20"/>
    </w:rPr>
  </w:style>
  <w:style w:type="paragraph" w:customStyle="1" w:styleId="xl76">
    <w:name w:val="xl76"/>
    <w:basedOn w:val="a0"/>
    <w:rsid w:val="00BD5820"/>
    <w:pPr>
      <w:widowControl/>
      <w:pBdr>
        <w:top w:val="single" w:sz="4" w:space="0" w:color="auto"/>
        <w:left w:val="single" w:sz="4" w:space="0" w:color="auto"/>
        <w:bottom w:val="single" w:sz="4" w:space="0" w:color="auto"/>
      </w:pBdr>
      <w:topLinePunct w:val="0"/>
      <w:adjustRightInd/>
      <w:spacing w:before="100" w:beforeAutospacing="1" w:after="100" w:afterAutospacing="1" w:line="240" w:lineRule="auto"/>
      <w:ind w:firstLineChars="0" w:firstLine="0"/>
      <w:jc w:val="center"/>
      <w:textAlignment w:val="center"/>
    </w:pPr>
    <w:rPr>
      <w:rFonts w:ascii="Arial Unicode MS" w:eastAsia="Arial Unicode MS" w:hAnsi="Arial Unicode MS" w:cs="Times New Roman"/>
      <w:sz w:val="20"/>
      <w:szCs w:val="20"/>
    </w:rPr>
  </w:style>
  <w:style w:type="paragraph" w:customStyle="1" w:styleId="1c">
    <w:name w:val="样式1"/>
    <w:basedOn w:val="a0"/>
    <w:link w:val="1Char4"/>
    <w:rsid w:val="00BD5820"/>
    <w:pPr>
      <w:topLinePunct w:val="0"/>
      <w:adjustRightInd/>
      <w:spacing w:line="240" w:lineRule="auto"/>
      <w:ind w:firstLineChars="0" w:firstLine="0"/>
    </w:pPr>
    <w:rPr>
      <w:rFonts w:ascii="Times New Roman" w:cs="Times New Roman"/>
      <w:kern w:val="2"/>
      <w:sz w:val="28"/>
    </w:rPr>
  </w:style>
  <w:style w:type="paragraph" w:customStyle="1" w:styleId="affffe">
    <w:name w:val="图表正文"/>
    <w:basedOn w:val="a0"/>
    <w:rsid w:val="00BD5820"/>
    <w:pPr>
      <w:topLinePunct w:val="0"/>
      <w:adjustRightInd/>
      <w:spacing w:line="0" w:lineRule="atLeast"/>
      <w:ind w:firstLineChars="0" w:firstLine="0"/>
      <w:jc w:val="center"/>
      <w:textAlignment w:val="center"/>
    </w:pPr>
    <w:rPr>
      <w:rFonts w:ascii="Times New Roman" w:cs="Times New Roman"/>
      <w:kern w:val="2"/>
      <w:sz w:val="21"/>
      <w:szCs w:val="20"/>
    </w:rPr>
  </w:style>
  <w:style w:type="paragraph" w:customStyle="1" w:styleId="afffff">
    <w:name w:val="总院表格"/>
    <w:basedOn w:val="affff2"/>
    <w:next w:val="afff7"/>
    <w:rsid w:val="00BD5820"/>
    <w:pPr>
      <w:spacing w:beforeLines="15" w:afterLines="10" w:line="336" w:lineRule="auto"/>
      <w:ind w:leftChars="-45" w:left="63" w:rightChars="-7" w:right="-7" w:firstLine="12"/>
      <w:jc w:val="both"/>
      <w:textAlignment w:val="baseline"/>
    </w:pPr>
    <w:rPr>
      <w:rFonts w:ascii="宋体" w:eastAsia="宋体" w:hAnsi="宋体" w:cs="Times New Roman"/>
      <w:spacing w:val="0"/>
    </w:rPr>
  </w:style>
  <w:style w:type="paragraph" w:customStyle="1" w:styleId="afffff0">
    <w:name w:val="科宏表格文字"/>
    <w:basedOn w:val="a0"/>
    <w:rsid w:val="00BD5820"/>
    <w:pPr>
      <w:topLinePunct w:val="0"/>
      <w:adjustRightInd/>
      <w:ind w:firstLineChars="0" w:firstLine="0"/>
      <w:jc w:val="center"/>
    </w:pPr>
    <w:rPr>
      <w:rFonts w:ascii="Arial" w:eastAsia="仿宋_GB2312" w:hAnsi="Arial" w:cs="Times New Roman"/>
      <w:color w:val="FF0000"/>
      <w:kern w:val="2"/>
      <w:szCs w:val="20"/>
    </w:rPr>
  </w:style>
  <w:style w:type="paragraph" w:customStyle="1" w:styleId="font10">
    <w:name w:val="font10"/>
    <w:basedOn w:val="a0"/>
    <w:rsid w:val="00BD5820"/>
    <w:pPr>
      <w:widowControl/>
      <w:topLinePunct w:val="0"/>
      <w:adjustRightInd/>
      <w:spacing w:before="100" w:beforeAutospacing="1" w:after="100" w:afterAutospacing="1" w:line="240" w:lineRule="auto"/>
      <w:ind w:firstLineChars="0" w:firstLine="0"/>
      <w:jc w:val="left"/>
    </w:pPr>
    <w:rPr>
      <w:rFonts w:hAnsi="宋体" w:cs="Times New Roman" w:hint="eastAsia"/>
      <w:sz w:val="20"/>
      <w:szCs w:val="20"/>
    </w:rPr>
  </w:style>
  <w:style w:type="character" w:customStyle="1" w:styleId="z-12">
    <w:name w:val="z-窗体底端 字符1"/>
    <w:basedOn w:val="a2"/>
    <w:uiPriority w:val="99"/>
    <w:semiHidden/>
    <w:qFormat/>
    <w:rsid w:val="00BD5820"/>
    <w:rPr>
      <w:rFonts w:ascii="Arial" w:hAnsi="Arial" w:cs="Arial"/>
      <w:vanish/>
      <w:sz w:val="16"/>
      <w:szCs w:val="16"/>
    </w:rPr>
  </w:style>
  <w:style w:type="paragraph" w:customStyle="1" w:styleId="xl68">
    <w:name w:val="xl68"/>
    <w:basedOn w:val="a0"/>
    <w:rsid w:val="00BD5820"/>
    <w:pPr>
      <w:widowControl/>
      <w:pBdr>
        <w:top w:val="single" w:sz="4" w:space="0" w:color="auto"/>
        <w:left w:val="single" w:sz="4" w:space="0" w:color="auto"/>
        <w:bottom w:val="single" w:sz="4" w:space="0" w:color="auto"/>
      </w:pBdr>
      <w:topLinePunct w:val="0"/>
      <w:adjustRightInd/>
      <w:spacing w:before="100" w:beforeAutospacing="1" w:after="100" w:afterAutospacing="1" w:line="240" w:lineRule="auto"/>
      <w:ind w:firstLineChars="0" w:firstLine="0"/>
      <w:jc w:val="center"/>
      <w:textAlignment w:val="center"/>
    </w:pPr>
    <w:rPr>
      <w:rFonts w:ascii="Times New Roman" w:cs="Times New Roman"/>
      <w:sz w:val="20"/>
      <w:szCs w:val="20"/>
    </w:rPr>
  </w:style>
  <w:style w:type="paragraph" w:customStyle="1" w:styleId="xl64">
    <w:name w:val="xl64"/>
    <w:basedOn w:val="a0"/>
    <w:rsid w:val="00BD5820"/>
    <w:pPr>
      <w:widowControl/>
      <w:pBdr>
        <w:bottom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color w:val="FF0000"/>
      <w:sz w:val="20"/>
      <w:szCs w:val="20"/>
    </w:rPr>
  </w:style>
  <w:style w:type="paragraph" w:customStyle="1" w:styleId="afffff1">
    <w:name w:val="我的表格文字"/>
    <w:basedOn w:val="a0"/>
    <w:rsid w:val="00BD5820"/>
    <w:pPr>
      <w:shd w:val="clear" w:color="auto" w:fill="FFFFFF"/>
      <w:topLinePunct w:val="0"/>
      <w:adjustRightInd/>
      <w:spacing w:line="240" w:lineRule="auto"/>
      <w:ind w:firstLineChars="0" w:firstLine="0"/>
      <w:jc w:val="center"/>
    </w:pPr>
    <w:rPr>
      <w:rFonts w:ascii="Times New Roman" w:cs="Times New Roman"/>
      <w:kern w:val="2"/>
      <w:sz w:val="21"/>
      <w:szCs w:val="21"/>
    </w:rPr>
  </w:style>
  <w:style w:type="paragraph" w:customStyle="1" w:styleId="41">
    <w:name w:val="样式4"/>
    <w:basedOn w:val="42"/>
    <w:link w:val="4Char0"/>
    <w:rsid w:val="00BD5820"/>
  </w:style>
  <w:style w:type="paragraph" w:customStyle="1" w:styleId="42">
    <w:name w:val="样式 标题 4 宋体"/>
    <w:basedOn w:val="4CharCharChar"/>
    <w:rsid w:val="00BD5820"/>
    <w:pPr>
      <w:spacing w:beforeLines="50" w:line="360" w:lineRule="auto"/>
      <w:ind w:left="0" w:firstLine="0"/>
      <w:jc w:val="center"/>
      <w:outlineLvl w:val="3"/>
    </w:pPr>
    <w:rPr>
      <w:rFonts w:ascii="宋体" w:hAnsi="宋体"/>
      <w:sz w:val="24"/>
    </w:rPr>
  </w:style>
  <w:style w:type="paragraph" w:customStyle="1" w:styleId="afffff2">
    <w:name w:val="地告正文"/>
    <w:basedOn w:val="a0"/>
    <w:rsid w:val="00BD5820"/>
    <w:pPr>
      <w:topLinePunct w:val="0"/>
      <w:snapToGrid w:val="0"/>
      <w:spacing w:line="620" w:lineRule="atLeast"/>
    </w:pPr>
    <w:rPr>
      <w:rFonts w:ascii="Times New Roman" w:cs="Times New Roman"/>
      <w:kern w:val="2"/>
      <w:sz w:val="28"/>
      <w:szCs w:val="21"/>
    </w:rPr>
  </w:style>
  <w:style w:type="paragraph" w:customStyle="1" w:styleId="style10">
    <w:name w:val="style10"/>
    <w:basedOn w:val="a0"/>
    <w:rsid w:val="00BD5820"/>
    <w:pPr>
      <w:widowControl/>
      <w:topLinePunct w:val="0"/>
      <w:adjustRightInd/>
      <w:spacing w:before="100" w:beforeAutospacing="1" w:after="100" w:afterAutospacing="1" w:line="288" w:lineRule="atLeast"/>
      <w:ind w:firstLineChars="0" w:firstLine="0"/>
      <w:jc w:val="left"/>
    </w:pPr>
    <w:rPr>
      <w:rFonts w:hAnsi="宋体"/>
      <w:sz w:val="40"/>
      <w:szCs w:val="40"/>
    </w:rPr>
  </w:style>
  <w:style w:type="paragraph" w:customStyle="1" w:styleId="xl34">
    <w:name w:val="xl34"/>
    <w:basedOn w:val="a0"/>
    <w:rsid w:val="00BD5820"/>
    <w:pPr>
      <w:widowControl/>
      <w:pBdr>
        <w:top w:val="single" w:sz="4" w:space="0" w:color="auto"/>
        <w:left w:val="single" w:sz="4" w:space="0" w:color="auto"/>
        <w:bottom w:val="single" w:sz="4" w:space="0" w:color="auto"/>
        <w:right w:val="single" w:sz="4" w:space="0" w:color="auto"/>
      </w:pBdr>
      <w:topLinePunct w:val="0"/>
      <w:adjustRightInd/>
      <w:spacing w:before="100" w:beforeAutospacing="1" w:after="100" w:afterAutospacing="1" w:line="240" w:lineRule="auto"/>
      <w:ind w:firstLineChars="0" w:firstLine="0"/>
      <w:jc w:val="center"/>
    </w:pPr>
    <w:rPr>
      <w:rFonts w:hAnsi="宋体" w:cs="Times New Roman"/>
      <w:sz w:val="20"/>
      <w:szCs w:val="20"/>
    </w:rPr>
  </w:style>
  <w:style w:type="paragraph" w:customStyle="1" w:styleId="-ST-4">
    <w:name w:val="正文-ST-4"/>
    <w:basedOn w:val="a0"/>
    <w:rsid w:val="00BD5820"/>
    <w:pPr>
      <w:widowControl/>
      <w:topLinePunct w:val="0"/>
      <w:adjustRightInd/>
      <w:ind w:firstLineChars="0" w:firstLine="567"/>
    </w:pPr>
    <w:rPr>
      <w:rFonts w:ascii="Times New Roman" w:cs="Times New Roman"/>
      <w:sz w:val="28"/>
      <w:szCs w:val="20"/>
    </w:rPr>
  </w:style>
  <w:style w:type="paragraph" w:customStyle="1" w:styleId="afffff3">
    <w:name w:val="附件"/>
    <w:basedOn w:val="a0"/>
    <w:next w:val="a0"/>
    <w:rsid w:val="00BD5820"/>
    <w:pPr>
      <w:topLinePunct w:val="0"/>
      <w:snapToGrid w:val="0"/>
      <w:spacing w:line="300" w:lineRule="auto"/>
      <w:ind w:firstLineChars="0" w:firstLine="527"/>
    </w:pPr>
    <w:rPr>
      <w:rFonts w:ascii="Times New Roman" w:cs="Times New Roman"/>
      <w:kern w:val="2"/>
      <w:sz w:val="28"/>
      <w:szCs w:val="20"/>
    </w:rPr>
  </w:style>
  <w:style w:type="paragraph" w:customStyle="1" w:styleId="afffff4">
    <w:name w:val="(页眉)天科"/>
    <w:rsid w:val="00BD5820"/>
    <w:rPr>
      <w:rFonts w:ascii="Arial" w:eastAsia="仿宋_GB2312" w:hAnsi="Arial"/>
      <w:sz w:val="21"/>
    </w:rPr>
  </w:style>
  <w:style w:type="paragraph" w:customStyle="1" w:styleId="xl69">
    <w:name w:val="xl69"/>
    <w:basedOn w:val="a0"/>
    <w:rsid w:val="00BD5820"/>
    <w:pPr>
      <w:widowControl/>
      <w:pBdr>
        <w:top w:val="single" w:sz="4" w:space="0" w:color="auto"/>
        <w:left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customStyle="1" w:styleId="afffff5">
    <w:name w:val="小表右"/>
    <w:basedOn w:val="a0"/>
    <w:rsid w:val="00BD5820"/>
    <w:pPr>
      <w:keepNext/>
      <w:topLinePunct w:val="0"/>
      <w:adjustRightInd/>
      <w:snapToGrid w:val="0"/>
      <w:spacing w:line="240" w:lineRule="atLeast"/>
      <w:ind w:rightChars="30" w:right="30" w:firstLineChars="0" w:firstLine="0"/>
      <w:jc w:val="right"/>
    </w:pPr>
    <w:rPr>
      <w:rFonts w:hAnsi="宋体" w:cs="Times New Roman" w:hint="eastAsia"/>
      <w:kern w:val="2"/>
      <w:sz w:val="21"/>
      <w:szCs w:val="20"/>
    </w:rPr>
  </w:style>
  <w:style w:type="paragraph" w:customStyle="1" w:styleId="afffff6">
    <w:name w:val="页脚(科宏)"/>
    <w:rsid w:val="00BD5820"/>
    <w:pPr>
      <w:jc w:val="center"/>
    </w:pPr>
    <w:rPr>
      <w:rFonts w:ascii="Arial" w:eastAsia="仿宋_GB2312" w:hAnsi="Arial"/>
      <w:sz w:val="21"/>
    </w:rPr>
  </w:style>
  <w:style w:type="paragraph" w:customStyle="1" w:styleId="xl56">
    <w:name w:val="xl56"/>
    <w:basedOn w:val="a0"/>
    <w:rsid w:val="00BD5820"/>
    <w:pPr>
      <w:widowControl/>
      <w:pBdr>
        <w:top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Cs w:val="20"/>
    </w:rPr>
  </w:style>
  <w:style w:type="paragraph" w:customStyle="1" w:styleId="afffff7">
    <w:name w:val="图"/>
    <w:basedOn w:val="a8"/>
    <w:next w:val="a0"/>
    <w:rsid w:val="00BD5820"/>
    <w:pPr>
      <w:adjustRightInd w:val="0"/>
      <w:snapToGrid w:val="0"/>
      <w:ind w:firstLine="480"/>
      <w:jc w:val="center"/>
    </w:pPr>
    <w:rPr>
      <w:rFonts w:ascii="Arial" w:hAnsi="Arial"/>
      <w:color w:val="000000"/>
      <w:sz w:val="24"/>
    </w:rPr>
  </w:style>
  <w:style w:type="paragraph" w:customStyle="1" w:styleId="2211211sect12H2H21R2h2Level2TopicHead">
    <w:name w:val="样式 标题 2标题21.1标题 21.1sect 1.2H2H21R2h2Level 2 Topic Head..."/>
    <w:basedOn w:val="2"/>
    <w:rsid w:val="00BD5820"/>
    <w:pPr>
      <w:keepLines w:val="0"/>
      <w:tabs>
        <w:tab w:val="left" w:pos="840"/>
      </w:tabs>
      <w:topLinePunct w:val="0"/>
      <w:snapToGrid w:val="0"/>
      <w:spacing w:beforeLines="50" w:afterLines="50"/>
      <w:ind w:left="840" w:hanging="420"/>
    </w:pPr>
    <w:rPr>
      <w:rFonts w:cs="Times New Roman"/>
      <w:bCs w:val="0"/>
      <w:color w:val="000000"/>
      <w:kern w:val="2"/>
      <w:sz w:val="24"/>
      <w:szCs w:val="20"/>
    </w:rPr>
  </w:style>
  <w:style w:type="paragraph" w:customStyle="1" w:styleId="xl79">
    <w:name w:val="xl79"/>
    <w:basedOn w:val="a0"/>
    <w:rsid w:val="00BD5820"/>
    <w:pPr>
      <w:widowControl/>
      <w:pBdr>
        <w:top w:val="single" w:sz="4" w:space="0" w:color="auto"/>
        <w:left w:val="single" w:sz="4" w:space="0" w:color="auto"/>
        <w:bottom w:val="single" w:sz="4" w:space="0" w:color="auto"/>
      </w:pBdr>
      <w:topLinePunct w:val="0"/>
      <w:adjustRightInd/>
      <w:spacing w:before="100" w:beforeAutospacing="1" w:after="100" w:afterAutospacing="1" w:line="240" w:lineRule="auto"/>
      <w:ind w:firstLineChars="0" w:firstLine="0"/>
      <w:jc w:val="center"/>
      <w:textAlignment w:val="center"/>
    </w:pPr>
    <w:rPr>
      <w:rFonts w:ascii="Arial Unicode MS" w:eastAsia="Arial Unicode MS" w:hAnsi="Arial Unicode MS" w:cs="Times New Roman"/>
      <w:sz w:val="20"/>
      <w:szCs w:val="20"/>
    </w:rPr>
  </w:style>
  <w:style w:type="paragraph" w:customStyle="1" w:styleId="CharCharCharCharCharCharCharCharCharChar1">
    <w:name w:val="Char Char Char Char Char Char Char Char Char Char1"/>
    <w:basedOn w:val="a0"/>
    <w:rsid w:val="00BD5820"/>
    <w:pPr>
      <w:widowControl/>
      <w:topLinePunct w:val="0"/>
      <w:adjustRightInd/>
      <w:ind w:firstLineChars="0" w:firstLine="0"/>
      <w:jc w:val="left"/>
    </w:pPr>
    <w:rPr>
      <w:rFonts w:ascii="Times New Roman" w:eastAsia="黑体" w:cs="Times New Roman"/>
      <w:szCs w:val="20"/>
    </w:rPr>
  </w:style>
  <w:style w:type="paragraph" w:customStyle="1" w:styleId="xl50">
    <w:name w:val="xl50"/>
    <w:basedOn w:val="a0"/>
    <w:rsid w:val="00BD5820"/>
    <w:pPr>
      <w:widowControl/>
      <w:pBdr>
        <w:top w:val="single" w:sz="4" w:space="0" w:color="auto"/>
        <w:left w:val="single" w:sz="4" w:space="0" w:color="auto"/>
        <w:bottom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customStyle="1" w:styleId="xl49">
    <w:name w:val="xl49"/>
    <w:basedOn w:val="a0"/>
    <w:rsid w:val="00BD5820"/>
    <w:pPr>
      <w:widowControl/>
      <w:pBdr>
        <w:left w:val="single" w:sz="4" w:space="0" w:color="auto"/>
        <w:bottom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Cs w:val="20"/>
    </w:rPr>
  </w:style>
  <w:style w:type="paragraph" w:customStyle="1" w:styleId="afffff8">
    <w:name w:val="页脚(利能)"/>
    <w:rsid w:val="00BD5820"/>
    <w:pPr>
      <w:jc w:val="center"/>
    </w:pPr>
    <w:rPr>
      <w:rFonts w:ascii="Arial" w:eastAsia="仿宋_GB2312" w:hAnsi="Arial"/>
      <w:sz w:val="21"/>
    </w:rPr>
  </w:style>
  <w:style w:type="paragraph" w:customStyle="1" w:styleId="GB231220">
    <w:name w:val="样式 仿宋_GB2312 小四 居中 行距: 固定值 20 磅"/>
    <w:basedOn w:val="a0"/>
    <w:rsid w:val="00BD5820"/>
    <w:pPr>
      <w:topLinePunct w:val="0"/>
      <w:adjustRightInd/>
      <w:spacing w:line="400" w:lineRule="exact"/>
      <w:ind w:firstLineChars="0" w:firstLine="0"/>
      <w:jc w:val="center"/>
    </w:pPr>
    <w:rPr>
      <w:rFonts w:ascii="Arial" w:eastAsia="仿宋_GB2312" w:hAnsi="Arial" w:cs="Times New Roman"/>
      <w:kern w:val="2"/>
      <w:szCs w:val="20"/>
    </w:rPr>
  </w:style>
  <w:style w:type="paragraph" w:customStyle="1" w:styleId="62">
    <w:name w:val="6"/>
    <w:basedOn w:val="a0"/>
    <w:next w:val="ad"/>
    <w:rsid w:val="00BD5820"/>
    <w:pPr>
      <w:widowControl/>
      <w:topLinePunct w:val="0"/>
      <w:ind w:firstLineChars="0" w:firstLine="735"/>
      <w:jc w:val="left"/>
      <w:textAlignment w:val="baseline"/>
    </w:pPr>
    <w:rPr>
      <w:rFonts w:ascii="Times New Roman" w:cs="Times New Roman"/>
      <w:sz w:val="28"/>
      <w:szCs w:val="20"/>
    </w:rPr>
  </w:style>
  <w:style w:type="paragraph" w:customStyle="1" w:styleId="29">
    <w:name w:val="样式2"/>
    <w:basedOn w:val="a0"/>
    <w:link w:val="2Char5"/>
    <w:rsid w:val="00BD5820"/>
    <w:pPr>
      <w:topLinePunct w:val="0"/>
      <w:snapToGrid w:val="0"/>
      <w:ind w:left="280" w:right="280" w:firstLineChars="0" w:firstLine="560"/>
      <w:jc w:val="left"/>
      <w:textAlignment w:val="baseline"/>
    </w:pPr>
    <w:rPr>
      <w:rFonts w:ascii="Times New Roman" w:cs="Times New Roman"/>
      <w:color w:val="000000"/>
      <w:sz w:val="28"/>
      <w:szCs w:val="20"/>
    </w:rPr>
  </w:style>
  <w:style w:type="paragraph" w:customStyle="1" w:styleId="xl44">
    <w:name w:val="xl44"/>
    <w:basedOn w:val="a0"/>
    <w:rsid w:val="00BD5820"/>
    <w:pPr>
      <w:widowControl/>
      <w:pBdr>
        <w:top w:val="single" w:sz="4" w:space="0" w:color="auto"/>
        <w:left w:val="single" w:sz="4" w:space="0" w:color="auto"/>
        <w:bottom w:val="single" w:sz="4" w:space="0" w:color="auto"/>
        <w:right w:val="single" w:sz="4" w:space="0" w:color="auto"/>
      </w:pBdr>
      <w:shd w:val="clear" w:color="auto" w:fill="C0C0C0"/>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customStyle="1" w:styleId="1d">
    <w:name w:val="正文1"/>
    <w:basedOn w:val="a0"/>
    <w:next w:val="a8"/>
    <w:rsid w:val="00BD5820"/>
    <w:pPr>
      <w:topLinePunct w:val="0"/>
      <w:adjustRightInd/>
      <w:spacing w:line="240" w:lineRule="auto"/>
      <w:ind w:firstLineChars="0" w:firstLine="0"/>
      <w:jc w:val="center"/>
    </w:pPr>
    <w:rPr>
      <w:rFonts w:ascii="Times New Roman" w:cs="Times New Roman"/>
      <w:kern w:val="2"/>
      <w:sz w:val="21"/>
      <w:szCs w:val="20"/>
    </w:rPr>
  </w:style>
  <w:style w:type="paragraph" w:customStyle="1" w:styleId="81">
    <w:name w:val="8"/>
    <w:basedOn w:val="a0"/>
    <w:next w:val="ad"/>
    <w:rsid w:val="00BD5820"/>
    <w:pPr>
      <w:topLinePunct w:val="0"/>
      <w:ind w:left="280" w:firstLineChars="0" w:firstLine="560"/>
      <w:jc w:val="left"/>
      <w:textAlignment w:val="baseline"/>
    </w:pPr>
    <w:rPr>
      <w:rFonts w:ascii="Times New Roman" w:cs="Times New Roman"/>
      <w:sz w:val="28"/>
      <w:szCs w:val="20"/>
    </w:rPr>
  </w:style>
  <w:style w:type="paragraph" w:customStyle="1" w:styleId="b2">
    <w:name w:val="总院b2"/>
    <w:basedOn w:val="2"/>
    <w:next w:val="afff7"/>
    <w:rsid w:val="00BD5820"/>
    <w:pPr>
      <w:topLinePunct w:val="0"/>
      <w:adjustRightInd/>
      <w:snapToGrid w:val="0"/>
      <w:spacing w:before="120" w:after="120" w:line="300" w:lineRule="auto"/>
    </w:pPr>
    <w:rPr>
      <w:rFonts w:ascii="宋体" w:eastAsia="黑体" w:hAnsi="宋体" w:cs="Times New Roman"/>
      <w:bCs w:val="0"/>
      <w:kern w:val="2"/>
      <w:szCs w:val="20"/>
      <w:lang w:val="ru-RU"/>
    </w:rPr>
  </w:style>
  <w:style w:type="paragraph" w:customStyle="1" w:styleId="220">
    <w:name w:val="标题 22"/>
    <w:basedOn w:val="a0"/>
    <w:next w:val="a0"/>
    <w:rsid w:val="00BD5820"/>
    <w:pPr>
      <w:keepNext/>
      <w:keepLines/>
      <w:topLinePunct w:val="0"/>
      <w:adjustRightInd/>
      <w:spacing w:before="260" w:after="260" w:line="413" w:lineRule="auto"/>
      <w:ind w:firstLineChars="0" w:firstLine="0"/>
      <w:outlineLvl w:val="1"/>
    </w:pPr>
    <w:rPr>
      <w:rFonts w:ascii="Cambria" w:hAnsi="Cambria" w:cs="Times New Roman" w:hint="eastAsia"/>
      <w:b/>
      <w:kern w:val="2"/>
      <w:sz w:val="32"/>
      <w:szCs w:val="20"/>
    </w:rPr>
  </w:style>
  <w:style w:type="paragraph" w:customStyle="1" w:styleId="font9">
    <w:name w:val="font9"/>
    <w:basedOn w:val="a0"/>
    <w:rsid w:val="00BD5820"/>
    <w:pPr>
      <w:widowControl/>
      <w:topLinePunct w:val="0"/>
      <w:adjustRightInd/>
      <w:spacing w:before="100" w:beforeAutospacing="1" w:after="100" w:afterAutospacing="1" w:line="240" w:lineRule="auto"/>
      <w:ind w:firstLineChars="0" w:firstLine="0"/>
      <w:jc w:val="left"/>
    </w:pPr>
    <w:rPr>
      <w:rFonts w:ascii="Times New Roman" w:eastAsia="Arial Unicode MS" w:cs="Times New Roman"/>
      <w:sz w:val="28"/>
      <w:szCs w:val="28"/>
    </w:rPr>
  </w:style>
  <w:style w:type="paragraph" w:customStyle="1" w:styleId="2a">
    <w:name w:val="正文文字（首行缩进2字）"/>
    <w:basedOn w:val="a0"/>
    <w:rsid w:val="00BD5820"/>
    <w:pPr>
      <w:topLinePunct w:val="0"/>
      <w:adjustRightInd/>
    </w:pPr>
    <w:rPr>
      <w:rFonts w:ascii="Arial" w:hAnsi="Arial" w:cs="Times New Roman"/>
      <w:kern w:val="2"/>
      <w:position w:val="-30"/>
      <w:sz w:val="28"/>
      <w:szCs w:val="20"/>
    </w:rPr>
  </w:style>
  <w:style w:type="paragraph" w:customStyle="1" w:styleId="afffff9">
    <w:name w:val="科宏表头和图号"/>
    <w:basedOn w:val="a0"/>
    <w:next w:val="a0"/>
    <w:rsid w:val="00BD5820"/>
    <w:pPr>
      <w:topLinePunct w:val="0"/>
      <w:adjustRightInd/>
      <w:spacing w:line="240" w:lineRule="auto"/>
      <w:ind w:firstLineChars="0" w:firstLine="0"/>
      <w:jc w:val="center"/>
    </w:pPr>
    <w:rPr>
      <w:rFonts w:ascii="Arial" w:eastAsia="仿宋_GB2312" w:hAnsi="Arial" w:cs="Times New Roman"/>
      <w:b/>
      <w:kern w:val="2"/>
      <w:szCs w:val="20"/>
    </w:rPr>
  </w:style>
  <w:style w:type="paragraph" w:customStyle="1" w:styleId="xl35">
    <w:name w:val="xl35"/>
    <w:basedOn w:val="a0"/>
    <w:rsid w:val="00BD5820"/>
    <w:pPr>
      <w:widowControl/>
      <w:pBdr>
        <w:top w:val="single" w:sz="4" w:space="0" w:color="auto"/>
        <w:left w:val="single" w:sz="4" w:space="0" w:color="auto"/>
        <w:bottom w:val="single" w:sz="4" w:space="0" w:color="auto"/>
        <w:right w:val="single" w:sz="4" w:space="0" w:color="auto"/>
      </w:pBdr>
      <w:shd w:val="clear" w:color="auto" w:fill="FFFF00"/>
      <w:topLinePunct w:val="0"/>
      <w:adjustRightInd/>
      <w:spacing w:before="100" w:beforeAutospacing="1" w:after="100" w:afterAutospacing="1" w:line="240" w:lineRule="auto"/>
      <w:ind w:firstLineChars="0" w:firstLine="0"/>
      <w:jc w:val="center"/>
    </w:pPr>
    <w:rPr>
      <w:rFonts w:hAnsi="宋体" w:cs="Times New Roman"/>
      <w:sz w:val="20"/>
      <w:szCs w:val="20"/>
    </w:rPr>
  </w:style>
  <w:style w:type="paragraph" w:customStyle="1" w:styleId="2b">
    <w:name w:val="标题2"/>
    <w:basedOn w:val="a8"/>
    <w:next w:val="3"/>
    <w:rsid w:val="00BD5820"/>
    <w:pPr>
      <w:adjustRightInd w:val="0"/>
      <w:snapToGrid w:val="0"/>
      <w:spacing w:line="360" w:lineRule="auto"/>
      <w:ind w:firstLine="560"/>
    </w:pPr>
    <w:rPr>
      <w:rFonts w:ascii="宋体" w:hAnsi="宋体"/>
      <w:snapToGrid w:val="0"/>
      <w:sz w:val="28"/>
    </w:rPr>
  </w:style>
  <w:style w:type="paragraph" w:customStyle="1" w:styleId="xl78">
    <w:name w:val="xl78"/>
    <w:basedOn w:val="a0"/>
    <w:rsid w:val="00BD5820"/>
    <w:pPr>
      <w:widowControl/>
      <w:pBdr>
        <w:top w:val="single" w:sz="4" w:space="0" w:color="auto"/>
        <w:bottom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ascii="Arial Unicode MS" w:eastAsia="Arial Unicode MS" w:hAnsi="Arial Unicode MS" w:cs="Times New Roman"/>
      <w:sz w:val="20"/>
      <w:szCs w:val="20"/>
    </w:rPr>
  </w:style>
  <w:style w:type="paragraph" w:customStyle="1" w:styleId="CharCharCharCharCharCharChar">
    <w:name w:val="Char Char Char Char Char Char Char"/>
    <w:basedOn w:val="a0"/>
    <w:rsid w:val="00BD5820"/>
    <w:pPr>
      <w:topLinePunct w:val="0"/>
      <w:adjustRightInd/>
      <w:spacing w:before="300" w:after="300" w:line="560" w:lineRule="exact"/>
      <w:ind w:firstLineChars="0" w:firstLine="0"/>
    </w:pPr>
    <w:rPr>
      <w:rFonts w:ascii="Times New Roman" w:eastAsia="黑体" w:cs="Times New Roman"/>
      <w:kern w:val="2"/>
      <w:sz w:val="36"/>
      <w:szCs w:val="36"/>
    </w:rPr>
  </w:style>
  <w:style w:type="paragraph" w:customStyle="1" w:styleId="afffffa">
    <w:name w:val="表格标题"/>
    <w:basedOn w:val="a8"/>
    <w:rsid w:val="00BD5820"/>
    <w:pPr>
      <w:adjustRightInd w:val="0"/>
      <w:snapToGrid w:val="0"/>
      <w:ind w:rightChars="450" w:right="945" w:firstLine="560"/>
    </w:pPr>
    <w:rPr>
      <w:rFonts w:ascii="Arial" w:hAnsi="Arial" w:cs="Arial"/>
      <w:sz w:val="28"/>
    </w:rPr>
  </w:style>
  <w:style w:type="paragraph" w:customStyle="1" w:styleId="160">
    <w:name w:val="样式16"/>
    <w:basedOn w:val="a"/>
    <w:rsid w:val="00BD5820"/>
  </w:style>
  <w:style w:type="paragraph" w:customStyle="1" w:styleId="xl73">
    <w:name w:val="xl73"/>
    <w:basedOn w:val="a0"/>
    <w:rsid w:val="00BD5820"/>
    <w:pPr>
      <w:widowControl/>
      <w:pBdr>
        <w:righ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customStyle="1" w:styleId="214">
    <w:name w:val="样式 标题 2 + 行距: 多倍行距 1.4 字行"/>
    <w:basedOn w:val="2"/>
    <w:rsid w:val="00BD5820"/>
    <w:pPr>
      <w:topLinePunct w:val="0"/>
      <w:snapToGrid w:val="0"/>
      <w:spacing w:before="0" w:afterLines="50"/>
      <w:ind w:left="100" w:right="100"/>
      <w:jc w:val="center"/>
      <w:textAlignment w:val="baseline"/>
    </w:pPr>
    <w:rPr>
      <w:rFonts w:ascii="宋体" w:hAnsi="宋体" w:cs="Times New Roman"/>
      <w:b w:val="0"/>
      <w:bCs w:val="0"/>
      <w:szCs w:val="20"/>
    </w:rPr>
  </w:style>
  <w:style w:type="paragraph" w:customStyle="1" w:styleId="afffffb">
    <w:name w:val="正文（利能）"/>
    <w:rsid w:val="00BD5820"/>
    <w:pPr>
      <w:jc w:val="both"/>
    </w:pPr>
    <w:rPr>
      <w:rFonts w:ascii="Arial" w:eastAsia="仿宋_GB2312" w:hAnsi="Arial"/>
      <w:sz w:val="21"/>
    </w:rPr>
  </w:style>
  <w:style w:type="paragraph" w:customStyle="1" w:styleId="afffffc">
    <w:name w:val="我的样式（表格内容）"/>
    <w:basedOn w:val="a0"/>
    <w:next w:val="a0"/>
    <w:rsid w:val="00BD5820"/>
    <w:pPr>
      <w:topLinePunct w:val="0"/>
      <w:adjustRightInd/>
      <w:ind w:firstLineChars="0" w:firstLine="0"/>
      <w:jc w:val="center"/>
    </w:pPr>
    <w:rPr>
      <w:rFonts w:ascii="Times New Roman" w:cs="Times New Roman"/>
      <w:kern w:val="2"/>
      <w:sz w:val="21"/>
      <w:szCs w:val="20"/>
    </w:rPr>
  </w:style>
  <w:style w:type="paragraph" w:customStyle="1" w:styleId="xl77">
    <w:name w:val="xl77"/>
    <w:basedOn w:val="a0"/>
    <w:rsid w:val="00BD5820"/>
    <w:pPr>
      <w:widowControl/>
      <w:pBdr>
        <w:top w:val="single" w:sz="4" w:space="0" w:color="auto"/>
        <w:bottom w:val="single" w:sz="4" w:space="0" w:color="auto"/>
      </w:pBdr>
      <w:topLinePunct w:val="0"/>
      <w:adjustRightInd/>
      <w:spacing w:before="100" w:beforeAutospacing="1" w:after="100" w:afterAutospacing="1" w:line="240" w:lineRule="auto"/>
      <w:ind w:firstLineChars="0" w:firstLine="0"/>
      <w:jc w:val="center"/>
      <w:textAlignment w:val="center"/>
    </w:pPr>
    <w:rPr>
      <w:rFonts w:ascii="Arial Unicode MS" w:eastAsia="Arial Unicode MS" w:hAnsi="Arial Unicode MS" w:cs="Times New Roman"/>
      <w:sz w:val="20"/>
      <w:szCs w:val="20"/>
    </w:rPr>
  </w:style>
  <w:style w:type="paragraph" w:customStyle="1" w:styleId="afffffd">
    <w:name w:val="正文（首行缩进两字）"/>
    <w:basedOn w:val="a0"/>
    <w:rsid w:val="00BD5820"/>
    <w:pPr>
      <w:topLinePunct w:val="0"/>
      <w:autoSpaceDE w:val="0"/>
      <w:autoSpaceDN w:val="0"/>
      <w:snapToGrid w:val="0"/>
      <w:ind w:firstLine="560"/>
    </w:pPr>
    <w:rPr>
      <w:rFonts w:ascii="Arial" w:eastAsia="仿宋_GB2312" w:hAnsi="Arial" w:cs="Arial"/>
      <w:bCs/>
      <w:color w:val="000000"/>
      <w:kern w:val="11"/>
      <w:sz w:val="28"/>
      <w:szCs w:val="28"/>
    </w:rPr>
  </w:style>
  <w:style w:type="paragraph" w:customStyle="1" w:styleId="4015">
    <w:name w:val="样式 标题 4 + 段后：0磅 行距1.5倍行距 宋体"/>
    <w:basedOn w:val="2c"/>
    <w:rsid w:val="00BD5820"/>
    <w:pPr>
      <w:keepNext/>
      <w:keepLines/>
      <w:tabs>
        <w:tab w:val="left" w:pos="1400"/>
        <w:tab w:val="left" w:pos="3420"/>
      </w:tabs>
      <w:spacing w:before="260" w:after="260" w:line="413" w:lineRule="auto"/>
      <w:ind w:left="3420"/>
      <w:jc w:val="center"/>
      <w:outlineLvl w:val="1"/>
    </w:pPr>
    <w:rPr>
      <w:b/>
      <w:sz w:val="24"/>
      <w:szCs w:val="20"/>
    </w:rPr>
  </w:style>
  <w:style w:type="paragraph" w:customStyle="1" w:styleId="2c">
    <w:name w:val="样式 标题 2 + 宋体 居中"/>
    <w:basedOn w:val="a0"/>
    <w:rsid w:val="00BD5820"/>
    <w:pPr>
      <w:tabs>
        <w:tab w:val="left" w:pos="840"/>
      </w:tabs>
      <w:topLinePunct w:val="0"/>
      <w:adjustRightInd/>
      <w:spacing w:line="240" w:lineRule="auto"/>
      <w:ind w:left="840" w:firstLineChars="0" w:hanging="420"/>
    </w:pPr>
    <w:rPr>
      <w:rFonts w:ascii="Times New Roman" w:cs="Times New Roman"/>
      <w:kern w:val="2"/>
      <w:sz w:val="21"/>
      <w:szCs w:val="21"/>
    </w:rPr>
  </w:style>
  <w:style w:type="paragraph" w:customStyle="1" w:styleId="CharCharChar10">
    <w:name w:val="Char Char Char1"/>
    <w:basedOn w:val="a0"/>
    <w:rsid w:val="00BD5820"/>
    <w:pPr>
      <w:topLinePunct w:val="0"/>
      <w:adjustRightInd/>
      <w:ind w:firstLineChars="0" w:firstLine="0"/>
    </w:pPr>
    <w:rPr>
      <w:rFonts w:ascii="Times New Roman" w:cs="Times New Roman"/>
      <w:kern w:val="2"/>
    </w:rPr>
  </w:style>
  <w:style w:type="paragraph" w:customStyle="1" w:styleId="xl67">
    <w:name w:val="xl67"/>
    <w:basedOn w:val="a0"/>
    <w:rsid w:val="00BD5820"/>
    <w:pPr>
      <w:widowControl/>
      <w:pBdr>
        <w:top w:val="single" w:sz="4" w:space="0" w:color="auto"/>
        <w:bottom w:val="single" w:sz="4" w:space="0" w:color="auto"/>
        <w:right w:val="single" w:sz="4" w:space="0" w:color="auto"/>
      </w:pBdr>
      <w:topLinePunct w:val="0"/>
      <w:adjustRightInd/>
      <w:spacing w:before="100" w:beforeAutospacing="1" w:after="100" w:afterAutospacing="1" w:line="240" w:lineRule="auto"/>
      <w:ind w:firstLineChars="0" w:firstLine="0"/>
      <w:jc w:val="center"/>
    </w:pPr>
    <w:rPr>
      <w:rFonts w:hAnsi="宋体" w:cs="Times New Roman"/>
      <w:sz w:val="20"/>
      <w:szCs w:val="20"/>
    </w:rPr>
  </w:style>
  <w:style w:type="paragraph" w:customStyle="1" w:styleId="b1">
    <w:name w:val="总院b1"/>
    <w:basedOn w:val="1"/>
    <w:next w:val="b2"/>
    <w:qFormat/>
    <w:rsid w:val="00BD5820"/>
    <w:pPr>
      <w:topLinePunct w:val="0"/>
      <w:adjustRightInd/>
      <w:snapToGrid w:val="0"/>
      <w:spacing w:before="0" w:beforeAutospacing="0" w:after="240" w:afterAutospacing="0" w:line="300" w:lineRule="auto"/>
    </w:pPr>
    <w:rPr>
      <w:rFonts w:ascii="黑体" w:eastAsia="黑体" w:hAnsi="Arial Narrow"/>
      <w:b w:val="0"/>
      <w:sz w:val="28"/>
      <w:szCs w:val="20"/>
    </w:rPr>
  </w:style>
  <w:style w:type="paragraph" w:customStyle="1" w:styleId="xl38">
    <w:name w:val="xl38"/>
    <w:basedOn w:val="a0"/>
    <w:rsid w:val="00BD5820"/>
    <w:pPr>
      <w:widowControl/>
      <w:pBdr>
        <w:top w:val="single" w:sz="4" w:space="0" w:color="auto"/>
        <w:left w:val="single" w:sz="4" w:space="0" w:color="auto"/>
        <w:bottom w:val="single" w:sz="4" w:space="0" w:color="auto"/>
        <w:right w:val="single" w:sz="4" w:space="0" w:color="auto"/>
      </w:pBdr>
      <w:shd w:val="clear" w:color="auto" w:fill="FFFF00"/>
      <w:topLinePunct w:val="0"/>
      <w:adjustRightInd/>
      <w:spacing w:before="100" w:beforeAutospacing="1" w:after="100" w:afterAutospacing="1" w:line="240" w:lineRule="auto"/>
      <w:ind w:firstLineChars="0" w:firstLine="0"/>
      <w:jc w:val="center"/>
    </w:pPr>
    <w:rPr>
      <w:rFonts w:hAnsi="宋体" w:cs="Times New Roman"/>
      <w:sz w:val="20"/>
      <w:szCs w:val="20"/>
    </w:rPr>
  </w:style>
  <w:style w:type="paragraph" w:customStyle="1" w:styleId="INENormal">
    <w:name w:val="INE Normal"/>
    <w:basedOn w:val="a0"/>
    <w:rsid w:val="00BD5820"/>
    <w:pPr>
      <w:widowControl/>
      <w:tabs>
        <w:tab w:val="left" w:pos="6445"/>
      </w:tabs>
      <w:topLinePunct w:val="0"/>
      <w:adjustRightInd/>
      <w:spacing w:line="240" w:lineRule="auto"/>
      <w:ind w:left="1077" w:firstLineChars="0" w:firstLine="0"/>
    </w:pPr>
    <w:rPr>
      <w:rFonts w:ascii="Arial" w:hAnsi="Arial" w:cs="Times New Roman"/>
      <w:sz w:val="22"/>
      <w:szCs w:val="20"/>
    </w:rPr>
  </w:style>
  <w:style w:type="paragraph" w:customStyle="1" w:styleId="AA22CharCharCharCharCharCharCharCharChar">
    <w:name w:val="样式 AA正文首行缩进 2 + 首行缩进:  2 字符 Char Char Char Char Char Char Char Char Char"/>
    <w:basedOn w:val="a0"/>
    <w:rsid w:val="00BD5820"/>
    <w:pPr>
      <w:topLinePunct w:val="0"/>
      <w:adjustRightInd/>
      <w:spacing w:after="120" w:line="240" w:lineRule="auto"/>
      <w:ind w:firstLine="560"/>
    </w:pPr>
    <w:rPr>
      <w:rFonts w:ascii="Times New Roman" w:eastAsia="仿宋_GB2312" w:cs="Times New Roman"/>
      <w:kern w:val="28"/>
      <w:sz w:val="28"/>
      <w:szCs w:val="20"/>
    </w:rPr>
  </w:style>
  <w:style w:type="paragraph" w:customStyle="1" w:styleId="120">
    <w:name w:val="12"/>
    <w:basedOn w:val="a0"/>
    <w:next w:val="af"/>
    <w:rsid w:val="00BD5820"/>
    <w:pPr>
      <w:topLinePunct w:val="0"/>
      <w:snapToGrid w:val="0"/>
      <w:spacing w:line="580" w:lineRule="exact"/>
      <w:ind w:firstLineChars="0" w:firstLine="510"/>
    </w:pPr>
    <w:rPr>
      <w:rFonts w:hAnsi="Courier New" w:cs="Times New Roman"/>
      <w:kern w:val="2"/>
      <w:sz w:val="28"/>
      <w:szCs w:val="20"/>
    </w:rPr>
  </w:style>
  <w:style w:type="paragraph" w:customStyle="1" w:styleId="afffffe">
    <w:name w:val="缩进正文"/>
    <w:basedOn w:val="ad"/>
    <w:rsid w:val="00BD5820"/>
    <w:pPr>
      <w:adjustRightInd w:val="0"/>
      <w:snapToGrid w:val="0"/>
      <w:spacing w:after="0" w:line="300" w:lineRule="auto"/>
      <w:ind w:leftChars="0" w:left="0" w:firstLine="200"/>
    </w:pPr>
    <w:rPr>
      <w:rFonts w:ascii="宋体"/>
      <w:sz w:val="28"/>
      <w:szCs w:val="20"/>
    </w:rPr>
  </w:style>
  <w:style w:type="paragraph" w:customStyle="1" w:styleId="30505">
    <w:name w:val="样式 样式 标题 3 + 段前: 自动 段后: 自动 + 段前: 0.5 行 段后: 0.5 行"/>
    <w:basedOn w:val="a0"/>
    <w:rsid w:val="00BD5820"/>
    <w:pPr>
      <w:keepNext/>
      <w:keepLines/>
      <w:topLinePunct w:val="0"/>
      <w:adjustRightInd/>
      <w:spacing w:beforeLines="50" w:afterLines="50" w:line="240" w:lineRule="auto"/>
      <w:ind w:firstLineChars="0" w:firstLine="0"/>
      <w:outlineLvl w:val="2"/>
    </w:pPr>
    <w:rPr>
      <w:rFonts w:ascii="Times New Roman" w:cs="Times New Roman"/>
      <w:b/>
      <w:kern w:val="2"/>
      <w:szCs w:val="20"/>
    </w:rPr>
  </w:style>
  <w:style w:type="paragraph" w:customStyle="1" w:styleId="font11">
    <w:name w:val="font11"/>
    <w:basedOn w:val="a0"/>
    <w:rsid w:val="00BD5820"/>
    <w:pPr>
      <w:widowControl/>
      <w:topLinePunct w:val="0"/>
      <w:adjustRightInd/>
      <w:spacing w:before="100" w:beforeAutospacing="1" w:after="100" w:afterAutospacing="1" w:line="240" w:lineRule="auto"/>
      <w:ind w:firstLineChars="0" w:firstLine="0"/>
      <w:jc w:val="left"/>
    </w:pPr>
    <w:rPr>
      <w:rFonts w:hAnsi="宋体" w:cs="Times New Roman" w:hint="eastAsia"/>
      <w:color w:val="000000"/>
      <w:sz w:val="16"/>
      <w:szCs w:val="20"/>
    </w:rPr>
  </w:style>
  <w:style w:type="paragraph" w:customStyle="1" w:styleId="2d">
    <w:name w:val="2"/>
    <w:basedOn w:val="a0"/>
    <w:next w:val="ae"/>
    <w:rsid w:val="00BD5820"/>
    <w:pPr>
      <w:topLinePunct w:val="0"/>
      <w:snapToGrid w:val="0"/>
      <w:spacing w:line="600" w:lineRule="exact"/>
      <w:ind w:left="329" w:right="284" w:firstLineChars="0" w:firstLine="515"/>
    </w:pPr>
    <w:rPr>
      <w:rFonts w:ascii="Arial" w:eastAsia="仿宋_GB2312" w:hAnsi="Arial" w:cs="Times New Roman"/>
      <w:kern w:val="2"/>
      <w:sz w:val="28"/>
      <w:szCs w:val="20"/>
    </w:rPr>
  </w:style>
  <w:style w:type="paragraph" w:customStyle="1" w:styleId="1e">
    <w:name w:val="内容1"/>
    <w:basedOn w:val="a0"/>
    <w:rsid w:val="00BD5820"/>
    <w:pPr>
      <w:topLinePunct w:val="0"/>
      <w:adjustRightInd/>
      <w:spacing w:line="240" w:lineRule="auto"/>
      <w:ind w:leftChars="100" w:left="100" w:rightChars="100" w:right="100"/>
    </w:pPr>
    <w:rPr>
      <w:rFonts w:ascii="Times New Roman" w:eastAsia="仿宋_GB2312" w:cs="Times New Roman"/>
      <w:kern w:val="2"/>
      <w:sz w:val="28"/>
      <w:szCs w:val="20"/>
    </w:rPr>
  </w:style>
  <w:style w:type="paragraph" w:customStyle="1" w:styleId="151">
    <w:name w:val="样式 行距: 1.5 倍行距"/>
    <w:basedOn w:val="a0"/>
    <w:rsid w:val="00BD5820"/>
    <w:pPr>
      <w:topLinePunct w:val="0"/>
      <w:adjustRightInd/>
      <w:spacing w:line="240" w:lineRule="auto"/>
      <w:ind w:firstLine="560"/>
    </w:pPr>
    <w:rPr>
      <w:rFonts w:ascii="Arial" w:eastAsia="仿宋_GB2312" w:hAnsi="Arial"/>
      <w:kern w:val="2"/>
      <w:sz w:val="28"/>
      <w:szCs w:val="28"/>
    </w:rPr>
  </w:style>
  <w:style w:type="paragraph" w:customStyle="1" w:styleId="xl30">
    <w:name w:val="xl30"/>
    <w:basedOn w:val="a0"/>
    <w:rsid w:val="00BD5820"/>
    <w:pPr>
      <w:widowControl/>
      <w:pBdr>
        <w:left w:val="single" w:sz="4" w:space="0" w:color="auto"/>
        <w:bottom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rPr>
  </w:style>
  <w:style w:type="paragraph" w:customStyle="1" w:styleId="2e">
    <w:name w:val="表头2"/>
    <w:basedOn w:val="a0"/>
    <w:rsid w:val="00BD5820"/>
    <w:pPr>
      <w:widowControl/>
      <w:tabs>
        <w:tab w:val="left" w:pos="284"/>
        <w:tab w:val="center" w:pos="6237"/>
      </w:tabs>
      <w:topLinePunct w:val="0"/>
      <w:adjustRightInd/>
      <w:spacing w:before="240" w:after="240" w:line="240" w:lineRule="auto"/>
      <w:ind w:firstLineChars="0" w:firstLine="0"/>
      <w:jc w:val="center"/>
    </w:pPr>
    <w:rPr>
      <w:rFonts w:ascii="黑体" w:eastAsia="黑体" w:cs="Times New Roman"/>
      <w:szCs w:val="20"/>
    </w:rPr>
  </w:style>
  <w:style w:type="paragraph" w:customStyle="1" w:styleId="91">
    <w:name w:val="9"/>
    <w:basedOn w:val="a0"/>
    <w:next w:val="a8"/>
    <w:rsid w:val="00BD5820"/>
    <w:pPr>
      <w:topLinePunct w:val="0"/>
      <w:adjustRightInd/>
      <w:spacing w:line="240" w:lineRule="auto"/>
      <w:ind w:firstLineChars="0" w:firstLine="420"/>
    </w:pPr>
    <w:rPr>
      <w:rFonts w:ascii="Times New Roman" w:cs="Times New Roman"/>
      <w:kern w:val="2"/>
      <w:sz w:val="21"/>
      <w:szCs w:val="20"/>
    </w:rPr>
  </w:style>
  <w:style w:type="paragraph" w:customStyle="1" w:styleId="xl22">
    <w:name w:val="xl22"/>
    <w:basedOn w:val="a0"/>
    <w:rsid w:val="00BD5820"/>
    <w:pPr>
      <w:widowControl/>
      <w:topLinePunct w:val="0"/>
      <w:adjustRightInd/>
      <w:spacing w:before="100" w:beforeAutospacing="1" w:after="100" w:afterAutospacing="1" w:line="240" w:lineRule="auto"/>
      <w:ind w:firstLineChars="0" w:firstLine="0"/>
      <w:jc w:val="center"/>
    </w:pPr>
    <w:rPr>
      <w:rFonts w:cs="Times New Roman"/>
      <w:szCs w:val="20"/>
    </w:rPr>
  </w:style>
  <w:style w:type="paragraph" w:customStyle="1" w:styleId="140">
    <w:name w:val="样式14"/>
    <w:basedOn w:val="affffb"/>
    <w:rsid w:val="00BD5820"/>
  </w:style>
  <w:style w:type="paragraph" w:customStyle="1" w:styleId="TESTO">
    <w:name w:val="TESTO"/>
    <w:basedOn w:val="a0"/>
    <w:rsid w:val="00BD5820"/>
    <w:pPr>
      <w:widowControl/>
      <w:tabs>
        <w:tab w:val="left" w:pos="1418"/>
        <w:tab w:val="left" w:pos="1701"/>
        <w:tab w:val="left" w:pos="2424"/>
        <w:tab w:val="left" w:pos="3024"/>
        <w:tab w:val="left" w:pos="3624"/>
        <w:tab w:val="left" w:pos="4224"/>
        <w:tab w:val="left" w:pos="4824"/>
        <w:tab w:val="left" w:pos="5424"/>
        <w:tab w:val="left" w:pos="6024"/>
        <w:tab w:val="left" w:pos="6624"/>
        <w:tab w:val="left" w:pos="7224"/>
      </w:tabs>
      <w:overflowPunct w:val="0"/>
      <w:topLinePunct w:val="0"/>
      <w:autoSpaceDE w:val="0"/>
      <w:autoSpaceDN w:val="0"/>
      <w:spacing w:line="240" w:lineRule="atLeast"/>
      <w:ind w:left="1247" w:right="851" w:firstLineChars="0" w:hanging="851"/>
      <w:textAlignment w:val="baseline"/>
    </w:pPr>
    <w:rPr>
      <w:rFonts w:ascii="Arial" w:hAnsi="Arial" w:cs="Times New Roman"/>
      <w:sz w:val="22"/>
      <w:szCs w:val="20"/>
      <w:lang w:val="en-GB"/>
    </w:rPr>
  </w:style>
  <w:style w:type="paragraph" w:customStyle="1" w:styleId="Char2CharCharCharCharCharChar">
    <w:name w:val="Char2 Char Char Char Char Char Char"/>
    <w:basedOn w:val="a0"/>
    <w:rsid w:val="00BD5820"/>
    <w:pPr>
      <w:topLinePunct w:val="0"/>
      <w:adjustRightInd/>
      <w:spacing w:line="240" w:lineRule="auto"/>
      <w:ind w:firstLineChars="0" w:firstLine="0"/>
    </w:pPr>
    <w:rPr>
      <w:rFonts w:ascii="Times New Roman" w:cs="Times New Roman"/>
      <w:kern w:val="2"/>
      <w:sz w:val="21"/>
      <w:szCs w:val="20"/>
    </w:rPr>
  </w:style>
  <w:style w:type="paragraph" w:customStyle="1" w:styleId="xl25">
    <w:name w:val="xl25"/>
    <w:basedOn w:val="a0"/>
    <w:rsid w:val="00BD5820"/>
    <w:pPr>
      <w:widowControl/>
      <w:pBdr>
        <w:top w:val="single" w:sz="4" w:space="0" w:color="auto"/>
        <w:left w:val="single" w:sz="4" w:space="0" w:color="auto"/>
      </w:pBdr>
      <w:topLinePunct w:val="0"/>
      <w:adjustRightInd/>
      <w:spacing w:before="100" w:beforeAutospacing="1" w:after="100" w:afterAutospacing="1" w:line="240" w:lineRule="auto"/>
      <w:ind w:firstLineChars="0" w:firstLine="0"/>
      <w:jc w:val="center"/>
    </w:pPr>
    <w:rPr>
      <w:rFonts w:hAnsi="宋体" w:cs="Times New Roman"/>
      <w:sz w:val="20"/>
      <w:szCs w:val="20"/>
    </w:rPr>
  </w:style>
  <w:style w:type="paragraph" w:customStyle="1" w:styleId="CharCharCharChar0">
    <w:name w:val="Char Char Char Char"/>
    <w:basedOn w:val="a0"/>
    <w:rsid w:val="00BD5820"/>
    <w:pPr>
      <w:topLinePunct w:val="0"/>
      <w:adjustRightInd/>
      <w:spacing w:line="240" w:lineRule="auto"/>
      <w:ind w:firstLineChars="0" w:firstLine="0"/>
    </w:pPr>
    <w:rPr>
      <w:rFonts w:ascii="Times New Roman" w:cs="Times New Roman"/>
      <w:kern w:val="2"/>
      <w:sz w:val="21"/>
    </w:rPr>
  </w:style>
  <w:style w:type="paragraph" w:customStyle="1" w:styleId="a00">
    <w:name w:val="a0"/>
    <w:basedOn w:val="a0"/>
    <w:rsid w:val="00BD5820"/>
    <w:pPr>
      <w:widowControl/>
      <w:topLinePunct w:val="0"/>
      <w:autoSpaceDE w:val="0"/>
      <w:autoSpaceDN w:val="0"/>
      <w:adjustRightInd/>
      <w:spacing w:line="480" w:lineRule="atLeast"/>
      <w:ind w:firstLineChars="0" w:firstLine="0"/>
    </w:pPr>
    <w:rPr>
      <w:rFonts w:ascii="Times New Roman" w:cs="Times New Roman"/>
      <w:spacing w:val="-12"/>
      <w:sz w:val="21"/>
      <w:szCs w:val="20"/>
    </w:rPr>
  </w:style>
  <w:style w:type="paragraph" w:customStyle="1" w:styleId="affffff">
    <w:name w:val="报告正文"/>
    <w:basedOn w:val="a0"/>
    <w:qFormat/>
    <w:rsid w:val="00BD5820"/>
    <w:pPr>
      <w:topLinePunct w:val="0"/>
      <w:snapToGrid w:val="0"/>
      <w:spacing w:line="300" w:lineRule="auto"/>
      <w:ind w:firstLineChars="0" w:firstLine="0"/>
    </w:pPr>
    <w:rPr>
      <w:rFonts w:cs="Times New Roman"/>
      <w:kern w:val="2"/>
      <w:sz w:val="28"/>
      <w:szCs w:val="20"/>
    </w:rPr>
  </w:style>
  <w:style w:type="paragraph" w:customStyle="1" w:styleId="Char2CharCharCharCharCharChar1">
    <w:name w:val="Char2 Char Char Char Char Char Char1"/>
    <w:basedOn w:val="a0"/>
    <w:rsid w:val="00BD5820"/>
    <w:pPr>
      <w:topLinePunct w:val="0"/>
      <w:adjustRightInd/>
      <w:spacing w:line="240" w:lineRule="auto"/>
      <w:ind w:firstLineChars="0" w:firstLine="0"/>
    </w:pPr>
    <w:rPr>
      <w:rFonts w:ascii="Times New Roman" w:cs="Times New Roman"/>
      <w:kern w:val="2"/>
      <w:sz w:val="21"/>
      <w:szCs w:val="20"/>
    </w:rPr>
  </w:style>
  <w:style w:type="paragraph" w:customStyle="1" w:styleId="xl71">
    <w:name w:val="xl71"/>
    <w:basedOn w:val="a0"/>
    <w:rsid w:val="00BD5820"/>
    <w:pPr>
      <w:widowControl/>
      <w:pBdr>
        <w:left w:val="single" w:sz="4" w:space="0" w:color="auto"/>
        <w:bottom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customStyle="1" w:styleId="ohz">
    <w:name w:val="ohz正文"/>
    <w:basedOn w:val="a0"/>
    <w:rsid w:val="00BD5820"/>
    <w:pPr>
      <w:topLinePunct w:val="0"/>
      <w:adjustRightInd/>
    </w:pPr>
    <w:rPr>
      <w:rFonts w:ascii="Times New Roman" w:cs="Times New Roman"/>
      <w:kern w:val="2"/>
      <w:szCs w:val="22"/>
    </w:rPr>
  </w:style>
  <w:style w:type="paragraph" w:customStyle="1" w:styleId="xl70">
    <w:name w:val="xl70"/>
    <w:basedOn w:val="a0"/>
    <w:rsid w:val="00BD5820"/>
    <w:pPr>
      <w:widowControl/>
      <w:pBdr>
        <w:left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customStyle="1" w:styleId="113">
    <w:name w:val="1.1"/>
    <w:basedOn w:val="2"/>
    <w:rsid w:val="00BD5820"/>
    <w:pPr>
      <w:topLinePunct w:val="0"/>
      <w:adjustRightInd/>
      <w:spacing w:before="0"/>
      <w:jc w:val="center"/>
    </w:pPr>
    <w:rPr>
      <w:rFonts w:ascii="Arial" w:eastAsia="仿宋_GB2312" w:hAnsi="Arial" w:cs="Times New Roman"/>
      <w:bCs w:val="0"/>
      <w:sz w:val="30"/>
      <w:szCs w:val="20"/>
    </w:rPr>
  </w:style>
  <w:style w:type="paragraph" w:customStyle="1" w:styleId="2f">
    <w:name w:val="样式 正文首缩 + 首行缩进:  2 字符"/>
    <w:basedOn w:val="a0"/>
    <w:rsid w:val="00BD5820"/>
    <w:pPr>
      <w:topLinePunct w:val="0"/>
      <w:ind w:firstLine="560"/>
    </w:pPr>
    <w:rPr>
      <w:rFonts w:ascii="Arial" w:eastAsia="仿宋_GB2312" w:hAnsi="Arial" w:cs="Times New Roman"/>
      <w:kern w:val="2"/>
      <w:sz w:val="28"/>
      <w:szCs w:val="20"/>
    </w:rPr>
  </w:style>
  <w:style w:type="paragraph" w:customStyle="1" w:styleId="a10">
    <w:name w:val="a1"/>
    <w:basedOn w:val="a0"/>
    <w:rsid w:val="00BD5820"/>
    <w:pPr>
      <w:widowControl/>
      <w:topLinePunct w:val="0"/>
      <w:adjustRightInd/>
      <w:snapToGrid w:val="0"/>
      <w:spacing w:line="240" w:lineRule="auto"/>
      <w:ind w:firstLineChars="0" w:firstLine="0"/>
      <w:jc w:val="center"/>
    </w:pPr>
    <w:rPr>
      <w:rFonts w:ascii="Times New Roman" w:cs="Times New Roman"/>
      <w:spacing w:val="-16"/>
      <w:sz w:val="21"/>
      <w:szCs w:val="20"/>
    </w:rPr>
  </w:style>
  <w:style w:type="paragraph" w:customStyle="1" w:styleId="affffff0">
    <w:name w:val="批注"/>
    <w:basedOn w:val="a0"/>
    <w:rsid w:val="00BD5820"/>
    <w:pPr>
      <w:topLinePunct w:val="0"/>
      <w:adjustRightInd/>
      <w:spacing w:line="300" w:lineRule="auto"/>
    </w:pPr>
    <w:rPr>
      <w:rFonts w:ascii="Times New Roman" w:cs="Times New Roman"/>
      <w:kern w:val="2"/>
      <w:szCs w:val="20"/>
    </w:rPr>
  </w:style>
  <w:style w:type="paragraph" w:customStyle="1" w:styleId="xl36">
    <w:name w:val="xl36"/>
    <w:basedOn w:val="a0"/>
    <w:rsid w:val="00BD5820"/>
    <w:pPr>
      <w:widowControl/>
      <w:pBdr>
        <w:top w:val="single" w:sz="4" w:space="0" w:color="auto"/>
        <w:left w:val="single" w:sz="4" w:space="0" w:color="auto"/>
        <w:bottom w:val="single" w:sz="4" w:space="0" w:color="auto"/>
        <w:right w:val="single" w:sz="4" w:space="0" w:color="auto"/>
      </w:pBdr>
      <w:shd w:val="clear" w:color="auto" w:fill="FFFF00"/>
      <w:topLinePunct w:val="0"/>
      <w:adjustRightInd/>
      <w:spacing w:before="100" w:beforeAutospacing="1" w:after="100" w:afterAutospacing="1" w:line="240" w:lineRule="auto"/>
      <w:ind w:firstLineChars="0" w:firstLine="0"/>
      <w:jc w:val="center"/>
    </w:pPr>
    <w:rPr>
      <w:rFonts w:hAnsi="宋体" w:cs="Times New Roman"/>
      <w:color w:val="3333CC"/>
      <w:sz w:val="20"/>
      <w:szCs w:val="20"/>
    </w:rPr>
  </w:style>
  <w:style w:type="paragraph" w:customStyle="1" w:styleId="CharCharCharChar2">
    <w:name w:val="Char Char Char Char2"/>
    <w:basedOn w:val="a0"/>
    <w:rsid w:val="00BD5820"/>
    <w:pPr>
      <w:topLinePunct w:val="0"/>
      <w:adjustRightInd/>
      <w:spacing w:line="240" w:lineRule="auto"/>
      <w:ind w:firstLineChars="0" w:firstLine="0"/>
    </w:pPr>
    <w:rPr>
      <w:rFonts w:ascii="Times New Roman" w:cs="Times New Roman"/>
      <w:kern w:val="2"/>
      <w:sz w:val="21"/>
      <w:szCs w:val="20"/>
    </w:rPr>
  </w:style>
  <w:style w:type="paragraph" w:customStyle="1" w:styleId="xl42">
    <w:name w:val="xl42"/>
    <w:basedOn w:val="a0"/>
    <w:rsid w:val="00BD5820"/>
    <w:pPr>
      <w:widowControl/>
      <w:pBdr>
        <w:top w:val="single" w:sz="4" w:space="0" w:color="auto"/>
        <w:left w:val="single" w:sz="4" w:space="0" w:color="auto"/>
        <w:bottom w:val="single" w:sz="4" w:space="0" w:color="auto"/>
        <w:right w:val="single" w:sz="4" w:space="0" w:color="auto"/>
      </w:pBdr>
      <w:shd w:val="clear" w:color="auto" w:fill="C0C0C0"/>
      <w:topLinePunct w:val="0"/>
      <w:adjustRightInd/>
      <w:spacing w:before="100" w:beforeAutospacing="1" w:after="100" w:afterAutospacing="1" w:line="240" w:lineRule="auto"/>
      <w:ind w:firstLineChars="0" w:firstLine="0"/>
      <w:jc w:val="center"/>
      <w:textAlignment w:val="center"/>
    </w:pPr>
    <w:rPr>
      <w:rFonts w:hAnsi="宋体" w:cs="Times New Roman"/>
      <w:color w:val="3333CC"/>
      <w:sz w:val="20"/>
      <w:szCs w:val="20"/>
    </w:rPr>
  </w:style>
  <w:style w:type="paragraph" w:customStyle="1" w:styleId="affffff1">
    <w:name w:val="篇号"/>
    <w:basedOn w:val="a0"/>
    <w:rsid w:val="00BD5820"/>
    <w:pPr>
      <w:tabs>
        <w:tab w:val="left" w:pos="1729"/>
        <w:tab w:val="left" w:pos="1882"/>
      </w:tabs>
      <w:topLinePunct w:val="0"/>
      <w:snapToGrid w:val="0"/>
      <w:spacing w:line="300" w:lineRule="auto"/>
      <w:ind w:firstLineChars="0" w:firstLine="567"/>
      <w:jc w:val="center"/>
    </w:pPr>
    <w:rPr>
      <w:rFonts w:ascii="Times New Roman" w:eastAsia="黑体" w:cs="Times New Roman"/>
      <w:kern w:val="2"/>
      <w:sz w:val="32"/>
      <w:szCs w:val="20"/>
    </w:rPr>
  </w:style>
  <w:style w:type="paragraph" w:customStyle="1" w:styleId="font8">
    <w:name w:val="font8"/>
    <w:basedOn w:val="a0"/>
    <w:rsid w:val="00BD5820"/>
    <w:pPr>
      <w:widowControl/>
      <w:topLinePunct w:val="0"/>
      <w:adjustRightInd/>
      <w:spacing w:before="100" w:beforeAutospacing="1" w:after="100" w:afterAutospacing="1" w:line="240" w:lineRule="auto"/>
      <w:ind w:firstLineChars="0" w:firstLine="0"/>
      <w:jc w:val="left"/>
    </w:pPr>
    <w:rPr>
      <w:rFonts w:ascii="Times New Roman" w:cs="Times New Roman"/>
      <w:color w:val="FF0000"/>
      <w:sz w:val="20"/>
      <w:szCs w:val="20"/>
    </w:rPr>
  </w:style>
  <w:style w:type="paragraph" w:customStyle="1" w:styleId="15082">
    <w:name w:val="样式 行距: 1.5 倍行距 左  0.8 字符 首行缩进:  2 字符"/>
    <w:basedOn w:val="a0"/>
    <w:rsid w:val="00BD5820"/>
    <w:pPr>
      <w:topLinePunct w:val="0"/>
      <w:snapToGrid w:val="0"/>
      <w:ind w:firstLine="560"/>
    </w:pPr>
    <w:rPr>
      <w:rFonts w:ascii="Times New Roman" w:eastAsia="仿宋_GB2312" w:cs="Times New Roman"/>
      <w:snapToGrid w:val="0"/>
      <w:sz w:val="28"/>
      <w:szCs w:val="20"/>
    </w:rPr>
  </w:style>
  <w:style w:type="paragraph" w:customStyle="1" w:styleId="38">
    <w:name w:val="样式 标题 3 + 非加粗"/>
    <w:basedOn w:val="3"/>
    <w:rsid w:val="00BD5820"/>
    <w:pPr>
      <w:keepNext w:val="0"/>
      <w:keepLines w:val="0"/>
      <w:tabs>
        <w:tab w:val="left" w:pos="1470"/>
      </w:tabs>
      <w:topLinePunct w:val="0"/>
      <w:adjustRightInd/>
    </w:pPr>
    <w:rPr>
      <w:rFonts w:ascii="仿宋_GB2312" w:eastAsia="仿宋_GB2312" w:hAnsi="Arial"/>
      <w:b w:val="0"/>
      <w:kern w:val="2"/>
      <w:sz w:val="28"/>
      <w:szCs w:val="28"/>
    </w:rPr>
  </w:style>
  <w:style w:type="paragraph" w:customStyle="1" w:styleId="xl60">
    <w:name w:val="xl60"/>
    <w:basedOn w:val="a0"/>
    <w:rsid w:val="00BD5820"/>
    <w:pPr>
      <w:widowControl/>
      <w:pBdr>
        <w:bottom w:val="single" w:sz="4" w:space="0" w:color="auto"/>
      </w:pBdr>
      <w:topLinePunct w:val="0"/>
      <w:adjustRightInd/>
      <w:spacing w:before="100" w:beforeAutospacing="1" w:after="100" w:afterAutospacing="1" w:line="240" w:lineRule="auto"/>
      <w:ind w:firstLineChars="0" w:firstLine="0"/>
      <w:jc w:val="center"/>
    </w:pPr>
    <w:rPr>
      <w:rFonts w:hAnsi="宋体" w:cs="Times New Roman"/>
      <w:color w:val="FF0000"/>
      <w:sz w:val="20"/>
      <w:szCs w:val="20"/>
    </w:rPr>
  </w:style>
  <w:style w:type="paragraph" w:customStyle="1" w:styleId="affffff2">
    <w:name w:val="陕西，正文"/>
    <w:basedOn w:val="a0"/>
    <w:rsid w:val="00BD5820"/>
    <w:pPr>
      <w:topLinePunct w:val="0"/>
      <w:adjustRightInd/>
      <w:ind w:firstLine="560"/>
    </w:pPr>
    <w:rPr>
      <w:rFonts w:ascii="Times New Roman"/>
      <w:kern w:val="2"/>
      <w:sz w:val="28"/>
      <w:szCs w:val="20"/>
    </w:rPr>
  </w:style>
  <w:style w:type="paragraph" w:customStyle="1" w:styleId="affffff3">
    <w:name w:val="标准"/>
    <w:basedOn w:val="a0"/>
    <w:rsid w:val="00BD5820"/>
    <w:pPr>
      <w:topLinePunct w:val="0"/>
      <w:spacing w:before="120" w:line="336" w:lineRule="auto"/>
      <w:ind w:firstLineChars="0" w:firstLine="0"/>
      <w:jc w:val="center"/>
      <w:textAlignment w:val="baseline"/>
    </w:pPr>
    <w:rPr>
      <w:rFonts w:ascii="黑体" w:eastAsia="黑体" w:cs="Times New Roman"/>
      <w:kern w:val="2"/>
      <w:sz w:val="21"/>
      <w:szCs w:val="20"/>
    </w:rPr>
  </w:style>
  <w:style w:type="paragraph" w:customStyle="1" w:styleId="39">
    <w:name w:val="样式3"/>
    <w:basedOn w:val="4015"/>
    <w:rsid w:val="00BD5820"/>
    <w:rPr>
      <w:b w:val="0"/>
      <w:sz w:val="28"/>
    </w:rPr>
  </w:style>
  <w:style w:type="paragraph" w:customStyle="1" w:styleId="121">
    <w:name w:val="样式12"/>
    <w:basedOn w:val="1"/>
    <w:rsid w:val="00BD5820"/>
    <w:pPr>
      <w:keepLines w:val="0"/>
      <w:tabs>
        <w:tab w:val="left" w:pos="425"/>
      </w:tabs>
      <w:topLinePunct w:val="0"/>
      <w:adjustRightInd/>
      <w:spacing w:before="0" w:beforeAutospacing="0" w:after="0" w:afterAutospacing="0" w:line="240" w:lineRule="auto"/>
      <w:ind w:left="425" w:hanging="425"/>
      <w:jc w:val="both"/>
    </w:pPr>
    <w:rPr>
      <w:rFonts w:ascii="黑体" w:eastAsia="黑体" w:hAnsi="楷体_GB2312"/>
      <w:kern w:val="0"/>
      <w:sz w:val="28"/>
      <w:szCs w:val="20"/>
    </w:rPr>
  </w:style>
  <w:style w:type="paragraph" w:customStyle="1" w:styleId="Style12">
    <w:name w:val="_Style 12"/>
    <w:basedOn w:val="a0"/>
    <w:rsid w:val="00BD5820"/>
    <w:pPr>
      <w:topLinePunct w:val="0"/>
      <w:adjustRightInd/>
      <w:spacing w:line="240" w:lineRule="auto"/>
      <w:ind w:firstLineChars="0" w:firstLine="0"/>
    </w:pPr>
    <w:rPr>
      <w:rFonts w:ascii="Times New Roman" w:cs="Times New Roman"/>
      <w:kern w:val="2"/>
      <w:sz w:val="21"/>
      <w:szCs w:val="20"/>
    </w:rPr>
  </w:style>
  <w:style w:type="paragraph" w:customStyle="1" w:styleId="affffff4">
    <w:name w:val="表格字体（利能）"/>
    <w:basedOn w:val="afffffb"/>
    <w:rsid w:val="00BD5820"/>
    <w:pPr>
      <w:jc w:val="center"/>
    </w:pPr>
  </w:style>
  <w:style w:type="paragraph" w:customStyle="1" w:styleId="xl46">
    <w:name w:val="xl46"/>
    <w:basedOn w:val="a0"/>
    <w:rsid w:val="00BD5820"/>
    <w:pPr>
      <w:widowControl/>
      <w:pBdr>
        <w:top w:val="single" w:sz="4" w:space="0" w:color="auto"/>
        <w:left w:val="single" w:sz="4" w:space="0" w:color="auto"/>
        <w:bottom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customStyle="1" w:styleId="font6">
    <w:name w:val="font6"/>
    <w:basedOn w:val="a0"/>
    <w:rsid w:val="00BD5820"/>
    <w:pPr>
      <w:widowControl/>
      <w:topLinePunct w:val="0"/>
      <w:adjustRightInd/>
      <w:spacing w:before="100" w:beforeAutospacing="1" w:after="100" w:afterAutospacing="1" w:line="240" w:lineRule="auto"/>
      <w:ind w:firstLineChars="0" w:firstLine="0"/>
      <w:jc w:val="left"/>
    </w:pPr>
    <w:rPr>
      <w:rFonts w:ascii="Times New Roman" w:eastAsia="Arial Unicode MS" w:cs="Times New Roman"/>
    </w:rPr>
  </w:style>
  <w:style w:type="paragraph" w:customStyle="1" w:styleId="CM114">
    <w:name w:val="CM114"/>
    <w:basedOn w:val="a0"/>
    <w:next w:val="a0"/>
    <w:rsid w:val="00BD5820"/>
    <w:pPr>
      <w:topLinePunct w:val="0"/>
      <w:autoSpaceDE w:val="0"/>
      <w:autoSpaceDN w:val="0"/>
      <w:spacing w:after="170" w:line="240" w:lineRule="auto"/>
      <w:ind w:firstLineChars="0" w:firstLine="0"/>
      <w:jc w:val="left"/>
    </w:pPr>
    <w:rPr>
      <w:rFonts w:cs="Times New Roman"/>
    </w:rPr>
  </w:style>
  <w:style w:type="paragraph" w:customStyle="1" w:styleId="xl62">
    <w:name w:val="xl62"/>
    <w:basedOn w:val="a0"/>
    <w:rsid w:val="00BD5820"/>
    <w:pPr>
      <w:widowControl/>
      <w:pBdr>
        <w:top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color w:val="FF0000"/>
      <w:sz w:val="20"/>
      <w:szCs w:val="20"/>
    </w:rPr>
  </w:style>
  <w:style w:type="paragraph" w:customStyle="1" w:styleId="-FS-L">
    <w:name w:val="正文-FS-L"/>
    <w:rsid w:val="00BD5820"/>
    <w:pPr>
      <w:spacing w:line="360" w:lineRule="auto"/>
      <w:ind w:firstLine="567"/>
      <w:jc w:val="both"/>
    </w:pPr>
    <w:rPr>
      <w:rFonts w:eastAsia="仿宋_GB2312"/>
      <w:sz w:val="28"/>
    </w:rPr>
  </w:style>
  <w:style w:type="paragraph" w:customStyle="1" w:styleId="affffff5">
    <w:name w:val="样式 表格字体（利能） + 小四"/>
    <w:basedOn w:val="affffff6"/>
    <w:rsid w:val="00BD5820"/>
    <w:rPr>
      <w:sz w:val="24"/>
    </w:rPr>
  </w:style>
  <w:style w:type="paragraph" w:customStyle="1" w:styleId="affffff6">
    <w:name w:val="表格字体（）"/>
    <w:basedOn w:val="a0"/>
    <w:rsid w:val="00BD5820"/>
    <w:pPr>
      <w:widowControl/>
      <w:topLinePunct w:val="0"/>
      <w:adjustRightInd/>
      <w:spacing w:line="240" w:lineRule="auto"/>
      <w:ind w:firstLineChars="0" w:firstLine="0"/>
      <w:jc w:val="center"/>
    </w:pPr>
    <w:rPr>
      <w:rFonts w:ascii="Arial" w:eastAsia="仿宋_GB2312" w:hAnsi="Arial" w:cs="Times New Roman"/>
      <w:sz w:val="21"/>
      <w:szCs w:val="20"/>
    </w:rPr>
  </w:style>
  <w:style w:type="paragraph" w:customStyle="1" w:styleId="xl40">
    <w:name w:val="xl40"/>
    <w:basedOn w:val="a0"/>
    <w:qFormat/>
    <w:rsid w:val="00BD5820"/>
    <w:pPr>
      <w:widowControl/>
      <w:pBdr>
        <w:top w:val="single" w:sz="4" w:space="0" w:color="auto"/>
        <w:left w:val="single" w:sz="4" w:space="0" w:color="auto"/>
        <w:bottom w:val="single" w:sz="4" w:space="0" w:color="auto"/>
        <w:right w:val="single" w:sz="4" w:space="0" w:color="auto"/>
      </w:pBdr>
      <w:shd w:val="clear" w:color="auto" w:fill="C0C0C0"/>
      <w:topLinePunct w:val="0"/>
      <w:adjustRightInd/>
      <w:spacing w:before="100" w:beforeAutospacing="1" w:after="100" w:afterAutospacing="1" w:line="240" w:lineRule="auto"/>
      <w:ind w:firstLineChars="0" w:firstLine="0"/>
      <w:jc w:val="center"/>
    </w:pPr>
    <w:rPr>
      <w:rFonts w:hAnsi="宋体" w:cs="Times New Roman"/>
      <w:color w:val="FF0000"/>
      <w:sz w:val="20"/>
      <w:szCs w:val="20"/>
    </w:rPr>
  </w:style>
  <w:style w:type="paragraph" w:customStyle="1" w:styleId="affffff7">
    <w:name w:val="表格文字（科宏）"/>
    <w:basedOn w:val="afffa"/>
    <w:rsid w:val="00BD5820"/>
    <w:pPr>
      <w:jc w:val="center"/>
    </w:pPr>
  </w:style>
  <w:style w:type="paragraph" w:customStyle="1" w:styleId="Char31">
    <w:name w:val="Char3"/>
    <w:basedOn w:val="a0"/>
    <w:rsid w:val="00BD5820"/>
    <w:pPr>
      <w:topLinePunct w:val="0"/>
      <w:adjustRightInd/>
      <w:spacing w:line="240" w:lineRule="auto"/>
      <w:ind w:firstLineChars="0" w:firstLine="0"/>
    </w:pPr>
    <w:rPr>
      <w:rFonts w:ascii="Times New Roman" w:cs="Times New Roman"/>
      <w:kern w:val="2"/>
      <w:sz w:val="21"/>
      <w:szCs w:val="20"/>
    </w:rPr>
  </w:style>
  <w:style w:type="paragraph" w:customStyle="1" w:styleId="affffff8">
    <w:name w:val="表字"/>
    <w:basedOn w:val="a0"/>
    <w:qFormat/>
    <w:rsid w:val="00BD5820"/>
    <w:pPr>
      <w:topLinePunct w:val="0"/>
      <w:adjustRightInd/>
      <w:snapToGrid w:val="0"/>
      <w:spacing w:line="360" w:lineRule="exact"/>
      <w:ind w:firstLineChars="0" w:firstLine="0"/>
    </w:pPr>
    <w:rPr>
      <w:rFonts w:ascii="Times New Roman" w:cs="Times New Roman"/>
      <w:kern w:val="2"/>
      <w:sz w:val="21"/>
      <w:szCs w:val="20"/>
    </w:rPr>
  </w:style>
  <w:style w:type="paragraph" w:customStyle="1" w:styleId="1f">
    <w:name w:val="标题 1 宋体 三号"/>
    <w:basedOn w:val="1"/>
    <w:rsid w:val="00BD5820"/>
    <w:pPr>
      <w:tabs>
        <w:tab w:val="left" w:pos="425"/>
      </w:tabs>
      <w:topLinePunct w:val="0"/>
      <w:adjustRightInd/>
      <w:spacing w:before="340" w:beforeAutospacing="0" w:after="330" w:afterAutospacing="0"/>
      <w:ind w:left="425" w:hanging="425"/>
      <w:jc w:val="center"/>
    </w:pPr>
    <w:rPr>
      <w:rFonts w:ascii="宋体" w:eastAsia="宋体" w:hAnsi="宋体"/>
      <w:szCs w:val="20"/>
    </w:rPr>
  </w:style>
  <w:style w:type="paragraph" w:customStyle="1" w:styleId="43">
    <w:name w:val="样式 标题 4 + (符号) 宋体 小四 非加粗 两端对齐"/>
    <w:basedOn w:val="a0"/>
    <w:rsid w:val="00BD5820"/>
    <w:pPr>
      <w:tabs>
        <w:tab w:val="left" w:pos="425"/>
      </w:tabs>
      <w:topLinePunct w:val="0"/>
      <w:adjustRightInd/>
      <w:spacing w:line="240" w:lineRule="auto"/>
      <w:ind w:left="360" w:firstLineChars="0" w:hanging="360"/>
    </w:pPr>
    <w:rPr>
      <w:rFonts w:ascii="Times New Roman" w:cs="Times New Roman"/>
      <w:kern w:val="2"/>
      <w:sz w:val="21"/>
      <w:szCs w:val="20"/>
    </w:rPr>
  </w:style>
  <w:style w:type="paragraph" w:customStyle="1" w:styleId="affffff9">
    <w:name w:val="方框"/>
    <w:basedOn w:val="a0"/>
    <w:rsid w:val="00BD5820"/>
    <w:pPr>
      <w:widowControl/>
      <w:topLinePunct w:val="0"/>
      <w:adjustRightInd/>
      <w:spacing w:line="0" w:lineRule="atLeast"/>
      <w:ind w:firstLineChars="0" w:firstLine="0"/>
    </w:pPr>
    <w:rPr>
      <w:rFonts w:cs="Times New Roman"/>
      <w:szCs w:val="20"/>
    </w:rPr>
  </w:style>
  <w:style w:type="paragraph" w:customStyle="1" w:styleId="affffffa">
    <w:name w:val="节名"/>
    <w:basedOn w:val="a0"/>
    <w:rsid w:val="00BD5820"/>
    <w:pPr>
      <w:topLinePunct w:val="0"/>
      <w:snapToGrid w:val="0"/>
      <w:spacing w:line="300" w:lineRule="auto"/>
      <w:ind w:firstLineChars="0" w:firstLine="0"/>
      <w:jc w:val="center"/>
    </w:pPr>
    <w:rPr>
      <w:rFonts w:ascii="Times New Roman" w:cs="Times New Roman"/>
      <w:kern w:val="2"/>
      <w:szCs w:val="20"/>
    </w:rPr>
  </w:style>
  <w:style w:type="paragraph" w:customStyle="1" w:styleId="2f0">
    <w:name w:val="京唐秦正文2"/>
    <w:basedOn w:val="a0"/>
    <w:next w:val="a0"/>
    <w:rsid w:val="00BD5820"/>
    <w:pPr>
      <w:tabs>
        <w:tab w:val="left" w:pos="700"/>
      </w:tabs>
      <w:topLinePunct w:val="0"/>
      <w:adjustRightInd/>
      <w:snapToGrid w:val="0"/>
      <w:spacing w:beforeLines="50"/>
      <w:ind w:firstLine="424"/>
      <w:jc w:val="left"/>
    </w:pPr>
    <w:rPr>
      <w:rFonts w:ascii="Times New Roman" w:cs="Times New Roman"/>
      <w:szCs w:val="20"/>
      <w:lang w:eastAsia="en-US"/>
    </w:rPr>
  </w:style>
  <w:style w:type="paragraph" w:customStyle="1" w:styleId="ourfont3">
    <w:name w:val="ourfont3"/>
    <w:basedOn w:val="a0"/>
    <w:rsid w:val="00BD5820"/>
    <w:pPr>
      <w:widowControl/>
      <w:topLinePunct w:val="0"/>
      <w:adjustRightInd/>
      <w:spacing w:before="100" w:beforeAutospacing="1" w:after="100" w:afterAutospacing="1" w:line="340" w:lineRule="atLeast"/>
      <w:ind w:firstLineChars="0" w:firstLine="0"/>
      <w:jc w:val="left"/>
    </w:pPr>
    <w:rPr>
      <w:rFonts w:hAnsi="宋体" w:cs="Times New Roman"/>
      <w:spacing w:val="20"/>
      <w:sz w:val="21"/>
      <w:szCs w:val="20"/>
    </w:rPr>
  </w:style>
  <w:style w:type="paragraph" w:customStyle="1" w:styleId="xl47">
    <w:name w:val="xl47"/>
    <w:basedOn w:val="a0"/>
    <w:rsid w:val="00BD5820"/>
    <w:pPr>
      <w:widowControl/>
      <w:pBdr>
        <w:top w:val="single" w:sz="4" w:space="0" w:color="auto"/>
        <w:bottom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customStyle="1" w:styleId="xl52">
    <w:name w:val="xl52"/>
    <w:basedOn w:val="a0"/>
    <w:rsid w:val="00BD5820"/>
    <w:pPr>
      <w:widowControl/>
      <w:pBdr>
        <w:top w:val="single" w:sz="4" w:space="0" w:color="auto"/>
        <w:bottom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customStyle="1" w:styleId="xl28">
    <w:name w:val="xl28"/>
    <w:basedOn w:val="a0"/>
    <w:rsid w:val="00BD5820"/>
    <w:pPr>
      <w:widowControl/>
      <w:pBdr>
        <w:left w:val="single" w:sz="4" w:space="0" w:color="auto"/>
        <w:bottom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ascii="Arial" w:hAnsi="Arial" w:cs="Arial"/>
    </w:rPr>
  </w:style>
  <w:style w:type="paragraph" w:customStyle="1" w:styleId="3a">
    <w:name w:val="总院3"/>
    <w:basedOn w:val="afff7"/>
    <w:rsid w:val="00BD5820"/>
    <w:pPr>
      <w:ind w:firstLineChars="0" w:firstLine="0"/>
    </w:pPr>
  </w:style>
  <w:style w:type="paragraph" w:customStyle="1" w:styleId="xl29">
    <w:name w:val="xl29"/>
    <w:basedOn w:val="a0"/>
    <w:rsid w:val="00BD5820"/>
    <w:pPr>
      <w:widowControl/>
      <w:pBdr>
        <w:left w:val="single" w:sz="4" w:space="0" w:color="auto"/>
        <w:right w:val="single" w:sz="4" w:space="0" w:color="auto"/>
      </w:pBdr>
      <w:topLinePunct w:val="0"/>
      <w:adjustRightInd/>
      <w:spacing w:before="100" w:beforeAutospacing="1" w:after="100" w:afterAutospacing="1" w:line="240" w:lineRule="auto"/>
      <w:ind w:firstLineChars="0" w:firstLine="0"/>
      <w:jc w:val="center"/>
    </w:pPr>
    <w:rPr>
      <w:rFonts w:hAnsi="宋体" w:cs="Times New Roman"/>
      <w:color w:val="FF0000"/>
      <w:sz w:val="20"/>
      <w:szCs w:val="20"/>
    </w:rPr>
  </w:style>
  <w:style w:type="paragraph" w:customStyle="1" w:styleId="215">
    <w:name w:val="样式 标题 2 + 宋体 小四 行距: 1.5 倍行距"/>
    <w:basedOn w:val="a0"/>
    <w:rsid w:val="00BD5820"/>
    <w:pPr>
      <w:tabs>
        <w:tab w:val="left" w:pos="0"/>
      </w:tabs>
      <w:topLinePunct w:val="0"/>
      <w:adjustRightInd/>
      <w:spacing w:line="240" w:lineRule="auto"/>
      <w:ind w:firstLineChars="0" w:firstLine="0"/>
    </w:pPr>
    <w:rPr>
      <w:rFonts w:ascii="Times New Roman" w:cs="Times New Roman"/>
      <w:kern w:val="2"/>
      <w:sz w:val="21"/>
      <w:szCs w:val="20"/>
    </w:rPr>
  </w:style>
  <w:style w:type="paragraph" w:customStyle="1" w:styleId="007">
    <w:name w:val="007"/>
    <w:basedOn w:val="a0"/>
    <w:rsid w:val="00BD5820"/>
    <w:pPr>
      <w:topLinePunct w:val="0"/>
      <w:adjustRightInd/>
      <w:spacing w:line="240" w:lineRule="auto"/>
      <w:ind w:firstLineChars="0" w:firstLine="0"/>
    </w:pPr>
    <w:rPr>
      <w:rFonts w:ascii="Times New Roman" w:cs="Times New Roman"/>
      <w:kern w:val="2"/>
      <w:sz w:val="21"/>
    </w:rPr>
  </w:style>
  <w:style w:type="paragraph" w:customStyle="1" w:styleId="affffffb">
    <w:name w:val="样式 小四"/>
    <w:basedOn w:val="a0"/>
    <w:rsid w:val="00BD5820"/>
    <w:pPr>
      <w:topLinePunct w:val="0"/>
      <w:adjustRightInd/>
      <w:spacing w:line="240" w:lineRule="auto"/>
      <w:ind w:leftChars="13" w:left="13" w:firstLineChars="0" w:firstLine="0"/>
    </w:pPr>
    <w:rPr>
      <w:rFonts w:ascii="Times New Roman" w:cs="Times New Roman"/>
      <w:kern w:val="2"/>
      <w:szCs w:val="20"/>
    </w:rPr>
  </w:style>
  <w:style w:type="paragraph" w:customStyle="1" w:styleId="Char1CharCharChar1">
    <w:name w:val="Char1 Char Char Char1"/>
    <w:basedOn w:val="a0"/>
    <w:rsid w:val="00BD5820"/>
    <w:pPr>
      <w:widowControl/>
      <w:topLinePunct w:val="0"/>
      <w:adjustRightInd/>
      <w:spacing w:after="160" w:line="240" w:lineRule="exact"/>
      <w:ind w:firstLineChars="0" w:firstLine="0"/>
      <w:jc w:val="left"/>
    </w:pPr>
    <w:rPr>
      <w:rFonts w:ascii="Verdana" w:hAnsi="Verdana" w:cs="Times New Roman"/>
      <w:snapToGrid w:val="0"/>
      <w:sz w:val="20"/>
      <w:szCs w:val="20"/>
      <w:lang w:eastAsia="en-US"/>
    </w:rPr>
  </w:style>
  <w:style w:type="paragraph" w:customStyle="1" w:styleId="1f0">
    <w:name w:val="1正文"/>
    <w:basedOn w:val="a0"/>
    <w:rsid w:val="00BD5820"/>
    <w:pPr>
      <w:topLinePunct w:val="0"/>
      <w:ind w:leftChars="-38" w:left="-38" w:firstLineChars="0" w:firstLine="482"/>
      <w:textAlignment w:val="baseline"/>
    </w:pPr>
    <w:rPr>
      <w:rFonts w:hAnsi="宋体" w:cs="Times New Roman"/>
      <w:szCs w:val="20"/>
    </w:rPr>
  </w:style>
  <w:style w:type="paragraph" w:customStyle="1" w:styleId="C1">
    <w:name w:val="C 正文  1"/>
    <w:basedOn w:val="a0"/>
    <w:rsid w:val="00BD5820"/>
    <w:pPr>
      <w:topLinePunct w:val="0"/>
      <w:adjustRightInd/>
      <w:ind w:firstLine="560"/>
    </w:pPr>
    <w:rPr>
      <w:rFonts w:ascii="Arial" w:eastAsia="仿宋_GB2312" w:hAnsi="Arial"/>
      <w:kern w:val="2"/>
      <w:sz w:val="28"/>
      <w:szCs w:val="20"/>
    </w:rPr>
  </w:style>
  <w:style w:type="paragraph" w:customStyle="1" w:styleId="affffffc">
    <w:name w:val="图表名"/>
    <w:basedOn w:val="a0"/>
    <w:next w:val="a0"/>
    <w:rsid w:val="00BD5820"/>
    <w:pPr>
      <w:topLinePunct w:val="0"/>
      <w:snapToGrid w:val="0"/>
      <w:spacing w:line="240" w:lineRule="auto"/>
      <w:ind w:rightChars="-38" w:right="-38" w:firstLineChars="0" w:firstLine="0"/>
      <w:jc w:val="center"/>
    </w:pPr>
    <w:rPr>
      <w:rFonts w:ascii="黑体" w:eastAsia="黑体" w:hAnsi="宋体" w:cs="Times New Roman"/>
      <w:kern w:val="2"/>
      <w:szCs w:val="20"/>
    </w:rPr>
  </w:style>
  <w:style w:type="paragraph" w:customStyle="1" w:styleId="xl72">
    <w:name w:val="xl72"/>
    <w:basedOn w:val="a0"/>
    <w:rsid w:val="00BD5820"/>
    <w:pPr>
      <w:widowControl/>
      <w:pBdr>
        <w:top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customStyle="1" w:styleId="xl66">
    <w:name w:val="xl66"/>
    <w:basedOn w:val="a0"/>
    <w:rsid w:val="00BD5820"/>
    <w:pPr>
      <w:widowControl/>
      <w:pBdr>
        <w:top w:val="single" w:sz="4" w:space="0" w:color="auto"/>
        <w:bottom w:val="single" w:sz="4" w:space="0" w:color="auto"/>
      </w:pBdr>
      <w:topLinePunct w:val="0"/>
      <w:adjustRightInd/>
      <w:spacing w:before="100" w:beforeAutospacing="1" w:after="100" w:afterAutospacing="1" w:line="240" w:lineRule="auto"/>
      <w:ind w:firstLineChars="0" w:firstLine="0"/>
      <w:jc w:val="center"/>
    </w:pPr>
    <w:rPr>
      <w:rFonts w:hAnsi="宋体" w:cs="Times New Roman"/>
      <w:sz w:val="20"/>
      <w:szCs w:val="20"/>
    </w:rPr>
  </w:style>
  <w:style w:type="paragraph" w:customStyle="1" w:styleId="44">
    <w:name w:val="4"/>
    <w:basedOn w:val="a0"/>
    <w:next w:val="ae"/>
    <w:qFormat/>
    <w:rsid w:val="00BD5820"/>
    <w:pPr>
      <w:topLinePunct w:val="0"/>
      <w:snapToGrid w:val="0"/>
      <w:spacing w:line="600" w:lineRule="exact"/>
      <w:ind w:left="329" w:right="284" w:firstLineChars="0" w:firstLine="515"/>
    </w:pPr>
    <w:rPr>
      <w:rFonts w:ascii="Arial" w:eastAsia="仿宋_GB2312" w:hAnsi="Arial" w:cs="Times New Roman"/>
      <w:kern w:val="2"/>
      <w:sz w:val="28"/>
      <w:szCs w:val="20"/>
    </w:rPr>
  </w:style>
  <w:style w:type="paragraph" w:customStyle="1" w:styleId="0">
    <w:name w:val="分类0"/>
    <w:basedOn w:val="a0"/>
    <w:rsid w:val="00BD5820"/>
    <w:pPr>
      <w:topLinePunct w:val="0"/>
      <w:adjustRightInd/>
      <w:spacing w:line="240" w:lineRule="auto"/>
      <w:ind w:firstLineChars="0" w:firstLine="0"/>
      <w:outlineLvl w:val="0"/>
    </w:pPr>
    <w:rPr>
      <w:rFonts w:eastAsia="仿宋_GB2312" w:cs="Times New Roman"/>
      <w:kern w:val="2"/>
      <w:sz w:val="28"/>
      <w:szCs w:val="20"/>
    </w:rPr>
  </w:style>
  <w:style w:type="paragraph" w:customStyle="1" w:styleId="affffffd">
    <w:name w:val="表左"/>
    <w:basedOn w:val="a0"/>
    <w:rsid w:val="00BD5820"/>
    <w:pPr>
      <w:keepNext/>
      <w:topLinePunct w:val="0"/>
      <w:adjustRightInd/>
      <w:spacing w:line="240" w:lineRule="atLeast"/>
      <w:ind w:rightChars="30" w:right="30" w:firstLineChars="0" w:firstLine="0"/>
      <w:jc w:val="center"/>
    </w:pPr>
    <w:rPr>
      <w:rFonts w:hAnsi="宋体" w:cs="Times New Roman"/>
      <w:kern w:val="2"/>
      <w:szCs w:val="20"/>
    </w:rPr>
  </w:style>
  <w:style w:type="paragraph" w:customStyle="1" w:styleId="3015">
    <w:name w:val="样式 标题 3 + 段后: 0 磅 行距: 1.5 倍行距"/>
    <w:basedOn w:val="a0"/>
    <w:rsid w:val="00BD5820"/>
    <w:pPr>
      <w:tabs>
        <w:tab w:val="left" w:pos="709"/>
      </w:tabs>
      <w:topLinePunct w:val="0"/>
      <w:adjustRightInd/>
      <w:spacing w:line="240" w:lineRule="auto"/>
      <w:ind w:left="709" w:firstLineChars="0" w:hanging="709"/>
    </w:pPr>
    <w:rPr>
      <w:rFonts w:ascii="Times New Roman" w:cs="Times New Roman"/>
      <w:kern w:val="2"/>
      <w:sz w:val="21"/>
      <w:szCs w:val="20"/>
    </w:rPr>
  </w:style>
  <w:style w:type="paragraph" w:customStyle="1" w:styleId="xl59">
    <w:name w:val="xl59"/>
    <w:basedOn w:val="a0"/>
    <w:rsid w:val="00BD5820"/>
    <w:pPr>
      <w:widowControl/>
      <w:pBdr>
        <w:bottom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Cs w:val="20"/>
    </w:rPr>
  </w:style>
  <w:style w:type="paragraph" w:customStyle="1" w:styleId="152">
    <w:name w:val="样式 样式 行距: 1.5 倍行距 + 首行缩进:  2 字符"/>
    <w:basedOn w:val="151"/>
    <w:rsid w:val="00BD5820"/>
    <w:pPr>
      <w:spacing w:line="360" w:lineRule="auto"/>
      <w:ind w:rightChars="-33" w:right="-79" w:firstLineChars="0" w:firstLine="539"/>
    </w:pPr>
    <w:rPr>
      <w:rFonts w:cs="Arial"/>
      <w:sz w:val="24"/>
      <w:szCs w:val="24"/>
    </w:rPr>
  </w:style>
  <w:style w:type="paragraph" w:customStyle="1" w:styleId="xl37">
    <w:name w:val="xl37"/>
    <w:basedOn w:val="a0"/>
    <w:rsid w:val="00BD5820"/>
    <w:pPr>
      <w:widowControl/>
      <w:pBdr>
        <w:top w:val="single" w:sz="4" w:space="0" w:color="auto"/>
        <w:left w:val="single" w:sz="4" w:space="0" w:color="auto"/>
        <w:bottom w:val="single" w:sz="4" w:space="0" w:color="auto"/>
        <w:right w:val="single" w:sz="4" w:space="0" w:color="auto"/>
      </w:pBdr>
      <w:shd w:val="clear" w:color="auto" w:fill="FFFF00"/>
      <w:topLinePunct w:val="0"/>
      <w:adjustRightInd/>
      <w:spacing w:before="100" w:beforeAutospacing="1" w:after="100" w:afterAutospacing="1" w:line="240" w:lineRule="auto"/>
      <w:ind w:firstLineChars="0" w:firstLine="0"/>
      <w:jc w:val="center"/>
    </w:pPr>
    <w:rPr>
      <w:rFonts w:hAnsi="宋体" w:cs="Times New Roman"/>
      <w:color w:val="FF0000"/>
      <w:sz w:val="20"/>
      <w:szCs w:val="20"/>
    </w:rPr>
  </w:style>
  <w:style w:type="paragraph" w:customStyle="1" w:styleId="CharCharChar1CharCharCharCharCharCharCharCharCharCharCharCharChar">
    <w:name w:val="Char Char Char1 Char Char Char Char Char Char Char Char Char Char Char Char Char"/>
    <w:basedOn w:val="4"/>
    <w:rsid w:val="00BD5820"/>
    <w:pPr>
      <w:keepNext/>
      <w:keepLines/>
      <w:tabs>
        <w:tab w:val="left" w:pos="2585"/>
      </w:tabs>
      <w:adjustRightInd/>
      <w:snapToGrid/>
      <w:spacing w:beforeLines="0" w:after="120" w:line="360" w:lineRule="auto"/>
      <w:ind w:left="1133" w:hanging="420"/>
    </w:pPr>
    <w:rPr>
      <w:rFonts w:ascii="Times New Roman" w:eastAsia="仿宋_GB2312" w:hAnsi="Times New Roman" w:cs="宋体"/>
      <w:bCs/>
      <w:kern w:val="0"/>
      <w:szCs w:val="28"/>
    </w:rPr>
  </w:style>
  <w:style w:type="paragraph" w:customStyle="1" w:styleId="content">
    <w:name w:val="content"/>
    <w:basedOn w:val="a0"/>
    <w:rsid w:val="00BD5820"/>
    <w:pPr>
      <w:widowControl/>
      <w:topLinePunct w:val="0"/>
      <w:adjustRightInd/>
      <w:spacing w:line="240" w:lineRule="auto"/>
      <w:ind w:firstLineChars="0" w:firstLine="0"/>
    </w:pPr>
    <w:rPr>
      <w:rFonts w:ascii="Times New Roman" w:cs="Times New Roman"/>
      <w:szCs w:val="18"/>
    </w:rPr>
  </w:style>
  <w:style w:type="paragraph" w:customStyle="1" w:styleId="xl27">
    <w:name w:val="xl27"/>
    <w:basedOn w:val="a0"/>
    <w:rsid w:val="00BD5820"/>
    <w:pPr>
      <w:widowControl/>
      <w:pBdr>
        <w:left w:val="single" w:sz="4" w:space="0" w:color="auto"/>
        <w:bottom w:val="single" w:sz="4" w:space="0" w:color="auto"/>
      </w:pBdr>
      <w:topLinePunct w:val="0"/>
      <w:adjustRightInd/>
      <w:spacing w:before="100" w:beforeAutospacing="1" w:after="100" w:afterAutospacing="1" w:line="240" w:lineRule="auto"/>
      <w:ind w:firstLineChars="0" w:firstLine="0"/>
      <w:jc w:val="center"/>
    </w:pPr>
    <w:rPr>
      <w:rFonts w:hAnsi="宋体" w:cs="Times New Roman"/>
      <w:sz w:val="20"/>
      <w:szCs w:val="20"/>
    </w:rPr>
  </w:style>
  <w:style w:type="paragraph" w:customStyle="1" w:styleId="216">
    <w:name w:val="样式 标题 2 + 宋体 居中1"/>
    <w:basedOn w:val="2"/>
    <w:rsid w:val="00BD5820"/>
    <w:pPr>
      <w:tabs>
        <w:tab w:val="left" w:pos="0"/>
      </w:tabs>
      <w:topLinePunct w:val="0"/>
      <w:adjustRightInd/>
      <w:spacing w:beforeLines="50" w:afterLines="50" w:line="240" w:lineRule="auto"/>
      <w:jc w:val="center"/>
    </w:pPr>
    <w:rPr>
      <w:rFonts w:ascii="仿宋_GB2312" w:eastAsia="仿宋_GB2312" w:hAnsi="宋体" w:cs="Arial"/>
      <w:kern w:val="2"/>
      <w:szCs w:val="20"/>
    </w:rPr>
  </w:style>
  <w:style w:type="paragraph" w:customStyle="1" w:styleId="affffffe">
    <w:name w:val="表格内部"/>
    <w:basedOn w:val="a0"/>
    <w:rsid w:val="00BD5820"/>
    <w:pPr>
      <w:topLinePunct w:val="0"/>
      <w:snapToGrid w:val="0"/>
      <w:spacing w:line="300" w:lineRule="auto"/>
      <w:ind w:firstLineChars="0" w:firstLine="0"/>
      <w:jc w:val="center"/>
    </w:pPr>
    <w:rPr>
      <w:rFonts w:ascii="Arial" w:eastAsia="仿宋_GB2312" w:hAnsi="Arial" w:cs="Times New Roman"/>
      <w:kern w:val="2"/>
      <w:sz w:val="21"/>
      <w:szCs w:val="20"/>
    </w:rPr>
  </w:style>
  <w:style w:type="paragraph" w:customStyle="1" w:styleId="xl39">
    <w:name w:val="xl39"/>
    <w:basedOn w:val="a0"/>
    <w:rsid w:val="00BD5820"/>
    <w:pPr>
      <w:widowControl/>
      <w:pBdr>
        <w:top w:val="single" w:sz="4" w:space="0" w:color="auto"/>
        <w:left w:val="single" w:sz="4" w:space="0" w:color="auto"/>
        <w:bottom w:val="single" w:sz="4" w:space="0" w:color="auto"/>
        <w:right w:val="single" w:sz="4" w:space="0" w:color="auto"/>
      </w:pBdr>
      <w:shd w:val="clear" w:color="auto" w:fill="FFFF00"/>
      <w:topLinePunct w:val="0"/>
      <w:adjustRightInd/>
      <w:spacing w:before="100" w:beforeAutospacing="1" w:after="100" w:afterAutospacing="1" w:line="240" w:lineRule="auto"/>
      <w:ind w:firstLineChars="0" w:firstLine="0"/>
      <w:jc w:val="center"/>
    </w:pPr>
    <w:rPr>
      <w:rFonts w:hAnsi="宋体" w:cs="Times New Roman"/>
      <w:sz w:val="20"/>
      <w:szCs w:val="20"/>
    </w:rPr>
  </w:style>
  <w:style w:type="paragraph" w:customStyle="1" w:styleId="ParaChar">
    <w:name w:val="默认段落字体 Para Char"/>
    <w:basedOn w:val="a0"/>
    <w:rsid w:val="00BD5820"/>
    <w:pPr>
      <w:topLinePunct w:val="0"/>
      <w:adjustRightInd/>
      <w:ind w:firstLineChars="0" w:firstLine="0"/>
    </w:pPr>
    <w:rPr>
      <w:rFonts w:ascii="Times New Roman" w:cs="Times New Roman"/>
      <w:kern w:val="2"/>
    </w:rPr>
  </w:style>
  <w:style w:type="paragraph" w:customStyle="1" w:styleId="GB231215">
    <w:name w:val="样式 (中文) 楷体_GB2312 四号 行距: 1.5 倍行距"/>
    <w:basedOn w:val="a0"/>
    <w:rsid w:val="00BD5820"/>
    <w:pPr>
      <w:topLinePunct w:val="0"/>
      <w:adjustRightInd/>
      <w:spacing w:line="560" w:lineRule="exact"/>
      <w:ind w:firstLine="560"/>
    </w:pPr>
    <w:rPr>
      <w:rFonts w:ascii="Times New Roman" w:eastAsia="仿宋_GB2312" w:cs="Times New Roman"/>
      <w:kern w:val="28"/>
      <w:sz w:val="28"/>
      <w:szCs w:val="20"/>
    </w:rPr>
  </w:style>
  <w:style w:type="paragraph" w:customStyle="1" w:styleId="72">
    <w:name w:val="7"/>
    <w:basedOn w:val="a0"/>
    <w:next w:val="a0"/>
    <w:rsid w:val="00BD5820"/>
    <w:pPr>
      <w:topLinePunct w:val="0"/>
      <w:adjustRightInd/>
      <w:snapToGrid w:val="0"/>
      <w:ind w:firstLineChars="0" w:firstLine="493"/>
    </w:pPr>
    <w:rPr>
      <w:rFonts w:cs="Times New Roman"/>
      <w:kern w:val="2"/>
      <w:szCs w:val="20"/>
    </w:rPr>
  </w:style>
  <w:style w:type="paragraph" w:customStyle="1" w:styleId="xl55">
    <w:name w:val="xl55"/>
    <w:basedOn w:val="a0"/>
    <w:rsid w:val="00BD5820"/>
    <w:pPr>
      <w:widowControl/>
      <w:pBdr>
        <w:top w:val="single" w:sz="4" w:space="0" w:color="auto"/>
        <w:bottom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customStyle="1" w:styleId="1f1">
    <w:name w:val="节内编号1"/>
    <w:basedOn w:val="a0"/>
    <w:rsid w:val="00BD5820"/>
    <w:pPr>
      <w:topLinePunct w:val="0"/>
      <w:snapToGrid w:val="0"/>
      <w:spacing w:line="336" w:lineRule="auto"/>
      <w:ind w:rightChars="100" w:right="100" w:firstLineChars="300" w:firstLine="672"/>
    </w:pPr>
    <w:rPr>
      <w:rFonts w:hAnsi="宋体" w:cs="Times New Roman"/>
      <w:color w:val="000000"/>
      <w:spacing w:val="-8"/>
      <w:kern w:val="2"/>
      <w:szCs w:val="20"/>
    </w:rPr>
  </w:style>
  <w:style w:type="paragraph" w:customStyle="1" w:styleId="2f1">
    <w:name w:val="表正文2"/>
    <w:basedOn w:val="a0"/>
    <w:rsid w:val="00BD5820"/>
    <w:pPr>
      <w:topLinePunct w:val="0"/>
      <w:snapToGrid w:val="0"/>
      <w:spacing w:line="240" w:lineRule="auto"/>
      <w:ind w:right="-106" w:firstLineChars="0" w:firstLine="0"/>
      <w:jc w:val="center"/>
    </w:pPr>
    <w:rPr>
      <w:rFonts w:hAnsi="宋体" w:cs="Times New Roman"/>
      <w:kern w:val="2"/>
      <w:sz w:val="21"/>
      <w:szCs w:val="20"/>
    </w:rPr>
  </w:style>
  <w:style w:type="paragraph" w:customStyle="1" w:styleId="301510">
    <w:name w:val="30151"/>
    <w:basedOn w:val="a0"/>
    <w:rsid w:val="00BD5820"/>
    <w:pPr>
      <w:widowControl/>
      <w:tabs>
        <w:tab w:val="left" w:pos="1260"/>
      </w:tabs>
      <w:topLinePunct w:val="0"/>
      <w:adjustRightInd/>
      <w:spacing w:line="240" w:lineRule="auto"/>
      <w:ind w:left="1260" w:firstLineChars="0" w:hanging="420"/>
    </w:pPr>
    <w:rPr>
      <w:rFonts w:ascii="Times New Roman" w:cs="Times New Roman"/>
      <w:szCs w:val="20"/>
    </w:rPr>
  </w:style>
  <w:style w:type="paragraph" w:customStyle="1" w:styleId="141">
    <w:name w:val="14"/>
    <w:basedOn w:val="a0"/>
    <w:next w:val="23"/>
    <w:rsid w:val="00BD5820"/>
    <w:pPr>
      <w:topLinePunct w:val="0"/>
      <w:adjustRightInd/>
      <w:spacing w:after="120" w:line="480" w:lineRule="auto"/>
      <w:ind w:firstLineChars="0" w:firstLine="0"/>
    </w:pPr>
    <w:rPr>
      <w:rFonts w:ascii="Times New Roman" w:cs="Times New Roman"/>
      <w:kern w:val="2"/>
      <w:sz w:val="21"/>
      <w:szCs w:val="20"/>
    </w:rPr>
  </w:style>
  <w:style w:type="paragraph" w:customStyle="1" w:styleId="xl81">
    <w:name w:val="xl81"/>
    <w:basedOn w:val="a0"/>
    <w:rsid w:val="00BD5820"/>
    <w:pPr>
      <w:widowControl/>
      <w:pBdr>
        <w:top w:val="single" w:sz="4" w:space="0" w:color="auto"/>
        <w:bottom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ascii="Arial Unicode MS" w:eastAsia="Arial Unicode MS" w:hAnsi="Arial Unicode MS" w:cs="Times New Roman"/>
      <w:sz w:val="20"/>
      <w:szCs w:val="20"/>
    </w:rPr>
  </w:style>
  <w:style w:type="paragraph" w:customStyle="1" w:styleId="xl43">
    <w:name w:val="xl43"/>
    <w:basedOn w:val="a0"/>
    <w:rsid w:val="00BD5820"/>
    <w:pPr>
      <w:widowControl/>
      <w:pBdr>
        <w:top w:val="single" w:sz="4" w:space="0" w:color="auto"/>
        <w:left w:val="single" w:sz="4" w:space="0" w:color="auto"/>
        <w:bottom w:val="single" w:sz="4" w:space="0" w:color="auto"/>
        <w:right w:val="single" w:sz="4" w:space="0" w:color="auto"/>
      </w:pBdr>
      <w:shd w:val="clear" w:color="auto" w:fill="C0C0C0"/>
      <w:topLinePunct w:val="0"/>
      <w:adjustRightInd/>
      <w:spacing w:before="100" w:beforeAutospacing="1" w:after="100" w:afterAutospacing="1" w:line="240" w:lineRule="auto"/>
      <w:ind w:firstLineChars="0" w:firstLine="0"/>
      <w:jc w:val="center"/>
      <w:textAlignment w:val="center"/>
    </w:pPr>
    <w:rPr>
      <w:rFonts w:hAnsi="宋体" w:cs="Times New Roman"/>
      <w:color w:val="FF0000"/>
      <w:sz w:val="20"/>
      <w:szCs w:val="20"/>
    </w:rPr>
  </w:style>
  <w:style w:type="paragraph" w:customStyle="1" w:styleId="CharCharCharChar1">
    <w:name w:val="Char Char Char Char1"/>
    <w:basedOn w:val="a0"/>
    <w:rsid w:val="00BD5820"/>
    <w:pPr>
      <w:topLinePunct w:val="0"/>
      <w:adjustRightInd/>
      <w:spacing w:line="240" w:lineRule="auto"/>
      <w:ind w:firstLineChars="0" w:firstLine="0"/>
    </w:pPr>
    <w:rPr>
      <w:rFonts w:ascii="Times New Roman" w:cs="Times New Roman"/>
      <w:kern w:val="2"/>
      <w:sz w:val="21"/>
      <w:szCs w:val="20"/>
    </w:rPr>
  </w:style>
  <w:style w:type="paragraph" w:customStyle="1" w:styleId="xl32">
    <w:name w:val="xl32"/>
    <w:basedOn w:val="a0"/>
    <w:rsid w:val="00BD5820"/>
    <w:pPr>
      <w:widowControl/>
      <w:pBdr>
        <w:top w:val="single" w:sz="4" w:space="0" w:color="auto"/>
        <w:left w:val="single" w:sz="4" w:space="0" w:color="auto"/>
        <w:bottom w:val="single" w:sz="4" w:space="0" w:color="auto"/>
        <w:right w:val="single" w:sz="4" w:space="0" w:color="auto"/>
      </w:pBdr>
      <w:topLinePunct w:val="0"/>
      <w:adjustRightInd/>
      <w:spacing w:before="100" w:beforeAutospacing="1" w:after="100" w:afterAutospacing="1" w:line="240" w:lineRule="auto"/>
      <w:ind w:firstLineChars="0" w:firstLine="0"/>
      <w:jc w:val="center"/>
    </w:pPr>
    <w:rPr>
      <w:rFonts w:hAnsi="宋体" w:cs="Times New Roman"/>
      <w:sz w:val="20"/>
      <w:szCs w:val="20"/>
    </w:rPr>
  </w:style>
  <w:style w:type="paragraph" w:customStyle="1" w:styleId="pp">
    <w:name w:val="pp"/>
    <w:basedOn w:val="a0"/>
    <w:rsid w:val="00BD5820"/>
    <w:pPr>
      <w:topLinePunct w:val="0"/>
      <w:ind w:leftChars="51" w:left="51" w:right="142"/>
      <w:jc w:val="left"/>
      <w:textAlignment w:val="baseline"/>
    </w:pPr>
    <w:rPr>
      <w:rFonts w:ascii="Times New Roman" w:cs="Times New Roman"/>
      <w:szCs w:val="20"/>
    </w:rPr>
  </w:style>
  <w:style w:type="paragraph" w:customStyle="1" w:styleId="afffffff">
    <w:name w:val="八角正文"/>
    <w:basedOn w:val="a0"/>
    <w:rsid w:val="00BD5820"/>
    <w:pPr>
      <w:tabs>
        <w:tab w:val="left" w:pos="0"/>
      </w:tabs>
      <w:topLinePunct w:val="0"/>
      <w:spacing w:line="500" w:lineRule="exact"/>
      <w:ind w:firstLineChars="0" w:firstLine="0"/>
    </w:pPr>
    <w:rPr>
      <w:rFonts w:ascii="Times New Roman" w:cs="Times New Roman"/>
      <w:color w:val="000000"/>
      <w:sz w:val="28"/>
      <w:szCs w:val="20"/>
    </w:rPr>
  </w:style>
  <w:style w:type="paragraph" w:customStyle="1" w:styleId="1f2">
    <w:name w:val="1"/>
    <w:basedOn w:val="a0"/>
    <w:next w:val="a8"/>
    <w:rsid w:val="00BD5820"/>
    <w:pPr>
      <w:topLinePunct w:val="0"/>
      <w:adjustRightInd/>
      <w:spacing w:line="240" w:lineRule="auto"/>
      <w:ind w:firstLine="420"/>
    </w:pPr>
    <w:rPr>
      <w:rFonts w:ascii="Times New Roman" w:cs="Times New Roman"/>
      <w:kern w:val="2"/>
      <w:sz w:val="21"/>
      <w:szCs w:val="20"/>
    </w:rPr>
  </w:style>
  <w:style w:type="paragraph" w:customStyle="1" w:styleId="11114">
    <w:name w:val="1.1.1.1标题 4 宋体"/>
    <w:basedOn w:val="4"/>
    <w:rsid w:val="00BD5820"/>
    <w:pPr>
      <w:keepNext/>
      <w:keepLines/>
      <w:widowControl w:val="0"/>
      <w:tabs>
        <w:tab w:val="left" w:pos="2585"/>
      </w:tabs>
      <w:adjustRightInd/>
      <w:snapToGrid/>
      <w:spacing w:beforeLines="0" w:after="290" w:line="372" w:lineRule="auto"/>
      <w:ind w:left="1133" w:hanging="420"/>
      <w:jc w:val="both"/>
    </w:pPr>
    <w:rPr>
      <w:rFonts w:eastAsia="黑体"/>
      <w:b/>
      <w:szCs w:val="20"/>
    </w:rPr>
  </w:style>
  <w:style w:type="paragraph" w:customStyle="1" w:styleId="130">
    <w:name w:val="样式13"/>
    <w:basedOn w:val="affffb"/>
    <w:rsid w:val="00BD5820"/>
  </w:style>
  <w:style w:type="paragraph" w:customStyle="1" w:styleId="ZW">
    <w:name w:val="ZW"/>
    <w:basedOn w:val="a0"/>
    <w:rsid w:val="00BD5820"/>
    <w:pPr>
      <w:topLinePunct w:val="0"/>
      <w:spacing w:beforeLines="50"/>
      <w:ind w:firstLine="480"/>
    </w:pPr>
    <w:rPr>
      <w:rFonts w:ascii="Times New Roman" w:cs="Times New Roman"/>
    </w:rPr>
  </w:style>
  <w:style w:type="paragraph" w:customStyle="1" w:styleId="131">
    <w:name w:val="13"/>
    <w:basedOn w:val="a0"/>
    <w:next w:val="a8"/>
    <w:rsid w:val="00BD5820"/>
    <w:pPr>
      <w:topLinePunct w:val="0"/>
      <w:adjustRightInd/>
      <w:spacing w:line="240" w:lineRule="auto"/>
      <w:ind w:firstLineChars="0" w:firstLine="420"/>
    </w:pPr>
    <w:rPr>
      <w:rFonts w:ascii="Times New Roman" w:cs="Times New Roman"/>
      <w:kern w:val="2"/>
      <w:sz w:val="28"/>
      <w:szCs w:val="20"/>
    </w:rPr>
  </w:style>
  <w:style w:type="paragraph" w:customStyle="1" w:styleId="afffffff0">
    <w:name w:val="(页眉)利能"/>
    <w:rsid w:val="00BD5820"/>
    <w:rPr>
      <w:rFonts w:ascii="Arial" w:eastAsia="仿宋_GB2312" w:hAnsi="Arial"/>
      <w:sz w:val="21"/>
    </w:rPr>
  </w:style>
  <w:style w:type="paragraph" w:customStyle="1" w:styleId="xl54">
    <w:name w:val="xl54"/>
    <w:basedOn w:val="a0"/>
    <w:rsid w:val="00BD5820"/>
    <w:pPr>
      <w:widowControl/>
      <w:pBdr>
        <w:top w:val="single" w:sz="4" w:space="0" w:color="auto"/>
        <w:bottom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customStyle="1" w:styleId="115">
    <w:name w:val="标题1：样式 标题 1 + 居中"/>
    <w:basedOn w:val="1"/>
    <w:rsid w:val="00BD5820"/>
    <w:pPr>
      <w:pBdr>
        <w:top w:val="single" w:sz="12" w:space="1" w:color="auto"/>
        <w:left w:val="single" w:sz="12" w:space="4" w:color="auto"/>
        <w:bottom w:val="single" w:sz="12" w:space="1" w:color="auto"/>
        <w:right w:val="single" w:sz="12" w:space="4" w:color="auto"/>
      </w:pBdr>
      <w:tabs>
        <w:tab w:val="left" w:pos="900"/>
      </w:tabs>
      <w:topLinePunct w:val="0"/>
      <w:adjustRightInd/>
      <w:spacing w:before="340" w:beforeAutospacing="0" w:after="330" w:afterAutospacing="0" w:line="576" w:lineRule="auto"/>
      <w:ind w:left="900" w:hanging="420"/>
      <w:jc w:val="center"/>
    </w:pPr>
    <w:rPr>
      <w:rFonts w:eastAsia="宋体" w:hAnsi="楷体_GB2312"/>
      <w:sz w:val="44"/>
      <w:szCs w:val="20"/>
    </w:rPr>
  </w:style>
  <w:style w:type="paragraph" w:customStyle="1" w:styleId="198">
    <w:name w:val="样式 四号 左侧:  1.98 厘米"/>
    <w:basedOn w:val="a0"/>
    <w:rsid w:val="00BD5820"/>
    <w:pPr>
      <w:topLinePunct w:val="0"/>
      <w:snapToGrid w:val="0"/>
      <w:spacing w:line="240" w:lineRule="auto"/>
      <w:ind w:firstLineChars="0" w:firstLine="0"/>
    </w:pPr>
    <w:rPr>
      <w:rFonts w:ascii="Times New Roman" w:cs="Times New Roman"/>
      <w:kern w:val="2"/>
    </w:rPr>
  </w:style>
  <w:style w:type="paragraph" w:customStyle="1" w:styleId="New">
    <w:name w:val="正文 New"/>
    <w:rsid w:val="00BD5820"/>
    <w:pPr>
      <w:widowControl w:val="0"/>
      <w:jc w:val="both"/>
    </w:pPr>
    <w:rPr>
      <w:kern w:val="2"/>
      <w:sz w:val="21"/>
      <w:szCs w:val="24"/>
    </w:rPr>
  </w:style>
  <w:style w:type="paragraph" w:customStyle="1" w:styleId="font5">
    <w:name w:val="font5"/>
    <w:basedOn w:val="a0"/>
    <w:rsid w:val="00BD5820"/>
    <w:pPr>
      <w:widowControl/>
      <w:topLinePunct w:val="0"/>
      <w:adjustRightInd/>
      <w:spacing w:before="100" w:beforeAutospacing="1" w:after="100" w:afterAutospacing="1" w:line="240" w:lineRule="auto"/>
      <w:ind w:firstLineChars="0" w:firstLine="0"/>
      <w:jc w:val="left"/>
    </w:pPr>
    <w:rPr>
      <w:rFonts w:hAnsi="宋体" w:cs="Times New Roman" w:hint="eastAsia"/>
      <w:sz w:val="18"/>
      <w:szCs w:val="20"/>
    </w:rPr>
  </w:style>
  <w:style w:type="paragraph" w:customStyle="1" w:styleId="CharCharCharCharCharCharCharCharCharCharCharCharCharCharCharCharCharCharCharChar">
    <w:name w:val="Char Char Char Char Char Char Char Char Char Char Char Char Char Char Char Char Char Char Char Char"/>
    <w:basedOn w:val="a0"/>
    <w:rsid w:val="00BD5820"/>
    <w:pPr>
      <w:topLinePunct w:val="0"/>
      <w:adjustRightInd/>
      <w:spacing w:line="240" w:lineRule="auto"/>
      <w:ind w:firstLineChars="0" w:firstLine="0"/>
    </w:pPr>
    <w:rPr>
      <w:rFonts w:ascii="Times New Roman" w:cs="Times New Roman"/>
      <w:kern w:val="2"/>
      <w:sz w:val="21"/>
    </w:rPr>
  </w:style>
  <w:style w:type="paragraph" w:customStyle="1" w:styleId="1f3">
    <w:name w:val="报告标1"/>
    <w:basedOn w:val="a0"/>
    <w:next w:val="a0"/>
    <w:rsid w:val="00BD5820"/>
    <w:pPr>
      <w:topLinePunct w:val="0"/>
      <w:snapToGrid w:val="0"/>
      <w:spacing w:line="300" w:lineRule="auto"/>
      <w:ind w:firstLineChars="0" w:firstLine="0"/>
    </w:pPr>
    <w:rPr>
      <w:rFonts w:ascii="黑体" w:eastAsia="黑体" w:cs="Times New Roman" w:hint="eastAsia"/>
      <w:kern w:val="2"/>
      <w:sz w:val="28"/>
      <w:szCs w:val="20"/>
    </w:rPr>
  </w:style>
  <w:style w:type="paragraph" w:customStyle="1" w:styleId="xl31">
    <w:name w:val="xl31"/>
    <w:basedOn w:val="a0"/>
    <w:rsid w:val="00BD5820"/>
    <w:pPr>
      <w:widowControl/>
      <w:pBdr>
        <w:top w:val="single" w:sz="4" w:space="0" w:color="auto"/>
        <w:lef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 w:val="20"/>
      <w:szCs w:val="20"/>
    </w:rPr>
  </w:style>
  <w:style w:type="paragraph" w:customStyle="1" w:styleId="afffffff1">
    <w:name w:val="小表中"/>
    <w:basedOn w:val="a0"/>
    <w:rsid w:val="00BD5820"/>
    <w:pPr>
      <w:keepNext/>
      <w:topLinePunct w:val="0"/>
      <w:adjustRightInd/>
      <w:snapToGrid w:val="0"/>
      <w:spacing w:line="240" w:lineRule="atLeast"/>
      <w:ind w:firstLineChars="0" w:firstLine="0"/>
      <w:jc w:val="center"/>
    </w:pPr>
    <w:rPr>
      <w:rFonts w:hAnsi="宋体" w:cs="Times New Roman" w:hint="eastAsia"/>
      <w:kern w:val="2"/>
      <w:sz w:val="21"/>
      <w:szCs w:val="20"/>
    </w:rPr>
  </w:style>
  <w:style w:type="paragraph" w:customStyle="1" w:styleId="xl41">
    <w:name w:val="xl41"/>
    <w:basedOn w:val="a0"/>
    <w:rsid w:val="00BD5820"/>
    <w:pPr>
      <w:widowControl/>
      <w:pBdr>
        <w:top w:val="single" w:sz="4" w:space="0" w:color="auto"/>
        <w:left w:val="single" w:sz="4" w:space="0" w:color="auto"/>
        <w:bottom w:val="single" w:sz="4" w:space="0" w:color="auto"/>
        <w:right w:val="single" w:sz="4" w:space="0" w:color="auto"/>
      </w:pBdr>
      <w:shd w:val="clear" w:color="auto" w:fill="C0C0C0"/>
      <w:topLinePunct w:val="0"/>
      <w:adjustRightInd/>
      <w:spacing w:before="100" w:beforeAutospacing="1" w:after="100" w:afterAutospacing="1" w:line="240" w:lineRule="auto"/>
      <w:ind w:firstLineChars="0" w:firstLine="0"/>
      <w:jc w:val="center"/>
    </w:pPr>
    <w:rPr>
      <w:rFonts w:hAnsi="宋体" w:cs="Times New Roman"/>
      <w:sz w:val="20"/>
      <w:szCs w:val="20"/>
    </w:rPr>
  </w:style>
  <w:style w:type="paragraph" w:customStyle="1" w:styleId="xl75">
    <w:name w:val="xl75"/>
    <w:basedOn w:val="a0"/>
    <w:rsid w:val="00BD5820"/>
    <w:pPr>
      <w:widowControl/>
      <w:pBdr>
        <w:top w:val="single" w:sz="4" w:space="0" w:color="auto"/>
        <w:left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ascii="Times New Roman" w:eastAsia="Arial Unicode MS" w:cs="Times New Roman"/>
      <w:sz w:val="20"/>
      <w:szCs w:val="20"/>
    </w:rPr>
  </w:style>
  <w:style w:type="paragraph" w:customStyle="1" w:styleId="xl24">
    <w:name w:val="xl24"/>
    <w:basedOn w:val="a0"/>
    <w:rsid w:val="00BD5820"/>
    <w:pPr>
      <w:widowControl/>
      <w:pBdr>
        <w:top w:val="single" w:sz="4" w:space="0" w:color="auto"/>
        <w:left w:val="single" w:sz="4" w:space="0" w:color="auto"/>
        <w:bottom w:val="single" w:sz="4" w:space="0" w:color="auto"/>
        <w:right w:val="single" w:sz="4" w:space="0" w:color="auto"/>
      </w:pBdr>
      <w:topLinePunct w:val="0"/>
      <w:adjustRightInd/>
      <w:spacing w:before="100" w:beforeAutospacing="1" w:after="100" w:afterAutospacing="1" w:line="240" w:lineRule="auto"/>
      <w:ind w:firstLineChars="0" w:firstLine="0"/>
      <w:jc w:val="center"/>
    </w:pPr>
    <w:rPr>
      <w:rFonts w:hAnsi="宋体" w:cs="Times New Roman"/>
      <w:szCs w:val="20"/>
    </w:rPr>
  </w:style>
  <w:style w:type="paragraph" w:customStyle="1" w:styleId="CM4">
    <w:name w:val="CM4"/>
    <w:basedOn w:val="a0"/>
    <w:next w:val="a0"/>
    <w:rsid w:val="00BD5820"/>
    <w:pPr>
      <w:topLinePunct w:val="0"/>
      <w:autoSpaceDE w:val="0"/>
      <w:autoSpaceDN w:val="0"/>
      <w:spacing w:line="468" w:lineRule="atLeast"/>
      <w:ind w:firstLineChars="0" w:firstLine="0"/>
      <w:jc w:val="left"/>
    </w:pPr>
    <w:rPr>
      <w:rFonts w:eastAsia="仿宋_GB2312" w:cs="Times New Roman"/>
      <w:szCs w:val="20"/>
    </w:rPr>
  </w:style>
  <w:style w:type="paragraph" w:customStyle="1" w:styleId="xl51">
    <w:name w:val="xl51"/>
    <w:basedOn w:val="a0"/>
    <w:rsid w:val="00BD5820"/>
    <w:pPr>
      <w:widowControl/>
      <w:pBdr>
        <w:top w:val="single" w:sz="4" w:space="0" w:color="auto"/>
        <w:bottom w:val="single" w:sz="4" w:space="0" w:color="auto"/>
        <w:righ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Cs w:val="20"/>
    </w:rPr>
  </w:style>
  <w:style w:type="paragraph" w:customStyle="1" w:styleId="Char15">
    <w:name w:val="Char1"/>
    <w:basedOn w:val="a0"/>
    <w:rsid w:val="00BD5820"/>
    <w:pPr>
      <w:topLinePunct w:val="0"/>
      <w:adjustRightInd/>
      <w:spacing w:line="240" w:lineRule="auto"/>
      <w:ind w:firstLineChars="0" w:firstLine="0"/>
    </w:pPr>
    <w:rPr>
      <w:rFonts w:ascii="Arial" w:hAnsi="Arial" w:cs="Times New Roman"/>
      <w:kern w:val="2"/>
      <w:sz w:val="21"/>
      <w:szCs w:val="20"/>
    </w:rPr>
  </w:style>
  <w:style w:type="paragraph" w:customStyle="1" w:styleId="Char23">
    <w:name w:val="Char2"/>
    <w:basedOn w:val="a0"/>
    <w:rsid w:val="00BD5820"/>
    <w:pPr>
      <w:topLinePunct w:val="0"/>
      <w:adjustRightInd/>
      <w:spacing w:line="240" w:lineRule="auto"/>
      <w:ind w:firstLineChars="0" w:firstLine="0"/>
    </w:pPr>
    <w:rPr>
      <w:rFonts w:ascii="Times New Roman" w:cs="Times New Roman"/>
      <w:kern w:val="2"/>
      <w:sz w:val="21"/>
      <w:szCs w:val="20"/>
    </w:rPr>
  </w:style>
  <w:style w:type="paragraph" w:customStyle="1" w:styleId="45">
    <w:name w:val="标题4"/>
    <w:basedOn w:val="4"/>
    <w:next w:val="4"/>
    <w:rsid w:val="00BD5820"/>
    <w:pPr>
      <w:widowControl w:val="0"/>
      <w:tabs>
        <w:tab w:val="left" w:pos="2585"/>
      </w:tabs>
      <w:adjustRightInd/>
      <w:snapToGrid/>
      <w:spacing w:beforeLines="0" w:line="360" w:lineRule="auto"/>
      <w:ind w:leftChars="48" w:left="101" w:firstLineChars="235" w:firstLine="658"/>
      <w:jc w:val="both"/>
      <w:outlineLvl w:val="9"/>
    </w:pPr>
    <w:rPr>
      <w:rFonts w:eastAsia="仿宋_GB2312" w:cs="Arial"/>
      <w:bCs/>
      <w:color w:val="000000"/>
      <w:kern w:val="28"/>
      <w:szCs w:val="28"/>
    </w:rPr>
  </w:style>
  <w:style w:type="paragraph" w:customStyle="1" w:styleId="2CharChar">
    <w:name w:val="正文文字缩进 2 Char Char"/>
    <w:basedOn w:val="a0"/>
    <w:qFormat/>
    <w:rsid w:val="00BD5820"/>
    <w:pPr>
      <w:topLinePunct w:val="0"/>
      <w:snapToGrid w:val="0"/>
      <w:spacing w:before="156" w:after="78" w:line="240" w:lineRule="auto"/>
      <w:ind w:left="105" w:firstLine="482"/>
      <w:jc w:val="center"/>
    </w:pPr>
    <w:rPr>
      <w:rFonts w:ascii="Arial" w:eastAsia="仿宋_GB2312" w:hAnsi="Arial" w:cs="Arial"/>
      <w:b/>
      <w:kern w:val="2"/>
    </w:rPr>
  </w:style>
  <w:style w:type="paragraph" w:customStyle="1" w:styleId="7815">
    <w:name w:val="样式 宋体 小四 段前: 7.8 磅 行距: 1.5 倍行距"/>
    <w:basedOn w:val="a0"/>
    <w:rsid w:val="00BD5820"/>
    <w:pPr>
      <w:topLinePunct w:val="0"/>
      <w:adjustRightInd/>
      <w:spacing w:before="100" w:beforeAutospacing="1" w:after="100" w:afterAutospacing="1"/>
    </w:pPr>
    <w:rPr>
      <w:rFonts w:cs="Times New Roman"/>
      <w:kern w:val="2"/>
      <w:szCs w:val="20"/>
    </w:rPr>
  </w:style>
  <w:style w:type="paragraph" w:customStyle="1" w:styleId="font7">
    <w:name w:val="font7"/>
    <w:basedOn w:val="a0"/>
    <w:rsid w:val="00BD5820"/>
    <w:pPr>
      <w:widowControl/>
      <w:topLinePunct w:val="0"/>
      <w:adjustRightInd/>
      <w:spacing w:before="100" w:beforeAutospacing="1" w:after="100" w:afterAutospacing="1" w:line="240" w:lineRule="auto"/>
      <w:ind w:firstLineChars="0" w:firstLine="0"/>
      <w:jc w:val="left"/>
    </w:pPr>
    <w:rPr>
      <w:rFonts w:hAnsi="宋体" w:cs="Times New Roman" w:hint="eastAsia"/>
      <w:sz w:val="20"/>
      <w:szCs w:val="20"/>
    </w:rPr>
  </w:style>
  <w:style w:type="paragraph" w:customStyle="1" w:styleId="1f4">
    <w:name w:val="标题1（用）"/>
    <w:basedOn w:val="a0"/>
    <w:rsid w:val="00BD5820"/>
    <w:pPr>
      <w:keepNext/>
      <w:keepLines/>
      <w:topLinePunct w:val="0"/>
      <w:snapToGrid w:val="0"/>
      <w:spacing w:beforeLines="50" w:afterLines="25"/>
      <w:ind w:firstLineChars="0" w:firstLine="0"/>
      <w:jc w:val="center"/>
      <w:outlineLvl w:val="0"/>
    </w:pPr>
    <w:rPr>
      <w:rFonts w:ascii="Times New Roman" w:eastAsia="黑体" w:cs="Times New Roman"/>
      <w:b/>
      <w:kern w:val="44"/>
      <w:sz w:val="28"/>
      <w:szCs w:val="20"/>
    </w:rPr>
  </w:style>
  <w:style w:type="paragraph" w:customStyle="1" w:styleId="CM113">
    <w:name w:val="CM113"/>
    <w:basedOn w:val="Default"/>
    <w:next w:val="Default"/>
    <w:rsid w:val="00BD5820"/>
    <w:pPr>
      <w:spacing w:after="303"/>
    </w:pPr>
    <w:rPr>
      <w:rFonts w:hAnsi="Times New Roman" w:cs="Times New Roman"/>
      <w:color w:val="auto"/>
      <w:szCs w:val="20"/>
    </w:rPr>
  </w:style>
  <w:style w:type="paragraph" w:customStyle="1" w:styleId="font0">
    <w:name w:val="font0"/>
    <w:basedOn w:val="a0"/>
    <w:rsid w:val="00BD5820"/>
    <w:pPr>
      <w:widowControl/>
      <w:topLinePunct w:val="0"/>
      <w:adjustRightInd/>
      <w:spacing w:before="100" w:beforeAutospacing="1" w:after="100" w:afterAutospacing="1" w:line="240" w:lineRule="auto"/>
      <w:ind w:firstLineChars="0" w:firstLine="0"/>
      <w:jc w:val="left"/>
    </w:pPr>
    <w:rPr>
      <w:rFonts w:hAnsi="宋体" w:cs="Times New Roman"/>
      <w:szCs w:val="20"/>
    </w:rPr>
  </w:style>
  <w:style w:type="paragraph" w:customStyle="1" w:styleId="xl57">
    <w:name w:val="xl57"/>
    <w:basedOn w:val="a0"/>
    <w:rsid w:val="00BD5820"/>
    <w:pPr>
      <w:widowControl/>
      <w:pBdr>
        <w:left w:val="single" w:sz="4" w:space="0" w:color="auto"/>
      </w:pBdr>
      <w:topLinePunct w:val="0"/>
      <w:adjustRightInd/>
      <w:spacing w:before="100" w:beforeAutospacing="1" w:after="100" w:afterAutospacing="1" w:line="240" w:lineRule="auto"/>
      <w:ind w:firstLineChars="0" w:firstLine="0"/>
      <w:jc w:val="center"/>
      <w:textAlignment w:val="center"/>
    </w:pPr>
    <w:rPr>
      <w:rFonts w:hAnsi="宋体" w:cs="Times New Roman"/>
      <w:szCs w:val="20"/>
    </w:rPr>
  </w:style>
  <w:style w:type="paragraph" w:customStyle="1" w:styleId="CharCharCharChar1Char">
    <w:name w:val="Char Char Char Char1 Char"/>
    <w:basedOn w:val="a0"/>
    <w:rsid w:val="00BD5820"/>
    <w:pPr>
      <w:topLinePunct w:val="0"/>
      <w:adjustRightInd/>
      <w:spacing w:line="240" w:lineRule="auto"/>
      <w:ind w:firstLineChars="0" w:firstLine="0"/>
    </w:pPr>
    <w:rPr>
      <w:rFonts w:ascii="Times New Roman" w:cs="Times New Roman"/>
      <w:kern w:val="2"/>
      <w:sz w:val="21"/>
    </w:rPr>
  </w:style>
  <w:style w:type="paragraph" w:customStyle="1" w:styleId="198005">
    <w:name w:val="样式 小四 居中 左侧:  1.98 厘米 右侧:  0.05 厘米"/>
    <w:basedOn w:val="a0"/>
    <w:rsid w:val="00BD5820"/>
    <w:pPr>
      <w:topLinePunct w:val="0"/>
      <w:adjustRightInd/>
      <w:spacing w:line="240" w:lineRule="auto"/>
      <w:ind w:firstLineChars="0" w:firstLine="0"/>
      <w:jc w:val="center"/>
    </w:pPr>
    <w:rPr>
      <w:rFonts w:ascii="Times New Roman" w:cs="Times New Roman"/>
      <w:kern w:val="2"/>
      <w:szCs w:val="20"/>
    </w:rPr>
  </w:style>
  <w:style w:type="paragraph" w:customStyle="1" w:styleId="CharCharCharChar1CharCharCharChar">
    <w:name w:val="Char Char Char Char1 Char Char Char Char"/>
    <w:basedOn w:val="a0"/>
    <w:rsid w:val="00BD5820"/>
    <w:pPr>
      <w:topLinePunct w:val="0"/>
      <w:adjustRightInd/>
      <w:spacing w:line="240" w:lineRule="auto"/>
      <w:ind w:firstLineChars="0" w:firstLine="0"/>
    </w:pPr>
    <w:rPr>
      <w:rFonts w:ascii="Times New Roman" w:cs="Times New Roman"/>
      <w:kern w:val="2"/>
      <w:sz w:val="21"/>
      <w:szCs w:val="20"/>
    </w:rPr>
  </w:style>
  <w:style w:type="paragraph" w:customStyle="1" w:styleId="2f2">
    <w:name w:val="正文文字缩进 2"/>
    <w:basedOn w:val="a0"/>
    <w:rsid w:val="00BD5820"/>
    <w:pPr>
      <w:widowControl/>
      <w:overflowPunct w:val="0"/>
      <w:topLinePunct w:val="0"/>
      <w:autoSpaceDE w:val="0"/>
      <w:autoSpaceDN w:val="0"/>
      <w:spacing w:after="120" w:line="480" w:lineRule="auto"/>
      <w:ind w:leftChars="200" w:left="420" w:firstLineChars="0" w:firstLine="0"/>
      <w:jc w:val="left"/>
      <w:textAlignment w:val="baseline"/>
    </w:pPr>
    <w:rPr>
      <w:rFonts w:ascii="Times New Roman" w:cs="Times New Roman"/>
      <w:szCs w:val="20"/>
    </w:rPr>
  </w:style>
  <w:style w:type="paragraph" w:customStyle="1" w:styleId="Char50">
    <w:name w:val="Char5"/>
    <w:basedOn w:val="a0"/>
    <w:rsid w:val="00BD5820"/>
    <w:pPr>
      <w:topLinePunct w:val="0"/>
      <w:adjustRightInd/>
      <w:spacing w:line="240" w:lineRule="auto"/>
      <w:ind w:firstLineChars="0" w:firstLine="0"/>
    </w:pPr>
    <w:rPr>
      <w:rFonts w:ascii="Times New Roman" w:cs="Times New Roman"/>
      <w:kern w:val="2"/>
      <w:sz w:val="21"/>
    </w:rPr>
  </w:style>
  <w:style w:type="character" w:customStyle="1" w:styleId="WChar">
    <w:name w:val="W正文 Char"/>
    <w:link w:val="W"/>
    <w:qFormat/>
    <w:rsid w:val="00BD5820"/>
    <w:rPr>
      <w:sz w:val="24"/>
    </w:rPr>
  </w:style>
  <w:style w:type="paragraph" w:customStyle="1" w:styleId="W">
    <w:name w:val="W正文"/>
    <w:basedOn w:val="a0"/>
    <w:link w:val="WChar"/>
    <w:rsid w:val="00BD5820"/>
    <w:pPr>
      <w:topLinePunct w:val="0"/>
      <w:snapToGrid w:val="0"/>
      <w:spacing w:line="460" w:lineRule="exact"/>
    </w:pPr>
    <w:rPr>
      <w:rFonts w:ascii="Calibri" w:hAnsi="Calibri" w:cs="Times New Roman"/>
      <w:szCs w:val="20"/>
    </w:rPr>
  </w:style>
  <w:style w:type="paragraph" w:customStyle="1" w:styleId="LRY">
    <w:name w:val="LRY正文"/>
    <w:basedOn w:val="1c"/>
    <w:rsid w:val="00BD5820"/>
    <w:pPr>
      <w:spacing w:line="360" w:lineRule="auto"/>
      <w:ind w:firstLineChars="200" w:firstLine="480"/>
      <w:outlineLvl w:val="0"/>
    </w:pPr>
    <w:rPr>
      <w:rFonts w:hAnsi="宋体"/>
      <w:bCs/>
      <w:sz w:val="24"/>
    </w:rPr>
  </w:style>
  <w:style w:type="character" w:customStyle="1" w:styleId="CharCharf0">
    <w:name w:val="【正文】 Char Char"/>
    <w:rsid w:val="00BD5820"/>
    <w:rPr>
      <w:sz w:val="24"/>
      <w:lang w:bidi="ar-SA"/>
    </w:rPr>
  </w:style>
  <w:style w:type="character" w:customStyle="1" w:styleId="Charfe">
    <w:name w:val="批注文字 Char"/>
    <w:qFormat/>
    <w:rsid w:val="00BD5820"/>
    <w:rPr>
      <w:rFonts w:eastAsia="宋体"/>
      <w:kern w:val="2"/>
      <w:sz w:val="21"/>
      <w:szCs w:val="24"/>
      <w:lang w:val="en-US" w:eastAsia="zh-CN" w:bidi="ar-SA"/>
    </w:rPr>
  </w:style>
  <w:style w:type="character" w:customStyle="1" w:styleId="Char16">
    <w:name w:val="批注文字 Char1"/>
    <w:rsid w:val="00BD5820"/>
    <w:rPr>
      <w:kern w:val="2"/>
      <w:sz w:val="21"/>
    </w:rPr>
  </w:style>
  <w:style w:type="paragraph" w:customStyle="1" w:styleId="CharCharCharCharCharCharCharChar">
    <w:name w:val="Char Char Char Char Char Char Char Char"/>
    <w:basedOn w:val="a0"/>
    <w:rsid w:val="00BD5820"/>
    <w:pPr>
      <w:widowControl/>
      <w:topLinePunct w:val="0"/>
      <w:adjustRightInd/>
      <w:spacing w:after="160" w:line="240" w:lineRule="exact"/>
      <w:ind w:firstLineChars="0" w:firstLine="357"/>
      <w:jc w:val="left"/>
    </w:pPr>
    <w:rPr>
      <w:rFonts w:ascii="Verdana" w:hAnsi="Verdana" w:cs="Times New Roman"/>
      <w:sz w:val="20"/>
      <w:szCs w:val="20"/>
      <w:lang w:eastAsia="en-US"/>
    </w:rPr>
  </w:style>
  <w:style w:type="paragraph" w:customStyle="1" w:styleId="afffffff2">
    <w:name w:val="四级"/>
    <w:basedOn w:val="a0"/>
    <w:rsid w:val="00BD5820"/>
    <w:pPr>
      <w:widowControl/>
      <w:topLinePunct w:val="0"/>
      <w:adjustRightInd/>
      <w:ind w:firstLineChars="0" w:firstLine="0"/>
      <w:jc w:val="left"/>
      <w:outlineLvl w:val="3"/>
    </w:pPr>
    <w:rPr>
      <w:rFonts w:ascii="Times New Roman" w:cs="Times New Roman"/>
      <w:b/>
      <w:szCs w:val="22"/>
    </w:rPr>
  </w:style>
  <w:style w:type="paragraph" w:customStyle="1" w:styleId="afffffff3">
    <w:name w:val="表格头"/>
    <w:basedOn w:val="af"/>
    <w:rsid w:val="00BD5820"/>
    <w:pPr>
      <w:widowControl/>
      <w:jc w:val="center"/>
    </w:pPr>
    <w:rPr>
      <w:rFonts w:ascii="Times New Roman" w:hAnsi="Times New Roman"/>
      <w:sz w:val="21"/>
      <w:szCs w:val="24"/>
    </w:rPr>
  </w:style>
  <w:style w:type="paragraph" w:customStyle="1" w:styleId="afffffff4">
    <w:name w:val="表内容"/>
    <w:basedOn w:val="a0"/>
    <w:rsid w:val="00BD5820"/>
    <w:pPr>
      <w:widowControl/>
      <w:topLinePunct w:val="0"/>
      <w:autoSpaceDE w:val="0"/>
      <w:autoSpaceDN w:val="0"/>
      <w:spacing w:line="240" w:lineRule="auto"/>
      <w:ind w:firstLineChars="0" w:firstLine="0"/>
      <w:jc w:val="center"/>
    </w:pPr>
    <w:rPr>
      <w:rFonts w:ascii="Times New Roman" w:cs="Times New Roman"/>
      <w:snapToGrid w:val="0"/>
      <w:sz w:val="21"/>
      <w:szCs w:val="18"/>
    </w:rPr>
  </w:style>
  <w:style w:type="paragraph" w:customStyle="1" w:styleId="afffffff5">
    <w:name w:val="图框"/>
    <w:basedOn w:val="a0"/>
    <w:rsid w:val="00BD5820"/>
    <w:pPr>
      <w:widowControl/>
      <w:topLinePunct w:val="0"/>
      <w:adjustRightInd/>
      <w:spacing w:line="240" w:lineRule="auto"/>
      <w:ind w:firstLineChars="0" w:firstLine="0"/>
      <w:jc w:val="center"/>
    </w:pPr>
    <w:rPr>
      <w:rFonts w:ascii="Times New Roman" w:cs="Times New Roman"/>
      <w:b/>
      <w:sz w:val="21"/>
      <w:szCs w:val="21"/>
    </w:rPr>
  </w:style>
  <w:style w:type="paragraph" w:customStyle="1" w:styleId="C">
    <w:name w:val="C小四正文"/>
    <w:basedOn w:val="a0"/>
    <w:next w:val="a0"/>
    <w:link w:val="CChar"/>
    <w:rsid w:val="00BD5820"/>
    <w:pPr>
      <w:topLinePunct w:val="0"/>
      <w:adjustRightInd/>
    </w:pPr>
    <w:rPr>
      <w:rFonts w:ascii="Times New Roman" w:cs="Times New Roman"/>
      <w:kern w:val="2"/>
    </w:rPr>
  </w:style>
  <w:style w:type="character" w:customStyle="1" w:styleId="CChar">
    <w:name w:val="C小四正文 Char"/>
    <w:basedOn w:val="a2"/>
    <w:link w:val="C"/>
    <w:qFormat/>
    <w:rsid w:val="00BD5820"/>
    <w:rPr>
      <w:rFonts w:ascii="Times New Roman" w:eastAsia="宋体" w:hAnsi="Times New Roman" w:cs="Times New Roman"/>
      <w:kern w:val="2"/>
      <w:sz w:val="24"/>
      <w:szCs w:val="24"/>
    </w:rPr>
  </w:style>
  <w:style w:type="table" w:customStyle="1" w:styleId="1f5">
    <w:name w:val="表格样式 1刘文"/>
    <w:basedOn w:val="a3"/>
    <w:qFormat/>
    <w:rsid w:val="00BD5820"/>
    <w:pPr>
      <w:jc w:val="center"/>
    </w:pPr>
    <w:tblPr>
      <w:tblInd w:w="0" w:type="dxa"/>
      <w:tblBorders>
        <w:top w:val="single" w:sz="12" w:space="0" w:color="auto"/>
        <w:bottom w:val="single" w:sz="12" w:space="0" w:color="auto"/>
        <w:insideH w:val="single" w:sz="4" w:space="0" w:color="auto"/>
        <w:insideV w:val="single" w:sz="4" w:space="0" w:color="auto"/>
      </w:tblBorders>
      <w:tblCellMar>
        <w:top w:w="0" w:type="dxa"/>
        <w:left w:w="28" w:type="dxa"/>
        <w:bottom w:w="0" w:type="dxa"/>
        <w:right w:w="28" w:type="dxa"/>
      </w:tblCellMar>
    </w:tblPr>
    <w:tcPr>
      <w:vAlign w:val="center"/>
    </w:tcPr>
  </w:style>
  <w:style w:type="paragraph" w:customStyle="1" w:styleId="afffffff6">
    <w:name w:val="【正文.】"/>
    <w:basedOn w:val="a0"/>
    <w:rsid w:val="00BD5820"/>
    <w:pPr>
      <w:topLinePunct w:val="0"/>
      <w:snapToGrid w:val="0"/>
    </w:pPr>
    <w:rPr>
      <w:rFonts w:ascii="Times New Roman" w:cs="Times New Roman"/>
      <w:snapToGrid w:val="0"/>
    </w:rPr>
  </w:style>
  <w:style w:type="paragraph" w:customStyle="1" w:styleId="afffffff7">
    <w:name w:val="【图名】"/>
    <w:basedOn w:val="a0"/>
    <w:rsid w:val="00BD5820"/>
    <w:pPr>
      <w:topLinePunct w:val="0"/>
      <w:snapToGrid w:val="0"/>
      <w:spacing w:afterLines="50" w:line="240" w:lineRule="auto"/>
      <w:ind w:firstLineChars="0" w:firstLine="0"/>
      <w:jc w:val="center"/>
    </w:pPr>
    <w:rPr>
      <w:rFonts w:ascii="Times New Roman" w:cs="Times New Roman"/>
      <w:b/>
      <w:kern w:val="2"/>
      <w:sz w:val="21"/>
    </w:rPr>
  </w:style>
  <w:style w:type="paragraph" w:customStyle="1" w:styleId="afffffff8">
    <w:name w:val="【表名】"/>
    <w:basedOn w:val="a0"/>
    <w:rsid w:val="00BD5820"/>
    <w:pPr>
      <w:widowControl/>
      <w:topLinePunct w:val="0"/>
      <w:snapToGrid w:val="0"/>
      <w:spacing w:beforeLines="50" w:line="240" w:lineRule="auto"/>
      <w:ind w:firstLineChars="0" w:firstLine="0"/>
      <w:jc w:val="center"/>
    </w:pPr>
    <w:rPr>
      <w:rFonts w:ascii="Times New Roman" w:cs="Arial"/>
      <w:b/>
      <w:sz w:val="21"/>
      <w:szCs w:val="21"/>
      <w:lang w:bidi="en-US"/>
    </w:rPr>
  </w:style>
  <w:style w:type="character" w:customStyle="1" w:styleId="Char0">
    <w:name w:val="注释标题 Char"/>
    <w:link w:val="a6"/>
    <w:rsid w:val="00BD5820"/>
    <w:rPr>
      <w:szCs w:val="24"/>
    </w:rPr>
  </w:style>
  <w:style w:type="character" w:customStyle="1" w:styleId="afffffff9">
    <w:name w:val="注释标题 字符"/>
    <w:basedOn w:val="a2"/>
    <w:uiPriority w:val="99"/>
    <w:semiHidden/>
    <w:rsid w:val="00BD5820"/>
    <w:rPr>
      <w:rFonts w:ascii="宋体" w:hAnsi="Times New Roman" w:cs="宋体"/>
      <w:sz w:val="24"/>
      <w:szCs w:val="24"/>
    </w:rPr>
  </w:style>
  <w:style w:type="character" w:customStyle="1" w:styleId="SSEC20150323Char">
    <w:name w:val="SSEC正文 20150323 Char"/>
    <w:link w:val="SSEC20150323"/>
    <w:qFormat/>
    <w:rsid w:val="00BD5820"/>
    <w:rPr>
      <w:rFonts w:ascii="宋体" w:hAnsi="宋体"/>
      <w:kern w:val="2"/>
      <w:sz w:val="24"/>
      <w:szCs w:val="24"/>
      <w:lang w:val="en-US" w:eastAsia="zh-CN" w:bidi="ar-SA"/>
    </w:rPr>
  </w:style>
  <w:style w:type="paragraph" w:customStyle="1" w:styleId="SSEC20150323">
    <w:name w:val="SSEC正文 20150323"/>
    <w:link w:val="SSEC20150323Char"/>
    <w:qFormat/>
    <w:rsid w:val="00BD5820"/>
    <w:pPr>
      <w:adjustRightInd w:val="0"/>
      <w:snapToGrid w:val="0"/>
      <w:spacing w:line="331" w:lineRule="auto"/>
      <w:ind w:firstLineChars="200" w:firstLine="200"/>
      <w:jc w:val="both"/>
    </w:pPr>
    <w:rPr>
      <w:rFonts w:ascii="宋体" w:hAnsi="宋体"/>
      <w:kern w:val="2"/>
      <w:sz w:val="24"/>
      <w:szCs w:val="24"/>
    </w:rPr>
  </w:style>
  <w:style w:type="paragraph" w:customStyle="1" w:styleId="00">
    <w:name w:val="0正文"/>
    <w:basedOn w:val="af7"/>
    <w:link w:val="0Char"/>
    <w:qFormat/>
    <w:rsid w:val="00BD5820"/>
    <w:pPr>
      <w:widowControl/>
      <w:spacing w:line="360" w:lineRule="auto"/>
      <w:ind w:firstLineChars="200" w:firstLine="200"/>
    </w:pPr>
    <w:rPr>
      <w:sz w:val="21"/>
    </w:rPr>
  </w:style>
  <w:style w:type="paragraph" w:customStyle="1" w:styleId="1L">
    <w:name w:val="1、L表名、图名"/>
    <w:basedOn w:val="a0"/>
    <w:rsid w:val="00BD5820"/>
    <w:pPr>
      <w:topLinePunct w:val="0"/>
      <w:snapToGrid w:val="0"/>
      <w:spacing w:line="240" w:lineRule="auto"/>
      <w:ind w:firstLineChars="0" w:firstLine="0"/>
      <w:jc w:val="center"/>
    </w:pPr>
    <w:rPr>
      <w:rFonts w:ascii="Times New Roman" w:cs="Times New Roman"/>
      <w:bCs/>
      <w:kern w:val="2"/>
      <w:sz w:val="21"/>
      <w:szCs w:val="18"/>
    </w:rPr>
  </w:style>
  <w:style w:type="character" w:customStyle="1" w:styleId="SSEC20150323Char0">
    <w:name w:val="SSEC表字居中 20150323 Char"/>
    <w:link w:val="SSEC201503230"/>
    <w:qFormat/>
    <w:locked/>
    <w:rsid w:val="00BD5820"/>
    <w:rPr>
      <w:rFonts w:ascii="宋体" w:hAnsi="宋体"/>
      <w:kern w:val="2"/>
      <w:sz w:val="21"/>
      <w:szCs w:val="21"/>
      <w:lang w:val="en-US" w:eastAsia="zh-CN" w:bidi="ar-SA"/>
    </w:rPr>
  </w:style>
  <w:style w:type="paragraph" w:customStyle="1" w:styleId="SSEC201503230">
    <w:name w:val="SSEC表字居中 20150323"/>
    <w:link w:val="SSEC20150323Char0"/>
    <w:qFormat/>
    <w:rsid w:val="00BD5820"/>
    <w:pPr>
      <w:adjustRightInd w:val="0"/>
      <w:snapToGrid w:val="0"/>
      <w:jc w:val="center"/>
    </w:pPr>
    <w:rPr>
      <w:rFonts w:ascii="宋体" w:hAnsi="宋体"/>
      <w:kern w:val="2"/>
      <w:sz w:val="21"/>
      <w:szCs w:val="21"/>
    </w:rPr>
  </w:style>
  <w:style w:type="character" w:customStyle="1" w:styleId="SSEC">
    <w:name w:val="SSEC 表字居中 字符"/>
    <w:link w:val="SSEC0"/>
    <w:qFormat/>
    <w:rsid w:val="00BD5820"/>
    <w:rPr>
      <w:rFonts w:ascii="宋体"/>
      <w:kern w:val="2"/>
      <w:sz w:val="21"/>
      <w:szCs w:val="21"/>
      <w:lang w:val="en-US" w:eastAsia="zh-CN" w:bidi="ar-SA"/>
    </w:rPr>
  </w:style>
  <w:style w:type="paragraph" w:customStyle="1" w:styleId="SSEC0">
    <w:name w:val="SSEC 表字居中"/>
    <w:link w:val="SSEC"/>
    <w:rsid w:val="00BD5820"/>
    <w:pPr>
      <w:widowControl w:val="0"/>
      <w:adjustRightInd w:val="0"/>
      <w:snapToGrid w:val="0"/>
      <w:jc w:val="center"/>
      <w:textAlignment w:val="center"/>
    </w:pPr>
    <w:rPr>
      <w:rFonts w:ascii="宋体" w:hAnsi="Calibri"/>
      <w:kern w:val="2"/>
      <w:sz w:val="21"/>
      <w:szCs w:val="21"/>
    </w:rPr>
  </w:style>
  <w:style w:type="character" w:customStyle="1" w:styleId="Charff">
    <w:name w:val="标题 Char"/>
    <w:rsid w:val="00BD5820"/>
    <w:rPr>
      <w:rFonts w:ascii="Arial" w:hAnsi="Arial" w:cs="Arial"/>
      <w:b/>
      <w:bCs/>
      <w:sz w:val="32"/>
      <w:szCs w:val="32"/>
    </w:rPr>
  </w:style>
  <w:style w:type="character" w:customStyle="1" w:styleId="Char3">
    <w:name w:val="题注 Char"/>
    <w:link w:val="a9"/>
    <w:rsid w:val="00BD5820"/>
    <w:rPr>
      <w:rFonts w:ascii="Cambria" w:eastAsia="黑体" w:hAnsi="Cambria" w:cs="Times New Roman"/>
    </w:rPr>
  </w:style>
  <w:style w:type="character" w:customStyle="1" w:styleId="SSEC2">
    <w:name w:val="SSEC 2级序号 字符"/>
    <w:link w:val="SSEC20"/>
    <w:rsid w:val="00BD5820"/>
    <w:rPr>
      <w:rFonts w:ascii="宋体" w:hAnsi="宋体"/>
      <w:kern w:val="2"/>
      <w:sz w:val="24"/>
      <w:szCs w:val="24"/>
    </w:rPr>
  </w:style>
  <w:style w:type="paragraph" w:customStyle="1" w:styleId="SSEC20">
    <w:name w:val="SSEC 2级序号"/>
    <w:basedOn w:val="SSEC1"/>
    <w:link w:val="SSEC2"/>
    <w:qFormat/>
    <w:rsid w:val="00BD5820"/>
    <w:pPr>
      <w:numPr>
        <w:numId w:val="0"/>
      </w:numPr>
    </w:pPr>
  </w:style>
  <w:style w:type="paragraph" w:customStyle="1" w:styleId="SSEC1">
    <w:name w:val="SSEC 1级序号"/>
    <w:link w:val="SSEC10"/>
    <w:qFormat/>
    <w:rsid w:val="00BD5820"/>
    <w:pPr>
      <w:widowControl w:val="0"/>
      <w:numPr>
        <w:numId w:val="2"/>
      </w:numPr>
      <w:adjustRightInd w:val="0"/>
      <w:snapToGrid w:val="0"/>
      <w:spacing w:line="331" w:lineRule="auto"/>
      <w:jc w:val="both"/>
    </w:pPr>
    <w:rPr>
      <w:rFonts w:ascii="宋体" w:hAnsi="宋体"/>
      <w:kern w:val="2"/>
      <w:sz w:val="24"/>
      <w:szCs w:val="24"/>
    </w:rPr>
  </w:style>
  <w:style w:type="character" w:customStyle="1" w:styleId="1Char2">
    <w:name w:val="表头1 Char"/>
    <w:link w:val="19"/>
    <w:rsid w:val="00BD5820"/>
    <w:rPr>
      <w:rFonts w:ascii="黑体" w:eastAsia="黑体" w:hAnsi="Times New Roman"/>
      <w:sz w:val="24"/>
      <w:lang w:bidi="ar-SA"/>
    </w:rPr>
  </w:style>
  <w:style w:type="character" w:customStyle="1" w:styleId="SSEC3">
    <w:name w:val="SSEC 3级序号 字符"/>
    <w:link w:val="SSEC30"/>
    <w:rsid w:val="00BD5820"/>
    <w:rPr>
      <w:rFonts w:ascii="宋体" w:hAnsi="宋体"/>
      <w:kern w:val="2"/>
      <w:sz w:val="24"/>
      <w:szCs w:val="24"/>
    </w:rPr>
  </w:style>
  <w:style w:type="paragraph" w:customStyle="1" w:styleId="SSEC30">
    <w:name w:val="SSEC 3级序号"/>
    <w:basedOn w:val="SSEC1"/>
    <w:link w:val="SSEC3"/>
    <w:qFormat/>
    <w:rsid w:val="00BD5820"/>
    <w:pPr>
      <w:numPr>
        <w:numId w:val="0"/>
      </w:numPr>
      <w:ind w:firstLine="476"/>
    </w:pPr>
  </w:style>
  <w:style w:type="character" w:customStyle="1" w:styleId="Char24">
    <w:name w:val="题注 Char2"/>
    <w:locked/>
    <w:rsid w:val="00BD5820"/>
    <w:rPr>
      <w:rFonts w:ascii="Arial" w:eastAsia="黑体" w:hAnsi="Arial" w:cs="Arial"/>
      <w:kern w:val="2"/>
    </w:rPr>
  </w:style>
  <w:style w:type="paragraph" w:customStyle="1" w:styleId="afffffffa">
    <w:name w:val="表格体"/>
    <w:basedOn w:val="aff2"/>
    <w:qFormat/>
    <w:rsid w:val="00BD5820"/>
    <w:pPr>
      <w:widowControl/>
    </w:pPr>
    <w:rPr>
      <w:szCs w:val="22"/>
    </w:rPr>
  </w:style>
  <w:style w:type="character" w:customStyle="1" w:styleId="0Char">
    <w:name w:val="0正文 Char"/>
    <w:link w:val="00"/>
    <w:rsid w:val="00BD5820"/>
    <w:rPr>
      <w:rFonts w:ascii="Times New Roman" w:hAnsi="Times New Roman"/>
      <w:kern w:val="2"/>
      <w:sz w:val="21"/>
    </w:rPr>
  </w:style>
  <w:style w:type="character" w:customStyle="1" w:styleId="SSEC10">
    <w:name w:val="SSEC 1级序号 字符"/>
    <w:link w:val="SSEC1"/>
    <w:rsid w:val="00BD5820"/>
    <w:rPr>
      <w:rFonts w:ascii="宋体" w:hAnsi="宋体"/>
      <w:kern w:val="2"/>
      <w:sz w:val="24"/>
      <w:szCs w:val="24"/>
      <w:lang w:bidi="ar-SA"/>
    </w:rPr>
  </w:style>
  <w:style w:type="character" w:customStyle="1" w:styleId="SSEC4">
    <w:name w:val="SSEC 正文 字符"/>
    <w:link w:val="SSEC5"/>
    <w:qFormat/>
    <w:rsid w:val="00BD5820"/>
    <w:rPr>
      <w:rFonts w:ascii="宋体" w:hAnsi="宋体"/>
      <w:kern w:val="2"/>
      <w:sz w:val="24"/>
      <w:szCs w:val="24"/>
      <w:lang w:val="en-US" w:eastAsia="zh-CN" w:bidi="ar-SA"/>
    </w:rPr>
  </w:style>
  <w:style w:type="paragraph" w:customStyle="1" w:styleId="SSEC5">
    <w:name w:val="SSEC 正文"/>
    <w:link w:val="SSEC4"/>
    <w:qFormat/>
    <w:rsid w:val="00BD5820"/>
    <w:pPr>
      <w:widowControl w:val="0"/>
      <w:adjustRightInd w:val="0"/>
      <w:snapToGrid w:val="0"/>
      <w:spacing w:line="331" w:lineRule="auto"/>
      <w:ind w:firstLineChars="200" w:firstLine="200"/>
      <w:jc w:val="both"/>
    </w:pPr>
    <w:rPr>
      <w:rFonts w:ascii="宋体" w:hAnsi="宋体"/>
      <w:kern w:val="2"/>
      <w:sz w:val="24"/>
      <w:szCs w:val="24"/>
    </w:rPr>
  </w:style>
  <w:style w:type="character" w:customStyle="1" w:styleId="SSEC40">
    <w:name w:val="SSEC 4级序号 字符"/>
    <w:link w:val="SSEC41"/>
    <w:rsid w:val="00BD5820"/>
    <w:rPr>
      <w:rFonts w:ascii="宋体" w:hAnsi="宋体"/>
      <w:kern w:val="2"/>
      <w:sz w:val="24"/>
      <w:szCs w:val="24"/>
    </w:rPr>
  </w:style>
  <w:style w:type="paragraph" w:customStyle="1" w:styleId="SSEC41">
    <w:name w:val="SSEC 4级序号"/>
    <w:basedOn w:val="SSEC1"/>
    <w:link w:val="SSEC40"/>
    <w:qFormat/>
    <w:rsid w:val="00BD5820"/>
    <w:pPr>
      <w:numPr>
        <w:numId w:val="0"/>
      </w:numPr>
      <w:ind w:firstLine="476"/>
    </w:pPr>
  </w:style>
  <w:style w:type="character" w:customStyle="1" w:styleId="SSEC20150323Char1">
    <w:name w:val="SSEC表字居左 20150323 Char"/>
    <w:link w:val="SSEC201503231"/>
    <w:locked/>
    <w:rsid w:val="00BD5820"/>
    <w:rPr>
      <w:rFonts w:ascii="宋体" w:hAnsi="宋体"/>
      <w:kern w:val="2"/>
      <w:sz w:val="21"/>
      <w:szCs w:val="21"/>
      <w:lang w:val="en-US" w:eastAsia="zh-CN" w:bidi="ar-SA"/>
    </w:rPr>
  </w:style>
  <w:style w:type="paragraph" w:customStyle="1" w:styleId="SSEC201503231">
    <w:name w:val="SSEC表字居左 20150323"/>
    <w:link w:val="SSEC20150323Char1"/>
    <w:qFormat/>
    <w:rsid w:val="00BD5820"/>
    <w:rPr>
      <w:rFonts w:ascii="宋体" w:hAnsi="宋体"/>
      <w:kern w:val="2"/>
      <w:sz w:val="21"/>
      <w:szCs w:val="21"/>
    </w:rPr>
  </w:style>
  <w:style w:type="character" w:customStyle="1" w:styleId="1Char4">
    <w:name w:val="样式1 Char"/>
    <w:link w:val="1c"/>
    <w:rsid w:val="00BD5820"/>
    <w:rPr>
      <w:rFonts w:ascii="Times New Roman" w:hAnsi="Times New Roman"/>
      <w:kern w:val="2"/>
      <w:sz w:val="28"/>
      <w:szCs w:val="24"/>
    </w:rPr>
  </w:style>
  <w:style w:type="table" w:customStyle="1" w:styleId="TableNormal">
    <w:name w:val="Table Normal"/>
    <w:unhideWhenUsed/>
    <w:qFormat/>
    <w:rsid w:val="00BD5820"/>
    <w:tblPr>
      <w:tblCellMar>
        <w:top w:w="0" w:type="dxa"/>
        <w:left w:w="0" w:type="dxa"/>
        <w:bottom w:w="0" w:type="dxa"/>
        <w:right w:w="0" w:type="dxa"/>
      </w:tblCellMar>
    </w:tblPr>
  </w:style>
  <w:style w:type="table" w:customStyle="1" w:styleId="2f3">
    <w:name w:val="网格型2"/>
    <w:basedOn w:val="a3"/>
    <w:rsid w:val="00BD582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21">
    <w:name w:val="样式 样式 首行缩进:  2 字符 + 首行缩进:  2 字符"/>
    <w:basedOn w:val="a0"/>
    <w:next w:val="10"/>
    <w:qFormat/>
    <w:rsid w:val="00BD5820"/>
    <w:pPr>
      <w:topLinePunct w:val="0"/>
      <w:adjustRightInd/>
      <w:snapToGrid w:val="0"/>
      <w:ind w:firstLine="560"/>
    </w:pPr>
    <w:rPr>
      <w:rFonts w:ascii="Times New Roman" w:cs="Times New Roman"/>
      <w:kern w:val="2"/>
      <w:sz w:val="28"/>
    </w:rPr>
  </w:style>
  <w:style w:type="character" w:customStyle="1" w:styleId="Char4CharCharCharTimesNewRomanChar">
    <w:name w:val="样式 Char4 Char Char Char + Times New Roman Char"/>
    <w:link w:val="Char4CharCharCharTimesNewRoman"/>
    <w:rsid w:val="00BD5820"/>
    <w:rPr>
      <w:rFonts w:cs="宋体"/>
      <w:kern w:val="2"/>
      <w:sz w:val="24"/>
      <w:szCs w:val="26"/>
    </w:rPr>
  </w:style>
  <w:style w:type="paragraph" w:customStyle="1" w:styleId="Char4CharCharCharTimesNewRoman">
    <w:name w:val="样式 Char4 Char Char Char + Times New Roman"/>
    <w:basedOn w:val="Char4CharCharChar"/>
    <w:link w:val="Char4CharCharCharTimesNewRomanChar"/>
    <w:rsid w:val="00BD5820"/>
    <w:rPr>
      <w:rFonts w:ascii="Calibri" w:hAnsi="Calibri"/>
    </w:rPr>
  </w:style>
  <w:style w:type="paragraph" w:customStyle="1" w:styleId="Char4CharCharChar">
    <w:name w:val="Char4 Char Char Char"/>
    <w:basedOn w:val="a0"/>
    <w:rsid w:val="00BD5820"/>
    <w:pPr>
      <w:topLinePunct w:val="0"/>
      <w:snapToGrid w:val="0"/>
      <w:spacing w:line="400" w:lineRule="exact"/>
    </w:pPr>
    <w:rPr>
      <w:rFonts w:hAnsi="宋体"/>
      <w:kern w:val="2"/>
      <w:szCs w:val="26"/>
    </w:rPr>
  </w:style>
  <w:style w:type="character" w:customStyle="1" w:styleId="CharCharf1">
    <w:name w:val="标准样式 Char Char"/>
    <w:rsid w:val="00BD5820"/>
    <w:rPr>
      <w:rFonts w:eastAsia="宋体"/>
      <w:kern w:val="2"/>
      <w:sz w:val="28"/>
      <w:lang w:val="en-US" w:eastAsia="zh-CN" w:bidi="ar-SA"/>
    </w:rPr>
  </w:style>
  <w:style w:type="character" w:customStyle="1" w:styleId="105Char">
    <w:name w:val="样式105 Char"/>
    <w:link w:val="105"/>
    <w:rsid w:val="00BD5820"/>
    <w:rPr>
      <w:rFonts w:ascii="宋体" w:hAnsi="宋体" w:cs="宋体"/>
      <w:sz w:val="26"/>
      <w:szCs w:val="26"/>
    </w:rPr>
  </w:style>
  <w:style w:type="paragraph" w:customStyle="1" w:styleId="105">
    <w:name w:val="样式105"/>
    <w:basedOn w:val="1c"/>
    <w:link w:val="105Char"/>
    <w:qFormat/>
    <w:rsid w:val="00BD5820"/>
    <w:pPr>
      <w:widowControl/>
      <w:adjustRightInd w:val="0"/>
      <w:snapToGrid w:val="0"/>
      <w:spacing w:line="460" w:lineRule="exact"/>
      <w:ind w:firstLineChars="200" w:firstLine="520"/>
      <w:jc w:val="left"/>
    </w:pPr>
    <w:rPr>
      <w:rFonts w:ascii="宋体" w:hAnsi="宋体" w:cs="宋体"/>
      <w:kern w:val="0"/>
      <w:sz w:val="26"/>
      <w:szCs w:val="26"/>
    </w:rPr>
  </w:style>
  <w:style w:type="character" w:customStyle="1" w:styleId="fontstyle11">
    <w:name w:val="fontstyle11"/>
    <w:rsid w:val="00BD5820"/>
    <w:rPr>
      <w:rFonts w:ascii="Times New Roman" w:hAnsi="Times New Roman" w:cs="Times New Roman" w:hint="default"/>
      <w:color w:val="000000"/>
      <w:sz w:val="22"/>
      <w:szCs w:val="22"/>
    </w:rPr>
  </w:style>
  <w:style w:type="character" w:customStyle="1" w:styleId="Char17">
    <w:name w:val="标准样式 Char1"/>
    <w:link w:val="afffffffb"/>
    <w:rsid w:val="00BD5820"/>
    <w:rPr>
      <w:rFonts w:ascii="宋体"/>
      <w:sz w:val="28"/>
    </w:rPr>
  </w:style>
  <w:style w:type="paragraph" w:customStyle="1" w:styleId="afffffffb">
    <w:name w:val="标准样式"/>
    <w:link w:val="Char17"/>
    <w:rsid w:val="00BD5820"/>
    <w:pPr>
      <w:widowControl w:val="0"/>
      <w:spacing w:line="600" w:lineRule="exact"/>
      <w:ind w:firstLine="567"/>
      <w:jc w:val="both"/>
    </w:pPr>
    <w:rPr>
      <w:rFonts w:ascii="宋体" w:hAnsi="Calibri"/>
      <w:sz w:val="28"/>
    </w:rPr>
  </w:style>
  <w:style w:type="character" w:customStyle="1" w:styleId="1f6">
    <w:name w:val="页码1"/>
    <w:basedOn w:val="a2"/>
    <w:rsid w:val="00BD5820"/>
  </w:style>
  <w:style w:type="character" w:customStyle="1" w:styleId="Charff0">
    <w:name w:val="三级标题 Char"/>
    <w:rsid w:val="00BD5820"/>
    <w:rPr>
      <w:rFonts w:eastAsia="宋体"/>
      <w:b/>
      <w:kern w:val="2"/>
      <w:sz w:val="26"/>
      <w:szCs w:val="26"/>
      <w:lang w:val="en-US" w:eastAsia="zh-CN" w:bidi="ar-SA"/>
    </w:rPr>
  </w:style>
  <w:style w:type="character" w:customStyle="1" w:styleId="apple-style-span">
    <w:name w:val="apple-style-span"/>
    <w:basedOn w:val="a2"/>
    <w:rsid w:val="00BD5820"/>
  </w:style>
  <w:style w:type="character" w:customStyle="1" w:styleId="2Char6">
    <w:name w:val="正文（首行缩进2字） Char"/>
    <w:link w:val="2f4"/>
    <w:rsid w:val="00BD5820"/>
    <w:rPr>
      <w:kern w:val="2"/>
      <w:sz w:val="28"/>
      <w:szCs w:val="30"/>
    </w:rPr>
  </w:style>
  <w:style w:type="paragraph" w:customStyle="1" w:styleId="2f4">
    <w:name w:val="正文（首行缩进2字）"/>
    <w:basedOn w:val="a0"/>
    <w:link w:val="2Char6"/>
    <w:rsid w:val="00BD5820"/>
    <w:pPr>
      <w:topLinePunct w:val="0"/>
      <w:adjustRightInd/>
      <w:spacing w:line="500" w:lineRule="exact"/>
      <w:ind w:firstLine="560"/>
    </w:pPr>
    <w:rPr>
      <w:rFonts w:ascii="Calibri" w:hAnsi="Calibri" w:cs="Times New Roman"/>
      <w:kern w:val="2"/>
      <w:sz w:val="28"/>
      <w:szCs w:val="30"/>
    </w:rPr>
  </w:style>
  <w:style w:type="paragraph" w:customStyle="1" w:styleId="1f7">
    <w:name w:val="引用1"/>
    <w:basedOn w:val="a0"/>
    <w:next w:val="a0"/>
    <w:qFormat/>
    <w:rsid w:val="00BD5820"/>
    <w:pPr>
      <w:topLinePunct w:val="0"/>
      <w:adjustRightInd/>
      <w:spacing w:line="240" w:lineRule="auto"/>
    </w:pPr>
    <w:rPr>
      <w:rFonts w:ascii="Times New Roman" w:cs="Times New Roman"/>
      <w:iCs/>
      <w:color w:val="000000"/>
      <w:kern w:val="2"/>
      <w:sz w:val="22"/>
    </w:rPr>
  </w:style>
  <w:style w:type="character" w:customStyle="1" w:styleId="115Char">
    <w:name w:val="样式 标题 1 + 段后: 1.5 行 Char"/>
    <w:rsid w:val="00BD5820"/>
    <w:rPr>
      <w:rFonts w:ascii="宋体" w:eastAsia="宋体" w:hAnsi="宋体" w:cs="宋体"/>
      <w:b/>
      <w:bCs/>
      <w:kern w:val="44"/>
      <w:sz w:val="32"/>
      <w:szCs w:val="44"/>
      <w:lang w:val="en-US" w:eastAsia="zh-CN" w:bidi="ar-SA"/>
    </w:rPr>
  </w:style>
  <w:style w:type="character" w:customStyle="1" w:styleId="style81">
    <w:name w:val="style81"/>
    <w:rsid w:val="00BD5820"/>
    <w:rPr>
      <w:sz w:val="20"/>
      <w:szCs w:val="20"/>
    </w:rPr>
  </w:style>
  <w:style w:type="character" w:customStyle="1" w:styleId="Charff1">
    <w:name w:val="表头排版 Char"/>
    <w:link w:val="afffffffc"/>
    <w:rsid w:val="00BD5820"/>
    <w:rPr>
      <w:kern w:val="2"/>
      <w:sz w:val="26"/>
      <w:szCs w:val="21"/>
    </w:rPr>
  </w:style>
  <w:style w:type="paragraph" w:customStyle="1" w:styleId="afffffffc">
    <w:name w:val="表头排版"/>
    <w:basedOn w:val="a0"/>
    <w:link w:val="Charff1"/>
    <w:qFormat/>
    <w:rsid w:val="00BD5820"/>
    <w:pPr>
      <w:topLinePunct w:val="0"/>
      <w:adjustRightInd/>
      <w:spacing w:line="480" w:lineRule="exact"/>
      <w:jc w:val="right"/>
    </w:pPr>
    <w:rPr>
      <w:rFonts w:ascii="Calibri" w:hAnsi="Calibri" w:cs="Times New Roman"/>
      <w:kern w:val="2"/>
      <w:sz w:val="26"/>
      <w:szCs w:val="21"/>
    </w:rPr>
  </w:style>
  <w:style w:type="character" w:customStyle="1" w:styleId="fontstyle21">
    <w:name w:val="fontstyle21"/>
    <w:rsid w:val="00BD5820"/>
    <w:rPr>
      <w:rFonts w:ascii="TimesNewRomanPSMT" w:eastAsia="TimesNewRomanPSMT" w:hAnsi="TimesNewRomanPSMT" w:hint="eastAsia"/>
      <w:color w:val="000000"/>
      <w:sz w:val="24"/>
      <w:szCs w:val="24"/>
    </w:rPr>
  </w:style>
  <w:style w:type="character" w:customStyle="1" w:styleId="style61">
    <w:name w:val="style61"/>
    <w:rsid w:val="00BD5820"/>
    <w:rPr>
      <w:color w:val="333333"/>
      <w:sz w:val="21"/>
      <w:szCs w:val="21"/>
    </w:rPr>
  </w:style>
  <w:style w:type="character" w:customStyle="1" w:styleId="f91">
    <w:name w:val="f91"/>
    <w:rsid w:val="00BD5820"/>
    <w:rPr>
      <w:rFonts w:hint="default"/>
      <w:sz w:val="18"/>
      <w:szCs w:val="18"/>
    </w:rPr>
  </w:style>
  <w:style w:type="character" w:customStyle="1" w:styleId="title">
    <w:name w:val="title"/>
    <w:basedOn w:val="a2"/>
    <w:semiHidden/>
    <w:rsid w:val="00BD5820"/>
  </w:style>
  <w:style w:type="character" w:customStyle="1" w:styleId="2CharChar0">
    <w:name w:val="样式2 Char Char"/>
    <w:rsid w:val="00BD5820"/>
    <w:rPr>
      <w:rFonts w:ascii="黑体" w:eastAsia="黑体" w:hAnsi="宋体"/>
      <w:b/>
      <w:kern w:val="2"/>
      <w:sz w:val="28"/>
      <w:szCs w:val="28"/>
      <w:lang w:val="en-US" w:eastAsia="zh-CN" w:bidi="ar-SA"/>
    </w:rPr>
  </w:style>
  <w:style w:type="character" w:customStyle="1" w:styleId="92Char">
    <w:name w:val="样式92 Char"/>
    <w:link w:val="92"/>
    <w:rsid w:val="00BD5820"/>
    <w:rPr>
      <w:rFonts w:cs="宋体"/>
      <w:sz w:val="26"/>
      <w:szCs w:val="26"/>
    </w:rPr>
  </w:style>
  <w:style w:type="paragraph" w:customStyle="1" w:styleId="92">
    <w:name w:val="样式92"/>
    <w:basedOn w:val="a0"/>
    <w:link w:val="92Char"/>
    <w:rsid w:val="00BD5820"/>
    <w:pPr>
      <w:widowControl/>
      <w:topLinePunct w:val="0"/>
      <w:snapToGrid w:val="0"/>
      <w:spacing w:line="460" w:lineRule="exact"/>
      <w:ind w:firstLineChars="218" w:firstLine="567"/>
      <w:jc w:val="left"/>
    </w:pPr>
    <w:rPr>
      <w:rFonts w:ascii="Calibri" w:hAnsi="Calibri"/>
      <w:sz w:val="26"/>
      <w:szCs w:val="26"/>
    </w:rPr>
  </w:style>
  <w:style w:type="character" w:customStyle="1" w:styleId="txtbreak">
    <w:name w:val="txtbreak"/>
    <w:basedOn w:val="a2"/>
    <w:rsid w:val="00BD5820"/>
  </w:style>
  <w:style w:type="character" w:customStyle="1" w:styleId="UserStyle0">
    <w:name w:val="UserStyle_0"/>
    <w:qFormat/>
    <w:rsid w:val="00BD5820"/>
    <w:rPr>
      <w:rFonts w:ascii="宋体" w:eastAsia="宋体" w:hAnsi="宋体"/>
      <w:color w:val="000000"/>
      <w:sz w:val="24"/>
      <w:szCs w:val="24"/>
      <w:vertAlign w:val="superscript"/>
    </w:rPr>
  </w:style>
  <w:style w:type="character" w:customStyle="1" w:styleId="2Char5">
    <w:name w:val="样式2 Char"/>
    <w:link w:val="29"/>
    <w:rsid w:val="00BD5820"/>
    <w:rPr>
      <w:rFonts w:ascii="Times New Roman" w:hAnsi="Times New Roman"/>
      <w:color w:val="000000"/>
      <w:sz w:val="28"/>
    </w:rPr>
  </w:style>
  <w:style w:type="paragraph" w:customStyle="1" w:styleId="22CharChar2">
    <w:name w:val="样式 标题 2标题节标题 2 Char Char + 段前: 2 行"/>
    <w:basedOn w:val="2"/>
    <w:next w:val="a0"/>
    <w:rsid w:val="00BD5820"/>
    <w:pPr>
      <w:topLinePunct w:val="0"/>
      <w:snapToGrid w:val="0"/>
      <w:spacing w:beforeLines="50" w:line="460" w:lineRule="exact"/>
      <w:ind w:firstLineChars="200" w:firstLine="200"/>
    </w:pPr>
    <w:rPr>
      <w:rFonts w:eastAsia="黑体" w:hAnsi="Arial" w:cs="Times New Roman"/>
      <w:bCs w:val="0"/>
      <w:kern w:val="2"/>
      <w:sz w:val="26"/>
      <w:szCs w:val="20"/>
    </w:rPr>
  </w:style>
  <w:style w:type="character" w:customStyle="1" w:styleId="Charff2">
    <w:name w:val="排版正文 Char"/>
    <w:rsid w:val="00BD5820"/>
    <w:rPr>
      <w:szCs w:val="24"/>
    </w:rPr>
  </w:style>
  <w:style w:type="character" w:customStyle="1" w:styleId="Char18">
    <w:name w:val="表头 Char1"/>
    <w:rsid w:val="00BD5820"/>
    <w:rPr>
      <w:rFonts w:eastAsia="宋体"/>
      <w:spacing w:val="2"/>
      <w:kern w:val="2"/>
      <w:sz w:val="26"/>
      <w:szCs w:val="26"/>
      <w:lang w:val="en-US" w:eastAsia="zh-CN" w:bidi="ar-SA"/>
    </w:rPr>
  </w:style>
  <w:style w:type="character" w:customStyle="1" w:styleId="t141">
    <w:name w:val="t141"/>
    <w:rsid w:val="00BD5820"/>
    <w:rPr>
      <w:rFonts w:ascii="ˎ̥" w:hAnsi="ˎ̥" w:hint="default"/>
      <w:sz w:val="21"/>
      <w:szCs w:val="21"/>
    </w:rPr>
  </w:style>
  <w:style w:type="character" w:customStyle="1" w:styleId="1Char5">
    <w:name w:val="标准样式1 Char"/>
    <w:link w:val="1f8"/>
    <w:rsid w:val="00BD5820"/>
    <w:rPr>
      <w:rFonts w:ascii="宋体" w:hAnsi="宋体"/>
      <w:bCs/>
      <w:kern w:val="2"/>
      <w:sz w:val="28"/>
      <w:szCs w:val="24"/>
    </w:rPr>
  </w:style>
  <w:style w:type="paragraph" w:customStyle="1" w:styleId="1f8">
    <w:name w:val="标准样式1"/>
    <w:basedOn w:val="a0"/>
    <w:link w:val="1Char5"/>
    <w:rsid w:val="00BD5820"/>
    <w:pPr>
      <w:topLinePunct w:val="0"/>
      <w:adjustRightInd/>
      <w:spacing w:line="600" w:lineRule="exact"/>
      <w:ind w:firstLineChars="150" w:firstLine="150"/>
    </w:pPr>
    <w:rPr>
      <w:rFonts w:hAnsi="宋体" w:cs="Times New Roman"/>
      <w:bCs/>
      <w:kern w:val="2"/>
      <w:sz w:val="28"/>
    </w:rPr>
  </w:style>
  <w:style w:type="character" w:customStyle="1" w:styleId="title10">
    <w:name w:val="title10"/>
    <w:basedOn w:val="a2"/>
    <w:rsid w:val="00BD5820"/>
  </w:style>
  <w:style w:type="character" w:customStyle="1" w:styleId="Charfd">
    <w:name w:val="表文字 Char"/>
    <w:link w:val="affff7"/>
    <w:rsid w:val="00BD5820"/>
    <w:rPr>
      <w:snapToGrid w:val="0"/>
      <w:sz w:val="24"/>
      <w:szCs w:val="21"/>
    </w:rPr>
  </w:style>
  <w:style w:type="character" w:customStyle="1" w:styleId="Charff3">
    <w:name w:val="环评证文 Char"/>
    <w:link w:val="afffffffd"/>
    <w:rsid w:val="00BD5820"/>
    <w:rPr>
      <w:rFonts w:ascii="宋体" w:hAnsi="宋体"/>
      <w:color w:val="000000"/>
      <w:kern w:val="2"/>
      <w:sz w:val="24"/>
      <w:szCs w:val="24"/>
    </w:rPr>
  </w:style>
  <w:style w:type="paragraph" w:customStyle="1" w:styleId="afffffffd">
    <w:name w:val="环评证文"/>
    <w:basedOn w:val="a0"/>
    <w:link w:val="Charff3"/>
    <w:rsid w:val="00BD5820"/>
    <w:pPr>
      <w:topLinePunct w:val="0"/>
      <w:adjustRightInd/>
      <w:spacing w:line="440" w:lineRule="exact"/>
      <w:ind w:firstLine="480"/>
    </w:pPr>
    <w:rPr>
      <w:rFonts w:hAnsi="宋体" w:cs="Times New Roman"/>
      <w:color w:val="000000"/>
      <w:kern w:val="2"/>
    </w:rPr>
  </w:style>
  <w:style w:type="character" w:customStyle="1" w:styleId="Charff4">
    <w:name w:val="环评正文 Char"/>
    <w:link w:val="afffffffe"/>
    <w:rsid w:val="00BD5820"/>
    <w:rPr>
      <w:rFonts w:ascii="宋体" w:hAnsi="宋体"/>
      <w:color w:val="000000"/>
      <w:kern w:val="2"/>
      <w:sz w:val="24"/>
      <w:szCs w:val="24"/>
    </w:rPr>
  </w:style>
  <w:style w:type="paragraph" w:customStyle="1" w:styleId="afffffffe">
    <w:name w:val="环评正文"/>
    <w:basedOn w:val="a0"/>
    <w:link w:val="Charff4"/>
    <w:rsid w:val="00BD5820"/>
    <w:pPr>
      <w:topLinePunct w:val="0"/>
      <w:snapToGrid w:val="0"/>
      <w:spacing w:line="440" w:lineRule="exact"/>
    </w:pPr>
    <w:rPr>
      <w:rFonts w:hAnsi="宋体" w:cs="Times New Roman"/>
      <w:color w:val="000000"/>
      <w:kern w:val="2"/>
    </w:rPr>
  </w:style>
  <w:style w:type="character" w:customStyle="1" w:styleId="5CharChar">
    <w:name w:val="样式5 Char Char"/>
    <w:rsid w:val="00BD5820"/>
    <w:rPr>
      <w:rFonts w:eastAsia="宋体"/>
      <w:color w:val="FF0000"/>
      <w:kern w:val="2"/>
      <w:sz w:val="24"/>
      <w:lang w:val="en-US" w:eastAsia="zh-CN" w:bidi="ar-SA"/>
    </w:rPr>
  </w:style>
  <w:style w:type="character" w:customStyle="1" w:styleId="NormalCharacter">
    <w:name w:val="NormalCharacter"/>
    <w:semiHidden/>
    <w:qFormat/>
    <w:rsid w:val="00BD5820"/>
  </w:style>
  <w:style w:type="character" w:customStyle="1" w:styleId="CharCharf2">
    <w:name w:val="表内字 Char Char"/>
    <w:link w:val="affffffff"/>
    <w:qFormat/>
    <w:rsid w:val="00BD5820"/>
    <w:rPr>
      <w:rFonts w:ascii="Tahoma" w:hAnsi="Tahoma"/>
      <w:sz w:val="21"/>
      <w:szCs w:val="21"/>
    </w:rPr>
  </w:style>
  <w:style w:type="paragraph" w:customStyle="1" w:styleId="affffffff">
    <w:name w:val="表内字"/>
    <w:basedOn w:val="af5"/>
    <w:link w:val="CharCharf2"/>
    <w:rsid w:val="00BD5820"/>
    <w:pPr>
      <w:autoSpaceDE w:val="0"/>
      <w:autoSpaceDN w:val="0"/>
      <w:adjustRightInd w:val="0"/>
      <w:snapToGrid w:val="0"/>
      <w:ind w:left="0" w:firstLineChars="0" w:firstLine="0"/>
      <w:jc w:val="center"/>
    </w:pPr>
    <w:rPr>
      <w:rFonts w:ascii="Tahoma" w:hAnsi="Tahoma"/>
      <w:kern w:val="0"/>
      <w:szCs w:val="21"/>
    </w:rPr>
  </w:style>
  <w:style w:type="character" w:customStyle="1" w:styleId="fontstyle01">
    <w:name w:val="fontstyle01"/>
    <w:rsid w:val="00BD5820"/>
    <w:rPr>
      <w:rFonts w:ascii="宋体" w:eastAsia="宋体" w:hAnsi="宋体" w:hint="eastAsia"/>
      <w:color w:val="000000"/>
      <w:sz w:val="24"/>
      <w:szCs w:val="24"/>
    </w:rPr>
  </w:style>
  <w:style w:type="character" w:customStyle="1" w:styleId="Charff5">
    <w:name w:val="表号 Char"/>
    <w:link w:val="affffffff0"/>
    <w:semiHidden/>
    <w:locked/>
    <w:rsid w:val="00BD5820"/>
    <w:rPr>
      <w:sz w:val="24"/>
      <w:szCs w:val="24"/>
    </w:rPr>
  </w:style>
  <w:style w:type="paragraph" w:customStyle="1" w:styleId="affffffff0">
    <w:name w:val="表号"/>
    <w:link w:val="Charff5"/>
    <w:semiHidden/>
    <w:rsid w:val="00BD5820"/>
    <w:pPr>
      <w:adjustRightInd w:val="0"/>
      <w:snapToGrid w:val="0"/>
      <w:jc w:val="both"/>
      <w:outlineLvl w:val="4"/>
    </w:pPr>
    <w:rPr>
      <w:rFonts w:ascii="Calibri" w:hAnsi="Calibri"/>
      <w:sz w:val="24"/>
      <w:szCs w:val="24"/>
    </w:rPr>
  </w:style>
  <w:style w:type="character" w:customStyle="1" w:styleId="Charff6">
    <w:name w:val="标准样式 Char"/>
    <w:rsid w:val="00BD5820"/>
    <w:rPr>
      <w:rFonts w:ascii="宋体" w:eastAsia="宋体"/>
      <w:sz w:val="28"/>
      <w:szCs w:val="28"/>
      <w:lang w:val="en-US" w:eastAsia="zh-CN" w:bidi="ar-SA"/>
    </w:rPr>
  </w:style>
  <w:style w:type="character" w:customStyle="1" w:styleId="115Char0">
    <w:name w:val="样式115 Char"/>
    <w:link w:val="1150"/>
    <w:rsid w:val="00BD5820"/>
    <w:rPr>
      <w:rFonts w:cs="宋体"/>
      <w:sz w:val="26"/>
      <w:szCs w:val="26"/>
    </w:rPr>
  </w:style>
  <w:style w:type="paragraph" w:customStyle="1" w:styleId="1150">
    <w:name w:val="样式115"/>
    <w:basedOn w:val="a0"/>
    <w:link w:val="115Char0"/>
    <w:rsid w:val="00BD5820"/>
    <w:pPr>
      <w:widowControl/>
      <w:topLinePunct w:val="0"/>
      <w:snapToGrid w:val="0"/>
      <w:spacing w:line="460" w:lineRule="exact"/>
      <w:ind w:firstLineChars="218" w:firstLine="567"/>
      <w:jc w:val="left"/>
    </w:pPr>
    <w:rPr>
      <w:rFonts w:ascii="Calibri" w:hAnsi="Calibri"/>
      <w:sz w:val="26"/>
      <w:szCs w:val="26"/>
    </w:rPr>
  </w:style>
  <w:style w:type="character" w:customStyle="1" w:styleId="1323Char">
    <w:name w:val="样式 13 磅 行距: 固定值 23 磅 Char"/>
    <w:rsid w:val="00BD5820"/>
    <w:rPr>
      <w:rFonts w:eastAsia="宋体" w:cs="宋体"/>
      <w:kern w:val="2"/>
      <w:sz w:val="26"/>
      <w:lang w:val="en-US" w:eastAsia="zh-CN" w:bidi="ar-SA"/>
    </w:rPr>
  </w:style>
  <w:style w:type="character" w:customStyle="1" w:styleId="Charff7">
    <w:name w:val="样式 表头 + 小四 Char"/>
    <w:link w:val="affffffff1"/>
    <w:rsid w:val="00BD5820"/>
    <w:rPr>
      <w:b/>
      <w:bCs/>
      <w:spacing w:val="2"/>
      <w:kern w:val="2"/>
      <w:sz w:val="24"/>
      <w:szCs w:val="24"/>
    </w:rPr>
  </w:style>
  <w:style w:type="paragraph" w:customStyle="1" w:styleId="affffffff1">
    <w:name w:val="样式 表头 + 小四"/>
    <w:link w:val="Charff7"/>
    <w:rsid w:val="00BD5820"/>
    <w:pPr>
      <w:tabs>
        <w:tab w:val="left" w:pos="2040"/>
      </w:tabs>
      <w:spacing w:beforeLines="50" w:afterLines="50"/>
      <w:ind w:firstLine="420"/>
      <w:jc w:val="center"/>
    </w:pPr>
    <w:rPr>
      <w:rFonts w:ascii="Calibri" w:hAnsi="Calibri"/>
      <w:b/>
      <w:bCs/>
      <w:spacing w:val="2"/>
      <w:kern w:val="2"/>
    </w:rPr>
  </w:style>
  <w:style w:type="character" w:customStyle="1" w:styleId="18CharChar">
    <w:name w:val="样式18 Char Char"/>
    <w:rsid w:val="00BD5820"/>
    <w:rPr>
      <w:sz w:val="26"/>
      <w:szCs w:val="26"/>
    </w:rPr>
  </w:style>
  <w:style w:type="character" w:customStyle="1" w:styleId="affffffff2">
    <w:name w:val="样式 四号"/>
    <w:rsid w:val="00BD5820"/>
    <w:rPr>
      <w:rFonts w:eastAsia="仿宋_GB2312"/>
      <w:sz w:val="28"/>
    </w:rPr>
  </w:style>
  <w:style w:type="character" w:customStyle="1" w:styleId="txt1">
    <w:name w:val="txt1"/>
    <w:rsid w:val="00BD5820"/>
    <w:rPr>
      <w:spacing w:val="60"/>
      <w:sz w:val="14"/>
      <w:szCs w:val="14"/>
    </w:rPr>
  </w:style>
  <w:style w:type="character" w:customStyle="1" w:styleId="fontstyle31">
    <w:name w:val="fontstyle31"/>
    <w:rsid w:val="00BD5820"/>
    <w:rPr>
      <w:rFonts w:ascii="Times New Roman" w:hAnsi="Times New Roman" w:cs="Times New Roman" w:hint="default"/>
      <w:b/>
      <w:bCs/>
      <w:color w:val="000000"/>
      <w:sz w:val="24"/>
      <w:szCs w:val="24"/>
    </w:rPr>
  </w:style>
  <w:style w:type="character" w:customStyle="1" w:styleId="Charff8">
    <w:name w:val="表头 Char"/>
    <w:rsid w:val="00BD5820"/>
    <w:rPr>
      <w:rFonts w:eastAsia="宋体"/>
      <w:spacing w:val="2"/>
      <w:kern w:val="2"/>
      <w:sz w:val="26"/>
      <w:szCs w:val="26"/>
      <w:lang w:val="en-US" w:eastAsia="zh-CN" w:bidi="ar-SA"/>
    </w:rPr>
  </w:style>
  <w:style w:type="character" w:customStyle="1" w:styleId="c-">
    <w:name w:val="câ-¹"/>
    <w:basedOn w:val="a2"/>
    <w:rsid w:val="00BD5820"/>
  </w:style>
  <w:style w:type="character" w:customStyle="1" w:styleId="1323Char1">
    <w:name w:val="样式 13 磅 行距: 固定值 23 磅 Char1"/>
    <w:rsid w:val="00BD5820"/>
    <w:rPr>
      <w:rFonts w:eastAsia="宋体" w:cs="宋体"/>
      <w:kern w:val="2"/>
      <w:sz w:val="26"/>
      <w:lang w:val="en-US" w:eastAsia="zh-CN" w:bidi="ar-SA"/>
    </w:rPr>
  </w:style>
  <w:style w:type="character" w:customStyle="1" w:styleId="1f9">
    <w:name w:val="标题1"/>
    <w:basedOn w:val="a2"/>
    <w:rsid w:val="00BD5820"/>
  </w:style>
  <w:style w:type="character" w:customStyle="1" w:styleId="5Char0">
    <w:name w:val="样式5 Char"/>
    <w:rsid w:val="00BD5820"/>
    <w:rPr>
      <w:rFonts w:eastAsia="宋体"/>
      <w:kern w:val="2"/>
      <w:sz w:val="24"/>
      <w:lang w:val="en-US" w:eastAsia="zh-CN" w:bidi="ar-SA"/>
    </w:rPr>
  </w:style>
  <w:style w:type="character" w:customStyle="1" w:styleId="CharCharChar7">
    <w:name w:val="环评证文 Char Char Char"/>
    <w:rsid w:val="00BD5820"/>
    <w:rPr>
      <w:rFonts w:ascii="宋体" w:eastAsia="宋体" w:hAnsi="宋体"/>
      <w:color w:val="000000"/>
      <w:kern w:val="2"/>
      <w:sz w:val="24"/>
      <w:szCs w:val="24"/>
      <w:lang w:val="en-US" w:eastAsia="zh-CN" w:bidi="ar-SA"/>
    </w:rPr>
  </w:style>
  <w:style w:type="character" w:customStyle="1" w:styleId="zhou11">
    <w:name w:val="zhou11"/>
    <w:qFormat/>
    <w:rsid w:val="00BD5820"/>
    <w:rPr>
      <w:color w:val="000000"/>
      <w:sz w:val="21"/>
      <w:szCs w:val="21"/>
    </w:rPr>
  </w:style>
  <w:style w:type="character" w:customStyle="1" w:styleId="Char4CharCharCharTimesNewRomanChar0">
    <w:name w:val="样式 样式 Char4 Char Char Char + Times New Roman + (符号) 宋体 Char"/>
    <w:link w:val="Char4CharCharCharTimesNewRoman0"/>
    <w:rsid w:val="00BD5820"/>
    <w:rPr>
      <w:rFonts w:cs="宋体"/>
      <w:kern w:val="2"/>
      <w:sz w:val="24"/>
      <w:szCs w:val="26"/>
    </w:rPr>
  </w:style>
  <w:style w:type="paragraph" w:customStyle="1" w:styleId="Char4CharCharCharTimesNewRoman0">
    <w:name w:val="样式 样式 Char4 Char Char Char + Times New Roman + (符号) 宋体"/>
    <w:basedOn w:val="a0"/>
    <w:link w:val="Char4CharCharCharTimesNewRomanChar0"/>
    <w:rsid w:val="00BD5820"/>
    <w:pPr>
      <w:topLinePunct w:val="0"/>
      <w:snapToGrid w:val="0"/>
      <w:spacing w:line="400" w:lineRule="exact"/>
      <w:ind w:firstLine="480"/>
    </w:pPr>
    <w:rPr>
      <w:rFonts w:ascii="Calibri" w:hAnsi="Calibri"/>
      <w:kern w:val="2"/>
      <w:szCs w:val="26"/>
    </w:rPr>
  </w:style>
  <w:style w:type="character" w:customStyle="1" w:styleId="content3">
    <w:name w:val="content3"/>
    <w:basedOn w:val="a2"/>
    <w:rsid w:val="00BD5820"/>
  </w:style>
  <w:style w:type="character" w:customStyle="1" w:styleId="Char19">
    <w:name w:val="普通文字 Char1"/>
    <w:qFormat/>
    <w:rsid w:val="00BD5820"/>
    <w:rPr>
      <w:rFonts w:ascii="宋体" w:eastAsia="宋体" w:hAnsi="Courier New"/>
      <w:kern w:val="2"/>
      <w:sz w:val="21"/>
      <w:lang w:val="en-US" w:eastAsia="zh-CN" w:bidi="ar-SA"/>
    </w:rPr>
  </w:style>
  <w:style w:type="character" w:customStyle="1" w:styleId="apple-converted-space">
    <w:name w:val="apple-converted-space"/>
    <w:basedOn w:val="a2"/>
    <w:rsid w:val="00BD5820"/>
  </w:style>
  <w:style w:type="character" w:customStyle="1" w:styleId="18Char">
    <w:name w:val="样式18 Char"/>
    <w:link w:val="180"/>
    <w:rsid w:val="00BD5820"/>
    <w:rPr>
      <w:sz w:val="26"/>
      <w:szCs w:val="26"/>
    </w:rPr>
  </w:style>
  <w:style w:type="paragraph" w:customStyle="1" w:styleId="180">
    <w:name w:val="样式18"/>
    <w:basedOn w:val="1150"/>
    <w:link w:val="18Char"/>
    <w:rsid w:val="00BD5820"/>
    <w:rPr>
      <w:rFonts w:cs="Times New Roman"/>
    </w:rPr>
  </w:style>
  <w:style w:type="character" w:customStyle="1" w:styleId="4Char0">
    <w:name w:val="样式4 Char"/>
    <w:link w:val="41"/>
    <w:rsid w:val="00BD5820"/>
    <w:rPr>
      <w:rFonts w:ascii="宋体" w:hAnsi="宋体"/>
      <w:sz w:val="24"/>
    </w:rPr>
  </w:style>
  <w:style w:type="character" w:customStyle="1" w:styleId="shareChar">
    <w:name w:val="share Char"/>
    <w:link w:val="share"/>
    <w:rsid w:val="00BD5820"/>
    <w:rPr>
      <w:b/>
      <w:kern w:val="2"/>
      <w:sz w:val="24"/>
      <w:szCs w:val="24"/>
    </w:rPr>
  </w:style>
  <w:style w:type="paragraph" w:customStyle="1" w:styleId="share">
    <w:name w:val="share"/>
    <w:basedOn w:val="a0"/>
    <w:link w:val="shareChar"/>
    <w:rsid w:val="00BD5820"/>
    <w:pPr>
      <w:topLinePunct w:val="0"/>
      <w:adjustRightInd/>
      <w:spacing w:line="400" w:lineRule="exact"/>
      <w:ind w:firstLine="482"/>
    </w:pPr>
    <w:rPr>
      <w:rFonts w:ascii="Calibri" w:hAnsi="Calibri" w:cs="Times New Roman"/>
      <w:b/>
      <w:kern w:val="2"/>
    </w:rPr>
  </w:style>
  <w:style w:type="character" w:customStyle="1" w:styleId="2Char7">
    <w:name w:val="正文 首行缩进:  2 字符 Char"/>
    <w:link w:val="2f5"/>
    <w:rsid w:val="00BD5820"/>
    <w:rPr>
      <w:kern w:val="2"/>
      <w:sz w:val="28"/>
    </w:rPr>
  </w:style>
  <w:style w:type="paragraph" w:customStyle="1" w:styleId="2f5">
    <w:name w:val="正文 首行缩进:  2 字符"/>
    <w:basedOn w:val="a0"/>
    <w:link w:val="2Char7"/>
    <w:rsid w:val="00BD5820"/>
    <w:pPr>
      <w:topLinePunct w:val="0"/>
      <w:adjustRightInd/>
      <w:spacing w:line="240" w:lineRule="auto"/>
      <w:ind w:firstLine="579"/>
    </w:pPr>
    <w:rPr>
      <w:rFonts w:ascii="Calibri" w:hAnsi="Calibri" w:cs="Times New Roman"/>
      <w:kern w:val="2"/>
      <w:sz w:val="28"/>
      <w:szCs w:val="20"/>
    </w:rPr>
  </w:style>
  <w:style w:type="character" w:customStyle="1" w:styleId="Char25">
    <w:name w:val="纯文本 Char2"/>
    <w:rsid w:val="00BD5820"/>
    <w:rPr>
      <w:rFonts w:ascii="宋体" w:eastAsia="宋体" w:hAnsi="Courier New"/>
      <w:kern w:val="2"/>
      <w:sz w:val="24"/>
      <w:lang w:val="en-US" w:eastAsia="zh-CN" w:bidi="ar-SA"/>
    </w:rPr>
  </w:style>
  <w:style w:type="character" w:customStyle="1" w:styleId="CharCharf3">
    <w:name w:val="正文文字 Char Char"/>
    <w:rsid w:val="00BD5820"/>
    <w:rPr>
      <w:rFonts w:eastAsia="宋体"/>
      <w:kern w:val="2"/>
      <w:sz w:val="26"/>
      <w:szCs w:val="26"/>
      <w:lang w:val="en-US" w:eastAsia="zh-CN" w:bidi="ar-SA"/>
    </w:rPr>
  </w:style>
  <w:style w:type="character" w:customStyle="1" w:styleId="font21">
    <w:name w:val="font21"/>
    <w:basedOn w:val="a2"/>
    <w:rsid w:val="00BD5820"/>
    <w:rPr>
      <w:rFonts w:ascii="Times New Roman" w:hAnsi="Times New Roman" w:cs="Times New Roman" w:hint="default"/>
      <w:color w:val="000000"/>
      <w:sz w:val="18"/>
      <w:szCs w:val="18"/>
      <w:u w:val="none"/>
    </w:rPr>
  </w:style>
  <w:style w:type="character" w:customStyle="1" w:styleId="20Char">
    <w:name w:val="样式20 Char"/>
    <w:link w:val="201"/>
    <w:rsid w:val="00BD5820"/>
    <w:rPr>
      <w:sz w:val="26"/>
      <w:szCs w:val="26"/>
    </w:rPr>
  </w:style>
  <w:style w:type="paragraph" w:customStyle="1" w:styleId="201">
    <w:name w:val="样式20"/>
    <w:basedOn w:val="a0"/>
    <w:link w:val="20Char"/>
    <w:rsid w:val="00BD5820"/>
    <w:pPr>
      <w:keepNext/>
      <w:widowControl/>
      <w:tabs>
        <w:tab w:val="left" w:pos="630"/>
      </w:tabs>
      <w:topLinePunct w:val="0"/>
      <w:adjustRightInd/>
      <w:spacing w:line="460" w:lineRule="exact"/>
      <w:ind w:firstLineChars="0" w:firstLine="0"/>
      <w:jc w:val="center"/>
      <w:outlineLvl w:val="5"/>
    </w:pPr>
    <w:rPr>
      <w:rFonts w:ascii="Calibri" w:hAnsi="Calibri" w:cs="Times New Roman"/>
      <w:sz w:val="26"/>
      <w:szCs w:val="26"/>
    </w:rPr>
  </w:style>
  <w:style w:type="paragraph" w:customStyle="1" w:styleId="affffffff3">
    <w:name w:val="章"/>
    <w:basedOn w:val="1151"/>
    <w:next w:val="1c"/>
    <w:rsid w:val="00BD5820"/>
    <w:pPr>
      <w:spacing w:beforeLines="0" w:afterLines="0" w:line="360" w:lineRule="auto"/>
    </w:pPr>
    <w:rPr>
      <w:rFonts w:hAnsi="宋体" w:cs="Times New Roman"/>
      <w:bCs w:val="0"/>
      <w:szCs w:val="32"/>
    </w:rPr>
  </w:style>
  <w:style w:type="paragraph" w:customStyle="1" w:styleId="1151">
    <w:name w:val="样式 标题 1 + 段后: 1.5 行"/>
    <w:basedOn w:val="1"/>
    <w:rsid w:val="00BD5820"/>
    <w:pPr>
      <w:tabs>
        <w:tab w:val="left" w:pos="2160"/>
      </w:tabs>
      <w:topLinePunct w:val="0"/>
      <w:snapToGrid w:val="0"/>
      <w:spacing w:beforeLines="100" w:beforeAutospacing="0" w:afterLines="100" w:afterAutospacing="0" w:line="460" w:lineRule="exact"/>
      <w:jc w:val="center"/>
    </w:pPr>
    <w:rPr>
      <w:rFonts w:ascii="黑体" w:eastAsia="黑体" w:hAnsi="Arial" w:cs="Arial"/>
      <w:bCs/>
      <w:szCs w:val="20"/>
    </w:rPr>
  </w:style>
  <w:style w:type="paragraph" w:customStyle="1" w:styleId="affffffff4">
    <w:name w:val="中文报告书样式"/>
    <w:basedOn w:val="a0"/>
    <w:rsid w:val="00BD5820"/>
    <w:pPr>
      <w:topLinePunct w:val="0"/>
      <w:spacing w:line="480" w:lineRule="atLeast"/>
      <w:ind w:firstLineChars="0" w:firstLine="482"/>
      <w:textAlignment w:val="baseline"/>
    </w:pPr>
    <w:rPr>
      <w:rFonts w:ascii="Times New Roman" w:cs="Times New Roman"/>
      <w:kern w:val="24"/>
      <w:szCs w:val="20"/>
    </w:rPr>
  </w:style>
  <w:style w:type="paragraph" w:customStyle="1" w:styleId="CharCharCharCharCharCharCharCharCharCharCharCharCharCharCharChar">
    <w:name w:val="Char Char Char Char Char Char Char Char Char Char Char Char Char Char Char Char"/>
    <w:basedOn w:val="a0"/>
    <w:next w:val="a0"/>
    <w:rsid w:val="00BD5820"/>
    <w:pPr>
      <w:topLinePunct w:val="0"/>
      <w:adjustRightInd/>
    </w:pPr>
    <w:rPr>
      <w:rFonts w:ascii="Times New Roman" w:cs="Times New Roman"/>
      <w:kern w:val="2"/>
      <w:sz w:val="21"/>
    </w:rPr>
  </w:style>
  <w:style w:type="paragraph" w:customStyle="1" w:styleId="affffffff5">
    <w:name w:val="排版正文"/>
    <w:basedOn w:val="a0"/>
    <w:rsid w:val="00BD5820"/>
    <w:pPr>
      <w:topLinePunct w:val="0"/>
      <w:snapToGrid w:val="0"/>
      <w:spacing w:line="460" w:lineRule="exact"/>
      <w:ind w:firstLine="560"/>
    </w:pPr>
    <w:rPr>
      <w:rFonts w:ascii="Times New Roman" w:cs="Times New Roman"/>
      <w:color w:val="000000"/>
      <w:kern w:val="2"/>
      <w:sz w:val="28"/>
    </w:rPr>
  </w:style>
  <w:style w:type="paragraph" w:customStyle="1" w:styleId="20015">
    <w:name w:val="样式 标题 2节 + (西文) 宋体 (中文) 宋体 小四 段前: 0 磅 段后: 0 磅 行距: 1.5 倍行距"/>
    <w:basedOn w:val="2"/>
    <w:rsid w:val="00BD5820"/>
    <w:pPr>
      <w:topLinePunct w:val="0"/>
      <w:adjustRightInd/>
      <w:spacing w:before="0" w:line="480" w:lineRule="exact"/>
    </w:pPr>
    <w:rPr>
      <w:rFonts w:ascii="黑体" w:eastAsia="黑体" w:hAnsi="宋体"/>
      <w:kern w:val="2"/>
      <w:szCs w:val="28"/>
    </w:rPr>
  </w:style>
  <w:style w:type="paragraph" w:customStyle="1" w:styleId="4CharCharCharCharCharCharCharCharCharCharCharCharCharCharCharCharCharChar">
    <w:name w:val="4 Char Char Char Char Char Char Char Char Char Char Char Char Char Char Char Char Char Char"/>
    <w:basedOn w:val="a0"/>
    <w:semiHidden/>
    <w:rsid w:val="00BD5820"/>
    <w:pPr>
      <w:topLinePunct w:val="0"/>
      <w:snapToGrid w:val="0"/>
    </w:pPr>
    <w:rPr>
      <w:rFonts w:hAnsi="宋体"/>
      <w:kern w:val="2"/>
      <w:sz w:val="30"/>
      <w:szCs w:val="30"/>
    </w:rPr>
  </w:style>
  <w:style w:type="paragraph" w:customStyle="1" w:styleId="20025">
    <w:name w:val="样式 标题 2节 + (西文) 宋体 (中文) 宋体 四号 段前: 0 磅 段后: 0 磅 行距: 固定值 25 磅"/>
    <w:basedOn w:val="2"/>
    <w:rsid w:val="00BD5820"/>
    <w:pPr>
      <w:topLinePunct w:val="0"/>
      <w:adjustRightInd/>
      <w:spacing w:before="0" w:line="480" w:lineRule="exact"/>
    </w:pPr>
    <w:rPr>
      <w:rFonts w:ascii="宋体" w:eastAsia="黑体" w:hAnsi="宋体"/>
      <w:kern w:val="2"/>
      <w:szCs w:val="28"/>
    </w:rPr>
  </w:style>
  <w:style w:type="paragraph" w:customStyle="1" w:styleId="CharCharCharChar3">
    <w:name w:val="样式 正文缩进首行缩进两字特点 Char正文缩进 Char正文（首行缩进两字） Char正文（首行缩进两字） Char..."/>
    <w:basedOn w:val="a0"/>
    <w:rsid w:val="00BD5820"/>
    <w:pPr>
      <w:topLinePunct w:val="0"/>
      <w:adjustRightInd/>
      <w:ind w:firstLine="480"/>
    </w:pPr>
    <w:rPr>
      <w:rFonts w:ascii="Times New Roman" w:cs="Times New Roman"/>
      <w:kern w:val="2"/>
    </w:rPr>
  </w:style>
  <w:style w:type="paragraph" w:customStyle="1" w:styleId="Heading1">
    <w:name w:val="Heading1"/>
    <w:basedOn w:val="a0"/>
    <w:next w:val="a0"/>
    <w:qFormat/>
    <w:rsid w:val="00BD5820"/>
    <w:pPr>
      <w:keepNext/>
      <w:keepLines/>
      <w:tabs>
        <w:tab w:val="left" w:pos="1230"/>
      </w:tabs>
      <w:topLinePunct w:val="0"/>
      <w:adjustRightInd/>
      <w:spacing w:before="240" w:after="120" w:line="240" w:lineRule="auto"/>
      <w:ind w:left="1230" w:firstLineChars="0" w:hanging="1230"/>
      <w:jc w:val="center"/>
    </w:pPr>
    <w:rPr>
      <w:rFonts w:ascii="Times New Roman" w:eastAsia="黑体" w:cs="Times New Roman"/>
      <w:b/>
      <w:kern w:val="44"/>
      <w:sz w:val="42"/>
    </w:rPr>
  </w:style>
  <w:style w:type="paragraph" w:customStyle="1" w:styleId="pic-info">
    <w:name w:val="pic-info"/>
    <w:basedOn w:val="a0"/>
    <w:rsid w:val="00BD5820"/>
    <w:pPr>
      <w:widowControl/>
      <w:topLinePunct w:val="0"/>
      <w:adjustRightInd/>
      <w:spacing w:before="100" w:beforeAutospacing="1" w:after="100" w:afterAutospacing="1" w:line="240" w:lineRule="auto"/>
      <w:ind w:firstLineChars="0" w:firstLine="0"/>
      <w:jc w:val="left"/>
    </w:pPr>
    <w:rPr>
      <w:rFonts w:hAnsi="宋体"/>
    </w:rPr>
  </w:style>
  <w:style w:type="paragraph" w:customStyle="1" w:styleId="111111111111111111222">
    <w:name w:val="111111111111111111222"/>
    <w:basedOn w:val="a0"/>
    <w:rsid w:val="00BD5820"/>
    <w:pPr>
      <w:topLinePunct w:val="0"/>
      <w:adjustRightInd/>
      <w:spacing w:line="440" w:lineRule="exact"/>
      <w:ind w:firstLine="480"/>
    </w:pPr>
    <w:rPr>
      <w:rFonts w:hAnsi="宋体" w:cs="Times New Roman"/>
      <w:kern w:val="2"/>
    </w:rPr>
  </w:style>
  <w:style w:type="paragraph" w:customStyle="1" w:styleId="116">
    <w:name w:val="样式116"/>
    <w:basedOn w:val="92"/>
    <w:rsid w:val="00BD5820"/>
    <w:pPr>
      <w:spacing w:line="240" w:lineRule="exact"/>
    </w:pPr>
  </w:style>
  <w:style w:type="paragraph" w:customStyle="1" w:styleId="affffffff6">
    <w:name w:val="报告表正文"/>
    <w:basedOn w:val="a0"/>
    <w:qFormat/>
    <w:rsid w:val="00BD5820"/>
    <w:pPr>
      <w:topLinePunct w:val="0"/>
      <w:snapToGrid w:val="0"/>
      <w:spacing w:line="460" w:lineRule="atLeast"/>
      <w:ind w:firstLine="480"/>
    </w:pPr>
    <w:rPr>
      <w:rFonts w:ascii="Times New Roman" w:hAnsi="宋体" w:cs="Times New Roman"/>
      <w:bCs/>
      <w:kern w:val="2"/>
      <w:sz w:val="21"/>
    </w:rPr>
  </w:style>
  <w:style w:type="paragraph" w:customStyle="1" w:styleId="22CharChar214">
    <w:name w:val="样式 样式 标题 2标题节标题 2 Char Char + 段前: 2 行 + 左侧:  1 字符4"/>
    <w:basedOn w:val="22CharChar2"/>
    <w:rsid w:val="00BD5820"/>
    <w:pPr>
      <w:spacing w:beforeLines="0" w:after="50"/>
    </w:pPr>
    <w:rPr>
      <w:rFonts w:eastAsia="宋体" w:hAnsi="Times New Roman" w:cs="宋体"/>
      <w:bCs/>
    </w:rPr>
  </w:style>
  <w:style w:type="paragraph" w:customStyle="1" w:styleId="zCharCharChar">
    <w:name w:val="z正文 Char Char Char"/>
    <w:basedOn w:val="a0"/>
    <w:rsid w:val="00BD5820"/>
    <w:pPr>
      <w:topLinePunct w:val="0"/>
      <w:adjustRightInd/>
    </w:pPr>
    <w:rPr>
      <w:rFonts w:eastAsia="仿宋_GB2312" w:hAnsi="宋体"/>
      <w:kern w:val="2"/>
      <w:sz w:val="28"/>
      <w:szCs w:val="28"/>
    </w:rPr>
  </w:style>
  <w:style w:type="paragraph" w:customStyle="1" w:styleId="affffffff7">
    <w:name w:val="表文排版"/>
    <w:basedOn w:val="a1"/>
    <w:next w:val="a0"/>
    <w:qFormat/>
    <w:rsid w:val="00BD5820"/>
    <w:pPr>
      <w:topLinePunct w:val="0"/>
      <w:snapToGrid w:val="0"/>
      <w:spacing w:line="240" w:lineRule="auto"/>
      <w:ind w:firstLineChars="0" w:firstLine="0"/>
      <w:jc w:val="center"/>
    </w:pPr>
    <w:rPr>
      <w:rFonts w:ascii="Times New Roman" w:cs="Times New Roman"/>
      <w:kern w:val="2"/>
      <w:sz w:val="22"/>
    </w:rPr>
  </w:style>
  <w:style w:type="paragraph" w:customStyle="1" w:styleId="UserStyle3">
    <w:name w:val="UserStyle_3"/>
    <w:basedOn w:val="Heading2"/>
    <w:next w:val="a0"/>
    <w:qFormat/>
    <w:rsid w:val="00BD5820"/>
    <w:pPr>
      <w:keepLines/>
      <w:snapToGrid w:val="0"/>
      <w:spacing w:line="460" w:lineRule="exact"/>
      <w:ind w:firstLineChars="200" w:firstLine="200"/>
    </w:pPr>
    <w:rPr>
      <w:rFonts w:ascii="Times New Roman"/>
      <w:sz w:val="26"/>
      <w:szCs w:val="20"/>
    </w:rPr>
  </w:style>
  <w:style w:type="paragraph" w:customStyle="1" w:styleId="Heading2">
    <w:name w:val="Heading2"/>
    <w:basedOn w:val="a0"/>
    <w:next w:val="a0"/>
    <w:rsid w:val="00BD5820"/>
    <w:pPr>
      <w:keepNext/>
      <w:topLinePunct w:val="0"/>
      <w:adjustRightInd/>
      <w:spacing w:before="156" w:line="440" w:lineRule="exact"/>
      <w:ind w:firstLineChars="196" w:firstLine="472"/>
    </w:pPr>
    <w:rPr>
      <w:rFonts w:ascii="Arial" w:eastAsia="黑体" w:hAnsi="Arial" w:cs="Times New Roman"/>
      <w:b/>
      <w:color w:val="000000"/>
      <w:kern w:val="2"/>
    </w:rPr>
  </w:style>
  <w:style w:type="paragraph" w:customStyle="1" w:styleId="3b">
    <w:name w:val="样式 标题 3 + 四号"/>
    <w:basedOn w:val="3"/>
    <w:rsid w:val="00BD5820"/>
    <w:pPr>
      <w:topLinePunct w:val="0"/>
      <w:adjustRightInd/>
      <w:spacing w:before="100" w:after="100" w:line="460" w:lineRule="exact"/>
    </w:pPr>
    <w:rPr>
      <w:rFonts w:ascii="宋体" w:eastAsia="宋体" w:hAnsi="宋体"/>
      <w:b w:val="0"/>
      <w:bCs/>
      <w:kern w:val="2"/>
      <w:sz w:val="26"/>
      <w:szCs w:val="28"/>
    </w:rPr>
  </w:style>
  <w:style w:type="paragraph" w:customStyle="1" w:styleId="NormalIndent">
    <w:name w:val="NormalIndent"/>
    <w:basedOn w:val="a0"/>
    <w:next w:val="a0"/>
    <w:rsid w:val="00BD5820"/>
    <w:pPr>
      <w:topLinePunct w:val="0"/>
      <w:adjustRightInd/>
      <w:spacing w:line="240" w:lineRule="auto"/>
      <w:ind w:firstLine="420"/>
    </w:pPr>
    <w:rPr>
      <w:rFonts w:ascii="Times New Roman" w:cs="Times New Roman"/>
      <w:kern w:val="2"/>
      <w:sz w:val="21"/>
    </w:rPr>
  </w:style>
  <w:style w:type="paragraph" w:customStyle="1" w:styleId="BodyText21">
    <w:name w:val="Body Text 21"/>
    <w:basedOn w:val="a0"/>
    <w:rsid w:val="00BD5820"/>
    <w:pPr>
      <w:topLinePunct w:val="0"/>
      <w:snapToGrid w:val="0"/>
      <w:spacing w:line="312" w:lineRule="auto"/>
      <w:ind w:firstLineChars="0" w:firstLine="0"/>
      <w:textAlignment w:val="baseline"/>
    </w:pPr>
    <w:rPr>
      <w:rFonts w:ascii="Times New Roman" w:cs="Times New Roman"/>
      <w:sz w:val="28"/>
      <w:szCs w:val="20"/>
    </w:rPr>
  </w:style>
  <w:style w:type="paragraph" w:customStyle="1" w:styleId="2SLCON2">
    <w:name w:val="样式 正文 首行缩进:  2 字符 SL CON + 首行缩进:  2 字符"/>
    <w:basedOn w:val="2SLCON"/>
    <w:qFormat/>
    <w:rsid w:val="00BD5820"/>
    <w:pPr>
      <w:ind w:firstLine="480"/>
    </w:pPr>
    <w:rPr>
      <w:szCs w:val="21"/>
    </w:rPr>
  </w:style>
  <w:style w:type="paragraph" w:customStyle="1" w:styleId="2SLCON">
    <w:name w:val="正文 首行缩进:  2 字符 SL CON"/>
    <w:basedOn w:val="a0"/>
    <w:qFormat/>
    <w:rsid w:val="00BD5820"/>
    <w:pPr>
      <w:widowControl/>
      <w:tabs>
        <w:tab w:val="left" w:pos="377"/>
      </w:tabs>
      <w:topLinePunct w:val="0"/>
      <w:adjustRightInd/>
    </w:pPr>
  </w:style>
  <w:style w:type="paragraph" w:customStyle="1" w:styleId="affffffff8">
    <w:name w:val="何家沟正文"/>
    <w:basedOn w:val="a0"/>
    <w:qFormat/>
    <w:rsid w:val="00BD5820"/>
    <w:pPr>
      <w:topLinePunct w:val="0"/>
      <w:adjustRightInd/>
      <w:ind w:firstLine="460"/>
    </w:pPr>
    <w:rPr>
      <w:rFonts w:ascii="Times New Roman" w:hAnsi="宋体"/>
      <w:kern w:val="2"/>
      <w:sz w:val="23"/>
      <w:szCs w:val="23"/>
    </w:rPr>
  </w:style>
  <w:style w:type="paragraph" w:customStyle="1" w:styleId="200150">
    <w:name w:val="样式 标题 2节 + (西文) 宋体 (中文) 宋体 四号 段前: 0 磅 段后: 0 磅 行距: 1.5 倍行距"/>
    <w:basedOn w:val="2"/>
    <w:rsid w:val="00BD5820"/>
    <w:pPr>
      <w:topLinePunct w:val="0"/>
      <w:adjustRightInd/>
      <w:spacing w:before="0" w:line="500" w:lineRule="exact"/>
    </w:pPr>
    <w:rPr>
      <w:rFonts w:ascii="宋体" w:hAnsi="宋体"/>
      <w:kern w:val="2"/>
      <w:szCs w:val="28"/>
    </w:rPr>
  </w:style>
  <w:style w:type="paragraph" w:customStyle="1" w:styleId="22CharChar22051">
    <w:name w:val="样式 样式 标题 2标题节标题 2 Char Char + 段前: 2 行 + 首行缩进:  2 字符 段前: 0.5 行 ...1"/>
    <w:basedOn w:val="22CharChar2"/>
    <w:next w:val="a0"/>
    <w:rsid w:val="00BD5820"/>
    <w:pPr>
      <w:spacing w:beforeLines="0" w:line="240" w:lineRule="auto"/>
      <w:ind w:firstLine="482"/>
    </w:pPr>
    <w:rPr>
      <w:rFonts w:ascii="Arial"/>
      <w:bCs/>
      <w:sz w:val="24"/>
      <w:szCs w:val="24"/>
    </w:rPr>
  </w:style>
  <w:style w:type="paragraph" w:customStyle="1" w:styleId="affffffff9">
    <w:name w:val="正文(首行缩进)"/>
    <w:basedOn w:val="a0"/>
    <w:rsid w:val="00BD5820"/>
    <w:pPr>
      <w:topLinePunct w:val="0"/>
      <w:adjustRightInd/>
      <w:ind w:firstLineChars="0" w:firstLine="510"/>
    </w:pPr>
    <w:rPr>
      <w:rFonts w:hAnsi="宋体" w:cs="Times New Roman"/>
      <w:snapToGrid w:val="0"/>
      <w:szCs w:val="20"/>
    </w:rPr>
  </w:style>
  <w:style w:type="paragraph" w:customStyle="1" w:styleId="1fa">
    <w:name w:val="标书标题1"/>
    <w:basedOn w:val="1"/>
    <w:rsid w:val="00BD5820"/>
    <w:pPr>
      <w:keepNext w:val="0"/>
      <w:keepLines w:val="0"/>
      <w:tabs>
        <w:tab w:val="left" w:pos="360"/>
      </w:tabs>
      <w:topLinePunct w:val="0"/>
      <w:snapToGrid w:val="0"/>
      <w:spacing w:beforeLines="100" w:beforeAutospacing="0" w:afterLines="100" w:afterAutospacing="0" w:line="460" w:lineRule="exact"/>
      <w:ind w:left="284" w:hanging="284"/>
      <w:jc w:val="center"/>
    </w:pPr>
    <w:rPr>
      <w:rFonts w:ascii="Arial Narrow" w:eastAsia="黑体" w:hAnsi="Arial Narrow"/>
      <w:b w:val="0"/>
      <w:snapToGrid w:val="0"/>
      <w:kern w:val="0"/>
      <w:sz w:val="30"/>
    </w:rPr>
  </w:style>
  <w:style w:type="paragraph" w:customStyle="1" w:styleId="Char210">
    <w:name w:val="Char21"/>
    <w:basedOn w:val="a0"/>
    <w:rsid w:val="00BD5820"/>
    <w:pPr>
      <w:topLinePunct w:val="0"/>
      <w:adjustRightInd/>
    </w:pPr>
    <w:rPr>
      <w:rFonts w:ascii="Times New Roman" w:cs="Times New Roman"/>
      <w:kern w:val="2"/>
      <w:sz w:val="30"/>
      <w:szCs w:val="20"/>
    </w:rPr>
  </w:style>
  <w:style w:type="paragraph" w:customStyle="1" w:styleId="217">
    <w:name w:val="样式 首行缩进:  2 字符1"/>
    <w:basedOn w:val="a0"/>
    <w:rsid w:val="00BD5820"/>
    <w:pPr>
      <w:topLinePunct w:val="0"/>
      <w:adjustRightInd/>
      <w:spacing w:before="120" w:line="440" w:lineRule="atLeast"/>
      <w:ind w:firstLineChars="207" w:firstLine="497"/>
    </w:pPr>
    <w:rPr>
      <w:rFonts w:ascii="Arial" w:hAnsi="宋体" w:cs="Arial"/>
      <w:kern w:val="2"/>
    </w:rPr>
  </w:style>
  <w:style w:type="paragraph" w:customStyle="1" w:styleId="22CharChar205051">
    <w:name w:val="样式 样式 标题 2标题节标题 2 Char Char + 段前: 2 行 + 段前: 0.5 行 段后: 0.5 行1"/>
    <w:basedOn w:val="22CharChar2"/>
    <w:rsid w:val="00BD5820"/>
  </w:style>
  <w:style w:type="paragraph" w:customStyle="1" w:styleId="a30">
    <w:name w:val="a3"/>
    <w:basedOn w:val="a0"/>
    <w:rsid w:val="00BD5820"/>
    <w:pPr>
      <w:topLinePunct w:val="0"/>
      <w:adjustRightInd/>
      <w:spacing w:line="288" w:lineRule="auto"/>
      <w:ind w:firstLineChars="0" w:firstLine="0"/>
      <w:jc w:val="center"/>
    </w:pPr>
    <w:rPr>
      <w:rFonts w:ascii="Times New Roman" w:cs="Times New Roman"/>
      <w:kern w:val="2"/>
      <w:sz w:val="21"/>
    </w:rPr>
  </w:style>
  <w:style w:type="paragraph" w:customStyle="1" w:styleId="22CharChar213">
    <w:name w:val="样式 样式 标题 2标题节标题 2 Char Char + 段前: 2 行 + 左侧:  1 字符3"/>
    <w:basedOn w:val="22CharChar2"/>
    <w:rsid w:val="00BD5820"/>
    <w:pPr>
      <w:spacing w:beforeLines="0" w:after="50"/>
    </w:pPr>
    <w:rPr>
      <w:rFonts w:eastAsia="宋体" w:hAnsi="Times New Roman" w:cs="宋体"/>
      <w:bCs/>
    </w:rPr>
  </w:style>
  <w:style w:type="paragraph" w:customStyle="1" w:styleId="46">
    <w:name w:val="标书标题4"/>
    <w:basedOn w:val="4"/>
    <w:rsid w:val="00BD5820"/>
    <w:pPr>
      <w:widowControl w:val="0"/>
      <w:tabs>
        <w:tab w:val="left" w:pos="851"/>
      </w:tabs>
      <w:spacing w:beforeLines="0" w:line="300" w:lineRule="auto"/>
      <w:ind w:left="851" w:firstLineChars="200" w:hanging="851"/>
      <w:jc w:val="both"/>
    </w:pPr>
    <w:rPr>
      <w:rFonts w:ascii="Arial Narrow" w:eastAsia="仿宋_GB2312" w:hAnsi="Arial Narrow"/>
      <w:kern w:val="0"/>
      <w:szCs w:val="20"/>
    </w:rPr>
  </w:style>
  <w:style w:type="paragraph" w:customStyle="1" w:styleId="Char4CharCharChar2">
    <w:name w:val="Char4 Char Char Char2"/>
    <w:basedOn w:val="a0"/>
    <w:semiHidden/>
    <w:qFormat/>
    <w:rsid w:val="00BD5820"/>
    <w:pPr>
      <w:topLinePunct w:val="0"/>
      <w:snapToGrid w:val="0"/>
    </w:pPr>
    <w:rPr>
      <w:rFonts w:hAnsi="宋体"/>
      <w:kern w:val="2"/>
      <w:szCs w:val="26"/>
    </w:rPr>
  </w:style>
  <w:style w:type="paragraph" w:customStyle="1" w:styleId="3c">
    <w:name w:val="标书标题3"/>
    <w:basedOn w:val="3"/>
    <w:rsid w:val="00BD5820"/>
    <w:pPr>
      <w:keepNext w:val="0"/>
      <w:keepLines w:val="0"/>
      <w:topLinePunct w:val="0"/>
      <w:snapToGrid w:val="0"/>
      <w:spacing w:before="120" w:after="60" w:line="300" w:lineRule="auto"/>
      <w:ind w:firstLineChars="200" w:firstLine="522"/>
    </w:pPr>
    <w:rPr>
      <w:rFonts w:ascii="宋体" w:eastAsia="宋体" w:hAnsi="宋体"/>
      <w:bCs/>
      <w:color w:val="000000"/>
      <w:sz w:val="26"/>
      <w:szCs w:val="26"/>
    </w:rPr>
  </w:style>
  <w:style w:type="paragraph" w:customStyle="1" w:styleId="A222">
    <w:name w:val="样式 样式 样式 样式 样式 正文A + 首行缩进:  2 字符 + 首行缩进:  2 字符 + 两端对齐 首行缩进:  2 字..."/>
    <w:basedOn w:val="a0"/>
    <w:rsid w:val="00BD5820"/>
    <w:pPr>
      <w:tabs>
        <w:tab w:val="left" w:pos="578"/>
        <w:tab w:val="left" w:pos="1074"/>
        <w:tab w:val="left" w:pos="1595"/>
        <w:tab w:val="left" w:pos="2073"/>
        <w:tab w:val="left" w:pos="2507"/>
        <w:tab w:val="left" w:pos="3025"/>
        <w:tab w:val="left" w:pos="3991"/>
      </w:tabs>
      <w:topLinePunct w:val="0"/>
      <w:adjustRightInd/>
      <w:ind w:firstLine="480"/>
    </w:pPr>
    <w:rPr>
      <w:rFonts w:ascii="Times New Roman"/>
      <w:szCs w:val="20"/>
    </w:rPr>
  </w:style>
  <w:style w:type="paragraph" w:customStyle="1" w:styleId="2f6">
    <w:name w:val="标书标题2"/>
    <w:basedOn w:val="2"/>
    <w:rsid w:val="00BD5820"/>
    <w:pPr>
      <w:keepNext w:val="0"/>
      <w:keepLines w:val="0"/>
      <w:tabs>
        <w:tab w:val="left" w:pos="574"/>
      </w:tabs>
      <w:topLinePunct w:val="0"/>
      <w:snapToGrid w:val="0"/>
      <w:spacing w:after="120" w:line="300" w:lineRule="auto"/>
      <w:ind w:firstLineChars="200" w:firstLine="200"/>
      <w:jc w:val="left"/>
    </w:pPr>
    <w:rPr>
      <w:rFonts w:ascii="Arial Narrow" w:hAnsi="Arial Narrow" w:cs="Times New Roman"/>
      <w:bCs w:val="0"/>
    </w:rPr>
  </w:style>
  <w:style w:type="paragraph" w:customStyle="1" w:styleId="ygs">
    <w:name w:val="ygs正文"/>
    <w:basedOn w:val="a0"/>
    <w:rsid w:val="00BD5820"/>
    <w:pPr>
      <w:topLinePunct w:val="0"/>
      <w:adjustRightInd/>
      <w:spacing w:line="440" w:lineRule="exact"/>
      <w:ind w:firstLine="480"/>
    </w:pPr>
    <w:rPr>
      <w:rFonts w:hAnsi="宋体" w:cs="Times New Roman"/>
      <w:bCs/>
      <w:kern w:val="2"/>
    </w:rPr>
  </w:style>
  <w:style w:type="paragraph" w:customStyle="1" w:styleId="CharCharCharCharChar2Char">
    <w:name w:val="Char Char Char Char Char2 Char"/>
    <w:basedOn w:val="a0"/>
    <w:rsid w:val="00BD5820"/>
    <w:pPr>
      <w:topLinePunct w:val="0"/>
      <w:snapToGrid w:val="0"/>
    </w:pPr>
    <w:rPr>
      <w:rFonts w:hAnsi="宋体"/>
      <w:kern w:val="2"/>
      <w:szCs w:val="26"/>
    </w:rPr>
  </w:style>
  <w:style w:type="paragraph" w:customStyle="1" w:styleId="declear">
    <w:name w:val="declear"/>
    <w:basedOn w:val="a0"/>
    <w:rsid w:val="00BD5820"/>
    <w:pPr>
      <w:widowControl/>
      <w:topLinePunct w:val="0"/>
      <w:adjustRightInd/>
      <w:spacing w:before="100" w:beforeAutospacing="1" w:after="100" w:afterAutospacing="1" w:line="240" w:lineRule="auto"/>
      <w:ind w:firstLineChars="0" w:firstLine="0"/>
      <w:jc w:val="left"/>
    </w:pPr>
    <w:rPr>
      <w:rFonts w:hAnsi="宋体"/>
    </w:rPr>
  </w:style>
  <w:style w:type="paragraph" w:customStyle="1" w:styleId="affffffffa">
    <w:name w:val="正 文"/>
    <w:basedOn w:val="a0"/>
    <w:qFormat/>
    <w:rsid w:val="00BD5820"/>
    <w:pPr>
      <w:topLinePunct w:val="0"/>
      <w:adjustRightInd/>
      <w:spacing w:line="440" w:lineRule="exact"/>
      <w:ind w:firstLineChars="0" w:firstLine="0"/>
    </w:pPr>
    <w:rPr>
      <w:rFonts w:ascii="Times New Roman" w:hAnsi="宋体" w:cs="Times New Roman"/>
      <w:kern w:val="2"/>
      <w:sz w:val="21"/>
    </w:rPr>
  </w:style>
  <w:style w:type="paragraph" w:customStyle="1" w:styleId="1fb">
    <w:name w:val="正文   1"/>
    <w:basedOn w:val="a0"/>
    <w:qFormat/>
    <w:rsid w:val="00BD5820"/>
    <w:pPr>
      <w:topLinePunct w:val="0"/>
      <w:adjustRightInd/>
      <w:snapToGrid w:val="0"/>
      <w:spacing w:line="460" w:lineRule="atLeast"/>
      <w:ind w:firstLine="520"/>
    </w:pPr>
    <w:rPr>
      <w:rFonts w:ascii="Times New Roman" w:cs="Times New Roman"/>
      <w:bCs/>
      <w:kern w:val="2"/>
      <w:sz w:val="26"/>
    </w:rPr>
  </w:style>
  <w:style w:type="paragraph" w:customStyle="1" w:styleId="affffffffb">
    <w:name w:val="表格中的文字"/>
    <w:basedOn w:val="a0"/>
    <w:qFormat/>
    <w:rsid w:val="00BD5820"/>
    <w:pPr>
      <w:topLinePunct w:val="0"/>
      <w:adjustRightInd/>
      <w:snapToGrid w:val="0"/>
      <w:spacing w:line="240" w:lineRule="auto"/>
      <w:ind w:firstLineChars="0" w:firstLine="0"/>
      <w:jc w:val="center"/>
    </w:pPr>
    <w:rPr>
      <w:rFonts w:ascii="Times New Roman" w:cs="Times New Roman"/>
      <w:kern w:val="2"/>
      <w:sz w:val="21"/>
      <w:szCs w:val="22"/>
    </w:rPr>
  </w:style>
  <w:style w:type="paragraph" w:customStyle="1" w:styleId="63">
    <w:name w:val="6表格"/>
    <w:basedOn w:val="a0"/>
    <w:rsid w:val="00BD5820"/>
    <w:pPr>
      <w:topLinePunct w:val="0"/>
      <w:snapToGrid w:val="0"/>
      <w:spacing w:before="120" w:line="240" w:lineRule="auto"/>
      <w:ind w:firstLineChars="0" w:firstLine="0"/>
      <w:jc w:val="center"/>
    </w:pPr>
    <w:rPr>
      <w:rFonts w:ascii="Times New Roman" w:cs="Times New Roman"/>
      <w:sz w:val="21"/>
      <w:szCs w:val="20"/>
    </w:rPr>
  </w:style>
  <w:style w:type="paragraph" w:customStyle="1" w:styleId="CharChar2CharCharCharCharCharChar">
    <w:name w:val="Char Char2 Char Char Char Char Char Char"/>
    <w:basedOn w:val="a0"/>
    <w:semiHidden/>
    <w:rsid w:val="00BD5820"/>
    <w:pPr>
      <w:topLinePunct w:val="0"/>
      <w:snapToGrid w:val="0"/>
    </w:pPr>
    <w:rPr>
      <w:rFonts w:ascii="Times New Roman"/>
      <w:kern w:val="2"/>
      <w:szCs w:val="26"/>
    </w:rPr>
  </w:style>
  <w:style w:type="paragraph" w:customStyle="1" w:styleId="22CharChar2111">
    <w:name w:val="样式 样式 标题 2标题节标题 2 Char Char + 段前: 2 行 + 左侧:  1 字符 右侧:  1 字符1"/>
    <w:basedOn w:val="22CharChar2"/>
    <w:qFormat/>
    <w:rsid w:val="00BD5820"/>
    <w:pPr>
      <w:spacing w:beforeLines="0" w:after="50"/>
    </w:pPr>
    <w:rPr>
      <w:rFonts w:eastAsia="宋体" w:hAnsi="Times New Roman" w:cs="宋体"/>
      <w:bCs/>
    </w:rPr>
  </w:style>
  <w:style w:type="paragraph" w:customStyle="1" w:styleId="190">
    <w:name w:val="样式19"/>
    <w:basedOn w:val="a0"/>
    <w:rsid w:val="00BD5820"/>
    <w:pPr>
      <w:keepNext/>
      <w:keepLines/>
      <w:widowControl/>
      <w:topLinePunct w:val="0"/>
      <w:snapToGrid w:val="0"/>
      <w:spacing w:line="460" w:lineRule="exact"/>
      <w:ind w:firstLineChars="0" w:firstLine="0"/>
      <w:jc w:val="left"/>
      <w:textAlignment w:val="baseline"/>
      <w:outlineLvl w:val="2"/>
    </w:pPr>
    <w:rPr>
      <w:rFonts w:ascii="Times New Roman" w:cs="Times New Roman"/>
      <w:b/>
      <w:sz w:val="26"/>
      <w:szCs w:val="26"/>
    </w:rPr>
  </w:style>
  <w:style w:type="paragraph" w:customStyle="1" w:styleId="22CharChar212">
    <w:name w:val="样式 样式 标题 2标题节标题 2 Char Char + 段前: 2 行 + 左侧:  1 字符2"/>
    <w:basedOn w:val="22CharChar2"/>
    <w:rsid w:val="00BD5820"/>
    <w:pPr>
      <w:spacing w:beforeLines="0" w:after="50"/>
    </w:pPr>
    <w:rPr>
      <w:rFonts w:eastAsia="宋体" w:hAnsi="Times New Roman" w:cs="宋体"/>
      <w:bCs/>
    </w:rPr>
  </w:style>
  <w:style w:type="paragraph" w:customStyle="1" w:styleId="b">
    <w:name w:val="b"/>
    <w:basedOn w:val="2"/>
    <w:rsid w:val="00BD5820"/>
    <w:pPr>
      <w:keepNext w:val="0"/>
      <w:keepLines w:val="0"/>
      <w:widowControl/>
      <w:topLinePunct w:val="0"/>
      <w:snapToGrid w:val="0"/>
      <w:spacing w:beforeLines="50" w:afterLines="50" w:line="240" w:lineRule="auto"/>
      <w:textAlignment w:val="baseline"/>
    </w:pPr>
    <w:rPr>
      <w:rFonts w:eastAsia="仿宋_GB2312" w:cs="Times New Roman"/>
      <w:color w:val="000000"/>
      <w:sz w:val="32"/>
    </w:rPr>
  </w:style>
  <w:style w:type="paragraph" w:customStyle="1" w:styleId="2CharCharCharCharCharCharChar">
    <w:name w:val="样式 正文缩进正文缩进2正文缩进 Char Char正文缩进 Char Char Char Char正文缩进 Char ..."/>
    <w:basedOn w:val="a8"/>
    <w:qFormat/>
    <w:rsid w:val="00BD5820"/>
    <w:pPr>
      <w:spacing w:line="360" w:lineRule="auto"/>
      <w:ind w:firstLine="200"/>
    </w:pPr>
    <w:rPr>
      <w:rFonts w:ascii="Times New Roman" w:hAnsi="Times New Roman" w:cs="宋体"/>
      <w:kern w:val="2"/>
      <w:sz w:val="24"/>
      <w:szCs w:val="24"/>
    </w:rPr>
  </w:style>
  <w:style w:type="paragraph" w:customStyle="1" w:styleId="123">
    <w:name w:val="123"/>
    <w:basedOn w:val="a0"/>
    <w:next w:val="a0"/>
    <w:qFormat/>
    <w:rsid w:val="00BD5820"/>
    <w:pPr>
      <w:topLinePunct w:val="0"/>
      <w:adjustRightInd/>
      <w:ind w:firstLine="562"/>
    </w:pPr>
    <w:rPr>
      <w:rFonts w:ascii="Times New Roman" w:cs="Times New Roman"/>
      <w:b/>
      <w:bCs/>
      <w:color w:val="000000"/>
      <w:kern w:val="2"/>
      <w:sz w:val="28"/>
    </w:rPr>
  </w:style>
  <w:style w:type="paragraph" w:customStyle="1" w:styleId="1323">
    <w:name w:val="样式 13 磅 行距: 固定值 23 磅"/>
    <w:basedOn w:val="a0"/>
    <w:rsid w:val="00BD5820"/>
    <w:pPr>
      <w:topLinePunct w:val="0"/>
      <w:adjustRightInd/>
      <w:spacing w:line="460" w:lineRule="exact"/>
      <w:ind w:firstLine="520"/>
    </w:pPr>
    <w:rPr>
      <w:rFonts w:ascii="Times New Roman" w:cs="Times New Roman"/>
      <w:kern w:val="2"/>
      <w:sz w:val="26"/>
      <w:szCs w:val="20"/>
    </w:rPr>
  </w:style>
  <w:style w:type="paragraph" w:customStyle="1" w:styleId="6565656">
    <w:name w:val="样式6565656"/>
    <w:basedOn w:val="a0"/>
    <w:qFormat/>
    <w:rsid w:val="00BD5820"/>
    <w:pPr>
      <w:topLinePunct w:val="0"/>
      <w:snapToGrid w:val="0"/>
      <w:spacing w:line="460" w:lineRule="atLeast"/>
      <w:ind w:firstLine="480"/>
    </w:pPr>
    <w:rPr>
      <w:rFonts w:ascii="Times New Roman" w:cs="Times New Roman"/>
      <w:bCs/>
      <w:kern w:val="2"/>
      <w:sz w:val="21"/>
    </w:rPr>
  </w:style>
  <w:style w:type="paragraph" w:customStyle="1" w:styleId="22CharChar20505">
    <w:name w:val="样式 样式 标题 2标题节标题 2 Char Char + 段前: 2 行 + 段前: 0.5 行 段后: 0.5 行"/>
    <w:basedOn w:val="22CharChar2"/>
    <w:next w:val="a0"/>
    <w:rsid w:val="00BD5820"/>
    <w:pPr>
      <w:spacing w:beforeLines="0" w:after="120"/>
    </w:pPr>
    <w:rPr>
      <w:rFonts w:eastAsia="宋体" w:hAnsi="Times New Roman" w:cs="宋体"/>
      <w:bCs/>
    </w:rPr>
  </w:style>
  <w:style w:type="paragraph" w:customStyle="1" w:styleId="affffffffc">
    <w:name w:val="二级标题"/>
    <w:basedOn w:val="a0"/>
    <w:next w:val="a0"/>
    <w:rsid w:val="00BD5820"/>
    <w:pPr>
      <w:topLinePunct w:val="0"/>
      <w:snapToGrid w:val="0"/>
      <w:spacing w:beforeLines="50" w:afterLines="50" w:line="460" w:lineRule="exact"/>
      <w:ind w:firstLineChars="0" w:firstLine="0"/>
      <w:outlineLvl w:val="1"/>
    </w:pPr>
    <w:rPr>
      <w:rFonts w:ascii="Times New Roman" w:cs="Times New Roman"/>
      <w:b/>
      <w:bCs/>
      <w:kern w:val="2"/>
      <w:sz w:val="30"/>
      <w:szCs w:val="30"/>
    </w:rPr>
  </w:style>
  <w:style w:type="paragraph" w:customStyle="1" w:styleId="0858">
    <w:name w:val="样式 首行缩进:  0.85 厘米8"/>
    <w:basedOn w:val="a0"/>
    <w:rsid w:val="00BD5820"/>
    <w:pPr>
      <w:topLinePunct w:val="0"/>
      <w:snapToGrid w:val="0"/>
      <w:spacing w:line="288" w:lineRule="auto"/>
      <w:ind w:firstLine="482"/>
    </w:pPr>
    <w:rPr>
      <w:rFonts w:ascii="Times New Roman"/>
      <w:kern w:val="2"/>
      <w:szCs w:val="26"/>
    </w:rPr>
  </w:style>
  <w:style w:type="paragraph" w:customStyle="1" w:styleId="CharCharCharCharCharChar1Char">
    <w:name w:val="Char Char Char Char Char Char1 Char"/>
    <w:basedOn w:val="a0"/>
    <w:rsid w:val="00BD5820"/>
    <w:pPr>
      <w:widowControl/>
      <w:topLinePunct w:val="0"/>
      <w:adjustRightInd/>
      <w:spacing w:after="160" w:line="240" w:lineRule="exact"/>
      <w:ind w:firstLineChars="0" w:firstLine="0"/>
      <w:jc w:val="left"/>
    </w:pPr>
    <w:rPr>
      <w:rFonts w:ascii="Times New Roman" w:cs="Times New Roman"/>
      <w:kern w:val="2"/>
      <w:sz w:val="21"/>
    </w:rPr>
  </w:style>
  <w:style w:type="paragraph" w:customStyle="1" w:styleId="CharCharChar3CharCharChar2Char">
    <w:name w:val="Char Char Char3 Char Char Char2 Char"/>
    <w:basedOn w:val="a0"/>
    <w:semiHidden/>
    <w:rsid w:val="00BD5820"/>
    <w:pPr>
      <w:topLinePunct w:val="0"/>
      <w:snapToGrid w:val="0"/>
    </w:pPr>
    <w:rPr>
      <w:rFonts w:hAnsi="宋体"/>
      <w:kern w:val="2"/>
      <w:szCs w:val="26"/>
    </w:rPr>
  </w:style>
  <w:style w:type="paragraph" w:customStyle="1" w:styleId="affffffffd">
    <w:name w:val="编号正文"/>
    <w:basedOn w:val="a0"/>
    <w:rsid w:val="00BD5820"/>
    <w:pPr>
      <w:tabs>
        <w:tab w:val="left" w:pos="1260"/>
      </w:tabs>
      <w:topLinePunct w:val="0"/>
      <w:snapToGrid w:val="0"/>
      <w:spacing w:afterLines="50" w:line="300" w:lineRule="auto"/>
      <w:ind w:left="1260" w:hanging="806"/>
    </w:pPr>
    <w:rPr>
      <w:rFonts w:ascii="Arial Narrow" w:eastAsia="仿宋_GB2312" w:hAnsi="Arial Narrow" w:cs="Times New Roman"/>
      <w:kern w:val="2"/>
      <w:sz w:val="28"/>
      <w:szCs w:val="28"/>
    </w:rPr>
  </w:style>
  <w:style w:type="paragraph" w:customStyle="1" w:styleId="Char40">
    <w:name w:val="Char4"/>
    <w:basedOn w:val="a0"/>
    <w:rsid w:val="00BD5820"/>
    <w:pPr>
      <w:topLinePunct w:val="0"/>
      <w:adjustRightInd/>
      <w:spacing w:line="240" w:lineRule="auto"/>
      <w:ind w:firstLineChars="0" w:firstLine="0"/>
    </w:pPr>
    <w:rPr>
      <w:rFonts w:ascii="Times New Roman" w:cs="Times New Roman"/>
      <w:kern w:val="2"/>
      <w:sz w:val="21"/>
    </w:rPr>
  </w:style>
  <w:style w:type="paragraph" w:customStyle="1" w:styleId="affffffffe">
    <w:name w:val="表格文字居中"/>
    <w:basedOn w:val="a0"/>
    <w:next w:val="a0"/>
    <w:qFormat/>
    <w:rsid w:val="00BD5820"/>
    <w:pPr>
      <w:topLinePunct w:val="0"/>
      <w:snapToGrid w:val="0"/>
      <w:spacing w:line="460" w:lineRule="exact"/>
      <w:jc w:val="center"/>
    </w:pPr>
    <w:rPr>
      <w:rFonts w:ascii="Times New Roman" w:cs="Times New Roman"/>
      <w:color w:val="000000"/>
      <w:kern w:val="2"/>
      <w:sz w:val="22"/>
      <w:szCs w:val="22"/>
    </w:rPr>
  </w:style>
  <w:style w:type="paragraph" w:customStyle="1" w:styleId="2TimesNewRoman">
    <w:name w:val="样式 标题 2 + Times New Roman 非加粗"/>
    <w:basedOn w:val="2"/>
    <w:qFormat/>
    <w:rsid w:val="00BD5820"/>
    <w:pPr>
      <w:keepLines w:val="0"/>
      <w:topLinePunct w:val="0"/>
      <w:adjustRightInd/>
      <w:spacing w:beforeLines="50" w:line="240" w:lineRule="auto"/>
      <w:ind w:firstLineChars="196" w:firstLine="472"/>
    </w:pPr>
    <w:rPr>
      <w:rFonts w:eastAsia="黑体" w:cs="Times New Roman"/>
      <w:b w:val="0"/>
      <w:bCs w:val="0"/>
      <w:color w:val="000000"/>
      <w:kern w:val="2"/>
      <w:sz w:val="24"/>
      <w:szCs w:val="24"/>
    </w:rPr>
  </w:style>
  <w:style w:type="paragraph" w:customStyle="1" w:styleId="CharCharChar1CharCharCharCharCharCharCharCharCharCharCharCharCharCharCharCharCharCharCharCharCharChar">
    <w:name w:val="Char Char Char1 Char Char Char Char Char Char Char Char Char Char Char Char Char Char Char Char Char Char Char Char Char Char"/>
    <w:basedOn w:val="a0"/>
    <w:qFormat/>
    <w:rsid w:val="00BD5820"/>
    <w:pPr>
      <w:topLinePunct w:val="0"/>
      <w:snapToGrid w:val="0"/>
    </w:pPr>
    <w:rPr>
      <w:rFonts w:hAnsi="宋体"/>
      <w:kern w:val="2"/>
      <w:szCs w:val="26"/>
    </w:rPr>
  </w:style>
  <w:style w:type="paragraph" w:customStyle="1" w:styleId="Z7">
    <w:name w:val="Z7[图表]"/>
    <w:next w:val="a0"/>
    <w:rsid w:val="00BD5820"/>
    <w:pPr>
      <w:jc w:val="center"/>
    </w:pPr>
    <w:rPr>
      <w:rFonts w:eastAsia="仿宋_GB2312"/>
      <w:bCs/>
      <w:sz w:val="21"/>
      <w:szCs w:val="44"/>
    </w:rPr>
  </w:style>
  <w:style w:type="paragraph" w:customStyle="1" w:styleId="HtmlNormal">
    <w:name w:val="HtmlNormal"/>
    <w:basedOn w:val="a0"/>
    <w:qFormat/>
    <w:rsid w:val="00BD5820"/>
    <w:pPr>
      <w:topLinePunct w:val="0"/>
      <w:adjustRightInd/>
      <w:spacing w:before="100" w:beforeAutospacing="1" w:after="100" w:afterAutospacing="1" w:line="384" w:lineRule="auto"/>
      <w:ind w:firstLineChars="0" w:firstLine="0"/>
      <w:jc w:val="left"/>
    </w:pPr>
    <w:rPr>
      <w:rFonts w:ascii="Arial Unicode MS" w:eastAsia="Times New Roman" w:hAnsi="Arial Unicode MS" w:cs="Times New Roman"/>
      <w:color w:val="000000"/>
      <w:sz w:val="21"/>
      <w:szCs w:val="21"/>
    </w:rPr>
  </w:style>
  <w:style w:type="paragraph" w:customStyle="1" w:styleId="13230">
    <w:name w:val="样式 13 磅 黑色 行距: 固定值 23 磅"/>
    <w:basedOn w:val="a0"/>
    <w:rsid w:val="00BD5820"/>
    <w:pPr>
      <w:topLinePunct w:val="0"/>
      <w:snapToGrid w:val="0"/>
      <w:spacing w:line="440" w:lineRule="exact"/>
      <w:ind w:firstLineChars="0" w:firstLine="0"/>
      <w:jc w:val="center"/>
    </w:pPr>
    <w:rPr>
      <w:rFonts w:hAnsi="宋体" w:cs="Arial"/>
      <w:kern w:val="2"/>
    </w:rPr>
  </w:style>
  <w:style w:type="paragraph" w:customStyle="1" w:styleId="22CharChar2205">
    <w:name w:val="样式 样式 标题 2标题节标题 2 Char Char + 段前: 2 行 + 首行缩进:  2 字符 段前: 0.5 行 ..."/>
    <w:basedOn w:val="22CharChar2"/>
    <w:qFormat/>
    <w:rsid w:val="00BD5820"/>
    <w:pPr>
      <w:spacing w:beforeLines="0"/>
      <w:ind w:firstLineChars="0" w:firstLine="0"/>
    </w:pPr>
    <w:rPr>
      <w:rFonts w:eastAsia="宋体" w:hAnsi="Times New Roman" w:cs="宋体"/>
      <w:bCs/>
    </w:rPr>
  </w:style>
  <w:style w:type="paragraph" w:customStyle="1" w:styleId="Z2">
    <w:name w:val="Z2[封面]"/>
    <w:next w:val="a0"/>
    <w:rsid w:val="00BD5820"/>
    <w:pPr>
      <w:spacing w:line="360" w:lineRule="auto"/>
      <w:jc w:val="center"/>
    </w:pPr>
    <w:rPr>
      <w:rFonts w:eastAsia="楷体_GB2312"/>
      <w:bCs/>
      <w:sz w:val="32"/>
      <w:szCs w:val="44"/>
    </w:rPr>
  </w:style>
  <w:style w:type="paragraph" w:customStyle="1" w:styleId="UserStyle5">
    <w:name w:val="UserStyle_5"/>
    <w:rsid w:val="00BD5820"/>
    <w:pPr>
      <w:spacing w:line="600" w:lineRule="exact"/>
      <w:ind w:firstLine="567"/>
      <w:jc w:val="both"/>
      <w:textAlignment w:val="baseline"/>
    </w:pPr>
    <w:rPr>
      <w:rFonts w:ascii="宋体"/>
      <w:sz w:val="28"/>
    </w:rPr>
  </w:style>
  <w:style w:type="paragraph" w:customStyle="1" w:styleId="afffffffff">
    <w:name w:val="图表标题"/>
    <w:basedOn w:val="a0"/>
    <w:qFormat/>
    <w:rsid w:val="00BD5820"/>
    <w:pPr>
      <w:tabs>
        <w:tab w:val="left" w:pos="9360"/>
      </w:tabs>
      <w:topLinePunct w:val="0"/>
      <w:adjustRightInd/>
      <w:spacing w:line="240" w:lineRule="auto"/>
      <w:ind w:rightChars="-128" w:right="-269" w:firstLineChars="0" w:firstLine="0"/>
      <w:jc w:val="center"/>
    </w:pPr>
    <w:rPr>
      <w:rFonts w:ascii="Times New Roman" w:eastAsia="仿宋" w:cs="Times New Roman"/>
      <w:b/>
      <w:bCs/>
      <w:color w:val="000000"/>
      <w:sz w:val="21"/>
      <w:szCs w:val="21"/>
    </w:rPr>
  </w:style>
  <w:style w:type="paragraph" w:customStyle="1" w:styleId="afffffffff0">
    <w:name w:val="正"/>
    <w:qFormat/>
    <w:rsid w:val="00BD5820"/>
    <w:pPr>
      <w:spacing w:line="480" w:lineRule="exact"/>
      <w:ind w:firstLineChars="196" w:firstLine="470"/>
    </w:pPr>
    <w:rPr>
      <w:bCs/>
      <w:kern w:val="2"/>
      <w:sz w:val="24"/>
      <w:szCs w:val="24"/>
    </w:rPr>
  </w:style>
  <w:style w:type="paragraph" w:customStyle="1" w:styleId="Z5">
    <w:name w:val="Z5[附件]"/>
    <w:next w:val="a0"/>
    <w:rsid w:val="00BD5820"/>
    <w:pPr>
      <w:spacing w:line="360" w:lineRule="auto"/>
      <w:ind w:firstLineChars="200" w:firstLine="200"/>
    </w:pPr>
    <w:rPr>
      <w:rFonts w:eastAsia="仿宋_GB2312"/>
      <w:b/>
      <w:sz w:val="28"/>
      <w:szCs w:val="24"/>
    </w:rPr>
  </w:style>
  <w:style w:type="paragraph" w:customStyle="1" w:styleId="282">
    <w:name w:val="样式 四号 行距: 固定值 28 磅 首行缩进:  2 字符"/>
    <w:basedOn w:val="a0"/>
    <w:rsid w:val="00BD5820"/>
    <w:pPr>
      <w:topLinePunct w:val="0"/>
      <w:adjustRightInd/>
      <w:spacing w:line="560" w:lineRule="exact"/>
      <w:ind w:firstLine="560"/>
    </w:pPr>
    <w:rPr>
      <w:rFonts w:ascii="Times New Roman"/>
      <w:kern w:val="2"/>
      <w:sz w:val="28"/>
      <w:szCs w:val="20"/>
    </w:rPr>
  </w:style>
  <w:style w:type="paragraph" w:customStyle="1" w:styleId="22CharChar21">
    <w:name w:val="样式 样式 标题 2标题节标题 2 Char Char + 段前: 2 行 + 左侧:  1 字符"/>
    <w:basedOn w:val="22CharChar2"/>
    <w:rsid w:val="00BD5820"/>
    <w:pPr>
      <w:spacing w:beforeLines="0"/>
    </w:pPr>
    <w:rPr>
      <w:rFonts w:eastAsia="宋体" w:hAnsi="Times New Roman" w:cs="宋体"/>
      <w:bCs/>
    </w:rPr>
  </w:style>
  <w:style w:type="paragraph" w:customStyle="1" w:styleId="101">
    <w:name w:val="样式 左 首行缩进:  1.01 厘米"/>
    <w:basedOn w:val="a0"/>
    <w:rsid w:val="00BD5820"/>
    <w:pPr>
      <w:topLinePunct w:val="0"/>
      <w:snapToGrid w:val="0"/>
      <w:spacing w:line="460" w:lineRule="exact"/>
    </w:pPr>
    <w:rPr>
      <w:rFonts w:ascii="Times New Roman"/>
      <w:kern w:val="2"/>
      <w:sz w:val="26"/>
      <w:szCs w:val="26"/>
    </w:rPr>
  </w:style>
  <w:style w:type="paragraph" w:customStyle="1" w:styleId="13232">
    <w:name w:val="样式 13 磅 行距: 固定值 23 磅 首行缩进:  2 字符"/>
    <w:basedOn w:val="a0"/>
    <w:rsid w:val="00BD5820"/>
    <w:pPr>
      <w:topLinePunct w:val="0"/>
      <w:adjustRightInd/>
      <w:spacing w:line="460" w:lineRule="exact"/>
      <w:ind w:firstLine="520"/>
    </w:pPr>
    <w:rPr>
      <w:rFonts w:ascii="Times New Roman"/>
      <w:kern w:val="2"/>
      <w:sz w:val="26"/>
      <w:szCs w:val="20"/>
    </w:rPr>
  </w:style>
  <w:style w:type="paragraph" w:customStyle="1" w:styleId="-hao-">
    <w:name w:val="表格文字-hao-居中"/>
    <w:uiPriority w:val="99"/>
    <w:qFormat/>
    <w:rsid w:val="00BD5820"/>
    <w:pPr>
      <w:adjustRightInd w:val="0"/>
      <w:snapToGrid w:val="0"/>
      <w:spacing w:beforeLines="20" w:afterLines="10" w:line="264" w:lineRule="auto"/>
      <w:jc w:val="center"/>
      <w:textAlignment w:val="center"/>
    </w:pPr>
    <w:rPr>
      <w:szCs w:val="24"/>
    </w:rPr>
  </w:style>
  <w:style w:type="paragraph" w:customStyle="1" w:styleId="Z1">
    <w:name w:val="Z1[封面]"/>
    <w:next w:val="a0"/>
    <w:qFormat/>
    <w:rsid w:val="00BD5820"/>
    <w:pPr>
      <w:spacing w:line="360" w:lineRule="auto"/>
      <w:jc w:val="center"/>
    </w:pPr>
    <w:rPr>
      <w:rFonts w:eastAsia="华文中宋"/>
      <w:b/>
      <w:bCs/>
      <w:sz w:val="44"/>
      <w:szCs w:val="44"/>
    </w:rPr>
  </w:style>
  <w:style w:type="paragraph" w:customStyle="1" w:styleId="CharCharCharChar30">
    <w:name w:val="Char Char Char Char3"/>
    <w:basedOn w:val="a0"/>
    <w:rsid w:val="00BD5820"/>
    <w:pPr>
      <w:topLinePunct w:val="0"/>
      <w:adjustRightInd/>
      <w:ind w:firstLineChars="0" w:firstLine="0"/>
    </w:pPr>
    <w:rPr>
      <w:rFonts w:ascii="仿宋_GB2312" w:eastAsia="仿宋_GB2312" w:hAnsi="Tahoma" w:cs="Times New Roman"/>
      <w:kern w:val="2"/>
      <w:sz w:val="21"/>
      <w:szCs w:val="21"/>
    </w:rPr>
  </w:style>
  <w:style w:type="paragraph" w:customStyle="1" w:styleId="1fc">
    <w:name w:val="表格1"/>
    <w:basedOn w:val="a0"/>
    <w:rsid w:val="00BD5820"/>
    <w:pPr>
      <w:topLinePunct w:val="0"/>
      <w:adjustRightInd/>
      <w:spacing w:line="360" w:lineRule="exact"/>
      <w:ind w:firstLineChars="0" w:firstLine="0"/>
      <w:jc w:val="center"/>
    </w:pPr>
    <w:rPr>
      <w:rFonts w:ascii="Times New Roman" w:cs="Times New Roman"/>
      <w:color w:val="000000"/>
      <w:kern w:val="2"/>
    </w:rPr>
  </w:style>
  <w:style w:type="paragraph" w:customStyle="1" w:styleId="BodyTextIndent2">
    <w:name w:val="BodyTextIndent2"/>
    <w:basedOn w:val="a0"/>
    <w:qFormat/>
    <w:rsid w:val="00BD5820"/>
    <w:pPr>
      <w:topLinePunct w:val="0"/>
      <w:adjustRightInd/>
      <w:spacing w:after="120" w:line="480" w:lineRule="auto"/>
      <w:ind w:leftChars="200" w:left="420" w:firstLineChars="0" w:firstLine="0"/>
    </w:pPr>
    <w:rPr>
      <w:rFonts w:ascii="Times New Roman" w:cs="Times New Roman"/>
      <w:kern w:val="2"/>
      <w:sz w:val="21"/>
    </w:rPr>
  </w:style>
  <w:style w:type="paragraph" w:customStyle="1" w:styleId="afffffffff1">
    <w:name w:val="三级标题"/>
    <w:basedOn w:val="a0"/>
    <w:next w:val="a0"/>
    <w:semiHidden/>
    <w:qFormat/>
    <w:rsid w:val="00BD5820"/>
    <w:pPr>
      <w:topLinePunct w:val="0"/>
      <w:adjustRightInd/>
      <w:snapToGrid w:val="0"/>
      <w:spacing w:line="240" w:lineRule="auto"/>
      <w:ind w:firstLineChars="0" w:firstLine="0"/>
      <w:outlineLvl w:val="2"/>
    </w:pPr>
    <w:rPr>
      <w:rFonts w:ascii="Times New Roman" w:cs="Times New Roman"/>
      <w:b/>
      <w:kern w:val="2"/>
      <w:sz w:val="26"/>
      <w:szCs w:val="26"/>
    </w:rPr>
  </w:style>
  <w:style w:type="paragraph" w:customStyle="1" w:styleId="ggbody">
    <w:name w:val="gg_body"/>
    <w:basedOn w:val="a0"/>
    <w:qFormat/>
    <w:rsid w:val="00BD5820"/>
    <w:pPr>
      <w:topLinePunct w:val="0"/>
      <w:adjustRightInd/>
      <w:spacing w:line="460" w:lineRule="exact"/>
      <w:ind w:firstLineChars="0" w:firstLine="0"/>
    </w:pPr>
    <w:rPr>
      <w:rFonts w:hAnsi="宋体" w:cs="Times New Roman"/>
      <w:kern w:val="2"/>
      <w:szCs w:val="20"/>
    </w:rPr>
  </w:style>
  <w:style w:type="paragraph" w:customStyle="1" w:styleId="82">
    <w:name w:val="样式8"/>
    <w:basedOn w:val="3"/>
    <w:rsid w:val="00BD5820"/>
    <w:pPr>
      <w:topLinePunct w:val="0"/>
      <w:snapToGrid w:val="0"/>
      <w:spacing w:line="480" w:lineRule="exact"/>
    </w:pPr>
    <w:rPr>
      <w:rFonts w:eastAsia="宋体"/>
      <w:bCs/>
      <w:kern w:val="2"/>
      <w:sz w:val="26"/>
      <w:szCs w:val="24"/>
    </w:rPr>
  </w:style>
  <w:style w:type="paragraph" w:customStyle="1" w:styleId="afffffffff2">
    <w:name w:val="样式 正文文本缩进 + 宋体"/>
    <w:basedOn w:val="ad"/>
    <w:rsid w:val="00BD5820"/>
    <w:pPr>
      <w:spacing w:beforeLines="30" w:afterLines="30" w:line="460" w:lineRule="exact"/>
      <w:ind w:left="0" w:firstLineChars="200" w:firstLine="560"/>
    </w:pPr>
    <w:rPr>
      <w:rFonts w:ascii="宋体" w:hAnsi="宋体"/>
      <w:szCs w:val="28"/>
    </w:rPr>
  </w:style>
  <w:style w:type="paragraph" w:customStyle="1" w:styleId="22CharChar211">
    <w:name w:val="样式 样式 标题 2标题节标题 2 Char Char + 段前: 2 行 + 左侧:  1 字符 右侧:  1 字符"/>
    <w:basedOn w:val="22CharChar2"/>
    <w:qFormat/>
    <w:rsid w:val="00BD5820"/>
    <w:rPr>
      <w:szCs w:val="26"/>
    </w:rPr>
  </w:style>
  <w:style w:type="paragraph" w:customStyle="1" w:styleId="00000000000000000000000Char">
    <w:name w:val="00000000000000000000000 Char"/>
    <w:basedOn w:val="a0"/>
    <w:qFormat/>
    <w:rsid w:val="00BD5820"/>
    <w:pPr>
      <w:topLinePunct w:val="0"/>
      <w:adjustRightInd/>
      <w:ind w:firstLineChars="0" w:firstLine="510"/>
    </w:pPr>
    <w:rPr>
      <w:rFonts w:ascii="Times New Roman" w:cs="Times New Roman"/>
      <w:color w:val="000000"/>
      <w:kern w:val="2"/>
      <w:sz w:val="21"/>
      <w:lang w:val="zh-CN"/>
    </w:rPr>
  </w:style>
  <w:style w:type="paragraph" w:customStyle="1" w:styleId="CharCharChar2CharCharCharCharCharCharCharCharCharChar">
    <w:name w:val="Char Char Char2 Char Char Char Char Char Char Char Char Char Char"/>
    <w:basedOn w:val="a0"/>
    <w:semiHidden/>
    <w:rsid w:val="00BD5820"/>
    <w:pPr>
      <w:topLinePunct w:val="0"/>
      <w:snapToGrid w:val="0"/>
    </w:pPr>
    <w:rPr>
      <w:rFonts w:hAnsi="宋体"/>
      <w:kern w:val="2"/>
      <w:szCs w:val="26"/>
    </w:rPr>
  </w:style>
  <w:style w:type="paragraph" w:customStyle="1" w:styleId="170">
    <w:name w:val="样式17"/>
    <w:basedOn w:val="a0"/>
    <w:rsid w:val="00BD5820"/>
    <w:pPr>
      <w:keepNext/>
      <w:keepLines/>
      <w:widowControl/>
      <w:topLinePunct w:val="0"/>
      <w:snapToGrid w:val="0"/>
      <w:spacing w:before="80" w:line="460" w:lineRule="exact"/>
      <w:ind w:firstLineChars="0" w:firstLine="0"/>
      <w:jc w:val="left"/>
      <w:outlineLvl w:val="1"/>
    </w:pPr>
    <w:rPr>
      <w:rFonts w:ascii="Times New Roman" w:eastAsia="黑体" w:cs="Times New Roman"/>
      <w:b/>
      <w:bCs/>
      <w:sz w:val="28"/>
      <w:szCs w:val="28"/>
    </w:rPr>
  </w:style>
  <w:style w:type="paragraph" w:customStyle="1" w:styleId="Heading3">
    <w:name w:val="Heading3"/>
    <w:basedOn w:val="a0"/>
    <w:next w:val="a0"/>
    <w:qFormat/>
    <w:rsid w:val="00BD5820"/>
    <w:pPr>
      <w:keepNext/>
      <w:keepLines/>
      <w:topLinePunct w:val="0"/>
      <w:adjustRightInd/>
      <w:spacing w:before="156" w:line="440" w:lineRule="exact"/>
      <w:ind w:firstLineChars="196" w:firstLine="472"/>
    </w:pPr>
    <w:rPr>
      <w:rFonts w:ascii="Arial" w:eastAsia="黑体" w:hAnsi="Arial" w:cs="Times New Roman"/>
      <w:b/>
      <w:color w:val="000000"/>
    </w:rPr>
  </w:style>
  <w:style w:type="paragraph" w:customStyle="1" w:styleId="22CharChar2105">
    <w:name w:val="样式 样式 样式 标题 2标题节标题 2 Char Char + 段前: 2 行 + 左侧:  1 字符 + 段前: 0.5 行..."/>
    <w:basedOn w:val="a0"/>
    <w:rsid w:val="00BD5820"/>
    <w:pPr>
      <w:keepNext/>
      <w:keepLines/>
      <w:topLinePunct w:val="0"/>
      <w:snapToGrid w:val="0"/>
      <w:spacing w:line="460" w:lineRule="exact"/>
      <w:outlineLvl w:val="1"/>
    </w:pPr>
    <w:rPr>
      <w:rFonts w:ascii="Times New Roman"/>
      <w:b/>
      <w:bCs/>
      <w:kern w:val="2"/>
      <w:sz w:val="26"/>
      <w:szCs w:val="26"/>
    </w:rPr>
  </w:style>
  <w:style w:type="paragraph" w:customStyle="1" w:styleId="afffffffff3">
    <w:name w:val="一级标题"/>
    <w:basedOn w:val="a0"/>
    <w:next w:val="a0"/>
    <w:rsid w:val="00BD5820"/>
    <w:pPr>
      <w:topLinePunct w:val="0"/>
      <w:snapToGrid w:val="0"/>
      <w:spacing w:before="100" w:beforeAutospacing="1" w:afterLines="50" w:line="460" w:lineRule="exact"/>
      <w:ind w:firstLineChars="0" w:firstLine="0"/>
      <w:jc w:val="center"/>
      <w:outlineLvl w:val="0"/>
    </w:pPr>
    <w:rPr>
      <w:rFonts w:ascii="Times New Roman" w:cs="Times New Roman"/>
      <w:b/>
      <w:bCs/>
      <w:kern w:val="2"/>
      <w:sz w:val="32"/>
      <w:szCs w:val="32"/>
    </w:rPr>
  </w:style>
  <w:style w:type="paragraph" w:customStyle="1" w:styleId="UserStyle1">
    <w:name w:val="UserStyle_1"/>
    <w:rsid w:val="00BD5820"/>
    <w:pPr>
      <w:spacing w:line="480" w:lineRule="exact"/>
      <w:ind w:firstLineChars="196" w:firstLine="470"/>
      <w:textAlignment w:val="baseline"/>
    </w:pPr>
    <w:rPr>
      <w:bCs/>
      <w:kern w:val="2"/>
      <w:sz w:val="24"/>
      <w:szCs w:val="24"/>
    </w:rPr>
  </w:style>
  <w:style w:type="paragraph" w:customStyle="1" w:styleId="afffffffff4">
    <w:name w:val="环评表头"/>
    <w:basedOn w:val="a0"/>
    <w:rsid w:val="00BD5820"/>
    <w:pPr>
      <w:topLinePunct w:val="0"/>
      <w:adjustRightInd/>
      <w:spacing w:line="440" w:lineRule="exact"/>
      <w:ind w:firstLineChars="0" w:firstLine="0"/>
      <w:jc w:val="center"/>
    </w:pPr>
    <w:rPr>
      <w:rFonts w:ascii="黑体" w:eastAsia="黑体" w:hAnsi="Arial" w:cs="Arial"/>
      <w:b/>
      <w:color w:val="000000"/>
      <w:kern w:val="2"/>
    </w:rPr>
  </w:style>
  <w:style w:type="paragraph" w:customStyle="1" w:styleId="UserStyle6">
    <w:name w:val="UserStyle_6"/>
    <w:basedOn w:val="UserStyle4"/>
    <w:qFormat/>
    <w:rsid w:val="00BD5820"/>
  </w:style>
  <w:style w:type="paragraph" w:customStyle="1" w:styleId="UserStyle4">
    <w:name w:val="UserStyle_4"/>
    <w:basedOn w:val="a0"/>
    <w:qFormat/>
    <w:rsid w:val="00BD5820"/>
    <w:pPr>
      <w:topLinePunct w:val="0"/>
      <w:adjustRightInd/>
      <w:snapToGrid w:val="0"/>
      <w:spacing w:line="460" w:lineRule="exact"/>
      <w:ind w:firstLineChars="218" w:firstLine="567"/>
      <w:jc w:val="left"/>
    </w:pPr>
    <w:rPr>
      <w:rFonts w:ascii="Times New Roman" w:cs="Times New Roman"/>
      <w:sz w:val="26"/>
      <w:szCs w:val="26"/>
    </w:rPr>
  </w:style>
  <w:style w:type="paragraph" w:customStyle="1" w:styleId="afffffffff5">
    <w:name w:val="环评标题"/>
    <w:basedOn w:val="afffffffe"/>
    <w:rsid w:val="00BD5820"/>
    <w:pPr>
      <w:ind w:firstLine="482"/>
    </w:pPr>
    <w:rPr>
      <w:rFonts w:ascii="黑体" w:eastAsia="黑体"/>
      <w:b/>
    </w:rPr>
  </w:style>
  <w:style w:type="paragraph" w:customStyle="1" w:styleId="CharCharCharCharCharCharChar1">
    <w:name w:val="Char Char Char Char Char Char Char1"/>
    <w:basedOn w:val="a0"/>
    <w:next w:val="a0"/>
    <w:rsid w:val="00BD5820"/>
    <w:pPr>
      <w:topLinePunct w:val="0"/>
      <w:adjustRightInd/>
    </w:pPr>
    <w:rPr>
      <w:rFonts w:ascii="Times New Roman" w:cs="Times New Roman"/>
      <w:kern w:val="2"/>
      <w:sz w:val="21"/>
    </w:rPr>
  </w:style>
  <w:style w:type="paragraph" w:customStyle="1" w:styleId="CharCharCharCharChar2CharCharCharChar">
    <w:name w:val="Char Char Char Char Char2 Char Char Char Char"/>
    <w:basedOn w:val="a0"/>
    <w:rsid w:val="00BD5820"/>
    <w:pPr>
      <w:topLinePunct w:val="0"/>
      <w:snapToGrid w:val="0"/>
    </w:pPr>
    <w:rPr>
      <w:rFonts w:hAnsi="宋体"/>
      <w:kern w:val="2"/>
      <w:szCs w:val="26"/>
    </w:rPr>
  </w:style>
  <w:style w:type="paragraph" w:customStyle="1" w:styleId="CharCharChar1CharCharCharChar">
    <w:name w:val="Char Char Char1 Char Char Char Char"/>
    <w:basedOn w:val="a0"/>
    <w:rsid w:val="00BD5820"/>
    <w:pPr>
      <w:topLinePunct w:val="0"/>
      <w:snapToGrid w:val="0"/>
    </w:pPr>
    <w:rPr>
      <w:rFonts w:hAnsi="宋体"/>
      <w:kern w:val="2"/>
      <w:szCs w:val="26"/>
    </w:rPr>
  </w:style>
  <w:style w:type="paragraph" w:customStyle="1" w:styleId="afffffffff6">
    <w:name w:val="样式 正文（首行缩进两字） + 宋体"/>
    <w:basedOn w:val="a8"/>
    <w:rsid w:val="00BD5820"/>
    <w:pPr>
      <w:adjustRightInd w:val="0"/>
      <w:snapToGrid w:val="0"/>
      <w:ind w:firstLineChars="0" w:firstLine="567"/>
    </w:pPr>
    <w:rPr>
      <w:rFonts w:ascii="宋体" w:hAnsi="宋体"/>
      <w:kern w:val="2"/>
      <w:sz w:val="28"/>
    </w:rPr>
  </w:style>
  <w:style w:type="paragraph" w:customStyle="1" w:styleId="p0">
    <w:name w:val="p0"/>
    <w:basedOn w:val="a0"/>
    <w:rsid w:val="00BD5820"/>
    <w:pPr>
      <w:widowControl/>
      <w:topLinePunct w:val="0"/>
      <w:adjustRightInd/>
      <w:spacing w:line="240" w:lineRule="auto"/>
      <w:ind w:firstLineChars="0" w:firstLine="0"/>
    </w:pPr>
    <w:rPr>
      <w:rFonts w:ascii="Times New Roman" w:cs="Times New Roman"/>
      <w:sz w:val="21"/>
      <w:szCs w:val="21"/>
    </w:rPr>
  </w:style>
  <w:style w:type="paragraph" w:customStyle="1" w:styleId="afffffffff7">
    <w:name w:val="正文四号"/>
    <w:basedOn w:val="a0"/>
    <w:qFormat/>
    <w:rsid w:val="00BD5820"/>
    <w:pPr>
      <w:topLinePunct w:val="0"/>
      <w:adjustRightInd/>
    </w:pPr>
    <w:rPr>
      <w:szCs w:val="22"/>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0"/>
    <w:rsid w:val="00BD5820"/>
    <w:pPr>
      <w:widowControl/>
      <w:topLinePunct w:val="0"/>
      <w:adjustRightInd/>
      <w:spacing w:after="160" w:line="240" w:lineRule="exact"/>
      <w:ind w:firstLineChars="0" w:firstLine="0"/>
      <w:jc w:val="left"/>
    </w:pPr>
    <w:rPr>
      <w:rFonts w:ascii="Verdana" w:eastAsia="仿宋_GB2312" w:hAnsi="Verdana" w:cs="Verdana"/>
      <w:color w:val="000000"/>
      <w:szCs w:val="21"/>
      <w:lang w:eastAsia="en-US"/>
    </w:rPr>
  </w:style>
  <w:style w:type="paragraph" w:customStyle="1" w:styleId="CharCharChar1CharCharCharChar1">
    <w:name w:val="Char Char Char1 Char Char Char Char1"/>
    <w:basedOn w:val="a0"/>
    <w:semiHidden/>
    <w:rsid w:val="00BD5820"/>
    <w:pPr>
      <w:topLinePunct w:val="0"/>
      <w:snapToGrid w:val="0"/>
    </w:pPr>
    <w:rPr>
      <w:rFonts w:hAnsi="宋体"/>
      <w:kern w:val="2"/>
      <w:szCs w:val="26"/>
    </w:rPr>
  </w:style>
  <w:style w:type="paragraph" w:customStyle="1" w:styleId="11CharCharCharCharCh">
    <w:name w:val="样式 正文缩进表格标题正文（首行缩进两字）1正文缩进1正文（首行缩进两字） Char Char Char Char Ch..."/>
    <w:basedOn w:val="a8"/>
    <w:qFormat/>
    <w:rsid w:val="00BD5820"/>
    <w:pPr>
      <w:spacing w:line="440" w:lineRule="exact"/>
      <w:ind w:firstLineChars="0" w:firstLine="200"/>
    </w:pPr>
    <w:rPr>
      <w:rFonts w:ascii="Times New Roman" w:hAnsi="Times New Roman" w:cs="宋体"/>
      <w:b/>
      <w:bCs/>
      <w:kern w:val="2"/>
      <w:sz w:val="28"/>
    </w:rPr>
  </w:style>
  <w:style w:type="paragraph" w:customStyle="1" w:styleId="03">
    <w:name w:val="标题03"/>
    <w:basedOn w:val="a0"/>
    <w:next w:val="a0"/>
    <w:rsid w:val="00BD5820"/>
    <w:pPr>
      <w:topLinePunct w:val="0"/>
      <w:snapToGrid w:val="0"/>
      <w:spacing w:line="480" w:lineRule="atLeast"/>
      <w:ind w:firstLine="480"/>
    </w:pPr>
    <w:rPr>
      <w:rFonts w:ascii="Times New Roman" w:cs="Times New Roman"/>
      <w:b/>
      <w:kern w:val="2"/>
      <w:szCs w:val="20"/>
    </w:rPr>
  </w:style>
  <w:style w:type="paragraph" w:customStyle="1" w:styleId="Char4CharCharChar1">
    <w:name w:val="Char4 Char Char Char1"/>
    <w:basedOn w:val="a0"/>
    <w:rsid w:val="00BD5820"/>
    <w:pPr>
      <w:topLinePunct w:val="0"/>
      <w:snapToGrid w:val="0"/>
    </w:pPr>
    <w:rPr>
      <w:rFonts w:hAnsi="宋体"/>
      <w:kern w:val="2"/>
      <w:szCs w:val="26"/>
    </w:rPr>
  </w:style>
  <w:style w:type="paragraph" w:customStyle="1" w:styleId="22CharChar2110">
    <w:name w:val="样式 样式 标题 2标题节标题 2 Char Char + 段前: 2 行 + 左侧:  1 字符1"/>
    <w:basedOn w:val="22CharChar2"/>
    <w:qFormat/>
    <w:rsid w:val="00BD5820"/>
    <w:pPr>
      <w:spacing w:beforeLines="0" w:after="50"/>
    </w:pPr>
    <w:rPr>
      <w:rFonts w:eastAsia="宋体" w:hAnsi="Times New Roman" w:cs="宋体"/>
      <w:bCs/>
    </w:rPr>
  </w:style>
  <w:style w:type="paragraph" w:customStyle="1" w:styleId="22CharChar205050">
    <w:name w:val="样式 样式 样式 标题 2标题节标题 2 Char Char + 段前: 2 行 + 段前: 0.5 行 段后: 0.5 行 +..."/>
    <w:basedOn w:val="22CharChar20505"/>
    <w:next w:val="a0"/>
    <w:rsid w:val="00BD5820"/>
    <w:pPr>
      <w:spacing w:before="50" w:after="50"/>
      <w:ind w:firstLineChars="0" w:firstLine="0"/>
    </w:pPr>
  </w:style>
  <w:style w:type="paragraph" w:customStyle="1" w:styleId="1CharCharCharCharCharCharChar1">
    <w:name w:val="样式 正文缩进正文缩进1正文（首行缩进两字） Char Char Char Char Char Char Char文本条款...1"/>
    <w:basedOn w:val="a8"/>
    <w:rsid w:val="00BD5820"/>
    <w:pPr>
      <w:tabs>
        <w:tab w:val="left" w:pos="540"/>
        <w:tab w:val="left" w:pos="1050"/>
        <w:tab w:val="left" w:pos="1260"/>
        <w:tab w:val="left" w:pos="1800"/>
      </w:tabs>
      <w:spacing w:line="500" w:lineRule="exact"/>
      <w:ind w:firstLine="560"/>
    </w:pPr>
    <w:rPr>
      <w:rFonts w:ascii="Times New Roman" w:hAnsi="Times New Roman" w:cs="宋体"/>
      <w:kern w:val="24"/>
      <w:sz w:val="28"/>
      <w:szCs w:val="28"/>
    </w:rPr>
  </w:style>
  <w:style w:type="paragraph" w:customStyle="1" w:styleId="afffffffff8">
    <w:name w:val="样式 五号 居中 行距: 单倍行距"/>
    <w:basedOn w:val="a0"/>
    <w:qFormat/>
    <w:rsid w:val="00BD5820"/>
    <w:pPr>
      <w:topLinePunct w:val="0"/>
      <w:snapToGrid w:val="0"/>
      <w:spacing w:line="240" w:lineRule="auto"/>
      <w:ind w:firstLineChars="0" w:firstLine="0"/>
      <w:jc w:val="center"/>
    </w:pPr>
    <w:rPr>
      <w:rFonts w:ascii="Times New Roman"/>
      <w:sz w:val="21"/>
      <w:szCs w:val="21"/>
    </w:rPr>
  </w:style>
  <w:style w:type="paragraph" w:customStyle="1" w:styleId="200122">
    <w:name w:val="样式 样式 2001 + 首行缩进:  2 字符 + 首行缩进:  2 字符"/>
    <w:basedOn w:val="a0"/>
    <w:qFormat/>
    <w:rsid w:val="00BD5820"/>
    <w:pPr>
      <w:topLinePunct w:val="0"/>
      <w:adjustRightInd/>
      <w:spacing w:line="360" w:lineRule="exact"/>
      <w:ind w:firstLine="560"/>
    </w:pPr>
    <w:rPr>
      <w:rFonts w:ascii="Times New Roman" w:cs="Times New Roman"/>
      <w:spacing w:val="20"/>
      <w:szCs w:val="20"/>
    </w:rPr>
  </w:style>
  <w:style w:type="paragraph" w:customStyle="1" w:styleId="33Char11">
    <w:name w:val="样式 标题 3标题 3 Char + 左侧:  1 字符 右侧:  1 字符"/>
    <w:basedOn w:val="3"/>
    <w:rsid w:val="00BD5820"/>
    <w:pPr>
      <w:widowControl/>
      <w:topLinePunct w:val="0"/>
      <w:snapToGrid w:val="0"/>
      <w:spacing w:beforeLines="50" w:line="460" w:lineRule="exact"/>
      <w:ind w:firstLineChars="200" w:firstLine="200"/>
    </w:pPr>
    <w:rPr>
      <w:rFonts w:eastAsia="黑体"/>
      <w:color w:val="000000"/>
      <w:sz w:val="26"/>
      <w:szCs w:val="26"/>
    </w:rPr>
  </w:style>
  <w:style w:type="paragraph" w:customStyle="1" w:styleId="afffffffff9">
    <w:name w:val="表标题"/>
    <w:basedOn w:val="5"/>
    <w:rsid w:val="00BD5820"/>
    <w:pPr>
      <w:keepNext/>
      <w:keepLines/>
      <w:widowControl w:val="0"/>
      <w:spacing w:beforeLines="0" w:after="60" w:line="377" w:lineRule="auto"/>
      <w:ind w:left="0" w:firstLineChars="200" w:firstLine="520"/>
      <w:jc w:val="center"/>
    </w:pPr>
    <w:rPr>
      <w:rFonts w:ascii="Times New Roman" w:eastAsia="黑体" w:hAnsi="Times New Roman"/>
      <w:b/>
      <w:sz w:val="24"/>
    </w:rPr>
  </w:style>
  <w:style w:type="paragraph" w:customStyle="1" w:styleId="350">
    <w:name w:val="样式35"/>
    <w:basedOn w:val="a0"/>
    <w:rsid w:val="00BD5820"/>
    <w:pPr>
      <w:topLinePunct w:val="0"/>
      <w:spacing w:line="312" w:lineRule="auto"/>
      <w:ind w:firstLineChars="0" w:firstLine="567"/>
    </w:pPr>
    <w:rPr>
      <w:rFonts w:cs="Times New Roman"/>
      <w:sz w:val="28"/>
      <w:szCs w:val="20"/>
    </w:rPr>
  </w:style>
  <w:style w:type="paragraph" w:customStyle="1" w:styleId="314">
    <w:name w:val="样式31"/>
    <w:basedOn w:val="a0"/>
    <w:qFormat/>
    <w:rsid w:val="00BD5820"/>
    <w:pPr>
      <w:widowControl/>
      <w:topLinePunct w:val="0"/>
      <w:adjustRightInd/>
      <w:spacing w:line="240" w:lineRule="auto"/>
      <w:ind w:firstLineChars="0" w:firstLine="0"/>
      <w:jc w:val="center"/>
    </w:pPr>
    <w:rPr>
      <w:rFonts w:hAnsi="宋体"/>
      <w:sz w:val="22"/>
      <w:szCs w:val="22"/>
    </w:rPr>
  </w:style>
  <w:style w:type="paragraph" w:customStyle="1" w:styleId="CharChar23">
    <w:name w:val="标准样式 Char Char2"/>
    <w:basedOn w:val="a0"/>
    <w:qFormat/>
    <w:rsid w:val="00BD5820"/>
    <w:pPr>
      <w:topLinePunct w:val="0"/>
      <w:adjustRightInd/>
      <w:spacing w:line="600" w:lineRule="exact"/>
      <w:ind w:firstLineChars="0" w:firstLine="567"/>
    </w:pPr>
    <w:rPr>
      <w:rFonts w:hAnsi="宋体" w:cs="Times New Roman"/>
      <w:kern w:val="2"/>
      <w:sz w:val="28"/>
      <w:szCs w:val="20"/>
    </w:rPr>
  </w:style>
  <w:style w:type="paragraph" w:customStyle="1" w:styleId="ParaCharCharCharChar">
    <w:name w:val="默认段落字体 Para Char Char Char Char"/>
    <w:basedOn w:val="a0"/>
    <w:qFormat/>
    <w:rsid w:val="00BD5820"/>
    <w:pPr>
      <w:topLinePunct w:val="0"/>
      <w:adjustRightInd/>
      <w:spacing w:line="240" w:lineRule="auto"/>
      <w:ind w:firstLineChars="0" w:firstLine="0"/>
    </w:pPr>
    <w:rPr>
      <w:rFonts w:ascii="Times New Roman" w:cs="Times New Roman"/>
      <w:kern w:val="2"/>
    </w:rPr>
  </w:style>
  <w:style w:type="paragraph" w:customStyle="1" w:styleId="CharCharChar20">
    <w:name w:val="Char Char Char2"/>
    <w:basedOn w:val="a0"/>
    <w:rsid w:val="00BD5820"/>
    <w:pPr>
      <w:topLinePunct w:val="0"/>
      <w:adjustRightInd/>
      <w:spacing w:line="240" w:lineRule="auto"/>
      <w:ind w:firstLineChars="0" w:firstLine="0"/>
    </w:pPr>
    <w:rPr>
      <w:rFonts w:ascii="Times New Roman" w:cs="Times New Roman"/>
      <w:kern w:val="2"/>
      <w:szCs w:val="20"/>
    </w:rPr>
  </w:style>
  <w:style w:type="paragraph" w:customStyle="1" w:styleId="afffffffffa">
    <w:name w:val="表签"/>
    <w:basedOn w:val="a0"/>
    <w:qFormat/>
    <w:rsid w:val="00BD5820"/>
    <w:pPr>
      <w:topLinePunct w:val="0"/>
      <w:snapToGrid w:val="0"/>
      <w:spacing w:line="240" w:lineRule="auto"/>
      <w:ind w:firstLineChars="0" w:firstLine="0"/>
      <w:jc w:val="center"/>
    </w:pPr>
    <w:rPr>
      <w:rFonts w:ascii="Times New Roman" w:cs="Times New Roman"/>
      <w:b/>
      <w:kern w:val="2"/>
    </w:rPr>
  </w:style>
  <w:style w:type="paragraph" w:customStyle="1" w:styleId="1fd">
    <w:name w:val="表格样式1"/>
    <w:basedOn w:val="afa"/>
    <w:qFormat/>
    <w:rsid w:val="00BD5820"/>
    <w:pPr>
      <w:spacing w:after="0"/>
      <w:ind w:firstLineChars="0" w:firstLine="0"/>
      <w:jc w:val="center"/>
    </w:pPr>
    <w:rPr>
      <w:rFonts w:ascii="Times New Roman" w:hAnsi="Times New Roman"/>
      <w:color w:val="000000"/>
      <w:sz w:val="24"/>
      <w:szCs w:val="24"/>
      <w:lang w:bidi="en-US"/>
    </w:rPr>
  </w:style>
  <w:style w:type="paragraph" w:customStyle="1" w:styleId="1fe">
    <w:name w:val="表格文字1"/>
    <w:basedOn w:val="af8"/>
    <w:qFormat/>
    <w:rsid w:val="00BD5820"/>
    <w:pPr>
      <w:topLinePunct w:val="0"/>
      <w:spacing w:before="0" w:after="0" w:line="240" w:lineRule="auto"/>
      <w:ind w:firstLineChars="0" w:firstLine="0"/>
      <w:jc w:val="left"/>
      <w:textAlignment w:val="baseline"/>
      <w:outlineLvl w:val="9"/>
    </w:pPr>
    <w:rPr>
      <w:rFonts w:ascii="Arial" w:hAnsi="Arial"/>
      <w:b w:val="0"/>
      <w:bCs w:val="0"/>
      <w:kern w:val="72"/>
      <w:sz w:val="21"/>
      <w:szCs w:val="72"/>
    </w:rPr>
  </w:style>
  <w:style w:type="paragraph" w:customStyle="1" w:styleId="afffffffffb">
    <w:name w:val="表体"/>
    <w:basedOn w:val="a0"/>
    <w:qFormat/>
    <w:rsid w:val="00BD5820"/>
    <w:pPr>
      <w:topLinePunct w:val="0"/>
      <w:snapToGrid w:val="0"/>
      <w:spacing w:line="240" w:lineRule="atLeast"/>
      <w:ind w:leftChars="-30" w:left="-63" w:rightChars="-30" w:right="-63" w:firstLineChars="0" w:firstLine="0"/>
      <w:jc w:val="center"/>
    </w:pPr>
    <w:rPr>
      <w:rFonts w:ascii="Times New Roman" w:cs="Times New Roman"/>
      <w:color w:val="000000"/>
      <w:sz w:val="18"/>
      <w:szCs w:val="18"/>
    </w:rPr>
  </w:style>
  <w:style w:type="paragraph" w:customStyle="1" w:styleId="11111111">
    <w:name w:val="正文11111111"/>
    <w:basedOn w:val="a0"/>
    <w:qFormat/>
    <w:rsid w:val="00BD5820"/>
    <w:pPr>
      <w:topLinePunct w:val="0"/>
      <w:adjustRightInd/>
      <w:spacing w:line="440" w:lineRule="exact"/>
    </w:pPr>
    <w:rPr>
      <w:rFonts w:ascii="Times New Roman"/>
      <w:kern w:val="2"/>
    </w:rPr>
  </w:style>
  <w:style w:type="character" w:customStyle="1" w:styleId="searchcontent1">
    <w:name w:val="search_content1"/>
    <w:qFormat/>
    <w:rsid w:val="00BD5820"/>
    <w:rPr>
      <w:sz w:val="16"/>
      <w:szCs w:val="16"/>
    </w:rPr>
  </w:style>
  <w:style w:type="paragraph" w:customStyle="1" w:styleId="L">
    <w:name w:val="L正文"/>
    <w:basedOn w:val="a0"/>
    <w:qFormat/>
    <w:rsid w:val="00BD5820"/>
    <w:pPr>
      <w:topLinePunct w:val="0"/>
      <w:snapToGrid w:val="0"/>
    </w:pPr>
    <w:rPr>
      <w:rFonts w:ascii="Times New Roman" w:cs="Times New Roman"/>
      <w:kern w:val="2"/>
    </w:rPr>
  </w:style>
  <w:style w:type="paragraph" w:customStyle="1" w:styleId="-L">
    <w:name w:val="表内容-L"/>
    <w:basedOn w:val="afffffffffc"/>
    <w:qFormat/>
    <w:rsid w:val="00BD5820"/>
    <w:rPr>
      <w:kern w:val="0"/>
    </w:rPr>
  </w:style>
  <w:style w:type="paragraph" w:customStyle="1" w:styleId="afffffffffc">
    <w:name w:val="表格内居中"/>
    <w:basedOn w:val="a0"/>
    <w:qFormat/>
    <w:rsid w:val="00BD5820"/>
    <w:pPr>
      <w:topLinePunct w:val="0"/>
      <w:adjustRightInd/>
      <w:spacing w:line="240" w:lineRule="auto"/>
      <w:ind w:firstLineChars="0" w:firstLine="0"/>
      <w:jc w:val="center"/>
    </w:pPr>
    <w:rPr>
      <w:rFonts w:ascii="Times New Roman" w:cs="Times New Roman"/>
      <w:kern w:val="2"/>
      <w:sz w:val="21"/>
      <w:szCs w:val="20"/>
    </w:rPr>
  </w:style>
  <w:style w:type="paragraph" w:customStyle="1" w:styleId="--L">
    <w:name w:val="表-表图题-L"/>
    <w:basedOn w:val="a0"/>
    <w:qFormat/>
    <w:rsid w:val="00BD5820"/>
    <w:pPr>
      <w:topLinePunct w:val="0"/>
      <w:adjustRightInd/>
      <w:spacing w:line="240" w:lineRule="auto"/>
      <w:ind w:firstLineChars="0" w:firstLine="0"/>
      <w:jc w:val="center"/>
    </w:pPr>
    <w:rPr>
      <w:rFonts w:ascii="Times New Roman" w:cs="Times New Roman"/>
      <w:b/>
      <w:kern w:val="2"/>
      <w:sz w:val="21"/>
    </w:rPr>
  </w:style>
  <w:style w:type="paragraph" w:customStyle="1" w:styleId="3d">
    <w:name w:val="样式 标题 3 + 小四 黑色"/>
    <w:basedOn w:val="3"/>
    <w:qFormat/>
    <w:rsid w:val="00BD5820"/>
    <w:pPr>
      <w:topLinePunct w:val="0"/>
      <w:adjustRightInd/>
      <w:spacing w:before="100" w:beforeAutospacing="1" w:after="100" w:afterAutospacing="1" w:line="240" w:lineRule="auto"/>
      <w:ind w:firstLineChars="196" w:firstLine="472"/>
    </w:pPr>
    <w:rPr>
      <w:rFonts w:ascii="Arial" w:eastAsia="仿宋_GB2312" w:hAnsi="Arial"/>
      <w:bCs/>
      <w:color w:val="000000"/>
      <w:sz w:val="28"/>
    </w:rPr>
  </w:style>
  <w:style w:type="paragraph" w:customStyle="1" w:styleId="HH">
    <w:name w:val="HH"/>
    <w:basedOn w:val="a0"/>
    <w:qFormat/>
    <w:rsid w:val="00BD5820"/>
    <w:pPr>
      <w:topLinePunct w:val="0"/>
      <w:adjustRightInd/>
      <w:ind w:firstLine="480"/>
    </w:pPr>
    <w:rPr>
      <w:rFonts w:ascii="Times New Roman"/>
      <w:kern w:val="2"/>
    </w:rPr>
  </w:style>
  <w:style w:type="paragraph" w:customStyle="1" w:styleId="2f7">
    <w:name w:val="首行缩进:2 字符"/>
    <w:basedOn w:val="a0"/>
    <w:qFormat/>
    <w:rsid w:val="00BD5820"/>
    <w:pPr>
      <w:topLinePunct w:val="0"/>
      <w:adjustRightInd/>
      <w:ind w:firstLine="560"/>
    </w:pPr>
    <w:rPr>
      <w:rFonts w:ascii="Times New Roman" w:cs="Times New Roman"/>
      <w:kern w:val="2"/>
      <w:sz w:val="28"/>
      <w:szCs w:val="20"/>
    </w:rPr>
  </w:style>
  <w:style w:type="paragraph" w:customStyle="1" w:styleId="afffffffffd">
    <w:name w:val="小表文居中"/>
    <w:basedOn w:val="afffffffffe"/>
    <w:rsid w:val="00BD5820"/>
    <w:pPr>
      <w:jc w:val="center"/>
    </w:pPr>
  </w:style>
  <w:style w:type="paragraph" w:customStyle="1" w:styleId="afffffffffe">
    <w:name w:val="小表文"/>
    <w:basedOn w:val="a0"/>
    <w:qFormat/>
    <w:rsid w:val="00BD5820"/>
    <w:pPr>
      <w:topLinePunct w:val="0"/>
      <w:adjustRightInd/>
      <w:spacing w:before="20" w:line="240" w:lineRule="auto"/>
      <w:ind w:firstLineChars="0" w:firstLine="0"/>
    </w:pPr>
    <w:rPr>
      <w:rFonts w:ascii="Times New Roman" w:cs="Times New Roman"/>
      <w:kern w:val="2"/>
      <w:sz w:val="18"/>
    </w:rPr>
  </w:style>
  <w:style w:type="paragraph" w:customStyle="1" w:styleId="affffffffff">
    <w:name w:val="最新表格"/>
    <w:basedOn w:val="a0"/>
    <w:qFormat/>
    <w:rsid w:val="00BD5820"/>
    <w:pPr>
      <w:topLinePunct w:val="0"/>
      <w:adjustRightInd/>
      <w:snapToGrid w:val="0"/>
      <w:spacing w:line="240" w:lineRule="auto"/>
      <w:ind w:firstLineChars="0" w:firstLine="0"/>
      <w:jc w:val="center"/>
    </w:pPr>
    <w:rPr>
      <w:rFonts w:ascii="Times New Roman" w:cs="Times New Roman"/>
      <w:kern w:val="2"/>
      <w:sz w:val="21"/>
      <w:szCs w:val="21"/>
    </w:rPr>
  </w:style>
  <w:style w:type="paragraph" w:customStyle="1" w:styleId="1-L">
    <w:name w:val="1正文-L"/>
    <w:basedOn w:val="a0"/>
    <w:qFormat/>
    <w:rsid w:val="00BD5820"/>
    <w:pPr>
      <w:topLinePunct w:val="0"/>
      <w:adjustRightInd/>
      <w:spacing w:line="240" w:lineRule="auto"/>
      <w:ind w:firstLineChars="0" w:firstLine="480"/>
    </w:pPr>
    <w:rPr>
      <w:rFonts w:ascii="Times New Roman" w:cs="Times New Roman"/>
      <w:kern w:val="2"/>
    </w:rPr>
  </w:style>
  <w:style w:type="paragraph" w:customStyle="1" w:styleId="Default1">
    <w:name w:val="Default1"/>
    <w:uiPriority w:val="99"/>
    <w:qFormat/>
    <w:rsid w:val="00BD5820"/>
    <w:pPr>
      <w:widowControl w:val="0"/>
      <w:autoSpaceDE w:val="0"/>
      <w:autoSpaceDN w:val="0"/>
      <w:adjustRightInd w:val="0"/>
    </w:pPr>
    <w:rPr>
      <w:rFonts w:ascii="宋体" w:cs="宋体"/>
      <w:color w:val="000000"/>
      <w:sz w:val="24"/>
      <w:szCs w:val="24"/>
    </w:rPr>
  </w:style>
  <w:style w:type="table" w:customStyle="1" w:styleId="3e">
    <w:name w:val="网格型3"/>
    <w:basedOn w:val="a3"/>
    <w:rsid w:val="00BD5820"/>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OC12">
    <w:name w:val="TOC 标题12"/>
    <w:next w:val="a0"/>
    <w:uiPriority w:val="39"/>
    <w:unhideWhenUsed/>
    <w:qFormat/>
    <w:rsid w:val="00BD5820"/>
    <w:pPr>
      <w:spacing w:line="360" w:lineRule="auto"/>
      <w:jc w:val="center"/>
    </w:pPr>
    <w:rPr>
      <w:rFonts w:eastAsia="Times New Roman"/>
      <w:b/>
      <w:bCs/>
      <w:sz w:val="21"/>
      <w:szCs w:val="2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117" Type="http://schemas.openxmlformats.org/officeDocument/2006/relationships/image" Target="media/image66.png"/><Relationship Id="rId21" Type="http://schemas.openxmlformats.org/officeDocument/2006/relationships/image" Target="media/image2.jpeg"/><Relationship Id="rId42" Type="http://schemas.openxmlformats.org/officeDocument/2006/relationships/header" Target="header8.xml"/><Relationship Id="rId47" Type="http://schemas.openxmlformats.org/officeDocument/2006/relationships/image" Target="media/image21.png"/><Relationship Id="rId63" Type="http://schemas.openxmlformats.org/officeDocument/2006/relationships/image" Target="media/image35.png"/><Relationship Id="rId68" Type="http://schemas.openxmlformats.org/officeDocument/2006/relationships/image" Target="media/image39.wmf"/><Relationship Id="rId84" Type="http://schemas.openxmlformats.org/officeDocument/2006/relationships/image" Target="media/image45.wmf"/><Relationship Id="rId89" Type="http://schemas.openxmlformats.org/officeDocument/2006/relationships/oleObject" Target="embeddings/oleObject8.bin"/><Relationship Id="rId112" Type="http://schemas.openxmlformats.org/officeDocument/2006/relationships/image" Target="media/image61.png"/><Relationship Id="rId133" Type="http://schemas.openxmlformats.org/officeDocument/2006/relationships/fontTable" Target="fontTable.xml"/><Relationship Id="rId16" Type="http://schemas.openxmlformats.org/officeDocument/2006/relationships/footer" Target="footer4.xml"/><Relationship Id="rId107" Type="http://schemas.openxmlformats.org/officeDocument/2006/relationships/image" Target="media/image56.emf"/><Relationship Id="rId11" Type="http://schemas.openxmlformats.org/officeDocument/2006/relationships/footer" Target="footer2.xml"/><Relationship Id="rId32" Type="http://schemas.openxmlformats.org/officeDocument/2006/relationships/image" Target="media/image11.jpeg"/><Relationship Id="rId37" Type="http://schemas.openxmlformats.org/officeDocument/2006/relationships/image" Target="media/image16.png"/><Relationship Id="rId53" Type="http://schemas.openxmlformats.org/officeDocument/2006/relationships/image" Target="media/image27.png"/><Relationship Id="rId58" Type="http://schemas.openxmlformats.org/officeDocument/2006/relationships/image" Target="media/image30.png"/><Relationship Id="rId74" Type="http://schemas.openxmlformats.org/officeDocument/2006/relationships/footer" Target="footer11.xml"/><Relationship Id="rId79" Type="http://schemas.openxmlformats.org/officeDocument/2006/relationships/oleObject" Target="embeddings/oleObject3.bin"/><Relationship Id="rId102" Type="http://schemas.openxmlformats.org/officeDocument/2006/relationships/oleObject" Target="embeddings/oleObject16.bin"/><Relationship Id="rId123" Type="http://schemas.openxmlformats.org/officeDocument/2006/relationships/header" Target="header17.xml"/><Relationship Id="rId128" Type="http://schemas.openxmlformats.org/officeDocument/2006/relationships/header" Target="header19.xml"/><Relationship Id="rId5" Type="http://schemas.openxmlformats.org/officeDocument/2006/relationships/webSettings" Target="webSettings.xml"/><Relationship Id="rId90" Type="http://schemas.openxmlformats.org/officeDocument/2006/relationships/image" Target="media/image48.wmf"/><Relationship Id="rId95" Type="http://schemas.openxmlformats.org/officeDocument/2006/relationships/oleObject" Target="embeddings/oleObject12.bin"/><Relationship Id="rId14" Type="http://schemas.openxmlformats.org/officeDocument/2006/relationships/header" Target="header4.xml"/><Relationship Id="rId22" Type="http://schemas.openxmlformats.org/officeDocument/2006/relationships/image" Target="media/image3.pn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header" Target="header9.xml"/><Relationship Id="rId48" Type="http://schemas.openxmlformats.org/officeDocument/2006/relationships/image" Target="media/image22.jpeg"/><Relationship Id="rId56" Type="http://schemas.openxmlformats.org/officeDocument/2006/relationships/image" Target="media/image28.png"/><Relationship Id="rId64" Type="http://schemas.openxmlformats.org/officeDocument/2006/relationships/image" Target="media/image36.jpeg"/><Relationship Id="rId69" Type="http://schemas.openxmlformats.org/officeDocument/2006/relationships/oleObject" Target="embeddings/oleObject2.bin"/><Relationship Id="rId77" Type="http://schemas.openxmlformats.org/officeDocument/2006/relationships/footer" Target="footer13.xml"/><Relationship Id="rId100" Type="http://schemas.openxmlformats.org/officeDocument/2006/relationships/oleObject" Target="embeddings/oleObject15.bin"/><Relationship Id="rId105" Type="http://schemas.openxmlformats.org/officeDocument/2006/relationships/image" Target="media/image54.png"/><Relationship Id="rId113" Type="http://schemas.openxmlformats.org/officeDocument/2006/relationships/image" Target="media/image62.png"/><Relationship Id="rId118" Type="http://schemas.openxmlformats.org/officeDocument/2006/relationships/image" Target="media/image67.png"/><Relationship Id="rId126" Type="http://schemas.openxmlformats.org/officeDocument/2006/relationships/image" Target="media/image69.png"/><Relationship Id="rId13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5.png"/><Relationship Id="rId72" Type="http://schemas.openxmlformats.org/officeDocument/2006/relationships/header" Target="header12.xml"/><Relationship Id="rId80" Type="http://schemas.openxmlformats.org/officeDocument/2006/relationships/image" Target="media/image43.wmf"/><Relationship Id="rId85" Type="http://schemas.openxmlformats.org/officeDocument/2006/relationships/oleObject" Target="embeddings/oleObject6.bin"/><Relationship Id="rId93" Type="http://schemas.openxmlformats.org/officeDocument/2006/relationships/oleObject" Target="embeddings/oleObject10.bin"/><Relationship Id="rId98" Type="http://schemas.openxmlformats.org/officeDocument/2006/relationships/oleObject" Target="embeddings/oleObject14.bin"/><Relationship Id="rId121" Type="http://schemas.openxmlformats.org/officeDocument/2006/relationships/footer" Target="footer14.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jpeg"/><Relationship Id="rId46" Type="http://schemas.openxmlformats.org/officeDocument/2006/relationships/footer" Target="footer9.xml"/><Relationship Id="rId59" Type="http://schemas.openxmlformats.org/officeDocument/2006/relationships/image" Target="media/image31.png"/><Relationship Id="rId67" Type="http://schemas.openxmlformats.org/officeDocument/2006/relationships/oleObject" Target="embeddings/oleObject1.bin"/><Relationship Id="rId103" Type="http://schemas.openxmlformats.org/officeDocument/2006/relationships/image" Target="media/image53.wmf"/><Relationship Id="rId108" Type="http://schemas.openxmlformats.org/officeDocument/2006/relationships/image" Target="media/image57.emf"/><Relationship Id="rId116" Type="http://schemas.openxmlformats.org/officeDocument/2006/relationships/image" Target="media/image65.jpeg"/><Relationship Id="rId124" Type="http://schemas.openxmlformats.org/officeDocument/2006/relationships/footer" Target="footer16.xml"/><Relationship Id="rId129" Type="http://schemas.openxmlformats.org/officeDocument/2006/relationships/footer" Target="footer17.xml"/><Relationship Id="rId20" Type="http://schemas.openxmlformats.org/officeDocument/2006/relationships/image" Target="media/image1.jpeg"/><Relationship Id="rId41" Type="http://schemas.openxmlformats.org/officeDocument/2006/relationships/image" Target="media/image20.jpeg"/><Relationship Id="rId54" Type="http://schemas.openxmlformats.org/officeDocument/2006/relationships/header" Target="header11.xml"/><Relationship Id="rId62" Type="http://schemas.openxmlformats.org/officeDocument/2006/relationships/image" Target="media/image34.png"/><Relationship Id="rId70" Type="http://schemas.openxmlformats.org/officeDocument/2006/relationships/image" Target="media/image40.png"/><Relationship Id="rId75" Type="http://schemas.openxmlformats.org/officeDocument/2006/relationships/footer" Target="footer12.xml"/><Relationship Id="rId83" Type="http://schemas.openxmlformats.org/officeDocument/2006/relationships/oleObject" Target="embeddings/oleObject5.bin"/><Relationship Id="rId88" Type="http://schemas.openxmlformats.org/officeDocument/2006/relationships/image" Target="media/image47.wmf"/><Relationship Id="rId91" Type="http://schemas.openxmlformats.org/officeDocument/2006/relationships/oleObject" Target="embeddings/oleObject9.bin"/><Relationship Id="rId96" Type="http://schemas.openxmlformats.org/officeDocument/2006/relationships/oleObject" Target="embeddings/oleObject13.bin"/><Relationship Id="rId111" Type="http://schemas.openxmlformats.org/officeDocument/2006/relationships/image" Target="media/image60.png"/><Relationship Id="rId132"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7.xml"/><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3.png"/><Relationship Id="rId57" Type="http://schemas.openxmlformats.org/officeDocument/2006/relationships/image" Target="media/image29.png"/><Relationship Id="rId106" Type="http://schemas.openxmlformats.org/officeDocument/2006/relationships/image" Target="media/image55.png"/><Relationship Id="rId114" Type="http://schemas.openxmlformats.org/officeDocument/2006/relationships/image" Target="media/image63.png"/><Relationship Id="rId119" Type="http://schemas.openxmlformats.org/officeDocument/2006/relationships/header" Target="header15.xml"/><Relationship Id="rId127" Type="http://schemas.openxmlformats.org/officeDocument/2006/relationships/header" Target="header18.xml"/><Relationship Id="rId10" Type="http://schemas.openxmlformats.org/officeDocument/2006/relationships/footer" Target="footer1.xml"/><Relationship Id="rId31" Type="http://schemas.openxmlformats.org/officeDocument/2006/relationships/image" Target="media/image10.jpeg"/><Relationship Id="rId44" Type="http://schemas.openxmlformats.org/officeDocument/2006/relationships/footer" Target="footer8.xml"/><Relationship Id="rId52" Type="http://schemas.openxmlformats.org/officeDocument/2006/relationships/image" Target="media/image26.png"/><Relationship Id="rId60" Type="http://schemas.openxmlformats.org/officeDocument/2006/relationships/image" Target="media/image32.png"/><Relationship Id="rId65" Type="http://schemas.openxmlformats.org/officeDocument/2006/relationships/image" Target="media/image37.jpeg"/><Relationship Id="rId73" Type="http://schemas.openxmlformats.org/officeDocument/2006/relationships/header" Target="header13.xml"/><Relationship Id="rId78" Type="http://schemas.openxmlformats.org/officeDocument/2006/relationships/image" Target="media/image42.wmf"/><Relationship Id="rId81" Type="http://schemas.openxmlformats.org/officeDocument/2006/relationships/oleObject" Target="embeddings/oleObject4.bin"/><Relationship Id="rId86" Type="http://schemas.openxmlformats.org/officeDocument/2006/relationships/image" Target="media/image46.wmf"/><Relationship Id="rId94" Type="http://schemas.openxmlformats.org/officeDocument/2006/relationships/oleObject" Target="embeddings/oleObject11.bin"/><Relationship Id="rId99" Type="http://schemas.openxmlformats.org/officeDocument/2006/relationships/image" Target="media/image51.wmf"/><Relationship Id="rId101" Type="http://schemas.openxmlformats.org/officeDocument/2006/relationships/image" Target="media/image52.wmf"/><Relationship Id="rId122" Type="http://schemas.openxmlformats.org/officeDocument/2006/relationships/footer" Target="footer15.xml"/><Relationship Id="rId130" Type="http://schemas.openxmlformats.org/officeDocument/2006/relationships/footer" Target="footer18.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eader" Target="header6.xml"/><Relationship Id="rId39" Type="http://schemas.openxmlformats.org/officeDocument/2006/relationships/image" Target="media/image18.jpeg"/><Relationship Id="rId109" Type="http://schemas.openxmlformats.org/officeDocument/2006/relationships/image" Target="media/image58.emf"/><Relationship Id="rId34" Type="http://schemas.openxmlformats.org/officeDocument/2006/relationships/image" Target="media/image13.jpeg"/><Relationship Id="rId50" Type="http://schemas.openxmlformats.org/officeDocument/2006/relationships/image" Target="media/image24.png"/><Relationship Id="rId55" Type="http://schemas.openxmlformats.org/officeDocument/2006/relationships/footer" Target="footer10.xml"/><Relationship Id="rId76" Type="http://schemas.openxmlformats.org/officeDocument/2006/relationships/header" Target="header14.xml"/><Relationship Id="rId97" Type="http://schemas.openxmlformats.org/officeDocument/2006/relationships/image" Target="media/image50.wmf"/><Relationship Id="rId104" Type="http://schemas.openxmlformats.org/officeDocument/2006/relationships/oleObject" Target="embeddings/oleObject17.bin"/><Relationship Id="rId120" Type="http://schemas.openxmlformats.org/officeDocument/2006/relationships/header" Target="header16.xml"/><Relationship Id="rId125"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41.png"/><Relationship Id="rId92" Type="http://schemas.openxmlformats.org/officeDocument/2006/relationships/image" Target="media/image49.wmf"/><Relationship Id="rId2" Type="http://schemas.openxmlformats.org/officeDocument/2006/relationships/numbering" Target="numbering.xml"/><Relationship Id="rId29" Type="http://schemas.openxmlformats.org/officeDocument/2006/relationships/image" Target="media/image8.jpeg"/><Relationship Id="rId24" Type="http://schemas.openxmlformats.org/officeDocument/2006/relationships/footer" Target="footer7.xml"/><Relationship Id="rId40" Type="http://schemas.openxmlformats.org/officeDocument/2006/relationships/image" Target="media/image19.jpeg"/><Relationship Id="rId45" Type="http://schemas.openxmlformats.org/officeDocument/2006/relationships/header" Target="header10.xml"/><Relationship Id="rId66" Type="http://schemas.openxmlformats.org/officeDocument/2006/relationships/image" Target="media/image38.wmf"/><Relationship Id="rId87" Type="http://schemas.openxmlformats.org/officeDocument/2006/relationships/oleObject" Target="embeddings/oleObject7.bin"/><Relationship Id="rId110" Type="http://schemas.openxmlformats.org/officeDocument/2006/relationships/image" Target="media/image59.png"/><Relationship Id="rId115" Type="http://schemas.openxmlformats.org/officeDocument/2006/relationships/image" Target="media/image64.jpeg"/><Relationship Id="rId131" Type="http://schemas.openxmlformats.org/officeDocument/2006/relationships/header" Target="header20.xml"/><Relationship Id="rId61" Type="http://schemas.openxmlformats.org/officeDocument/2006/relationships/image" Target="media/image33.png"/><Relationship Id="rId82" Type="http://schemas.openxmlformats.org/officeDocument/2006/relationships/image" Target="media/image44.wmf"/><Relationship Id="rId19" Type="http://schemas.openxmlformats.org/officeDocument/2006/relationships/footer" Target="foot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Info spid="_x0000_s1031"/>
    <customShpInfo spid="_x0000_s1077"/>
    <customShpInfo spid="_x0000_s1045"/>
    <customShpInfo spid="_x0000_s1141"/>
    <customShpInfo spid="_x0000_s1142"/>
    <customShpInfo spid="_x0000_s1054"/>
    <customShpInfo spid="_x0000_s114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367</TotalTime>
  <Pages>303</Pages>
  <Words>35327</Words>
  <Characters>201365</Characters>
  <Application>Microsoft Office Word</Application>
  <DocSecurity>0</DocSecurity>
  <Lines>1678</Lines>
  <Paragraphs>472</Paragraphs>
  <ScaleCrop>false</ScaleCrop>
  <Company>china</Company>
  <LinksUpToDate>false</LinksUpToDate>
  <CharactersWithSpaces>236220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Windows 用户</cp:lastModifiedBy>
  <cp:revision>65</cp:revision>
  <cp:lastPrinted>2023-08-09T07:38:00Z</cp:lastPrinted>
  <dcterms:created xsi:type="dcterms:W3CDTF">2022-01-05T00:50:00Z</dcterms:created>
  <dcterms:modified xsi:type="dcterms:W3CDTF">2023-08-09T07:40:00Z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3B67F88EC26F40FDA3C105882B2A622E</vt:lpwstr>
  </property>
</Properties>
</file>